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p>
      <w:pPr>
        <w:spacing w:line="540" w:lineRule="exact" w:before="0"/>
        <w:ind w:left="2196" w:right="2146" w:firstLine="0"/>
        <w:jc w:val="center"/>
        <w:rPr>
          <w:rFonts w:ascii="黑体" w:hAnsi="黑体" w:cs="黑体" w:eastAsia="黑体" w:hint="default"/>
          <w:sz w:val="44"/>
          <w:szCs w:val="44"/>
        </w:rPr>
      </w:pPr>
      <w:bookmarkStart w:name="600570_2007_n.pdf" w:id="1"/>
      <w:bookmarkEnd w:id="1"/>
      <w:r>
        <w:rPr/>
      </w:r>
      <w:r>
        <w:rPr>
          <w:rFonts w:ascii="黑体" w:hAnsi="黑体" w:cs="黑体" w:eastAsia="黑体" w:hint="default"/>
          <w:b/>
          <w:bCs/>
          <w:color w:val="FF0000"/>
          <w:sz w:val="44"/>
          <w:szCs w:val="44"/>
        </w:rPr>
        <w:t>恒生电子股份有限公司</w:t>
      </w:r>
      <w:r>
        <w:rPr>
          <w:rFonts w:ascii="黑体" w:hAnsi="黑体" w:cs="黑体" w:eastAsia="黑体" w:hint="default"/>
          <w:sz w:val="44"/>
          <w:szCs w:val="44"/>
        </w:rPr>
      </w:r>
    </w:p>
    <w:p>
      <w:pPr>
        <w:spacing w:before="133"/>
        <w:ind w:left="2196" w:right="2145" w:firstLine="0"/>
        <w:jc w:val="center"/>
        <w:rPr>
          <w:rFonts w:ascii="黑体" w:hAnsi="黑体" w:cs="黑体" w:eastAsia="黑体" w:hint="default"/>
          <w:sz w:val="32"/>
          <w:szCs w:val="32"/>
        </w:rPr>
      </w:pPr>
      <w:r>
        <w:rPr>
          <w:rFonts w:ascii="黑体"/>
          <w:b/>
          <w:color w:val="FF0000"/>
          <w:sz w:val="32"/>
        </w:rPr>
        <w:t>600570</w:t>
      </w:r>
      <w:r>
        <w:rPr>
          <w:rFonts w:ascii="黑体"/>
          <w:sz w:val="32"/>
        </w:rPr>
      </w:r>
    </w:p>
    <w:p>
      <w:pPr>
        <w:spacing w:line="240" w:lineRule="auto" w:before="12"/>
        <w:rPr>
          <w:rFonts w:ascii="黑体" w:hAnsi="黑体" w:cs="黑体" w:eastAsia="黑体" w:hint="default"/>
          <w:b/>
          <w:bCs/>
          <w:sz w:val="41"/>
          <w:szCs w:val="41"/>
        </w:rPr>
      </w:pPr>
    </w:p>
    <w:p>
      <w:pPr>
        <w:spacing w:before="0"/>
        <w:ind w:left="2196" w:right="2145"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2007</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footerReference w:type="default" r:id="rId5"/>
          <w:type w:val="continuous"/>
          <w:pgSz w:w="12240" w:h="15840"/>
          <w:pgMar w:footer="708" w:top="1500" w:bottom="900" w:left="1720" w:right="1720"/>
          <w:pgNumType w:start="1"/>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8"/>
          <w:szCs w:val="18"/>
        </w:rPr>
      </w:pPr>
    </w:p>
    <w:p>
      <w:pPr>
        <w:spacing w:line="540" w:lineRule="exact" w:before="0"/>
        <w:ind w:left="4263" w:right="425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36" w:val="right" w:leader="dot"/>
            </w:tabs>
            <w:spacing w:line="274" w:lineRule="exact" w:before="343"/>
            <w:ind w:right="0"/>
            <w:jc w:val="left"/>
          </w:pPr>
          <w:r>
            <w:rPr/>
            <w:t>一、重要提示</w:t>
          </w:r>
          <w:r>
            <w:rPr>
              <w:rFonts w:ascii="Times New Roman" w:hAnsi="Times New Roman" w:cs="Times New Roman" w:eastAsia="Times New Roman" w:hint="default"/>
            </w:rPr>
            <w:tab/>
          </w:r>
          <w:r>
            <w:rPr/>
            <w:t>3</w:t>
          </w:r>
        </w:p>
        <w:p>
          <w:pPr>
            <w:pStyle w:val="TOC1"/>
            <w:tabs>
              <w:tab w:pos="9336" w:val="right" w:leader="dot"/>
            </w:tabs>
            <w:spacing w:line="272" w:lineRule="exact"/>
            <w:ind w:right="0"/>
            <w:jc w:val="left"/>
          </w:pPr>
          <w:hyperlink w:history="true" w:anchor="_TOC_250010">
            <w:r>
              <w:rPr/>
              <w:t>二、公司基本情况简介</w:t>
            </w:r>
            <w:r>
              <w:rPr>
                <w:rFonts w:ascii="Times New Roman" w:hAnsi="Times New Roman" w:cs="Times New Roman" w:eastAsia="Times New Roman" w:hint="default"/>
              </w:rPr>
              <w:tab/>
            </w:r>
            <w:r>
              <w:rPr/>
              <w:t>3</w:t>
            </w:r>
          </w:hyperlink>
        </w:p>
        <w:p>
          <w:pPr>
            <w:pStyle w:val="TOC1"/>
            <w:tabs>
              <w:tab w:pos="9336" w:val="right" w:leader="dot"/>
            </w:tabs>
            <w:spacing w:line="272" w:lineRule="exact"/>
            <w:ind w:left="104" w:right="0"/>
            <w:jc w:val="left"/>
          </w:pPr>
          <w:hyperlink w:history="true" w:anchor="_TOC_250009">
            <w:r>
              <w:rPr/>
              <w:t>三、主要财务数据和指标：</w:t>
            </w:r>
            <w:r>
              <w:rPr>
                <w:rFonts w:ascii="Times New Roman" w:hAnsi="Times New Roman" w:cs="Times New Roman" w:eastAsia="Times New Roman" w:hint="default"/>
              </w:rPr>
              <w:tab/>
            </w:r>
            <w:r>
              <w:rPr/>
              <w:t>4</w:t>
            </w:r>
          </w:hyperlink>
        </w:p>
        <w:p>
          <w:pPr>
            <w:pStyle w:val="TOC1"/>
            <w:tabs>
              <w:tab w:pos="9336" w:val="right" w:leader="dot"/>
            </w:tabs>
            <w:spacing w:line="272" w:lineRule="exact"/>
            <w:ind w:right="0"/>
            <w:jc w:val="left"/>
          </w:pPr>
          <w:hyperlink w:history="true" w:anchor="_TOC_250008">
            <w:r>
              <w:rPr/>
              <w:t>四、股本变动及股东情况</w:t>
            </w:r>
            <w:r>
              <w:rPr>
                <w:rFonts w:ascii="Times New Roman" w:hAnsi="Times New Roman" w:cs="Times New Roman" w:eastAsia="Times New Roman" w:hint="default"/>
              </w:rPr>
              <w:tab/>
            </w:r>
            <w:r>
              <w:rPr/>
              <w:t>13</w:t>
            </w:r>
          </w:hyperlink>
        </w:p>
        <w:p>
          <w:pPr>
            <w:pStyle w:val="TOC1"/>
            <w:tabs>
              <w:tab w:pos="9336" w:val="right" w:leader="dot"/>
            </w:tabs>
            <w:spacing w:line="272" w:lineRule="exact"/>
            <w:ind w:right="0"/>
            <w:jc w:val="left"/>
          </w:pPr>
          <w:hyperlink w:history="true" w:anchor="_TOC_250007">
            <w:r>
              <w:rPr/>
              <w:t>五、董事、监事和高级管理人员</w:t>
            </w:r>
            <w:r>
              <w:rPr>
                <w:rFonts w:ascii="Times New Roman" w:hAnsi="Times New Roman" w:cs="Times New Roman" w:eastAsia="Times New Roman" w:hint="default"/>
              </w:rPr>
              <w:tab/>
            </w:r>
            <w:r>
              <w:rPr/>
              <w:t>17</w:t>
            </w:r>
          </w:hyperlink>
        </w:p>
        <w:p>
          <w:pPr>
            <w:pStyle w:val="TOC1"/>
            <w:tabs>
              <w:tab w:pos="9337" w:val="right" w:leader="dot"/>
            </w:tabs>
            <w:spacing w:line="272" w:lineRule="exact"/>
            <w:ind w:right="0"/>
            <w:jc w:val="left"/>
          </w:pPr>
          <w:hyperlink w:history="true" w:anchor="_TOC_250006">
            <w:r>
              <w:rPr/>
              <w:t>六、公司治理结构</w:t>
            </w:r>
            <w:r>
              <w:rPr>
                <w:rFonts w:ascii="Times New Roman" w:hAnsi="Times New Roman" w:cs="Times New Roman" w:eastAsia="Times New Roman" w:hint="default"/>
              </w:rPr>
              <w:tab/>
            </w:r>
            <w:r>
              <w:rPr/>
              <w:t>23</w:t>
            </w:r>
          </w:hyperlink>
        </w:p>
        <w:p>
          <w:pPr>
            <w:pStyle w:val="TOC1"/>
            <w:tabs>
              <w:tab w:pos="9336" w:val="right" w:leader="dot"/>
            </w:tabs>
            <w:spacing w:line="272" w:lineRule="exact"/>
            <w:ind w:right="0"/>
            <w:jc w:val="left"/>
          </w:pPr>
          <w:hyperlink w:history="true" w:anchor="_TOC_250005">
            <w:r>
              <w:rPr/>
              <w:t>七、股东大会情况简介</w:t>
            </w:r>
            <w:r>
              <w:rPr>
                <w:rFonts w:ascii="Times New Roman" w:hAnsi="Times New Roman" w:cs="Times New Roman" w:eastAsia="Times New Roman" w:hint="default"/>
              </w:rPr>
              <w:tab/>
            </w:r>
            <w:r>
              <w:rPr/>
              <w:t>27</w:t>
            </w:r>
          </w:hyperlink>
        </w:p>
        <w:p>
          <w:pPr>
            <w:pStyle w:val="TOC1"/>
            <w:tabs>
              <w:tab w:pos="9336" w:val="right" w:leader="dot"/>
            </w:tabs>
            <w:spacing w:line="272" w:lineRule="exact"/>
            <w:ind w:right="0"/>
            <w:jc w:val="left"/>
          </w:pPr>
          <w:hyperlink w:history="true" w:anchor="_TOC_250004">
            <w:r>
              <w:rPr/>
              <w:t>八、董事会报告</w:t>
            </w:r>
            <w:r>
              <w:rPr>
                <w:rFonts w:ascii="Times New Roman" w:hAnsi="Times New Roman" w:cs="Times New Roman" w:eastAsia="Times New Roman" w:hint="default"/>
              </w:rPr>
              <w:tab/>
            </w:r>
            <w:r>
              <w:rPr/>
              <w:t>27</w:t>
            </w:r>
          </w:hyperlink>
        </w:p>
        <w:p>
          <w:pPr>
            <w:pStyle w:val="TOC1"/>
            <w:tabs>
              <w:tab w:pos="9336" w:val="right" w:leader="dot"/>
            </w:tabs>
            <w:spacing w:line="272" w:lineRule="exact"/>
            <w:ind w:right="0"/>
            <w:jc w:val="left"/>
          </w:pPr>
          <w:hyperlink w:history="true" w:anchor="_TOC_250003">
            <w:r>
              <w:rPr/>
              <w:t>九、监事会报告</w:t>
            </w:r>
            <w:r>
              <w:rPr>
                <w:rFonts w:ascii="Times New Roman" w:hAnsi="Times New Roman" w:cs="Times New Roman" w:eastAsia="Times New Roman" w:hint="default"/>
              </w:rPr>
              <w:tab/>
            </w:r>
            <w:r>
              <w:rPr/>
              <w:t>33</w:t>
            </w:r>
          </w:hyperlink>
        </w:p>
        <w:p>
          <w:pPr>
            <w:pStyle w:val="TOC1"/>
            <w:tabs>
              <w:tab w:pos="9336" w:val="right" w:leader="dot"/>
            </w:tabs>
            <w:spacing w:line="272" w:lineRule="exact"/>
            <w:ind w:right="0"/>
            <w:jc w:val="left"/>
          </w:pPr>
          <w:hyperlink w:history="true" w:anchor="_TOC_250002">
            <w:r>
              <w:rPr/>
              <w:t>十、重要事项</w:t>
            </w:r>
            <w:r>
              <w:rPr>
                <w:rFonts w:ascii="Times New Roman" w:hAnsi="Times New Roman" w:cs="Times New Roman" w:eastAsia="Times New Roman" w:hint="default"/>
              </w:rPr>
              <w:tab/>
            </w:r>
            <w:r>
              <w:rPr/>
              <w:t>34</w:t>
            </w:r>
          </w:hyperlink>
        </w:p>
        <w:p>
          <w:pPr>
            <w:pStyle w:val="TOC1"/>
            <w:tabs>
              <w:tab w:pos="9336" w:val="right" w:leader="dot"/>
            </w:tabs>
            <w:spacing w:line="272" w:lineRule="exact"/>
            <w:ind w:right="0"/>
            <w:jc w:val="left"/>
          </w:pPr>
          <w:hyperlink w:history="true" w:anchor="_TOC_250001">
            <w:r>
              <w:rPr/>
              <w:t>十一、财务报告</w:t>
            </w:r>
            <w:r>
              <w:rPr>
                <w:rFonts w:ascii="Times New Roman" w:hAnsi="Times New Roman" w:cs="Times New Roman" w:eastAsia="Times New Roman" w:hint="default"/>
              </w:rPr>
              <w:tab/>
            </w:r>
            <w:r>
              <w:rPr/>
              <w:t>41</w:t>
            </w:r>
          </w:hyperlink>
        </w:p>
        <w:p>
          <w:pPr>
            <w:pStyle w:val="TOC1"/>
            <w:tabs>
              <w:tab w:pos="9336" w:val="right" w:leader="dot"/>
            </w:tabs>
            <w:spacing w:line="274" w:lineRule="exact"/>
            <w:ind w:right="0"/>
            <w:jc w:val="left"/>
          </w:pPr>
          <w:hyperlink w:history="true" w:anchor="_TOC_250000">
            <w:r>
              <w:rPr/>
              <w:t>十二、备查文件目录</w:t>
            </w:r>
            <w:r>
              <w:rPr>
                <w:rFonts w:ascii="Times New Roman" w:hAnsi="Times New Roman" w:cs="Times New Roman" w:eastAsia="Times New Roman" w:hint="default"/>
              </w:rPr>
              <w:tab/>
            </w:r>
            <w:r>
              <w:rPr/>
              <w:t>60</w:t>
            </w:r>
          </w:hyperlink>
        </w:p>
      </w:sdtContent>
    </w:sdt>
    <w:p>
      <w:pPr>
        <w:spacing w:after="0" w:line="274" w:lineRule="exact"/>
        <w:jc w:val="left"/>
        <w:sectPr>
          <w:pgSz w:w="12240" w:h="15840"/>
          <w:pgMar w:header="0" w:footer="708" w:top="1500" w:bottom="900" w:left="1420" w:right="1380"/>
        </w:sectPr>
      </w:pPr>
    </w:p>
    <w:p>
      <w:pPr>
        <w:pStyle w:val="BodyText"/>
        <w:spacing w:line="256" w:lineRule="auto" w:before="1"/>
        <w:ind w:right="95"/>
        <w:jc w:val="left"/>
      </w:pPr>
      <w:r>
        <w:rPr>
          <w:rFonts w:ascii="宋体" w:hAnsi="宋体" w:cs="宋体" w:eastAsia="宋体" w:hint="default"/>
          <w:b/>
          <w:bCs/>
          <w:sz w:val="24"/>
          <w:szCs w:val="24"/>
        </w:rPr>
        <w:t>一、重要提示</w:t>
      </w:r>
      <w:r>
        <w:rPr>
          <w:rFonts w:ascii="宋体" w:hAnsi="宋体" w:cs="宋体" w:eastAsia="宋体" w:hint="default"/>
          <w:b/>
          <w:bCs/>
          <w:w w:val="99"/>
          <w:sz w:val="24"/>
          <w:szCs w:val="24"/>
        </w:rPr>
        <w:t> </w:t>
      </w:r>
      <w:r>
        <w:rPr>
          <w:rFonts w:ascii="Times New Roman" w:hAnsi="Times New Roman" w:cs="Times New Roman" w:eastAsia="Times New Roman" w:hint="default"/>
        </w:rPr>
        <w:t>1</w:t>
      </w:r>
      <w:r>
        <w:rPr/>
        <w:t>、本公司董事会、监事会及董事、监事、高级管理人员保证本报告所载资料不存在任何虚假</w:t>
      </w:r>
      <w:r>
        <w:rPr>
          <w:spacing w:val="-67"/>
        </w:rPr>
        <w:t> </w:t>
      </w:r>
      <w:r>
        <w:rPr>
          <w:spacing w:val="-67"/>
        </w:rPr>
      </w:r>
      <w:r>
        <w:rPr>
          <w:spacing w:val="-4"/>
        </w:rPr>
        <w:t>记载、误导性陈述或者重大遗漏，并对其内容的真实性、准确性和完整性承担个别及连带责任。</w:t>
      </w:r>
    </w:p>
    <w:p>
      <w:pPr>
        <w:spacing w:line="240" w:lineRule="auto" w:before="7"/>
        <w:rPr>
          <w:rFonts w:ascii="宋体" w:hAnsi="宋体" w:cs="宋体" w:eastAsia="宋体" w:hint="default"/>
          <w:sz w:val="25"/>
          <w:szCs w:val="25"/>
        </w:rPr>
      </w:pPr>
    </w:p>
    <w:p>
      <w:pPr>
        <w:pStyle w:val="BodyText"/>
        <w:spacing w:line="240" w:lineRule="auto" w:before="0"/>
        <w:ind w:right="95"/>
        <w:jc w:val="left"/>
      </w:pPr>
      <w:r>
        <w:rPr>
          <w:rFonts w:ascii="Times New Roman" w:hAnsi="Times New Roman" w:cs="Times New Roman" w:eastAsia="Times New Roman" w:hint="default"/>
        </w:rPr>
        <w:t>2</w:t>
      </w:r>
      <w:r>
        <w:rPr/>
        <w:t>、董事陈鸿，因出国未能亲自参加本次会议，授权董事盛杰伟代为表决。</w:t>
      </w:r>
    </w:p>
    <w:p>
      <w:pPr>
        <w:spacing w:line="240" w:lineRule="auto" w:before="6"/>
        <w:rPr>
          <w:rFonts w:ascii="宋体" w:hAnsi="宋体" w:cs="宋体" w:eastAsia="宋体" w:hint="default"/>
          <w:sz w:val="25"/>
          <w:szCs w:val="25"/>
        </w:rPr>
      </w:pPr>
    </w:p>
    <w:p>
      <w:pPr>
        <w:pStyle w:val="BodyText"/>
        <w:spacing w:line="240" w:lineRule="auto" w:before="0"/>
        <w:ind w:right="95"/>
        <w:jc w:val="left"/>
      </w:pPr>
      <w:r>
        <w:rPr>
          <w:rFonts w:ascii="Times New Roman" w:hAnsi="Times New Roman" w:cs="Times New Roman" w:eastAsia="Times New Roman" w:hint="default"/>
        </w:rPr>
        <w:t>3</w:t>
      </w:r>
      <w:r>
        <w:rPr/>
        <w:t>、浙江天健会计师事务所为本公司出具了标准无保留意见的审计报告。</w:t>
      </w:r>
    </w:p>
    <w:p>
      <w:pPr>
        <w:spacing w:line="240" w:lineRule="auto" w:before="6"/>
        <w:rPr>
          <w:rFonts w:ascii="宋体" w:hAnsi="宋体" w:cs="宋体" w:eastAsia="宋体" w:hint="default"/>
          <w:sz w:val="25"/>
          <w:szCs w:val="25"/>
        </w:rPr>
      </w:pPr>
    </w:p>
    <w:p>
      <w:pPr>
        <w:pStyle w:val="BodyText"/>
        <w:spacing w:line="256" w:lineRule="auto" w:before="0"/>
        <w:ind w:right="95"/>
        <w:jc w:val="left"/>
      </w:pPr>
      <w:r>
        <w:rPr>
          <w:rFonts w:ascii="Times New Roman" w:hAnsi="Times New Roman" w:cs="Times New Roman" w:eastAsia="Times New Roman" w:hint="default"/>
        </w:rPr>
        <w:t>4</w:t>
      </w:r>
      <w:r>
        <w:rPr/>
        <w:t>、公司负责人彭政纲，主管会计工作负责人刘曙峰及会计机构负责人（会计主管人员）傅美</w:t>
      </w:r>
      <w:r>
        <w:rPr>
          <w:spacing w:val="-67"/>
        </w:rPr>
        <w:t> </w:t>
      </w:r>
      <w:r>
        <w:rPr>
          <w:spacing w:val="-67"/>
        </w:rPr>
      </w:r>
      <w:r>
        <w:rPr/>
        <w:t>英声明：保证年度报告中财务报告的真实、完整。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1"/>
        <w:spacing w:line="240" w:lineRule="auto"/>
        <w:ind w:right="95"/>
        <w:jc w:val="left"/>
        <w:rPr>
          <w:rFonts w:ascii="宋体" w:hAnsi="宋体" w:cs="宋体" w:eastAsia="宋体" w:hint="default"/>
          <w:b w:val="0"/>
          <w:bCs w:val="0"/>
        </w:rPr>
      </w:pPr>
      <w:bookmarkStart w:name="_TOC_250010" w:id="2"/>
      <w:r>
        <w:rPr>
          <w:rFonts w:ascii="宋体" w:hAnsi="宋体" w:cs="宋体" w:eastAsia="宋体" w:hint="default"/>
        </w:rPr>
        <w:t>二、公司基本情况简介</w:t>
      </w:r>
      <w:bookmarkEnd w:id="2"/>
      <w:r>
        <w:rPr>
          <w:rFonts w:ascii="宋体" w:hAnsi="宋体" w:cs="宋体" w:eastAsia="宋体" w:hint="default"/>
          <w:b w:val="0"/>
          <w:bCs w:val="0"/>
        </w:rPr>
      </w:r>
    </w:p>
    <w:p>
      <w:pPr>
        <w:pStyle w:val="BodyText"/>
        <w:spacing w:line="264" w:lineRule="auto" w:before="37"/>
        <w:ind w:left="537" w:right="4339" w:hanging="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spacing w:val="-2"/>
        </w:rPr>
        <w:t> </w:t>
      </w:r>
      <w:r>
        <w:rPr/>
        <w:t>公司法定中文名称：恒生电子股份有限公司</w:t>
      </w:r>
      <w:r>
        <w:rPr/>
        <w:t> 公司法定中文名称缩写：恒生电子 公司英文名称：</w:t>
      </w:r>
      <w:r>
        <w:rPr>
          <w:rFonts w:ascii="Times New Roman" w:hAnsi="Times New Roman" w:cs="Times New Roman" w:eastAsia="Times New Roman" w:hint="default"/>
        </w:rPr>
        <w:t>Hundsun Technologies</w:t>
      </w:r>
      <w:r>
        <w:rPr>
          <w:rFonts w:ascii="Times New Roman" w:hAnsi="Times New Roman" w:cs="Times New Roman" w:eastAsia="Times New Roman" w:hint="default"/>
          <w:spacing w:val="-29"/>
        </w:rPr>
        <w:t> </w:t>
      </w:r>
      <w:r>
        <w:rPr>
          <w:rFonts w:ascii="Times New Roman" w:hAnsi="Times New Roman" w:cs="Times New Roman" w:eastAsia="Times New Roman" w:hint="default"/>
        </w:rPr>
        <w:t>Inc.</w:t>
      </w:r>
    </w:p>
    <w:p>
      <w:pPr>
        <w:pStyle w:val="BodyText"/>
        <w:spacing w:line="289" w:lineRule="exact" w:before="0"/>
        <w:ind w:right="95"/>
        <w:jc w:val="left"/>
      </w:pPr>
      <w:r>
        <w:rPr>
          <w:rFonts w:ascii="Times New Roman" w:hAnsi="Times New Roman" w:cs="Times New Roman" w:eastAsia="Times New Roman" w:hint="default"/>
        </w:rPr>
        <w:t>2</w:t>
      </w:r>
      <w:r>
        <w:rPr/>
        <w:t>、</w:t>
      </w:r>
      <w:r>
        <w:rPr>
          <w:spacing w:val="-2"/>
        </w:rPr>
        <w:t> </w:t>
      </w:r>
      <w:r>
        <w:rPr/>
        <w:t>公司法定代表人：彭政纲</w:t>
      </w:r>
    </w:p>
    <w:p>
      <w:pPr>
        <w:pStyle w:val="BodyText"/>
        <w:spacing w:line="256" w:lineRule="auto" w:before="21"/>
        <w:ind w:left="537" w:right="6034" w:hanging="42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spacing w:val="-2"/>
        </w:rPr>
        <w:t> </w:t>
      </w:r>
      <w:r>
        <w:rPr/>
        <w:t>公司董事会秘书：童晨晖</w:t>
      </w:r>
      <w:r>
        <w:rPr/>
        <w:t> 电话：</w:t>
      </w:r>
      <w:r>
        <w:rPr>
          <w:rFonts w:ascii="Times New Roman" w:hAnsi="Times New Roman" w:cs="Times New Roman" w:eastAsia="Times New Roman" w:hint="default"/>
        </w:rPr>
        <w:t>0571-28829702</w:t>
      </w:r>
      <w:r>
        <w:rPr>
          <w:rFonts w:ascii="Times New Roman" w:hAnsi="Times New Roman" w:cs="Times New Roman" w:eastAsia="Times New Roman" w:hint="default"/>
          <w:spacing w:val="-1"/>
        </w:rPr>
        <w:t> </w:t>
      </w:r>
      <w:r>
        <w:rPr/>
        <w:t>传真：</w:t>
      </w:r>
      <w:r>
        <w:rPr>
          <w:rFonts w:ascii="Times New Roman" w:hAnsi="Times New Roman" w:cs="Times New Roman" w:eastAsia="Times New Roman" w:hint="default"/>
        </w:rPr>
        <w:t>0571-28829703</w:t>
      </w:r>
    </w:p>
    <w:p>
      <w:pPr>
        <w:pStyle w:val="BodyText"/>
        <w:spacing w:line="256" w:lineRule="auto" w:before="5"/>
        <w:ind w:left="537" w:right="3606"/>
        <w:jc w:val="left"/>
      </w:pPr>
      <w:r>
        <w:rPr>
          <w:rFonts w:ascii="Times New Roman" w:hAnsi="Times New Roman" w:cs="Times New Roman" w:eastAsia="Times New Roman" w:hint="default"/>
        </w:rPr>
        <w:t>E-mail</w:t>
      </w:r>
      <w:r>
        <w:rPr/>
        <w:t>：</w:t>
      </w:r>
      <w:hyperlink r:id="rId7">
        <w:r>
          <w:rPr>
            <w:rFonts w:ascii="Times New Roman" w:hAnsi="Times New Roman" w:cs="Times New Roman" w:eastAsia="Times New Roman" w:hint="default"/>
          </w:rPr>
          <w:t>zxzl@hundsun.com</w:t>
        </w:r>
      </w:hyperlink>
      <w:r>
        <w:rPr>
          <w:rFonts w:ascii="Times New Roman" w:hAnsi="Times New Roman" w:cs="Times New Roman" w:eastAsia="Times New Roman" w:hint="default"/>
        </w:rPr>
        <w:t> </w:t>
      </w:r>
      <w:r>
        <w:rPr/>
        <w:t>联系地址：杭州市滨江区江南大道</w:t>
      </w:r>
      <w:r>
        <w:rPr>
          <w:spacing w:val="-55"/>
        </w:rPr>
        <w:t> </w:t>
      </w:r>
      <w:r>
        <w:rPr>
          <w:rFonts w:ascii="Times New Roman" w:hAnsi="Times New Roman" w:cs="Times New Roman" w:eastAsia="Times New Roman" w:hint="default"/>
        </w:rPr>
        <w:t>3588</w:t>
      </w:r>
      <w:r>
        <w:rPr>
          <w:rFonts w:ascii="Times New Roman" w:hAnsi="Times New Roman" w:cs="Times New Roman" w:eastAsia="Times New Roman" w:hint="default"/>
          <w:spacing w:val="-2"/>
        </w:rPr>
        <w:t> </w:t>
      </w:r>
      <w:r>
        <w:rPr/>
        <w:t>号恒生大厦 公司证券事务代表：屠海雁</w:t>
      </w:r>
    </w:p>
    <w:p>
      <w:pPr>
        <w:pStyle w:val="BodyText"/>
        <w:spacing w:line="256" w:lineRule="auto" w:before="22"/>
        <w:ind w:left="537" w:right="6385"/>
        <w:jc w:val="left"/>
        <w:rPr>
          <w:rFonts w:ascii="Times New Roman" w:hAnsi="Times New Roman" w:cs="Times New Roman" w:eastAsia="Times New Roman" w:hint="default"/>
        </w:rPr>
      </w:pPr>
      <w:r>
        <w:rPr/>
        <w:t>电话：</w:t>
      </w:r>
      <w:r>
        <w:rPr>
          <w:rFonts w:ascii="Times New Roman" w:hAnsi="Times New Roman" w:cs="Times New Roman" w:eastAsia="Times New Roman" w:hint="default"/>
        </w:rPr>
        <w:t>0571-28829702</w:t>
      </w:r>
      <w:r>
        <w:rPr>
          <w:rFonts w:ascii="Times New Roman" w:hAnsi="Times New Roman" w:cs="Times New Roman" w:eastAsia="Times New Roman" w:hint="default"/>
          <w:spacing w:val="-1"/>
        </w:rPr>
        <w:t> </w:t>
      </w:r>
      <w:r>
        <w:rPr/>
        <w:t>传真：</w:t>
      </w:r>
      <w:r>
        <w:rPr>
          <w:rFonts w:ascii="Times New Roman" w:hAnsi="Times New Roman" w:cs="Times New Roman" w:eastAsia="Times New Roman" w:hint="default"/>
        </w:rPr>
        <w:t>0571-28829703</w:t>
      </w:r>
    </w:p>
    <w:p>
      <w:pPr>
        <w:pStyle w:val="BodyText"/>
        <w:spacing w:line="240" w:lineRule="auto" w:before="5"/>
        <w:ind w:left="537" w:right="95"/>
        <w:jc w:val="left"/>
        <w:rPr>
          <w:rFonts w:ascii="Times New Roman" w:hAnsi="Times New Roman" w:cs="Times New Roman" w:eastAsia="Times New Roman" w:hint="default"/>
        </w:rPr>
      </w:pPr>
      <w:r>
        <w:rPr>
          <w:rFonts w:ascii="Times New Roman" w:hAnsi="Times New Roman" w:cs="Times New Roman" w:eastAsia="Times New Roman" w:hint="default"/>
        </w:rPr>
        <w:t>E-mail</w:t>
      </w:r>
      <w:r>
        <w:rPr/>
        <w:t>：</w:t>
      </w:r>
      <w:hyperlink r:id="rId7">
        <w:r>
          <w:rPr>
            <w:rFonts w:ascii="Times New Roman" w:hAnsi="Times New Roman" w:cs="Times New Roman" w:eastAsia="Times New Roman" w:hint="default"/>
          </w:rPr>
          <w:t>zxzl@hundsun.com</w:t>
        </w:r>
      </w:hyperlink>
    </w:p>
    <w:p>
      <w:pPr>
        <w:pStyle w:val="BodyText"/>
        <w:spacing w:line="240" w:lineRule="auto" w:before="21"/>
        <w:ind w:left="537" w:right="95"/>
        <w:jc w:val="left"/>
      </w:pPr>
      <w:r>
        <w:rPr/>
        <w:t>联系地址：杭州市滨江区江南大道</w:t>
      </w:r>
      <w:r>
        <w:rPr>
          <w:spacing w:val="-55"/>
        </w:rPr>
        <w:t> </w:t>
      </w:r>
      <w:r>
        <w:rPr>
          <w:rFonts w:ascii="Times New Roman" w:hAnsi="Times New Roman" w:cs="Times New Roman" w:eastAsia="Times New Roman" w:hint="default"/>
        </w:rPr>
        <w:t>3588</w:t>
      </w:r>
      <w:r>
        <w:rPr>
          <w:rFonts w:ascii="Times New Roman" w:hAnsi="Times New Roman" w:cs="Times New Roman" w:eastAsia="Times New Roman" w:hint="default"/>
          <w:spacing w:val="-2"/>
        </w:rPr>
        <w:t> </w:t>
      </w:r>
      <w:r>
        <w:rPr/>
        <w:t>号恒生大厦</w:t>
      </w:r>
    </w:p>
    <w:p>
      <w:pPr>
        <w:pStyle w:val="BodyText"/>
        <w:spacing w:line="256" w:lineRule="auto" w:before="21"/>
        <w:ind w:left="536" w:right="3187" w:hanging="42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spacing w:val="-2"/>
        </w:rPr>
        <w:t> </w:t>
      </w:r>
      <w:r>
        <w:rPr/>
        <w:t>公司注册地址：杭州市滨江区江南大道</w:t>
      </w:r>
      <w:r>
        <w:rPr>
          <w:spacing w:val="-54"/>
        </w:rPr>
        <w:t> </w:t>
      </w:r>
      <w:r>
        <w:rPr>
          <w:rFonts w:ascii="Times New Roman" w:hAnsi="Times New Roman" w:cs="Times New Roman" w:eastAsia="Times New Roman" w:hint="default"/>
        </w:rPr>
        <w:t>3588</w:t>
      </w:r>
      <w:r>
        <w:rPr>
          <w:rFonts w:ascii="Times New Roman" w:hAnsi="Times New Roman" w:cs="Times New Roman" w:eastAsia="Times New Roman" w:hint="default"/>
          <w:spacing w:val="-1"/>
        </w:rPr>
        <w:t> </w:t>
      </w:r>
      <w:r>
        <w:rPr/>
        <w:t>号恒生大厦 公司办公地址：杭州市滨江区江南大道</w:t>
      </w:r>
      <w:r>
        <w:rPr>
          <w:spacing w:val="-55"/>
        </w:rPr>
        <w:t> </w:t>
      </w:r>
      <w:r>
        <w:rPr>
          <w:rFonts w:ascii="Times New Roman" w:hAnsi="Times New Roman" w:cs="Times New Roman" w:eastAsia="Times New Roman" w:hint="default"/>
        </w:rPr>
        <w:t>3588</w:t>
      </w:r>
      <w:r>
        <w:rPr>
          <w:rFonts w:ascii="Times New Roman" w:hAnsi="Times New Roman" w:cs="Times New Roman" w:eastAsia="Times New Roman" w:hint="default"/>
          <w:spacing w:val="-2"/>
        </w:rPr>
        <w:t> </w:t>
      </w:r>
      <w:r>
        <w:rPr/>
        <w:t>号恒生大厦 邮政编码：</w:t>
      </w:r>
      <w:r>
        <w:rPr>
          <w:rFonts w:ascii="Times New Roman" w:hAnsi="Times New Roman" w:cs="Times New Roman" w:eastAsia="Times New Roman" w:hint="default"/>
        </w:rPr>
        <w:t>310053</w:t>
      </w:r>
      <w:r>
        <w:rPr>
          <w:rFonts w:ascii="Times New Roman" w:hAnsi="Times New Roman" w:cs="Times New Roman" w:eastAsia="Times New Roman" w:hint="default"/>
          <w:spacing w:val="-1"/>
        </w:rPr>
        <w:t> </w:t>
      </w:r>
      <w:r>
        <w:rPr/>
        <w:t>公司国际互联网网址：</w:t>
      </w:r>
      <w:hyperlink r:id="rId8">
        <w:r>
          <w:rPr>
            <w:rFonts w:ascii="Times New Roman" w:hAnsi="Times New Roman" w:cs="Times New Roman" w:eastAsia="Times New Roman" w:hint="default"/>
          </w:rPr>
          <w:t>www.hundsun.com</w:t>
        </w:r>
      </w:hyperlink>
      <w:r>
        <w:rPr>
          <w:rFonts w:ascii="Times New Roman" w:hAnsi="Times New Roman" w:cs="Times New Roman" w:eastAsia="Times New Roman" w:hint="default"/>
        </w:rPr>
        <w:t> </w:t>
      </w:r>
      <w:r>
        <w:rPr/>
        <w:t>公司电子信箱：</w:t>
      </w:r>
      <w:hyperlink r:id="rId9">
        <w:r>
          <w:rPr>
            <w:rFonts w:ascii="Times New Roman" w:hAnsi="Times New Roman" w:cs="Times New Roman" w:eastAsia="Times New Roman" w:hint="default"/>
          </w:rPr>
          <w:t>hundsun@hundsun.com</w:t>
        </w:r>
      </w:hyperlink>
    </w:p>
    <w:p>
      <w:pPr>
        <w:pStyle w:val="BodyText"/>
        <w:spacing w:line="256" w:lineRule="auto" w:before="5"/>
        <w:ind w:left="536" w:right="95" w:hanging="420"/>
        <w:jc w:val="left"/>
      </w:pPr>
      <w:r>
        <w:rPr>
          <w:rFonts w:ascii="Times New Roman" w:hAnsi="Times New Roman" w:cs="Times New Roman" w:eastAsia="Times New Roman" w:hint="default"/>
        </w:rPr>
        <w:t>5</w:t>
      </w:r>
      <w:r>
        <w:rPr/>
        <w:t>、</w:t>
      </w:r>
      <w:r>
        <w:rPr>
          <w:spacing w:val="-1"/>
        </w:rPr>
        <w:t> </w:t>
      </w:r>
      <w:r>
        <w:rPr/>
        <w:t>公司信息披露报纸名称：上海证券报</w:t>
      </w:r>
      <w:r>
        <w:rPr/>
        <w:t> </w:t>
      </w:r>
      <w:r>
        <w:rPr>
          <w:spacing w:val="-1"/>
        </w:rPr>
        <w:t>登载公司年度报告的中国证监会指定国际互联网网址：</w:t>
      </w:r>
      <w:hyperlink r:id="rId10">
        <w:r>
          <w:rPr>
            <w:rFonts w:ascii="Times New Roman" w:hAnsi="Times New Roman" w:cs="Times New Roman" w:eastAsia="Times New Roman" w:hint="default"/>
            <w:spacing w:val="-1"/>
          </w:rPr>
          <w:t>www.sse.com.cn</w:t>
        </w:r>
      </w:hyperlink>
      <w:r>
        <w:rPr>
          <w:rFonts w:ascii="Times New Roman" w:hAnsi="Times New Roman" w:cs="Times New Roman" w:eastAsia="Times New Roman" w:hint="default"/>
          <w:w w:val="99"/>
        </w:rPr>
        <w:t> </w:t>
      </w:r>
      <w:r>
        <w:rPr/>
        <w:t>公司年度报告备置地点：杭州市滨江区江南大道</w:t>
      </w:r>
      <w:r>
        <w:rPr>
          <w:spacing w:val="-56"/>
        </w:rPr>
        <w:t> </w:t>
      </w:r>
      <w:r>
        <w:rPr>
          <w:rFonts w:ascii="Times New Roman" w:hAnsi="Times New Roman" w:cs="Times New Roman" w:eastAsia="Times New Roman" w:hint="default"/>
        </w:rPr>
        <w:t>3588</w:t>
      </w:r>
      <w:r>
        <w:rPr>
          <w:rFonts w:ascii="Times New Roman" w:hAnsi="Times New Roman" w:cs="Times New Roman" w:eastAsia="Times New Roman" w:hint="default"/>
          <w:spacing w:val="-3"/>
        </w:rPr>
        <w:t> </w:t>
      </w:r>
      <w:r>
        <w:rPr/>
        <w:t>号恒生大厦</w:t>
      </w:r>
    </w:p>
    <w:p>
      <w:pPr>
        <w:pStyle w:val="BodyText"/>
        <w:spacing w:line="256" w:lineRule="auto" w:before="5"/>
        <w:ind w:left="537" w:right="4713" w:hanging="420"/>
        <w:jc w:val="left"/>
      </w:pPr>
      <w:r>
        <w:rPr>
          <w:rFonts w:ascii="Times New Roman" w:hAnsi="Times New Roman" w:cs="Times New Roman" w:eastAsia="Times New Roman" w:hint="default"/>
        </w:rPr>
        <w:t>6</w:t>
      </w:r>
      <w:r>
        <w:rPr/>
        <w:t>、 公司</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股上市交易所：上海证券交易所 公司</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股简称：恒生电子</w:t>
      </w:r>
    </w:p>
    <w:p>
      <w:pPr>
        <w:pStyle w:val="BodyText"/>
        <w:spacing w:line="256" w:lineRule="auto" w:before="5"/>
        <w:ind w:left="116" w:right="6185" w:firstLine="420"/>
        <w:jc w:val="left"/>
      </w:pPr>
      <w:r>
        <w:rPr/>
        <w:t>公司</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股代码：</w:t>
      </w:r>
      <w:r>
        <w:rPr>
          <w:rFonts w:ascii="Times New Roman" w:hAnsi="Times New Roman" w:cs="Times New Roman" w:eastAsia="Times New Roman" w:hint="default"/>
        </w:rPr>
        <w:t>600570 7</w:t>
      </w:r>
      <w:r>
        <w:rPr/>
        <w:t>、</w:t>
      </w:r>
      <w:r>
        <w:rPr>
          <w:spacing w:val="-2"/>
        </w:rPr>
        <w:t> </w:t>
      </w:r>
      <w:r>
        <w:rPr/>
        <w:t>其他有关资料</w:t>
      </w:r>
    </w:p>
    <w:p>
      <w:pPr>
        <w:pStyle w:val="BodyText"/>
        <w:spacing w:line="264" w:lineRule="auto" w:before="5"/>
        <w:ind w:left="536" w:right="2454"/>
        <w:jc w:val="left"/>
      </w:pPr>
      <w:r>
        <w:rPr/>
        <w:t>公司首次注册登记日期：</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 公司首次注册登记地点：浙江省 公司法人营业执照注册号：</w:t>
      </w:r>
      <w:r>
        <w:rPr>
          <w:rFonts w:ascii="Times New Roman" w:hAnsi="Times New Roman" w:cs="Times New Roman" w:eastAsia="Times New Roman" w:hint="default"/>
        </w:rPr>
        <w:t>3300002000295 </w:t>
      </w:r>
      <w:r>
        <w:rPr/>
        <w:t>公司税务登记号码：</w:t>
      </w:r>
      <w:r>
        <w:rPr>
          <w:rFonts w:ascii="Times New Roman" w:hAnsi="Times New Roman" w:cs="Times New Roman" w:eastAsia="Times New Roman" w:hint="default"/>
        </w:rPr>
        <w:t>330193253932914</w:t>
      </w:r>
      <w:r>
        <w:rPr>
          <w:rFonts w:ascii="Times New Roman" w:hAnsi="Times New Roman" w:cs="Times New Roman" w:eastAsia="Times New Roman" w:hint="default"/>
          <w:spacing w:val="-1"/>
        </w:rPr>
        <w:t> </w:t>
      </w:r>
      <w:r>
        <w:rPr/>
        <w:t>公司聘请的境内会计师事务所名称：浙江天健会计师事务所 公司聘请的境内会计师事务所办公地址：杭州西溪路</w:t>
      </w:r>
      <w:r>
        <w:rPr>
          <w:spacing w:val="-54"/>
        </w:rPr>
        <w:t> </w:t>
      </w:r>
      <w:r>
        <w:rPr>
          <w:rFonts w:ascii="Times New Roman" w:hAnsi="Times New Roman" w:cs="Times New Roman" w:eastAsia="Times New Roman" w:hint="default"/>
        </w:rPr>
        <w:t>128</w:t>
      </w:r>
      <w:r>
        <w:rPr>
          <w:rFonts w:ascii="Times New Roman" w:hAnsi="Times New Roman" w:cs="Times New Roman" w:eastAsia="Times New Roman" w:hint="default"/>
          <w:spacing w:val="-2"/>
        </w:rPr>
        <w:t> </w:t>
      </w:r>
      <w:r>
        <w:rPr/>
        <w:t>号</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楼</w:t>
      </w:r>
    </w:p>
    <w:p>
      <w:pPr>
        <w:spacing w:after="0" w:line="264" w:lineRule="auto"/>
        <w:jc w:val="left"/>
        <w:sectPr>
          <w:footerReference w:type="default" r:id="rId6"/>
          <w:pgSz w:w="11910" w:h="16840"/>
          <w:pgMar w:footer="1243" w:header="0" w:top="1400" w:bottom="1440" w:left="1680" w:right="1340"/>
          <w:pgNumType w:start="3"/>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243" w:top="1600" w:bottom="1460" w:left="840" w:right="580"/>
        </w:sectPr>
      </w:pPr>
    </w:p>
    <w:p>
      <w:pPr>
        <w:pStyle w:val="Heading1"/>
        <w:spacing w:line="240" w:lineRule="auto" w:before="35"/>
        <w:ind w:left="957" w:right="0"/>
        <w:jc w:val="left"/>
        <w:rPr>
          <w:rFonts w:ascii="宋体" w:hAnsi="宋体" w:cs="宋体" w:eastAsia="宋体" w:hint="default"/>
          <w:b w:val="0"/>
          <w:bCs w:val="0"/>
        </w:rPr>
      </w:pPr>
      <w:bookmarkStart w:name="_TOC_250009" w:id="3"/>
      <w:r>
        <w:rPr>
          <w:rFonts w:ascii="宋体" w:hAnsi="宋体" w:cs="宋体" w:eastAsia="宋体" w:hint="default"/>
          <w:w w:val="95"/>
        </w:rPr>
        <w:t>三、主要财务数据和指标：</w:t>
      </w:r>
      <w:bookmarkEnd w:id="3"/>
      <w:r>
        <w:rPr>
          <w:rFonts w:ascii="宋体" w:hAnsi="宋体" w:cs="宋体" w:eastAsia="宋体" w:hint="default"/>
          <w:b w:val="0"/>
          <w:bCs w:val="0"/>
        </w:rPr>
      </w:r>
    </w:p>
    <w:p>
      <w:pPr>
        <w:pStyle w:val="BodyText"/>
        <w:spacing w:line="240" w:lineRule="auto" w:before="37"/>
        <w:ind w:left="957"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本报告期主要财务数据</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95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500" w:bottom="900" w:left="840" w:right="580"/>
          <w:cols w:num="2" w:equalWidth="0">
            <w:col w:w="3487" w:space="3162"/>
            <w:col w:w="3841"/>
          </w:cols>
        </w:sectPr>
      </w:pPr>
    </w:p>
    <w:p>
      <w:pPr>
        <w:spacing w:line="240" w:lineRule="auto" w:before="10"/>
        <w:rPr>
          <w:rFonts w:ascii="宋体" w:hAnsi="宋体" w:cs="宋体" w:eastAsia="宋体" w:hint="default"/>
          <w:sz w:val="2"/>
          <w:szCs w:val="2"/>
        </w:rPr>
      </w:pPr>
    </w:p>
    <w:tbl>
      <w:tblPr>
        <w:tblW w:w="0" w:type="auto"/>
        <w:jc w:val="left"/>
        <w:tblInd w:w="941" w:type="dxa"/>
        <w:tblLayout w:type="fixed"/>
        <w:tblCellMar>
          <w:top w:w="0" w:type="dxa"/>
          <w:left w:w="0" w:type="dxa"/>
          <w:bottom w:w="0" w:type="dxa"/>
          <w:right w:w="0" w:type="dxa"/>
        </w:tblCellMar>
        <w:tblLook w:val="01E0"/>
      </w:tblPr>
      <w:tblGrid>
        <w:gridCol w:w="5642"/>
        <w:gridCol w:w="3658"/>
      </w:tblGrid>
      <w:tr>
        <w:trPr>
          <w:trHeight w:val="464" w:hRule="exact"/>
        </w:trPr>
        <w:tc>
          <w:tcPr>
            <w:tcW w:w="5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90" w:hRule="exact"/>
        </w:trPr>
        <w:tc>
          <w:tcPr>
            <w:tcW w:w="5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117,603,823.85</w:t>
            </w:r>
          </w:p>
        </w:tc>
      </w:tr>
      <w:tr>
        <w:trPr>
          <w:trHeight w:val="389" w:hRule="exact"/>
        </w:trPr>
        <w:tc>
          <w:tcPr>
            <w:tcW w:w="5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141,920,919.09</w:t>
            </w:r>
          </w:p>
        </w:tc>
      </w:tr>
      <w:tr>
        <w:trPr>
          <w:trHeight w:val="390" w:hRule="exact"/>
        </w:trPr>
        <w:tc>
          <w:tcPr>
            <w:tcW w:w="5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126,418,103.18</w:t>
            </w:r>
          </w:p>
        </w:tc>
      </w:tr>
      <w:tr>
        <w:trPr>
          <w:trHeight w:val="389" w:hRule="exact"/>
        </w:trPr>
        <w:tc>
          <w:tcPr>
            <w:tcW w:w="5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122,971,245.99</w:t>
            </w:r>
          </w:p>
        </w:tc>
      </w:tr>
      <w:tr>
        <w:trPr>
          <w:trHeight w:val="390" w:hRule="exact"/>
        </w:trPr>
        <w:tc>
          <w:tcPr>
            <w:tcW w:w="5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156,612,388.55</w:t>
            </w:r>
          </w:p>
        </w:tc>
      </w:tr>
    </w:tbl>
    <w:p>
      <w:pPr>
        <w:spacing w:line="240" w:lineRule="auto" w:before="0"/>
        <w:rPr>
          <w:rFonts w:ascii="宋体" w:hAnsi="宋体" w:cs="宋体" w:eastAsia="宋体" w:hint="default"/>
          <w:sz w:val="20"/>
          <w:szCs w:val="20"/>
        </w:rPr>
      </w:pPr>
    </w:p>
    <w:p>
      <w:pPr>
        <w:pStyle w:val="BodyText"/>
        <w:spacing w:line="240" w:lineRule="auto" w:before="35"/>
        <w:ind w:left="957"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扣除非经常性损益项目和金额</w:t>
      </w:r>
    </w:p>
    <w:p>
      <w:pPr>
        <w:pStyle w:val="BodyText"/>
        <w:spacing w:line="240" w:lineRule="auto" w:before="21"/>
        <w:ind w:left="0" w:right="97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941" w:type="dxa"/>
        <w:tblLayout w:type="fixed"/>
        <w:tblCellMar>
          <w:top w:w="0" w:type="dxa"/>
          <w:left w:w="0" w:type="dxa"/>
          <w:bottom w:w="0" w:type="dxa"/>
          <w:right w:w="0" w:type="dxa"/>
        </w:tblCellMar>
        <w:tblLook w:val="01E0"/>
      </w:tblPr>
      <w:tblGrid>
        <w:gridCol w:w="6401"/>
        <w:gridCol w:w="2899"/>
      </w:tblGrid>
      <w:tr>
        <w:trPr>
          <w:trHeight w:val="328"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89"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-643,965.04</w:t>
            </w:r>
          </w:p>
        </w:tc>
      </w:tr>
      <w:tr>
        <w:trPr>
          <w:trHeight w:val="640"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计入当期损益的政府补助，但与公司业务密切相关，按照国家统一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3,316,200.00</w:t>
            </w:r>
          </w:p>
        </w:tc>
      </w:tr>
      <w:tr>
        <w:trPr>
          <w:trHeight w:val="389"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3"/>
                <w:sz w:val="21"/>
              </w:rPr>
              <w:t>111,681.05</w:t>
            </w:r>
            <w:r>
              <w:rPr>
                <w:rFonts w:ascii="Times New Roman"/>
                <w:sz w:val="21"/>
              </w:rPr>
            </w:r>
          </w:p>
        </w:tc>
      </w:tr>
      <w:tr>
        <w:trPr>
          <w:trHeight w:val="390"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其他非经常性损益项目</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1,285,588.46</w:t>
            </w:r>
          </w:p>
        </w:tc>
      </w:tr>
      <w:tr>
        <w:trPr>
          <w:trHeight w:val="389"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4,069,504.47</w:t>
            </w:r>
          </w:p>
        </w:tc>
      </w:tr>
      <w:tr>
        <w:trPr>
          <w:trHeight w:val="390"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562,074.80</w:t>
            </w:r>
            <w:r>
              <w:rPr>
                <w:rFonts w:ascii="Times New Roman"/>
                <w:sz w:val="21"/>
              </w:rPr>
            </w:r>
          </w:p>
        </w:tc>
      </w:tr>
      <w:tr>
        <w:trPr>
          <w:trHeight w:val="389"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减：少数股东所占份额</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60,572.48</w:t>
            </w:r>
          </w:p>
        </w:tc>
      </w:tr>
      <w:tr>
        <w:trPr>
          <w:trHeight w:val="390" w:hRule="exact"/>
        </w:trPr>
        <w:tc>
          <w:tcPr>
            <w:tcW w:w="6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3,446,857.19</w:t>
            </w:r>
          </w:p>
        </w:tc>
      </w:tr>
    </w:tbl>
    <w:p>
      <w:pPr>
        <w:spacing w:line="240" w:lineRule="auto" w:before="0"/>
        <w:rPr>
          <w:rFonts w:ascii="宋体" w:hAnsi="宋体" w:cs="宋体" w:eastAsia="宋体" w:hint="default"/>
          <w:sz w:val="20"/>
          <w:szCs w:val="20"/>
        </w:rPr>
      </w:pPr>
    </w:p>
    <w:p>
      <w:pPr>
        <w:pStyle w:val="BodyText"/>
        <w:spacing w:line="240" w:lineRule="auto" w:before="35"/>
        <w:ind w:left="957"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报告期末公司前三年主要会计数据和财务指标</w:t>
      </w:r>
    </w:p>
    <w:p>
      <w:pPr>
        <w:pStyle w:val="BodyText"/>
        <w:spacing w:line="240" w:lineRule="auto" w:before="21"/>
        <w:ind w:left="0" w:right="97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558"/>
        <w:gridCol w:w="1398"/>
        <w:gridCol w:w="1399"/>
        <w:gridCol w:w="1399"/>
        <w:gridCol w:w="2090"/>
        <w:gridCol w:w="1399"/>
      </w:tblGrid>
      <w:tr>
        <w:trPr>
          <w:trHeight w:val="328" w:hRule="exact"/>
        </w:trPr>
        <w:tc>
          <w:tcPr>
            <w:tcW w:w="2558"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398"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9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399"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6" w:hRule="exact"/>
        </w:trPr>
        <w:tc>
          <w:tcPr>
            <w:tcW w:w="2558" w:type="dxa"/>
            <w:vMerge/>
            <w:tcBorders>
              <w:left w:val="single" w:sz="6" w:space="0" w:color="101010"/>
              <w:bottom w:val="single" w:sz="6" w:space="0" w:color="101010"/>
              <w:right w:val="single" w:sz="6" w:space="0" w:color="101010"/>
            </w:tcBorders>
          </w:tcPr>
          <w:p>
            <w:pPr/>
          </w:p>
        </w:tc>
        <w:tc>
          <w:tcPr>
            <w:tcW w:w="1398" w:type="dxa"/>
            <w:vMerge/>
            <w:tcBorders>
              <w:left w:val="single" w:sz="6" w:space="0" w:color="101010"/>
              <w:bottom w:val="single" w:sz="6" w:space="0" w:color="101010"/>
              <w:right w:val="single" w:sz="6" w:space="0" w:color="101010"/>
            </w:tcBorders>
          </w:tcPr>
          <w:p>
            <w:pP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090" w:type="dxa"/>
            <w:vMerge/>
            <w:tcBorders>
              <w:left w:val="single" w:sz="6" w:space="0" w:color="101010"/>
              <w:bottom w:val="single" w:sz="6" w:space="0" w:color="101010"/>
              <w:right w:val="single" w:sz="6" w:space="0" w:color="101010"/>
            </w:tcBorders>
          </w:tcPr>
          <w:p>
            <w:pPr/>
          </w:p>
        </w:tc>
        <w:tc>
          <w:tcPr>
            <w:tcW w:w="1399" w:type="dxa"/>
            <w:vMerge/>
            <w:tcBorders>
              <w:left w:val="single" w:sz="6" w:space="0" w:color="101010"/>
              <w:bottom w:val="single" w:sz="6" w:space="0" w:color="101010"/>
              <w:right w:val="single" w:sz="6" w:space="0" w:color="101010"/>
            </w:tcBorders>
          </w:tcPr>
          <w:p>
            <w:pPr/>
          </w:p>
        </w:tc>
      </w:tr>
      <w:tr>
        <w:trPr>
          <w:trHeight w:val="39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572,428,264.87</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345,856,891.05</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343,586,869.78</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7"/>
              <w:jc w:val="right"/>
              <w:rPr>
                <w:rFonts w:ascii="Times New Roman" w:hAnsi="Times New Roman" w:cs="Times New Roman" w:eastAsia="Times New Roman" w:hint="default"/>
                <w:sz w:val="16"/>
                <w:szCs w:val="16"/>
              </w:rPr>
            </w:pPr>
            <w:r>
              <w:rPr>
                <w:rFonts w:ascii="Times New Roman"/>
                <w:spacing w:val="-1"/>
                <w:sz w:val="16"/>
              </w:rPr>
              <w:t>65.51</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236,739,329.65</w:t>
            </w:r>
          </w:p>
        </w:tc>
      </w:tr>
      <w:tr>
        <w:trPr>
          <w:trHeight w:val="389"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141,920,919.09</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62,186,568.76</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46,908,728.57</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7"/>
              <w:jc w:val="right"/>
              <w:rPr>
                <w:rFonts w:ascii="Times New Roman" w:hAnsi="Times New Roman" w:cs="Times New Roman" w:eastAsia="Times New Roman" w:hint="default"/>
                <w:sz w:val="16"/>
                <w:szCs w:val="16"/>
              </w:rPr>
            </w:pPr>
            <w:r>
              <w:rPr>
                <w:rFonts w:ascii="Times New Roman"/>
                <w:spacing w:val="-1"/>
                <w:sz w:val="16"/>
              </w:rPr>
              <w:t>128.22</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7,991,954.47</w:t>
            </w:r>
          </w:p>
        </w:tc>
      </w:tr>
      <w:tr>
        <w:trPr>
          <w:trHeight w:val="39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126,418,103.18</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54,628,706.39</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41,910,035.08</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7"/>
              <w:jc w:val="right"/>
              <w:rPr>
                <w:rFonts w:ascii="Times New Roman" w:hAnsi="Times New Roman" w:cs="Times New Roman" w:eastAsia="Times New Roman" w:hint="default"/>
                <w:sz w:val="16"/>
                <w:szCs w:val="16"/>
              </w:rPr>
            </w:pPr>
            <w:r>
              <w:rPr>
                <w:rFonts w:ascii="Times New Roman"/>
                <w:spacing w:val="-1"/>
                <w:sz w:val="16"/>
              </w:rPr>
              <w:t>131.41</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5,876,909.71</w:t>
            </w:r>
          </w:p>
        </w:tc>
      </w:tr>
      <w:tr>
        <w:trPr>
          <w:trHeight w:val="638"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122,971,245.99</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34,050,173.17</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21,331,501.86</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261.15</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5,274,190.52</w:t>
            </w:r>
          </w:p>
        </w:tc>
      </w:tr>
      <w:tr>
        <w:trPr>
          <w:trHeight w:val="39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0.6810</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0.2943</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0.2258</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7"/>
              <w:jc w:val="right"/>
              <w:rPr>
                <w:rFonts w:ascii="Times New Roman" w:hAnsi="Times New Roman" w:cs="Times New Roman" w:eastAsia="Times New Roman" w:hint="default"/>
                <w:sz w:val="16"/>
                <w:szCs w:val="16"/>
              </w:rPr>
            </w:pPr>
            <w:r>
              <w:rPr>
                <w:rFonts w:ascii="Times New Roman"/>
                <w:spacing w:val="-1"/>
                <w:sz w:val="16"/>
              </w:rPr>
              <w:t>131.40</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0.0317</w:t>
            </w:r>
          </w:p>
        </w:tc>
      </w:tr>
      <w:tr>
        <w:trPr>
          <w:trHeight w:val="39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0.6810</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0.2943</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0.2258</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7"/>
              <w:jc w:val="right"/>
              <w:rPr>
                <w:rFonts w:ascii="Times New Roman" w:hAnsi="Times New Roman" w:cs="Times New Roman" w:eastAsia="Times New Roman" w:hint="default"/>
                <w:sz w:val="16"/>
                <w:szCs w:val="16"/>
              </w:rPr>
            </w:pPr>
            <w:r>
              <w:rPr>
                <w:rFonts w:ascii="Times New Roman"/>
                <w:spacing w:val="-1"/>
                <w:sz w:val="16"/>
              </w:rPr>
              <w:t>131.40</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0.0317</w:t>
            </w:r>
          </w:p>
        </w:tc>
      </w:tr>
    </w:tbl>
    <w:p>
      <w:pPr>
        <w:spacing w:after="0" w:line="240" w:lineRule="auto"/>
        <w:jc w:val="right"/>
        <w:rPr>
          <w:rFonts w:ascii="Times New Roman" w:hAnsi="Times New Roman" w:cs="Times New Roman" w:eastAsia="Times New Roman" w:hint="default"/>
          <w:sz w:val="16"/>
          <w:szCs w:val="16"/>
        </w:rPr>
        <w:sectPr>
          <w:type w:val="continuous"/>
          <w:pgSz w:w="11910" w:h="16840"/>
          <w:pgMar w:top="1500" w:bottom="900" w:left="840" w:right="580"/>
        </w:sectPr>
      </w:pPr>
    </w:p>
    <w:p>
      <w:pPr>
        <w:spacing w:line="240" w:lineRule="auto" w:before="1"/>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558"/>
        <w:gridCol w:w="1398"/>
        <w:gridCol w:w="1399"/>
        <w:gridCol w:w="1399"/>
        <w:gridCol w:w="2090"/>
        <w:gridCol w:w="1399"/>
      </w:tblGrid>
      <w:tr>
        <w:trPr>
          <w:trHeight w:val="638"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扣除非经常性损益后的基本每 股收益</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0.6624</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0.1834</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0.1149</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261.18</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0.0284</w:t>
            </w:r>
          </w:p>
        </w:tc>
      </w:tr>
      <w:tr>
        <w:trPr>
          <w:trHeight w:val="39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21.38</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14.29</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2"/>
                <w:sz w:val="16"/>
              </w:rPr>
              <w:t>11.42</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6"/>
              <w:ind w:left="100" w:right="0"/>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7.09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个百分点</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1.66</w:t>
            </w:r>
          </w:p>
        </w:tc>
      </w:tr>
      <w:tr>
        <w:trPr>
          <w:trHeight w:val="389"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28.37</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14.10</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2"/>
                <w:sz w:val="16"/>
              </w:rPr>
              <w:t>11.61</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6"/>
              <w:ind w:left="100" w:right="0"/>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14.27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个百分点</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1.63</w:t>
            </w:r>
          </w:p>
        </w:tc>
      </w:tr>
      <w:tr>
        <w:trPr>
          <w:trHeight w:val="64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扣除非经常性损益后全面摊薄 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20.80</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8.90</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5.81</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11.90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个百分点</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1.49</w:t>
            </w:r>
          </w:p>
        </w:tc>
      </w:tr>
      <w:tr>
        <w:trPr>
          <w:trHeight w:val="638"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27.60</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8.79</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5.91</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增加</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18.81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个百分点</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1.46</w:t>
            </w:r>
          </w:p>
        </w:tc>
      </w:tr>
      <w:tr>
        <w:trPr>
          <w:trHeight w:val="39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156,612,388.55</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64,632,257.97</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64,632,257.97</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7"/>
              <w:jc w:val="right"/>
              <w:rPr>
                <w:rFonts w:ascii="Times New Roman" w:hAnsi="Times New Roman" w:cs="Times New Roman" w:eastAsia="Times New Roman" w:hint="default"/>
                <w:sz w:val="16"/>
                <w:szCs w:val="16"/>
              </w:rPr>
            </w:pPr>
            <w:r>
              <w:rPr>
                <w:rFonts w:ascii="Times New Roman"/>
                <w:spacing w:val="-1"/>
                <w:sz w:val="16"/>
              </w:rPr>
              <w:t>142.31</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Times New Roman" w:hAnsi="Times New Roman" w:cs="Times New Roman" w:eastAsia="Times New Roman" w:hint="default"/>
                <w:sz w:val="16"/>
                <w:szCs w:val="16"/>
              </w:rPr>
            </w:pPr>
            <w:r>
              <w:rPr>
                <w:rFonts w:ascii="Times New Roman"/>
                <w:spacing w:val="-1"/>
                <w:sz w:val="16"/>
              </w:rPr>
              <w:t>51,084,758.90</w:t>
            </w:r>
          </w:p>
        </w:tc>
      </w:tr>
      <w:tr>
        <w:trPr>
          <w:trHeight w:val="638"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每股经营活动产生的现金流量 净额</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0.84</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0.45</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0.45</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86.67</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0.50</w:t>
            </w:r>
          </w:p>
        </w:tc>
      </w:tr>
      <w:tr>
        <w:trPr>
          <w:trHeight w:val="328" w:hRule="exact"/>
        </w:trPr>
        <w:tc>
          <w:tcPr>
            <w:tcW w:w="2558" w:type="dxa"/>
            <w:vMerge w:val="restart"/>
            <w:tcBorders>
              <w:top w:val="single" w:sz="6" w:space="0" w:color="101010"/>
              <w:left w:val="single" w:sz="6" w:space="0" w:color="101010"/>
              <w:right w:val="single" w:sz="6" w:space="0" w:color="101010"/>
            </w:tcBorders>
          </w:tcPr>
          <w:p>
            <w:pPr/>
          </w:p>
        </w:tc>
        <w:tc>
          <w:tcPr>
            <w:tcW w:w="1398"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7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90" w:type="dxa"/>
            <w:vMerge w:val="restart"/>
            <w:tcBorders>
              <w:top w:val="single" w:sz="6" w:space="0" w:color="101010"/>
              <w:left w:val="single" w:sz="6" w:space="0" w:color="101010"/>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w:t>
            </w:r>
          </w:p>
        </w:tc>
        <w:tc>
          <w:tcPr>
            <w:tcW w:w="1399"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6" w:hRule="exact"/>
        </w:trPr>
        <w:tc>
          <w:tcPr>
            <w:tcW w:w="2558" w:type="dxa"/>
            <w:vMerge/>
            <w:tcBorders>
              <w:left w:val="single" w:sz="6" w:space="0" w:color="101010"/>
              <w:bottom w:val="single" w:sz="6" w:space="0" w:color="101010"/>
              <w:right w:val="single" w:sz="6" w:space="0" w:color="101010"/>
            </w:tcBorders>
          </w:tcPr>
          <w:p>
            <w:pPr/>
          </w:p>
        </w:tc>
        <w:tc>
          <w:tcPr>
            <w:tcW w:w="1398" w:type="dxa"/>
            <w:vMerge/>
            <w:tcBorders>
              <w:left w:val="single" w:sz="6" w:space="0" w:color="101010"/>
              <w:bottom w:val="single" w:sz="6" w:space="0" w:color="101010"/>
              <w:right w:val="single" w:sz="6" w:space="0" w:color="101010"/>
            </w:tcBorders>
          </w:tcPr>
          <w:p>
            <w:pP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090" w:type="dxa"/>
            <w:vMerge/>
            <w:tcBorders>
              <w:left w:val="single" w:sz="6" w:space="0" w:color="101010"/>
              <w:bottom w:val="single" w:sz="6" w:space="0" w:color="101010"/>
              <w:right w:val="single" w:sz="6" w:space="0" w:color="101010"/>
            </w:tcBorders>
          </w:tcPr>
          <w:p>
            <w:pPr/>
          </w:p>
        </w:tc>
        <w:tc>
          <w:tcPr>
            <w:tcW w:w="1399" w:type="dxa"/>
            <w:vMerge/>
            <w:tcBorders>
              <w:left w:val="single" w:sz="6" w:space="0" w:color="101010"/>
              <w:bottom w:val="single" w:sz="6" w:space="0" w:color="101010"/>
              <w:right w:val="single" w:sz="6" w:space="0" w:color="101010"/>
            </w:tcBorders>
          </w:tcPr>
          <w:p>
            <w:pPr/>
          </w:p>
        </w:tc>
      </w:tr>
      <w:tr>
        <w:trPr>
          <w:trHeight w:val="39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917,121,665.61</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562,046,968.74</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543,802,771.86</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7"/>
              <w:jc w:val="right"/>
              <w:rPr>
                <w:rFonts w:ascii="Times New Roman" w:hAnsi="Times New Roman" w:cs="Times New Roman" w:eastAsia="Times New Roman" w:hint="default"/>
                <w:sz w:val="16"/>
                <w:szCs w:val="16"/>
              </w:rPr>
            </w:pPr>
            <w:r>
              <w:rPr>
                <w:rFonts w:ascii="Times New Roman"/>
                <w:spacing w:val="-1"/>
                <w:sz w:val="16"/>
              </w:rPr>
              <w:t>63.18</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458,096,247.17</w:t>
            </w:r>
          </w:p>
        </w:tc>
      </w:tr>
      <w:tr>
        <w:trPr>
          <w:trHeight w:val="389"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591,247,621.32</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382,408,075.38</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366,858,374.30</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7"/>
              <w:jc w:val="right"/>
              <w:rPr>
                <w:rFonts w:ascii="Times New Roman" w:hAnsi="Times New Roman" w:cs="Times New Roman" w:eastAsia="Times New Roman" w:hint="default"/>
                <w:sz w:val="16"/>
                <w:szCs w:val="16"/>
              </w:rPr>
            </w:pPr>
            <w:r>
              <w:rPr>
                <w:rFonts w:ascii="Times New Roman"/>
                <w:spacing w:val="-1"/>
                <w:sz w:val="16"/>
              </w:rPr>
              <w:t>54.61</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9"/>
              <w:jc w:val="right"/>
              <w:rPr>
                <w:rFonts w:ascii="Times New Roman" w:hAnsi="Times New Roman" w:cs="Times New Roman" w:eastAsia="Times New Roman" w:hint="default"/>
                <w:sz w:val="16"/>
                <w:szCs w:val="16"/>
              </w:rPr>
            </w:pPr>
            <w:r>
              <w:rPr>
                <w:rFonts w:ascii="Times New Roman"/>
                <w:spacing w:val="-1"/>
                <w:sz w:val="16"/>
              </w:rPr>
              <w:t>354,286,716.14</w:t>
            </w:r>
          </w:p>
        </w:tc>
      </w:tr>
      <w:tr>
        <w:trPr>
          <w:trHeight w:val="640" w:hRule="exact"/>
        </w:trPr>
        <w:tc>
          <w:tcPr>
            <w:tcW w:w="2558"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归属于上市公司股东的每股净 资产</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3.18</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2.68</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2.57</w:t>
            </w:r>
          </w:p>
        </w:tc>
        <w:tc>
          <w:tcPr>
            <w:tcW w:w="20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18.66</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before="35"/>
        <w:ind w:left="957" w:right="0"/>
        <w:jc w:val="left"/>
        <w:rPr>
          <w:rFonts w:ascii="宋体" w:hAnsi="宋体" w:cs="宋体" w:eastAsia="宋体" w:hint="default"/>
          <w:b w:val="0"/>
          <w:bCs w:val="0"/>
        </w:rPr>
      </w:pPr>
      <w:bookmarkStart w:name="_TOC_250008" w:id="4"/>
      <w:r>
        <w:rPr>
          <w:rFonts w:ascii="宋体" w:hAnsi="宋体" w:cs="宋体" w:eastAsia="宋体" w:hint="default"/>
        </w:rPr>
        <w:t>四、股本变动及股东情况</w:t>
      </w:r>
      <w:bookmarkEnd w:id="4"/>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0" w:footer="1243" w:top="1360" w:bottom="1460" w:left="840" w:right="580"/>
        </w:sectPr>
      </w:pPr>
    </w:p>
    <w:p>
      <w:pPr>
        <w:pStyle w:val="BodyText"/>
        <w:spacing w:line="256" w:lineRule="auto" w:before="35"/>
        <w:ind w:left="957" w:right="-1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股本变动情况</w:t>
      </w:r>
      <w:r>
        <w:rPr>
          <w:w w:val="99"/>
        </w:rPr>
        <w:t> </w:t>
      </w:r>
      <w:r>
        <w:rPr>
          <w:rFonts w:ascii="Times New Roman" w:hAnsi="Times New Roman" w:cs="Times New Roman" w:eastAsia="Times New Roman" w:hint="default"/>
          <w:spacing w:val="-1"/>
        </w:rPr>
        <w:t>1</w:t>
      </w:r>
      <w:r>
        <w:rPr>
          <w:spacing w:val="-1"/>
        </w:rPr>
        <w:t>、股份变动情况表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938" w:right="954"/>
        <w:jc w:val="center"/>
      </w:pPr>
      <w:r>
        <w:rPr/>
        <w:t>单位</w:t>
      </w:r>
      <w:r>
        <w:rPr>
          <w:rFonts w:ascii="Times New Roman" w:hAnsi="Times New Roman" w:cs="Times New Roman" w:eastAsia="Times New Roman" w:hint="default"/>
        </w:rPr>
        <w:t>:</w:t>
      </w:r>
      <w:r>
        <w:rPr/>
        <w:t>股</w:t>
      </w:r>
    </w:p>
    <w:p>
      <w:pPr>
        <w:spacing w:after="0" w:line="240" w:lineRule="auto"/>
        <w:jc w:val="center"/>
        <w:sectPr>
          <w:type w:val="continuous"/>
          <w:pgSz w:w="11910" w:h="16840"/>
          <w:pgMar w:top="1500" w:bottom="900" w:left="840" w:right="580"/>
          <w:cols w:num="2" w:equalWidth="0">
            <w:col w:w="2742" w:space="5120"/>
            <w:col w:w="2628"/>
          </w:cols>
        </w:sectPr>
      </w:pPr>
    </w:p>
    <w:p>
      <w:pPr>
        <w:spacing w:line="240" w:lineRule="auto" w:before="10"/>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1867"/>
        <w:gridCol w:w="1116"/>
        <w:gridCol w:w="709"/>
        <w:gridCol w:w="610"/>
        <w:gridCol w:w="467"/>
        <w:gridCol w:w="1061"/>
        <w:gridCol w:w="1087"/>
        <w:gridCol w:w="1028"/>
        <w:gridCol w:w="1116"/>
        <w:gridCol w:w="710"/>
      </w:tblGrid>
      <w:tr>
        <w:trPr>
          <w:trHeight w:val="328" w:hRule="exact"/>
        </w:trPr>
        <w:tc>
          <w:tcPr>
            <w:tcW w:w="1867" w:type="dxa"/>
            <w:vMerge w:val="restart"/>
            <w:tcBorders>
              <w:top w:val="single" w:sz="6" w:space="0" w:color="101010"/>
              <w:left w:val="single" w:sz="6" w:space="0" w:color="101010"/>
              <w:right w:val="single" w:sz="6" w:space="0" w:color="101010"/>
            </w:tcBorders>
          </w:tcPr>
          <w:p>
            <w:pPr/>
          </w:p>
        </w:tc>
        <w:tc>
          <w:tcPr>
            <w:tcW w:w="182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45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3"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12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45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8" w:hRule="exact"/>
        </w:trPr>
        <w:tc>
          <w:tcPr>
            <w:tcW w:w="1867" w:type="dxa"/>
            <w:vMerge/>
            <w:tcBorders>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43"/>
                <w:sz w:val="18"/>
                <w:szCs w:val="18"/>
              </w:rPr>
              <w:t> </w:t>
            </w:r>
            <w:r>
              <w:rPr>
                <w:rFonts w:ascii="宋体" w:hAnsi="宋体" w:cs="宋体" w:eastAsia="宋体" w:hint="default"/>
                <w:sz w:val="18"/>
                <w:szCs w:val="18"/>
              </w:rPr>
              <w:t>例</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w:t>
            </w:r>
          </w:p>
        </w:tc>
        <w:tc>
          <w:tcPr>
            <w:tcW w:w="61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65"/>
              <w:jc w:val="left"/>
              <w:rPr>
                <w:rFonts w:ascii="宋体" w:hAnsi="宋体" w:cs="宋体" w:eastAsia="宋体" w:hint="default"/>
                <w:sz w:val="18"/>
                <w:szCs w:val="18"/>
              </w:rPr>
            </w:pPr>
            <w:r>
              <w:rPr>
                <w:rFonts w:ascii="宋体" w:hAnsi="宋体" w:cs="宋体" w:eastAsia="宋体" w:hint="default"/>
                <w:spacing w:val="16"/>
                <w:sz w:val="18"/>
                <w:szCs w:val="18"/>
              </w:rPr>
              <w:t>发行</w:t>
            </w:r>
            <w:r>
              <w:rPr>
                <w:rFonts w:ascii="宋体" w:hAnsi="宋体" w:cs="宋体" w:eastAsia="宋体" w:hint="default"/>
                <w:spacing w:val="-57"/>
                <w:sz w:val="18"/>
                <w:szCs w:val="18"/>
              </w:rPr>
              <w:t> </w:t>
            </w:r>
            <w:r>
              <w:rPr>
                <w:rFonts w:ascii="宋体" w:hAnsi="宋体" w:cs="宋体" w:eastAsia="宋体" w:hint="default"/>
                <w:sz w:val="18"/>
                <w:szCs w:val="18"/>
              </w:rPr>
              <w:t>新股</w:t>
            </w:r>
          </w:p>
        </w:tc>
        <w:tc>
          <w:tcPr>
            <w:tcW w:w="467"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169"/>
              <w:jc w:val="left"/>
              <w:rPr>
                <w:rFonts w:ascii="宋体" w:hAnsi="宋体" w:cs="宋体" w:eastAsia="宋体" w:hint="default"/>
                <w:sz w:val="18"/>
                <w:szCs w:val="18"/>
              </w:rPr>
            </w:pPr>
            <w:r>
              <w:rPr>
                <w:rFonts w:ascii="宋体" w:hAnsi="宋体" w:cs="宋体" w:eastAsia="宋体" w:hint="default"/>
                <w:sz w:val="18"/>
                <w:szCs w:val="18"/>
              </w:rPr>
              <w:t>送 股</w:t>
            </w: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55"/>
              <w:jc w:val="left"/>
              <w:rPr>
                <w:rFonts w:ascii="宋体" w:hAnsi="宋体" w:cs="宋体" w:eastAsia="宋体" w:hint="default"/>
                <w:sz w:val="18"/>
                <w:szCs w:val="18"/>
              </w:rPr>
            </w:pPr>
            <w:r>
              <w:rPr>
                <w:rFonts w:ascii="宋体" w:hAnsi="宋体" w:cs="宋体" w:eastAsia="宋体" w:hint="default"/>
                <w:spacing w:val="31"/>
                <w:sz w:val="18"/>
                <w:szCs w:val="18"/>
              </w:rPr>
              <w:t>公积金转</w:t>
            </w:r>
            <w:r>
              <w:rPr>
                <w:rFonts w:ascii="宋体" w:hAnsi="宋体" w:cs="宋体" w:eastAsia="宋体" w:hint="default"/>
                <w:spacing w:val="-48"/>
                <w:sz w:val="18"/>
                <w:szCs w:val="18"/>
              </w:rPr>
              <w:t> </w:t>
            </w:r>
            <w:r>
              <w:rPr>
                <w:rFonts w:ascii="宋体" w:hAnsi="宋体" w:cs="宋体" w:eastAsia="宋体" w:hint="default"/>
                <w:sz w:val="18"/>
                <w:szCs w:val="18"/>
              </w:rPr>
              <w:t>股</w:t>
            </w:r>
          </w:p>
        </w:tc>
        <w:tc>
          <w:tcPr>
            <w:tcW w:w="1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44"/>
                <w:sz w:val="18"/>
                <w:szCs w:val="18"/>
              </w:rPr>
              <w:t> </w:t>
            </w:r>
            <w:r>
              <w:rPr>
                <w:rFonts w:ascii="宋体" w:hAnsi="宋体" w:cs="宋体" w:eastAsia="宋体" w:hint="default"/>
                <w:sz w:val="18"/>
                <w:szCs w:val="18"/>
              </w:rPr>
              <w:t>例</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9772" w:type="dxa"/>
            <w:gridSpan w:val="10"/>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326"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6"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
        </w:tc>
        <w:tc>
          <w:tcPr>
            <w:tcW w:w="1087" w:type="dxa"/>
            <w:tcBorders>
              <w:top w:val="single" w:sz="6" w:space="0" w:color="101010"/>
              <w:left w:val="single" w:sz="6" w:space="0" w:color="101010"/>
              <w:bottom w:val="single" w:sz="6" w:space="0" w:color="101010"/>
              <w:right w:val="single" w:sz="6" w:space="0" w:color="101010"/>
            </w:tcBorders>
          </w:tcPr>
          <w:p>
            <w:pPr/>
          </w:p>
        </w:tc>
        <w:tc>
          <w:tcPr>
            <w:tcW w:w="1028"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710"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3,462,900</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2.43</w:t>
            </w: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1,038,870</w:t>
            </w:r>
          </w:p>
        </w:tc>
        <w:tc>
          <w:tcPr>
            <w:tcW w:w="1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5"/>
                <w:sz w:val="18"/>
              </w:rPr>
              <w:t>-4,501,770</w:t>
            </w:r>
            <w:r>
              <w:rPr>
                <w:rFonts w:ascii="Times New Roman"/>
                <w:sz w:val="18"/>
              </w:rPr>
            </w: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5"/>
                <w:sz w:val="18"/>
              </w:rPr>
              <w:t>-3,462,900</w:t>
            </w:r>
            <w:r>
              <w:rPr>
                <w:rFonts w:ascii="Times New Roman"/>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0</w:t>
            </w:r>
          </w:p>
        </w:tc>
      </w:tr>
      <w:tr>
        <w:trPr>
          <w:trHeight w:val="389"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29,618,777</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20.74</w:t>
            </w: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8,885,633</w:t>
            </w:r>
          </w:p>
        </w:tc>
        <w:tc>
          <w:tcPr>
            <w:tcW w:w="1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100" w:right="0"/>
              <w:jc w:val="left"/>
              <w:rPr>
                <w:rFonts w:ascii="Times New Roman" w:hAnsi="Times New Roman" w:cs="Times New Roman" w:eastAsia="Times New Roman" w:hint="default"/>
                <w:sz w:val="18"/>
                <w:szCs w:val="18"/>
              </w:rPr>
            </w:pPr>
            <w:r>
              <w:rPr>
                <w:rFonts w:ascii="Times New Roman"/>
                <w:sz w:val="18"/>
              </w:rPr>
              <w:t>-10,639,846</w:t>
            </w: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5"/>
                <w:sz w:val="18"/>
              </w:rPr>
              <w:t>-1,754,213</w:t>
            </w:r>
            <w:r>
              <w:rPr>
                <w:rFonts w:ascii="Times New Roman"/>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27,864,564</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15.01</w:t>
            </w:r>
          </w:p>
        </w:tc>
      </w:tr>
      <w:tr>
        <w:trPr>
          <w:trHeight w:val="328"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4" w:type="dxa"/>
            <w:gridSpan w:val="9"/>
            <w:tcBorders>
              <w:top w:val="single" w:sz="6" w:space="0" w:color="101010"/>
              <w:left w:val="single" w:sz="6" w:space="0" w:color="101010"/>
              <w:bottom w:val="single" w:sz="6" w:space="0" w:color="101010"/>
              <w:right w:val="single" w:sz="4" w:space="0" w:color="000000"/>
            </w:tcBorders>
          </w:tcPr>
          <w:p>
            <w:pPr/>
          </w:p>
        </w:tc>
      </w:tr>
      <w:tr>
        <w:trPr>
          <w:trHeight w:val="389"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28,574,280</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20.01</w:t>
            </w: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8,572,284</w:t>
            </w:r>
          </w:p>
        </w:tc>
        <w:tc>
          <w:tcPr>
            <w:tcW w:w="1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5"/>
                <w:sz w:val="18"/>
              </w:rPr>
              <w:t>-9,282,000</w:t>
            </w:r>
            <w:r>
              <w:rPr>
                <w:rFonts w:ascii="Times New Roman"/>
                <w:sz w:val="18"/>
              </w:rPr>
            </w: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5"/>
                <w:sz w:val="18"/>
              </w:rPr>
              <w:t>-709,716</w:t>
            </w:r>
            <w:r>
              <w:rPr>
                <w:rFonts w:ascii="Times New Roman"/>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27,864,564</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15.01</w:t>
            </w:r>
          </w:p>
        </w:tc>
      </w:tr>
      <w:tr>
        <w:trPr>
          <w:trHeight w:val="390"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1,044,497</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0.73</w:t>
            </w: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313,349</w:t>
            </w:r>
          </w:p>
        </w:tc>
        <w:tc>
          <w:tcPr>
            <w:tcW w:w="1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5"/>
                <w:sz w:val="18"/>
              </w:rPr>
              <w:t>-1,357,846</w:t>
            </w:r>
            <w:r>
              <w:rPr>
                <w:rFonts w:ascii="Times New Roman"/>
                <w:sz w:val="18"/>
              </w:rPr>
            </w: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5"/>
                <w:sz w:val="18"/>
              </w:rPr>
              <w:t>-1,044,497</w:t>
            </w:r>
            <w:r>
              <w:rPr>
                <w:rFonts w:ascii="Times New Roman"/>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0</w:t>
            </w:r>
          </w:p>
        </w:tc>
      </w:tr>
      <w:tr>
        <w:trPr>
          <w:trHeight w:val="326"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6"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
        </w:tc>
        <w:tc>
          <w:tcPr>
            <w:tcW w:w="1087" w:type="dxa"/>
            <w:tcBorders>
              <w:top w:val="single" w:sz="6" w:space="0" w:color="101010"/>
              <w:left w:val="single" w:sz="6" w:space="0" w:color="101010"/>
              <w:bottom w:val="single" w:sz="6" w:space="0" w:color="101010"/>
              <w:right w:val="single" w:sz="6" w:space="0" w:color="101010"/>
            </w:tcBorders>
          </w:tcPr>
          <w:p>
            <w:pPr/>
          </w:p>
        </w:tc>
        <w:tc>
          <w:tcPr>
            <w:tcW w:w="1028"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710"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4" w:type="dxa"/>
            <w:gridSpan w:val="9"/>
            <w:tcBorders>
              <w:top w:val="single" w:sz="6" w:space="0" w:color="101010"/>
              <w:left w:val="single" w:sz="6" w:space="0" w:color="101010"/>
              <w:bottom w:val="single" w:sz="6" w:space="0" w:color="101010"/>
              <w:right w:val="single" w:sz="4" w:space="0" w:color="000000"/>
            </w:tcBorders>
          </w:tcPr>
          <w:p>
            <w:pPr/>
          </w:p>
        </w:tc>
      </w:tr>
      <w:tr>
        <w:trPr>
          <w:trHeight w:val="326"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16"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
        </w:tc>
        <w:tc>
          <w:tcPr>
            <w:tcW w:w="1087" w:type="dxa"/>
            <w:tcBorders>
              <w:top w:val="single" w:sz="6" w:space="0" w:color="101010"/>
              <w:left w:val="single" w:sz="6" w:space="0" w:color="101010"/>
              <w:bottom w:val="single" w:sz="6" w:space="0" w:color="101010"/>
              <w:right w:val="single" w:sz="6" w:space="0" w:color="101010"/>
            </w:tcBorders>
          </w:tcPr>
          <w:p>
            <w:pPr/>
          </w:p>
        </w:tc>
        <w:tc>
          <w:tcPr>
            <w:tcW w:w="1028"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710"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6"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
        </w:tc>
        <w:tc>
          <w:tcPr>
            <w:tcW w:w="1087" w:type="dxa"/>
            <w:tcBorders>
              <w:top w:val="single" w:sz="6" w:space="0" w:color="101010"/>
              <w:left w:val="single" w:sz="6" w:space="0" w:color="101010"/>
              <w:bottom w:val="single" w:sz="6" w:space="0" w:color="101010"/>
              <w:right w:val="single" w:sz="6" w:space="0" w:color="101010"/>
            </w:tcBorders>
          </w:tcPr>
          <w:p>
            <w:pPr/>
          </w:p>
        </w:tc>
        <w:tc>
          <w:tcPr>
            <w:tcW w:w="1028"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710"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33,081,677</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23.17</w:t>
            </w: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9,924,503</w:t>
            </w:r>
          </w:p>
        </w:tc>
        <w:tc>
          <w:tcPr>
            <w:tcW w:w="1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100" w:right="0"/>
              <w:jc w:val="left"/>
              <w:rPr>
                <w:rFonts w:ascii="Times New Roman" w:hAnsi="Times New Roman" w:cs="Times New Roman" w:eastAsia="Times New Roman" w:hint="default"/>
                <w:sz w:val="18"/>
                <w:szCs w:val="18"/>
              </w:rPr>
            </w:pPr>
            <w:r>
              <w:rPr>
                <w:rFonts w:ascii="Times New Roman"/>
                <w:sz w:val="18"/>
              </w:rPr>
              <w:t>-15,141,616</w:t>
            </w: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-5,217,113</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27,864,564</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15.01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00" w:bottom="900" w:left="840" w:right="580"/>
        </w:sectPr>
      </w:pPr>
    </w:p>
    <w:p>
      <w:pPr>
        <w:spacing w:line="240" w:lineRule="auto" w:before="1"/>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867"/>
        <w:gridCol w:w="1116"/>
        <w:gridCol w:w="709"/>
        <w:gridCol w:w="610"/>
        <w:gridCol w:w="467"/>
        <w:gridCol w:w="1061"/>
        <w:gridCol w:w="1087"/>
        <w:gridCol w:w="1028"/>
        <w:gridCol w:w="1116"/>
        <w:gridCol w:w="710"/>
      </w:tblGrid>
      <w:tr>
        <w:trPr>
          <w:trHeight w:val="326" w:hRule="exact"/>
        </w:trPr>
        <w:tc>
          <w:tcPr>
            <w:tcW w:w="9772" w:type="dxa"/>
            <w:gridSpan w:val="10"/>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390"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109,718,323</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76.83</w:t>
            </w: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33" w:right="0"/>
              <w:jc w:val="center"/>
              <w:rPr>
                <w:rFonts w:ascii="Times New Roman" w:hAnsi="Times New Roman" w:cs="Times New Roman" w:eastAsia="Times New Roman" w:hint="default"/>
                <w:sz w:val="18"/>
                <w:szCs w:val="18"/>
              </w:rPr>
            </w:pPr>
            <w:r>
              <w:rPr>
                <w:rFonts w:ascii="Times New Roman"/>
                <w:sz w:val="18"/>
              </w:rPr>
              <w:t>32,915,497</w:t>
            </w:r>
          </w:p>
        </w:tc>
        <w:tc>
          <w:tcPr>
            <w:tcW w:w="1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15,141,616</w:t>
            </w: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48,057,113</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157,775,436</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84.99</w:t>
            </w:r>
          </w:p>
        </w:tc>
      </w:tr>
      <w:tr>
        <w:trPr>
          <w:trHeight w:val="326"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、境内上市的外资股</w:t>
            </w:r>
          </w:p>
        </w:tc>
        <w:tc>
          <w:tcPr>
            <w:tcW w:w="1116"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
        </w:tc>
        <w:tc>
          <w:tcPr>
            <w:tcW w:w="1087" w:type="dxa"/>
            <w:tcBorders>
              <w:top w:val="single" w:sz="6" w:space="0" w:color="101010"/>
              <w:left w:val="single" w:sz="6" w:space="0" w:color="101010"/>
              <w:bottom w:val="single" w:sz="6" w:space="0" w:color="101010"/>
              <w:right w:val="single" w:sz="6" w:space="0" w:color="101010"/>
            </w:tcBorders>
          </w:tcPr>
          <w:p>
            <w:pPr/>
          </w:p>
        </w:tc>
        <w:tc>
          <w:tcPr>
            <w:tcW w:w="1028"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710"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、境外上市的外资股</w:t>
            </w:r>
          </w:p>
        </w:tc>
        <w:tc>
          <w:tcPr>
            <w:tcW w:w="1116"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
        </w:tc>
        <w:tc>
          <w:tcPr>
            <w:tcW w:w="1087" w:type="dxa"/>
            <w:tcBorders>
              <w:top w:val="single" w:sz="6" w:space="0" w:color="101010"/>
              <w:left w:val="single" w:sz="6" w:space="0" w:color="101010"/>
              <w:bottom w:val="single" w:sz="6" w:space="0" w:color="101010"/>
              <w:right w:val="single" w:sz="6" w:space="0" w:color="101010"/>
            </w:tcBorders>
          </w:tcPr>
          <w:p>
            <w:pPr/>
          </w:p>
        </w:tc>
        <w:tc>
          <w:tcPr>
            <w:tcW w:w="1028"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710"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6" w:type="dxa"/>
            <w:tcBorders>
              <w:top w:val="single" w:sz="6" w:space="0" w:color="101010"/>
              <w:left w:val="single" w:sz="6" w:space="0" w:color="101010"/>
              <w:bottom w:val="single" w:sz="6" w:space="0" w:color="101010"/>
              <w:right w:val="single" w:sz="6" w:space="0" w:color="101010"/>
            </w:tcBorders>
          </w:tcPr>
          <w:p>
            <w:pPr/>
          </w:p>
        </w:tc>
        <w:tc>
          <w:tcPr>
            <w:tcW w:w="709" w:type="dxa"/>
            <w:tcBorders>
              <w:top w:val="single" w:sz="6" w:space="0" w:color="101010"/>
              <w:left w:val="single" w:sz="6" w:space="0" w:color="101010"/>
              <w:bottom w:val="single" w:sz="6" w:space="0" w:color="101010"/>
              <w:right w:val="single" w:sz="6" w:space="0" w:color="101010"/>
            </w:tcBorders>
          </w:tcPr>
          <w:p>
            <w:pP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
        </w:tc>
        <w:tc>
          <w:tcPr>
            <w:tcW w:w="1087" w:type="dxa"/>
            <w:tcBorders>
              <w:top w:val="single" w:sz="6" w:space="0" w:color="101010"/>
              <w:left w:val="single" w:sz="6" w:space="0" w:color="101010"/>
              <w:bottom w:val="single" w:sz="6" w:space="0" w:color="101010"/>
              <w:right w:val="single" w:sz="6" w:space="0" w:color="101010"/>
            </w:tcBorders>
          </w:tcPr>
          <w:p>
            <w:pPr/>
          </w:p>
        </w:tc>
        <w:tc>
          <w:tcPr>
            <w:tcW w:w="1028"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710"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6"/>
              <w:jc w:val="left"/>
              <w:rPr>
                <w:rFonts w:ascii="宋体" w:hAnsi="宋体" w:cs="宋体" w:eastAsia="宋体" w:hint="default"/>
                <w:sz w:val="18"/>
                <w:szCs w:val="18"/>
              </w:rPr>
            </w:pPr>
            <w:r>
              <w:rPr>
                <w:rFonts w:ascii="宋体" w:hAnsi="宋体" w:cs="宋体" w:eastAsia="宋体" w:hint="default"/>
                <w:spacing w:val="3"/>
                <w:sz w:val="18"/>
                <w:szCs w:val="18"/>
              </w:rPr>
              <w:t>无限售条件流通股份 </w:t>
            </w:r>
            <w:r>
              <w:rPr>
                <w:rFonts w:ascii="宋体" w:hAnsi="宋体" w:cs="宋体" w:eastAsia="宋体" w:hint="default"/>
                <w:sz w:val="18"/>
                <w:szCs w:val="18"/>
              </w:rPr>
              <w:t>合计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109,718,323</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76.83</w:t>
            </w: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32,915,497</w:t>
            </w:r>
          </w:p>
        </w:tc>
        <w:tc>
          <w:tcPr>
            <w:tcW w:w="1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15,141,616</w:t>
            </w: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48,057,113</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157,775,436</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84.99</w:t>
            </w:r>
          </w:p>
        </w:tc>
      </w:tr>
      <w:tr>
        <w:trPr>
          <w:trHeight w:val="390" w:hRule="exact"/>
        </w:trPr>
        <w:tc>
          <w:tcPr>
            <w:tcW w:w="18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142,800,000</w:t>
            </w:r>
          </w:p>
        </w:tc>
        <w:tc>
          <w:tcPr>
            <w:tcW w:w="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100</w:t>
            </w:r>
          </w:p>
        </w:tc>
        <w:tc>
          <w:tcPr>
            <w:tcW w:w="610" w:type="dxa"/>
            <w:tcBorders>
              <w:top w:val="single" w:sz="6" w:space="0" w:color="101010"/>
              <w:left w:val="single" w:sz="6" w:space="0" w:color="101010"/>
              <w:bottom w:val="single" w:sz="6" w:space="0" w:color="101010"/>
              <w:right w:val="single" w:sz="6" w:space="0" w:color="101010"/>
            </w:tcBorders>
          </w:tcPr>
          <w:p>
            <w:pPr/>
          </w:p>
        </w:tc>
        <w:tc>
          <w:tcPr>
            <w:tcW w:w="467" w:type="dxa"/>
            <w:tcBorders>
              <w:top w:val="single" w:sz="6" w:space="0" w:color="101010"/>
              <w:left w:val="single" w:sz="6" w:space="0" w:color="101010"/>
              <w:bottom w:val="single" w:sz="6" w:space="0" w:color="101010"/>
              <w:right w:val="single" w:sz="6" w:space="0" w:color="101010"/>
            </w:tcBorders>
          </w:tcPr>
          <w:p>
            <w:pP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33" w:right="0"/>
              <w:jc w:val="center"/>
              <w:rPr>
                <w:rFonts w:ascii="Times New Roman" w:hAnsi="Times New Roman" w:cs="Times New Roman" w:eastAsia="Times New Roman" w:hint="default"/>
                <w:sz w:val="18"/>
                <w:szCs w:val="18"/>
              </w:rPr>
            </w:pPr>
            <w:r>
              <w:rPr>
                <w:rFonts w:ascii="Times New Roman"/>
                <w:sz w:val="18"/>
              </w:rPr>
              <w:t>42,840,000</w:t>
            </w:r>
          </w:p>
        </w:tc>
        <w:tc>
          <w:tcPr>
            <w:tcW w:w="1087" w:type="dxa"/>
            <w:tcBorders>
              <w:top w:val="single" w:sz="6" w:space="0" w:color="101010"/>
              <w:left w:val="single" w:sz="6" w:space="0" w:color="101010"/>
              <w:bottom w:val="single" w:sz="6" w:space="0" w:color="101010"/>
              <w:right w:val="single" w:sz="6" w:space="0" w:color="101010"/>
            </w:tcBorders>
          </w:tcPr>
          <w:p>
            <w:pPr/>
          </w:p>
        </w:tc>
        <w:tc>
          <w:tcPr>
            <w:tcW w:w="10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42,840,000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185,640,000</w:t>
            </w:r>
          </w:p>
        </w:tc>
        <w:tc>
          <w:tcPr>
            <w:tcW w:w="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pStyle w:val="BodyText"/>
        <w:spacing w:line="240" w:lineRule="auto" w:before="35"/>
        <w:ind w:left="737" w:right="740"/>
        <w:jc w:val="left"/>
      </w:pPr>
      <w:r>
        <w:rPr>
          <w:rFonts w:ascii="Times New Roman" w:hAnsi="Times New Roman" w:cs="Times New Roman" w:eastAsia="Times New Roman" w:hint="default"/>
        </w:rPr>
        <w:t>2</w:t>
      </w:r>
      <w:r>
        <w:rPr/>
        <w:t>、限售股份变动情况表</w:t>
      </w:r>
    </w:p>
    <w:p>
      <w:pPr>
        <w:pStyle w:val="BodyText"/>
        <w:spacing w:line="240" w:lineRule="auto" w:before="21"/>
        <w:ind w:left="0" w:right="853"/>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643"/>
        <w:gridCol w:w="1192"/>
        <w:gridCol w:w="1230"/>
        <w:gridCol w:w="1135"/>
        <w:gridCol w:w="1190"/>
        <w:gridCol w:w="3170"/>
        <w:gridCol w:w="739"/>
      </w:tblGrid>
      <w:tr>
        <w:trPr>
          <w:trHeight w:val="950" w:hRule="exact"/>
        </w:trPr>
        <w:tc>
          <w:tcPr>
            <w:tcW w:w="64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4" w:right="102"/>
              <w:jc w:val="left"/>
              <w:rPr>
                <w:rFonts w:ascii="宋体" w:hAnsi="宋体" w:cs="宋体" w:eastAsia="宋体" w:hint="default"/>
                <w:sz w:val="21"/>
                <w:szCs w:val="21"/>
              </w:rPr>
            </w:pPr>
            <w:r>
              <w:rPr>
                <w:rFonts w:ascii="宋体" w:hAnsi="宋体" w:cs="宋体" w:eastAsia="宋体" w:hint="default"/>
                <w:sz w:val="21"/>
                <w:szCs w:val="21"/>
              </w:rPr>
              <w:t>股东 名称</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376" w:right="168" w:hanging="210"/>
              <w:jc w:val="left"/>
              <w:rPr>
                <w:rFonts w:ascii="宋体" w:hAnsi="宋体" w:cs="宋体" w:eastAsia="宋体" w:hint="default"/>
                <w:sz w:val="21"/>
                <w:szCs w:val="21"/>
              </w:rPr>
            </w:pPr>
            <w:r>
              <w:rPr>
                <w:rFonts w:ascii="宋体" w:hAnsi="宋体" w:cs="宋体" w:eastAsia="宋体" w:hint="default"/>
                <w:sz w:val="21"/>
                <w:szCs w:val="21"/>
              </w:rPr>
              <w:t>年初限售 股数</w:t>
            </w:r>
          </w:p>
        </w:tc>
        <w:tc>
          <w:tcPr>
            <w:tcW w:w="123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87" w:right="186"/>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40" w:right="138"/>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377" w:right="166"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31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739"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52" w:right="0"/>
              <w:jc w:val="left"/>
              <w:rPr>
                <w:rFonts w:ascii="宋体" w:hAnsi="宋体" w:cs="宋体" w:eastAsia="宋体" w:hint="default"/>
                <w:sz w:val="21"/>
                <w:szCs w:val="21"/>
              </w:rPr>
            </w:pPr>
            <w:r>
              <w:rPr>
                <w:rFonts w:ascii="宋体" w:hAnsi="宋体" w:cs="宋体" w:eastAsia="宋体" w:hint="default"/>
                <w:sz w:val="21"/>
                <w:szCs w:val="21"/>
              </w:rPr>
              <w:t>解除</w:t>
            </w:r>
          </w:p>
          <w:p>
            <w:pPr>
              <w:pStyle w:val="TableParagraph"/>
              <w:spacing w:line="273" w:lineRule="auto" w:before="37"/>
              <w:ind w:left="152" w:right="150"/>
              <w:jc w:val="left"/>
              <w:rPr>
                <w:rFonts w:ascii="宋体" w:hAnsi="宋体" w:cs="宋体" w:eastAsia="宋体" w:hint="default"/>
                <w:sz w:val="21"/>
                <w:szCs w:val="21"/>
              </w:rPr>
            </w:pPr>
            <w:r>
              <w:rPr>
                <w:rFonts w:ascii="宋体" w:hAnsi="宋体" w:cs="宋体" w:eastAsia="宋体" w:hint="default"/>
                <w:sz w:val="21"/>
                <w:szCs w:val="21"/>
              </w:rPr>
              <w:t>限售 日期</w:t>
            </w:r>
          </w:p>
        </w:tc>
      </w:tr>
      <w:tr>
        <w:trPr>
          <w:trHeight w:val="320" w:hRule="exact"/>
        </w:trPr>
        <w:tc>
          <w:tcPr>
            <w:tcW w:w="643" w:type="dxa"/>
            <w:tcBorders>
              <w:top w:val="single" w:sz="6" w:space="0" w:color="101010"/>
              <w:left w:val="single" w:sz="6" w:space="0" w:color="101010"/>
              <w:bottom w:val="nil" w:sz="6" w:space="0" w:color="auto"/>
              <w:right w:val="single" w:sz="6" w:space="0" w:color="101010"/>
            </w:tcBorders>
          </w:tcPr>
          <w:p>
            <w:pPr/>
          </w:p>
        </w:tc>
        <w:tc>
          <w:tcPr>
            <w:tcW w:w="1192" w:type="dxa"/>
            <w:tcBorders>
              <w:top w:val="single" w:sz="6" w:space="0" w:color="101010"/>
              <w:left w:val="single" w:sz="6" w:space="0" w:color="101010"/>
              <w:bottom w:val="nil" w:sz="6" w:space="0" w:color="auto"/>
              <w:right w:val="single" w:sz="6" w:space="0" w:color="101010"/>
            </w:tcBorders>
          </w:tcPr>
          <w:p>
            <w:pPr/>
          </w:p>
        </w:tc>
        <w:tc>
          <w:tcPr>
            <w:tcW w:w="1230" w:type="dxa"/>
            <w:tcBorders>
              <w:top w:val="single" w:sz="6" w:space="0" w:color="101010"/>
              <w:left w:val="single" w:sz="6" w:space="0" w:color="101010"/>
              <w:bottom w:val="nil" w:sz="6" w:space="0" w:color="auto"/>
              <w:right w:val="single" w:sz="6" w:space="0" w:color="101010"/>
            </w:tcBorders>
          </w:tcPr>
          <w:p>
            <w:pPr/>
          </w:p>
        </w:tc>
        <w:tc>
          <w:tcPr>
            <w:tcW w:w="1135" w:type="dxa"/>
            <w:tcBorders>
              <w:top w:val="single" w:sz="6" w:space="0" w:color="101010"/>
              <w:left w:val="single" w:sz="6" w:space="0" w:color="101010"/>
              <w:bottom w:val="nil" w:sz="6" w:space="0" w:color="auto"/>
              <w:right w:val="single" w:sz="6" w:space="0" w:color="101010"/>
            </w:tcBorders>
          </w:tcPr>
          <w:p>
            <w:pPr/>
          </w:p>
        </w:tc>
        <w:tc>
          <w:tcPr>
            <w:tcW w:w="1190" w:type="dxa"/>
            <w:tcBorders>
              <w:top w:val="single" w:sz="6" w:space="0" w:color="101010"/>
              <w:left w:val="single" w:sz="6" w:space="0" w:color="101010"/>
              <w:bottom w:val="nil" w:sz="6" w:space="0" w:color="auto"/>
              <w:right w:val="single" w:sz="6" w:space="0" w:color="101010"/>
            </w:tcBorders>
          </w:tcPr>
          <w:p>
            <w:pPr/>
          </w:p>
        </w:tc>
        <w:tc>
          <w:tcPr>
            <w:tcW w:w="3170" w:type="dxa"/>
            <w:tcBorders>
              <w:top w:val="single" w:sz="6" w:space="0" w:color="101010"/>
              <w:left w:val="single" w:sz="6" w:space="0" w:color="101010"/>
              <w:bottom w:val="nil" w:sz="6" w:space="0" w:color="auto"/>
              <w:right w:val="single" w:sz="6" w:space="0" w:color="10101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杭州恒生电子集团有限公司承诺</w:t>
            </w:r>
          </w:p>
        </w:tc>
        <w:tc>
          <w:tcPr>
            <w:tcW w:w="739" w:type="dxa"/>
            <w:tcBorders>
              <w:top w:val="single" w:sz="6" w:space="0" w:color="101010"/>
              <w:left w:val="single" w:sz="6" w:space="0" w:color="101010"/>
              <w:bottom w:val="nil" w:sz="6" w:space="0" w:color="auto"/>
              <w:right w:val="single" w:sz="6" w:space="0" w:color="101010"/>
            </w:tcBorders>
          </w:tcPr>
          <w:p>
            <w:pPr/>
          </w:p>
        </w:tc>
      </w:tr>
      <w:tr>
        <w:trPr>
          <w:trHeight w:val="2190" w:hRule="exact"/>
        </w:trPr>
        <w:tc>
          <w:tcPr>
            <w:tcW w:w="643" w:type="dxa"/>
            <w:tcBorders>
              <w:top w:val="nil" w:sz="6" w:space="0" w:color="auto"/>
              <w:left w:val="single" w:sz="6" w:space="0" w:color="101010"/>
              <w:bottom w:val="nil" w:sz="6" w:space="0" w:color="auto"/>
              <w:right w:val="single" w:sz="6" w:space="0" w:color="101010"/>
            </w:tcBorders>
          </w:tcPr>
          <w:p>
            <w:pPr>
              <w:pStyle w:val="TableParagraph"/>
              <w:spacing w:line="273" w:lineRule="auto" w:before="140"/>
              <w:ind w:left="100" w:right="91"/>
              <w:jc w:val="both"/>
              <w:rPr>
                <w:rFonts w:ascii="宋体" w:hAnsi="宋体" w:cs="宋体" w:eastAsia="宋体" w:hint="default"/>
                <w:sz w:val="21"/>
                <w:szCs w:val="21"/>
              </w:rPr>
            </w:pPr>
            <w:r>
              <w:rPr>
                <w:rFonts w:ascii="宋体" w:hAnsi="宋体" w:cs="宋体" w:eastAsia="宋体" w:hint="default"/>
                <w:spacing w:val="7"/>
                <w:sz w:val="21"/>
                <w:szCs w:val="21"/>
              </w:rPr>
              <w:t>杭州 恒生 电子 集团 有限 </w:t>
            </w:r>
            <w:r>
              <w:rPr>
                <w:rFonts w:ascii="宋体" w:hAnsi="宋体" w:cs="宋体" w:eastAsia="宋体" w:hint="default"/>
                <w:sz w:val="21"/>
                <w:szCs w:val="21"/>
              </w:rPr>
              <w:t>公司</w:t>
            </w:r>
          </w:p>
        </w:tc>
        <w:tc>
          <w:tcPr>
            <w:tcW w:w="119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28,574,280</w:t>
            </w:r>
          </w:p>
        </w:tc>
        <w:tc>
          <w:tcPr>
            <w:tcW w:w="1230"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9,282,000</w:t>
            </w:r>
          </w:p>
        </w:tc>
        <w:tc>
          <w:tcPr>
            <w:tcW w:w="1135"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8,572,284</w:t>
            </w:r>
          </w:p>
        </w:tc>
        <w:tc>
          <w:tcPr>
            <w:tcW w:w="1190"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27,864,564</w:t>
            </w:r>
          </w:p>
        </w:tc>
        <w:tc>
          <w:tcPr>
            <w:tcW w:w="3170"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其持有的有限售条件的流通股股</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份，自获得上市流通权之日起，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十二个月内不上市交易或转让。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在上述承诺期满后，其通过上海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证券交易所挂牌交易出售股份的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数量占公司股份总数比例在十二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个月内不超过</w:t>
            </w:r>
            <w:r>
              <w:rPr>
                <w:rFonts w:ascii="宋体" w:hAnsi="宋体" w:cs="宋体" w:eastAsia="宋体" w:hint="default"/>
                <w:spacing w:val="13"/>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，在二十四个</w:t>
            </w:r>
            <w:r>
              <w:rPr>
                <w:rFonts w:ascii="宋体" w:hAnsi="宋体" w:cs="宋体" w:eastAsia="宋体" w:hint="default"/>
                <w:sz w:val="21"/>
                <w:szCs w:val="21"/>
              </w:rPr>
            </w:r>
          </w:p>
        </w:tc>
        <w:tc>
          <w:tcPr>
            <w:tcW w:w="739"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2007</w:t>
            </w:r>
          </w:p>
          <w:p>
            <w:pPr>
              <w:pStyle w:val="TableParagraph"/>
              <w:tabs>
                <w:tab w:pos="519" w:val="left" w:leader="none"/>
              </w:tabs>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tab/>
            </w:r>
            <w:r>
              <w:rPr>
                <w:rFonts w:ascii="Times New Roman" w:hAnsi="Times New Roman" w:cs="Times New Roman" w:eastAsia="Times New Roman" w:hint="default"/>
                <w:sz w:val="21"/>
                <w:szCs w:val="21"/>
              </w:rPr>
              <w:t>8</w:t>
            </w:r>
          </w:p>
          <w:p>
            <w:pPr>
              <w:pStyle w:val="TableParagraph"/>
              <w:tabs>
                <w:tab w:pos="519" w:val="left" w:leader="none"/>
              </w:tabs>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tab/>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4" w:hRule="exact"/>
        </w:trPr>
        <w:tc>
          <w:tcPr>
            <w:tcW w:w="643" w:type="dxa"/>
            <w:tcBorders>
              <w:top w:val="nil" w:sz="6" w:space="0" w:color="auto"/>
              <w:left w:val="single" w:sz="6" w:space="0" w:color="101010"/>
              <w:bottom w:val="single" w:sz="6" w:space="0" w:color="101010"/>
              <w:right w:val="single" w:sz="6" w:space="0" w:color="101010"/>
            </w:tcBorders>
          </w:tcPr>
          <w:p>
            <w:pPr/>
          </w:p>
        </w:tc>
        <w:tc>
          <w:tcPr>
            <w:tcW w:w="1192" w:type="dxa"/>
            <w:tcBorders>
              <w:top w:val="nil" w:sz="6" w:space="0" w:color="auto"/>
              <w:left w:val="single" w:sz="6" w:space="0" w:color="101010"/>
              <w:bottom w:val="single" w:sz="6" w:space="0" w:color="101010"/>
              <w:right w:val="single" w:sz="6" w:space="0" w:color="101010"/>
            </w:tcBorders>
          </w:tcPr>
          <w:p>
            <w:pPr/>
          </w:p>
        </w:tc>
        <w:tc>
          <w:tcPr>
            <w:tcW w:w="1230" w:type="dxa"/>
            <w:tcBorders>
              <w:top w:val="nil" w:sz="6" w:space="0" w:color="auto"/>
              <w:left w:val="single" w:sz="6" w:space="0" w:color="101010"/>
              <w:bottom w:val="single" w:sz="6" w:space="0" w:color="101010"/>
              <w:right w:val="single" w:sz="6" w:space="0" w:color="101010"/>
            </w:tcBorders>
          </w:tcPr>
          <w:p>
            <w:pPr/>
          </w:p>
        </w:tc>
        <w:tc>
          <w:tcPr>
            <w:tcW w:w="1135" w:type="dxa"/>
            <w:tcBorders>
              <w:top w:val="nil" w:sz="6" w:space="0" w:color="auto"/>
              <w:left w:val="single" w:sz="6" w:space="0" w:color="101010"/>
              <w:bottom w:val="single" w:sz="6" w:space="0" w:color="101010"/>
              <w:right w:val="single" w:sz="6" w:space="0" w:color="101010"/>
            </w:tcBorders>
          </w:tcPr>
          <w:p>
            <w:pPr/>
          </w:p>
        </w:tc>
        <w:tc>
          <w:tcPr>
            <w:tcW w:w="1190" w:type="dxa"/>
            <w:tcBorders>
              <w:top w:val="nil" w:sz="6" w:space="0" w:color="auto"/>
              <w:left w:val="single" w:sz="6" w:space="0" w:color="101010"/>
              <w:bottom w:val="single" w:sz="6" w:space="0" w:color="101010"/>
              <w:right w:val="single" w:sz="6" w:space="0" w:color="101010"/>
            </w:tcBorders>
          </w:tcPr>
          <w:p>
            <w:pPr/>
          </w:p>
        </w:tc>
        <w:tc>
          <w:tcPr>
            <w:tcW w:w="3170" w:type="dxa"/>
            <w:tcBorders>
              <w:top w:val="nil" w:sz="6" w:space="0" w:color="auto"/>
              <w:left w:val="single" w:sz="6" w:space="0" w:color="101010"/>
              <w:bottom w:val="single" w:sz="6" w:space="0" w:color="101010"/>
              <w:right w:val="single" w:sz="6" w:space="0" w:color="10101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月内不超过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c>
          <w:tcPr>
            <w:tcW w:w="739" w:type="dxa"/>
            <w:tcBorders>
              <w:top w:val="nil" w:sz="6" w:space="0" w:color="auto"/>
              <w:left w:val="single" w:sz="6" w:space="0" w:color="101010"/>
              <w:bottom w:val="single" w:sz="6" w:space="0" w:color="101010"/>
              <w:right w:val="single" w:sz="6" w:space="0" w:color="101010"/>
            </w:tcBorders>
          </w:tcPr>
          <w:p>
            <w:pPr/>
          </w:p>
        </w:tc>
      </w:tr>
      <w:tr>
        <w:trPr>
          <w:trHeight w:val="320" w:hRule="exact"/>
        </w:trPr>
        <w:tc>
          <w:tcPr>
            <w:tcW w:w="643" w:type="dxa"/>
            <w:tcBorders>
              <w:top w:val="single" w:sz="6" w:space="0" w:color="101010"/>
              <w:left w:val="single" w:sz="6" w:space="0" w:color="101010"/>
              <w:bottom w:val="nil" w:sz="6" w:space="0" w:color="auto"/>
              <w:right w:val="single" w:sz="6" w:space="0" w:color="101010"/>
            </w:tcBorders>
          </w:tcPr>
          <w:p>
            <w:pPr/>
          </w:p>
        </w:tc>
        <w:tc>
          <w:tcPr>
            <w:tcW w:w="1192" w:type="dxa"/>
            <w:tcBorders>
              <w:top w:val="single" w:sz="6" w:space="0" w:color="101010"/>
              <w:left w:val="single" w:sz="6" w:space="0" w:color="101010"/>
              <w:bottom w:val="nil" w:sz="6" w:space="0" w:color="auto"/>
              <w:right w:val="single" w:sz="6" w:space="0" w:color="101010"/>
            </w:tcBorders>
          </w:tcPr>
          <w:p>
            <w:pPr/>
          </w:p>
        </w:tc>
        <w:tc>
          <w:tcPr>
            <w:tcW w:w="1230" w:type="dxa"/>
            <w:tcBorders>
              <w:top w:val="single" w:sz="6" w:space="0" w:color="101010"/>
              <w:left w:val="single" w:sz="6" w:space="0" w:color="101010"/>
              <w:bottom w:val="nil" w:sz="6" w:space="0" w:color="auto"/>
              <w:right w:val="single" w:sz="6" w:space="0" w:color="101010"/>
            </w:tcBorders>
          </w:tcPr>
          <w:p>
            <w:pPr/>
          </w:p>
        </w:tc>
        <w:tc>
          <w:tcPr>
            <w:tcW w:w="1135" w:type="dxa"/>
            <w:tcBorders>
              <w:top w:val="single" w:sz="6" w:space="0" w:color="101010"/>
              <w:left w:val="single" w:sz="6" w:space="0" w:color="101010"/>
              <w:bottom w:val="nil" w:sz="6" w:space="0" w:color="auto"/>
              <w:right w:val="single" w:sz="6" w:space="0" w:color="101010"/>
            </w:tcBorders>
          </w:tcPr>
          <w:p>
            <w:pPr/>
          </w:p>
        </w:tc>
        <w:tc>
          <w:tcPr>
            <w:tcW w:w="1190" w:type="dxa"/>
            <w:tcBorders>
              <w:top w:val="single" w:sz="6" w:space="0" w:color="101010"/>
              <w:left w:val="single" w:sz="6" w:space="0" w:color="101010"/>
              <w:bottom w:val="nil" w:sz="6" w:space="0" w:color="auto"/>
              <w:right w:val="single" w:sz="6" w:space="0" w:color="101010"/>
            </w:tcBorders>
          </w:tcPr>
          <w:p>
            <w:pPr/>
          </w:p>
        </w:tc>
        <w:tc>
          <w:tcPr>
            <w:tcW w:w="3170" w:type="dxa"/>
            <w:tcBorders>
              <w:top w:val="single" w:sz="6" w:space="0" w:color="101010"/>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中国投资担保有限公司承诺其持</w:t>
            </w:r>
          </w:p>
        </w:tc>
        <w:tc>
          <w:tcPr>
            <w:tcW w:w="739" w:type="dxa"/>
            <w:tcBorders>
              <w:top w:val="single" w:sz="6" w:space="0" w:color="101010"/>
              <w:left w:val="single" w:sz="6" w:space="0" w:color="101010"/>
              <w:bottom w:val="nil" w:sz="6" w:space="0" w:color="auto"/>
              <w:right w:val="single" w:sz="6" w:space="0" w:color="101010"/>
            </w:tcBorders>
          </w:tcPr>
          <w:p>
            <w:pPr/>
          </w:p>
        </w:tc>
      </w:tr>
      <w:tr>
        <w:trPr>
          <w:trHeight w:val="311" w:hRule="exact"/>
        </w:trPr>
        <w:tc>
          <w:tcPr>
            <w:tcW w:w="643" w:type="dxa"/>
            <w:tcBorders>
              <w:top w:val="nil" w:sz="6" w:space="0" w:color="auto"/>
              <w:left w:val="single" w:sz="6" w:space="0" w:color="101010"/>
              <w:bottom w:val="nil" w:sz="6" w:space="0" w:color="auto"/>
              <w:right w:val="single" w:sz="6" w:space="0" w:color="101010"/>
            </w:tcBorders>
          </w:tcPr>
          <w:p>
            <w:pPr/>
          </w:p>
        </w:tc>
        <w:tc>
          <w:tcPr>
            <w:tcW w:w="1192" w:type="dxa"/>
            <w:tcBorders>
              <w:top w:val="nil" w:sz="6" w:space="0" w:color="auto"/>
              <w:left w:val="single" w:sz="6" w:space="0" w:color="101010"/>
              <w:bottom w:val="nil" w:sz="6" w:space="0" w:color="auto"/>
              <w:right w:val="single" w:sz="6" w:space="0" w:color="101010"/>
            </w:tcBorders>
          </w:tcPr>
          <w:p>
            <w:pPr/>
          </w:p>
        </w:tc>
        <w:tc>
          <w:tcPr>
            <w:tcW w:w="1230" w:type="dxa"/>
            <w:tcBorders>
              <w:top w:val="nil" w:sz="6" w:space="0" w:color="auto"/>
              <w:left w:val="single" w:sz="6" w:space="0" w:color="101010"/>
              <w:bottom w:val="nil" w:sz="6" w:space="0" w:color="auto"/>
              <w:right w:val="single" w:sz="6" w:space="0" w:color="101010"/>
            </w:tcBorders>
          </w:tcPr>
          <w:p>
            <w:pPr/>
          </w:p>
        </w:tc>
        <w:tc>
          <w:tcPr>
            <w:tcW w:w="1135" w:type="dxa"/>
            <w:tcBorders>
              <w:top w:val="nil" w:sz="6" w:space="0" w:color="auto"/>
              <w:left w:val="single" w:sz="6" w:space="0" w:color="101010"/>
              <w:bottom w:val="nil" w:sz="6" w:space="0" w:color="auto"/>
              <w:right w:val="single" w:sz="6" w:space="0" w:color="101010"/>
            </w:tcBorders>
          </w:tcPr>
          <w:p>
            <w:pPr/>
          </w:p>
        </w:tc>
        <w:tc>
          <w:tcPr>
            <w:tcW w:w="1190" w:type="dxa"/>
            <w:tcBorders>
              <w:top w:val="nil" w:sz="6" w:space="0" w:color="auto"/>
              <w:left w:val="single" w:sz="6" w:space="0" w:color="101010"/>
              <w:bottom w:val="nil" w:sz="6" w:space="0" w:color="auto"/>
              <w:right w:val="single" w:sz="6" w:space="0" w:color="101010"/>
            </w:tcBorders>
          </w:tcPr>
          <w:p>
            <w:pPr/>
          </w:p>
        </w:tc>
        <w:tc>
          <w:tcPr>
            <w:tcW w:w="3170"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有的有限售条件的流通股股份，</w:t>
            </w:r>
          </w:p>
        </w:tc>
        <w:tc>
          <w:tcPr>
            <w:tcW w:w="739" w:type="dxa"/>
            <w:tcBorders>
              <w:top w:val="nil" w:sz="6" w:space="0" w:color="auto"/>
              <w:left w:val="single" w:sz="6" w:space="0" w:color="101010"/>
              <w:bottom w:val="nil" w:sz="6" w:space="0" w:color="auto"/>
              <w:right w:val="single" w:sz="6" w:space="0" w:color="101010"/>
            </w:tcBorders>
          </w:tcPr>
          <w:p>
            <w:pPr/>
          </w:p>
        </w:tc>
      </w:tr>
      <w:tr>
        <w:trPr>
          <w:trHeight w:val="1561" w:hRule="exact"/>
        </w:trPr>
        <w:tc>
          <w:tcPr>
            <w:tcW w:w="643" w:type="dxa"/>
            <w:tcBorders>
              <w:top w:val="nil" w:sz="6" w:space="0" w:color="auto"/>
              <w:left w:val="single" w:sz="6" w:space="0" w:color="101010"/>
              <w:bottom w:val="nil" w:sz="6" w:space="0" w:color="auto"/>
              <w:right w:val="single" w:sz="6" w:space="0" w:color="101010"/>
            </w:tcBorders>
          </w:tcPr>
          <w:p>
            <w:pPr>
              <w:pStyle w:val="TableParagraph"/>
              <w:spacing w:line="260"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中国</w:t>
            </w:r>
            <w:r>
              <w:rPr>
                <w:rFonts w:ascii="宋体" w:hAnsi="宋体" w:cs="宋体" w:eastAsia="宋体" w:hint="default"/>
                <w:sz w:val="21"/>
                <w:szCs w:val="21"/>
              </w:rPr>
            </w:r>
          </w:p>
          <w:p>
            <w:pPr>
              <w:pStyle w:val="TableParagraph"/>
              <w:spacing w:line="273" w:lineRule="auto" w:before="37"/>
              <w:ind w:left="100" w:right="91"/>
              <w:jc w:val="both"/>
              <w:rPr>
                <w:rFonts w:ascii="宋体" w:hAnsi="宋体" w:cs="宋体" w:eastAsia="宋体" w:hint="default"/>
                <w:sz w:val="21"/>
                <w:szCs w:val="21"/>
              </w:rPr>
            </w:pPr>
            <w:r>
              <w:rPr>
                <w:rFonts w:ascii="宋体" w:hAnsi="宋体" w:cs="宋体" w:eastAsia="宋体" w:hint="default"/>
                <w:spacing w:val="7"/>
                <w:sz w:val="21"/>
                <w:szCs w:val="21"/>
              </w:rPr>
              <w:t>投资 担保 有限 </w:t>
            </w:r>
            <w:r>
              <w:rPr>
                <w:rFonts w:ascii="宋体" w:hAnsi="宋体" w:cs="宋体" w:eastAsia="宋体" w:hint="default"/>
                <w:sz w:val="21"/>
                <w:szCs w:val="21"/>
              </w:rPr>
              <w:t>公司</w:t>
            </w:r>
          </w:p>
        </w:tc>
        <w:tc>
          <w:tcPr>
            <w:tcW w:w="119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3,462,900</w:t>
            </w:r>
          </w:p>
        </w:tc>
        <w:tc>
          <w:tcPr>
            <w:tcW w:w="1230"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4,501,770</w:t>
            </w:r>
          </w:p>
        </w:tc>
        <w:tc>
          <w:tcPr>
            <w:tcW w:w="1135"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1,038,870</w:t>
            </w:r>
          </w:p>
        </w:tc>
        <w:tc>
          <w:tcPr>
            <w:tcW w:w="1190"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z w:val="21"/>
              </w:rPr>
              <w:t>0</w:t>
            </w:r>
          </w:p>
        </w:tc>
        <w:tc>
          <w:tcPr>
            <w:tcW w:w="3170" w:type="dxa"/>
            <w:tcBorders>
              <w:top w:val="nil" w:sz="6" w:space="0" w:color="auto"/>
              <w:left w:val="single" w:sz="6" w:space="0" w:color="101010"/>
              <w:bottom w:val="nil" w:sz="6" w:space="0" w:color="auto"/>
              <w:right w:val="single" w:sz="6" w:space="0" w:color="101010"/>
            </w:tcBorders>
          </w:tcPr>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自获得上市流通权之日起，十二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个月内不上市交易或转让。在上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述承诺期满后，其通过上海证券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交易所挂牌交易出售股份的数量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占公司股份总数比例在十二个月</w:t>
            </w:r>
          </w:p>
        </w:tc>
        <w:tc>
          <w:tcPr>
            <w:tcW w:w="739" w:type="dxa"/>
            <w:tcBorders>
              <w:top w:val="nil" w:sz="6" w:space="0" w:color="auto"/>
              <w:left w:val="single" w:sz="6" w:space="0" w:color="101010"/>
              <w:bottom w:val="nil" w:sz="6" w:space="0" w:color="auto"/>
              <w:right w:val="single" w:sz="6" w:space="0" w:color="10101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2007</w:t>
            </w:r>
          </w:p>
          <w:p>
            <w:pPr>
              <w:pStyle w:val="TableParagraph"/>
              <w:tabs>
                <w:tab w:pos="519" w:val="left" w:leader="none"/>
              </w:tabs>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tab/>
            </w:r>
            <w:r>
              <w:rPr>
                <w:rFonts w:ascii="Times New Roman" w:hAnsi="Times New Roman" w:cs="Times New Roman" w:eastAsia="Times New Roman" w:hint="default"/>
                <w:sz w:val="21"/>
                <w:szCs w:val="21"/>
              </w:rPr>
              <w:t>8</w:t>
            </w:r>
          </w:p>
          <w:p>
            <w:pPr>
              <w:pStyle w:val="TableParagraph"/>
              <w:tabs>
                <w:tab w:pos="519" w:val="left" w:leader="none"/>
              </w:tabs>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tab/>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8" w:hRule="exact"/>
        </w:trPr>
        <w:tc>
          <w:tcPr>
            <w:tcW w:w="643" w:type="dxa"/>
            <w:tcBorders>
              <w:top w:val="nil" w:sz="6" w:space="0" w:color="auto"/>
              <w:left w:val="single" w:sz="6" w:space="0" w:color="101010"/>
              <w:bottom w:val="nil" w:sz="6" w:space="0" w:color="auto"/>
              <w:right w:val="single" w:sz="6" w:space="0" w:color="101010"/>
            </w:tcBorders>
          </w:tcPr>
          <w:p>
            <w:pPr/>
          </w:p>
        </w:tc>
        <w:tc>
          <w:tcPr>
            <w:tcW w:w="1192" w:type="dxa"/>
            <w:tcBorders>
              <w:top w:val="nil" w:sz="6" w:space="0" w:color="auto"/>
              <w:left w:val="single" w:sz="6" w:space="0" w:color="101010"/>
              <w:bottom w:val="nil" w:sz="6" w:space="0" w:color="auto"/>
              <w:right w:val="single" w:sz="6" w:space="0" w:color="101010"/>
            </w:tcBorders>
          </w:tcPr>
          <w:p>
            <w:pPr/>
          </w:p>
        </w:tc>
        <w:tc>
          <w:tcPr>
            <w:tcW w:w="1230" w:type="dxa"/>
            <w:tcBorders>
              <w:top w:val="nil" w:sz="6" w:space="0" w:color="auto"/>
              <w:left w:val="single" w:sz="6" w:space="0" w:color="101010"/>
              <w:bottom w:val="nil" w:sz="6" w:space="0" w:color="auto"/>
              <w:right w:val="single" w:sz="6" w:space="0" w:color="101010"/>
            </w:tcBorders>
          </w:tcPr>
          <w:p>
            <w:pPr/>
          </w:p>
        </w:tc>
        <w:tc>
          <w:tcPr>
            <w:tcW w:w="1135" w:type="dxa"/>
            <w:tcBorders>
              <w:top w:val="nil" w:sz="6" w:space="0" w:color="auto"/>
              <w:left w:val="single" w:sz="6" w:space="0" w:color="101010"/>
              <w:bottom w:val="nil" w:sz="6" w:space="0" w:color="auto"/>
              <w:right w:val="single" w:sz="6" w:space="0" w:color="101010"/>
            </w:tcBorders>
          </w:tcPr>
          <w:p>
            <w:pPr/>
          </w:p>
        </w:tc>
        <w:tc>
          <w:tcPr>
            <w:tcW w:w="1190" w:type="dxa"/>
            <w:tcBorders>
              <w:top w:val="nil" w:sz="6" w:space="0" w:color="auto"/>
              <w:left w:val="single" w:sz="6" w:space="0" w:color="101010"/>
              <w:bottom w:val="nil" w:sz="6" w:space="0" w:color="auto"/>
              <w:right w:val="single" w:sz="6" w:space="0" w:color="101010"/>
            </w:tcBorders>
          </w:tcPr>
          <w:p>
            <w:pPr/>
          </w:p>
        </w:tc>
        <w:tc>
          <w:tcPr>
            <w:tcW w:w="3170" w:type="dxa"/>
            <w:tcBorders>
              <w:top w:val="nil" w:sz="6" w:space="0" w:color="auto"/>
              <w:left w:val="single" w:sz="6" w:space="0" w:color="101010"/>
              <w:bottom w:val="nil" w:sz="6" w:space="0" w:color="auto"/>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内不超过</w:t>
            </w:r>
            <w:r>
              <w:rPr>
                <w:rFonts w:ascii="宋体" w:hAnsi="宋体" w:cs="宋体" w:eastAsia="宋体" w:hint="default"/>
                <w:spacing w:val="4"/>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，在二十四个月内</w:t>
            </w:r>
            <w:r>
              <w:rPr>
                <w:rFonts w:ascii="宋体" w:hAnsi="宋体" w:cs="宋体" w:eastAsia="宋体" w:hint="default"/>
                <w:sz w:val="21"/>
                <w:szCs w:val="21"/>
              </w:rPr>
            </w:r>
          </w:p>
        </w:tc>
        <w:tc>
          <w:tcPr>
            <w:tcW w:w="739" w:type="dxa"/>
            <w:tcBorders>
              <w:top w:val="nil" w:sz="6" w:space="0" w:color="auto"/>
              <w:left w:val="single" w:sz="6" w:space="0" w:color="101010"/>
              <w:bottom w:val="nil" w:sz="6" w:space="0" w:color="auto"/>
              <w:right w:val="single" w:sz="6" w:space="0" w:color="101010"/>
            </w:tcBorders>
          </w:tcPr>
          <w:p>
            <w:pPr/>
          </w:p>
        </w:tc>
      </w:tr>
      <w:tr>
        <w:trPr>
          <w:trHeight w:val="313" w:hRule="exact"/>
        </w:trPr>
        <w:tc>
          <w:tcPr>
            <w:tcW w:w="643" w:type="dxa"/>
            <w:tcBorders>
              <w:top w:val="nil" w:sz="6" w:space="0" w:color="auto"/>
              <w:left w:val="single" w:sz="6" w:space="0" w:color="101010"/>
              <w:bottom w:val="single" w:sz="6" w:space="0" w:color="101010"/>
              <w:right w:val="single" w:sz="6" w:space="0" w:color="101010"/>
            </w:tcBorders>
          </w:tcPr>
          <w:p>
            <w:pPr/>
          </w:p>
        </w:tc>
        <w:tc>
          <w:tcPr>
            <w:tcW w:w="1192" w:type="dxa"/>
            <w:tcBorders>
              <w:top w:val="nil" w:sz="6" w:space="0" w:color="auto"/>
              <w:left w:val="single" w:sz="6" w:space="0" w:color="101010"/>
              <w:bottom w:val="single" w:sz="6" w:space="0" w:color="101010"/>
              <w:right w:val="single" w:sz="6" w:space="0" w:color="101010"/>
            </w:tcBorders>
          </w:tcPr>
          <w:p>
            <w:pPr/>
          </w:p>
        </w:tc>
        <w:tc>
          <w:tcPr>
            <w:tcW w:w="1230" w:type="dxa"/>
            <w:tcBorders>
              <w:top w:val="nil" w:sz="6" w:space="0" w:color="auto"/>
              <w:left w:val="single" w:sz="6" w:space="0" w:color="101010"/>
              <w:bottom w:val="single" w:sz="6" w:space="0" w:color="101010"/>
              <w:right w:val="single" w:sz="6" w:space="0" w:color="101010"/>
            </w:tcBorders>
          </w:tcPr>
          <w:p>
            <w:pPr/>
          </w:p>
        </w:tc>
        <w:tc>
          <w:tcPr>
            <w:tcW w:w="1135" w:type="dxa"/>
            <w:tcBorders>
              <w:top w:val="nil" w:sz="6" w:space="0" w:color="auto"/>
              <w:left w:val="single" w:sz="6" w:space="0" w:color="101010"/>
              <w:bottom w:val="single" w:sz="6" w:space="0" w:color="101010"/>
              <w:right w:val="single" w:sz="6" w:space="0" w:color="101010"/>
            </w:tcBorders>
          </w:tcPr>
          <w:p>
            <w:pPr/>
          </w:p>
        </w:tc>
        <w:tc>
          <w:tcPr>
            <w:tcW w:w="1190" w:type="dxa"/>
            <w:tcBorders>
              <w:top w:val="nil" w:sz="6" w:space="0" w:color="auto"/>
              <w:left w:val="single" w:sz="6" w:space="0" w:color="101010"/>
              <w:bottom w:val="single" w:sz="6" w:space="0" w:color="101010"/>
              <w:right w:val="single" w:sz="6" w:space="0" w:color="101010"/>
            </w:tcBorders>
          </w:tcPr>
          <w:p>
            <w:pPr/>
          </w:p>
        </w:tc>
        <w:tc>
          <w:tcPr>
            <w:tcW w:w="3170" w:type="dxa"/>
            <w:tcBorders>
              <w:top w:val="nil" w:sz="6" w:space="0" w:color="auto"/>
              <w:left w:val="single" w:sz="6" w:space="0" w:color="101010"/>
              <w:bottom w:val="single" w:sz="6" w:space="0" w:color="101010"/>
              <w:right w:val="single" w:sz="6" w:space="0" w:color="10101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c>
          <w:tcPr>
            <w:tcW w:w="739" w:type="dxa"/>
            <w:tcBorders>
              <w:top w:val="nil" w:sz="6" w:space="0" w:color="auto"/>
              <w:left w:val="single" w:sz="6" w:space="0" w:color="101010"/>
              <w:bottom w:val="single" w:sz="6" w:space="0" w:color="101010"/>
              <w:right w:val="single" w:sz="6" w:space="0" w:color="101010"/>
            </w:tcBorders>
          </w:tcPr>
          <w:p>
            <w:pPr/>
          </w:p>
        </w:tc>
      </w:tr>
      <w:tr>
        <w:trPr>
          <w:trHeight w:val="319" w:hRule="exact"/>
        </w:trPr>
        <w:tc>
          <w:tcPr>
            <w:tcW w:w="643" w:type="dxa"/>
            <w:tcBorders>
              <w:top w:val="single" w:sz="6" w:space="0" w:color="101010"/>
              <w:left w:val="single" w:sz="6" w:space="0" w:color="101010"/>
              <w:bottom w:val="nil" w:sz="6" w:space="0" w:color="auto"/>
              <w:right w:val="single" w:sz="6" w:space="0" w:color="101010"/>
            </w:tcBorders>
          </w:tcPr>
          <w:p>
            <w:pPr/>
          </w:p>
        </w:tc>
        <w:tc>
          <w:tcPr>
            <w:tcW w:w="1192" w:type="dxa"/>
            <w:tcBorders>
              <w:top w:val="single" w:sz="6" w:space="0" w:color="101010"/>
              <w:left w:val="single" w:sz="6" w:space="0" w:color="101010"/>
              <w:bottom w:val="nil" w:sz="6" w:space="0" w:color="auto"/>
              <w:right w:val="single" w:sz="6" w:space="0" w:color="101010"/>
            </w:tcBorders>
          </w:tcPr>
          <w:p>
            <w:pPr/>
          </w:p>
        </w:tc>
        <w:tc>
          <w:tcPr>
            <w:tcW w:w="1230" w:type="dxa"/>
            <w:tcBorders>
              <w:top w:val="single" w:sz="6" w:space="0" w:color="101010"/>
              <w:left w:val="single" w:sz="6" w:space="0" w:color="101010"/>
              <w:bottom w:val="nil" w:sz="6" w:space="0" w:color="auto"/>
              <w:right w:val="single" w:sz="6" w:space="0" w:color="101010"/>
            </w:tcBorders>
          </w:tcPr>
          <w:p>
            <w:pPr/>
          </w:p>
        </w:tc>
        <w:tc>
          <w:tcPr>
            <w:tcW w:w="1135" w:type="dxa"/>
            <w:tcBorders>
              <w:top w:val="single" w:sz="6" w:space="0" w:color="101010"/>
              <w:left w:val="single" w:sz="6" w:space="0" w:color="101010"/>
              <w:bottom w:val="nil" w:sz="6" w:space="0" w:color="auto"/>
              <w:right w:val="single" w:sz="6" w:space="0" w:color="101010"/>
            </w:tcBorders>
          </w:tcPr>
          <w:p>
            <w:pPr/>
          </w:p>
        </w:tc>
        <w:tc>
          <w:tcPr>
            <w:tcW w:w="1190" w:type="dxa"/>
            <w:tcBorders>
              <w:top w:val="single" w:sz="6" w:space="0" w:color="101010"/>
              <w:left w:val="single" w:sz="6" w:space="0" w:color="101010"/>
              <w:bottom w:val="nil" w:sz="6" w:space="0" w:color="auto"/>
              <w:right w:val="single" w:sz="6" w:space="0" w:color="101010"/>
            </w:tcBorders>
          </w:tcPr>
          <w:p>
            <w:pPr/>
          </w:p>
        </w:tc>
        <w:tc>
          <w:tcPr>
            <w:tcW w:w="3170" w:type="dxa"/>
            <w:tcBorders>
              <w:top w:val="single" w:sz="6" w:space="0" w:color="101010"/>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黄大成先生承诺其持有的有限售</w:t>
            </w:r>
          </w:p>
        </w:tc>
        <w:tc>
          <w:tcPr>
            <w:tcW w:w="739" w:type="dxa"/>
            <w:tcBorders>
              <w:top w:val="single" w:sz="6" w:space="0" w:color="101010"/>
              <w:left w:val="single" w:sz="6" w:space="0" w:color="101010"/>
              <w:bottom w:val="nil" w:sz="6" w:space="0" w:color="auto"/>
              <w:right w:val="single" w:sz="6" w:space="0" w:color="101010"/>
            </w:tcBorders>
          </w:tcPr>
          <w:p>
            <w:pPr/>
          </w:p>
        </w:tc>
      </w:tr>
      <w:tr>
        <w:trPr>
          <w:trHeight w:val="312" w:hRule="exact"/>
        </w:trPr>
        <w:tc>
          <w:tcPr>
            <w:tcW w:w="643" w:type="dxa"/>
            <w:tcBorders>
              <w:top w:val="nil" w:sz="6" w:space="0" w:color="auto"/>
              <w:left w:val="single" w:sz="6" w:space="0" w:color="101010"/>
              <w:bottom w:val="nil" w:sz="6" w:space="0" w:color="auto"/>
              <w:right w:val="single" w:sz="6" w:space="0" w:color="101010"/>
            </w:tcBorders>
          </w:tcPr>
          <w:p>
            <w:pPr/>
          </w:p>
        </w:tc>
        <w:tc>
          <w:tcPr>
            <w:tcW w:w="1192" w:type="dxa"/>
            <w:tcBorders>
              <w:top w:val="nil" w:sz="6" w:space="0" w:color="auto"/>
              <w:left w:val="single" w:sz="6" w:space="0" w:color="101010"/>
              <w:bottom w:val="nil" w:sz="6" w:space="0" w:color="auto"/>
              <w:right w:val="single" w:sz="6" w:space="0" w:color="101010"/>
            </w:tcBorders>
          </w:tcPr>
          <w:p>
            <w:pPr/>
          </w:p>
        </w:tc>
        <w:tc>
          <w:tcPr>
            <w:tcW w:w="1230" w:type="dxa"/>
            <w:tcBorders>
              <w:top w:val="nil" w:sz="6" w:space="0" w:color="auto"/>
              <w:left w:val="single" w:sz="6" w:space="0" w:color="101010"/>
              <w:bottom w:val="nil" w:sz="6" w:space="0" w:color="auto"/>
              <w:right w:val="single" w:sz="6" w:space="0" w:color="101010"/>
            </w:tcBorders>
          </w:tcPr>
          <w:p>
            <w:pPr/>
          </w:p>
        </w:tc>
        <w:tc>
          <w:tcPr>
            <w:tcW w:w="1135" w:type="dxa"/>
            <w:tcBorders>
              <w:top w:val="nil" w:sz="6" w:space="0" w:color="auto"/>
              <w:left w:val="single" w:sz="6" w:space="0" w:color="101010"/>
              <w:bottom w:val="nil" w:sz="6" w:space="0" w:color="auto"/>
              <w:right w:val="single" w:sz="6" w:space="0" w:color="101010"/>
            </w:tcBorders>
          </w:tcPr>
          <w:p>
            <w:pPr/>
          </w:p>
        </w:tc>
        <w:tc>
          <w:tcPr>
            <w:tcW w:w="1190" w:type="dxa"/>
            <w:tcBorders>
              <w:top w:val="nil" w:sz="6" w:space="0" w:color="auto"/>
              <w:left w:val="single" w:sz="6" w:space="0" w:color="101010"/>
              <w:bottom w:val="nil" w:sz="6" w:space="0" w:color="auto"/>
              <w:right w:val="single" w:sz="6" w:space="0" w:color="101010"/>
            </w:tcBorders>
          </w:tcPr>
          <w:p>
            <w:pPr/>
          </w:p>
        </w:tc>
        <w:tc>
          <w:tcPr>
            <w:tcW w:w="3170"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条件的流通股股份，自获得上市</w:t>
            </w:r>
          </w:p>
        </w:tc>
        <w:tc>
          <w:tcPr>
            <w:tcW w:w="739" w:type="dxa"/>
            <w:tcBorders>
              <w:top w:val="nil" w:sz="6" w:space="0" w:color="auto"/>
              <w:left w:val="single" w:sz="6" w:space="0" w:color="101010"/>
              <w:bottom w:val="nil" w:sz="6" w:space="0" w:color="auto"/>
              <w:right w:val="single" w:sz="6" w:space="0" w:color="101010"/>
            </w:tcBorders>
          </w:tcPr>
          <w:p>
            <w:pPr/>
          </w:p>
        </w:tc>
      </w:tr>
      <w:tr>
        <w:trPr>
          <w:trHeight w:val="1560" w:hRule="exact"/>
        </w:trPr>
        <w:tc>
          <w:tcPr>
            <w:tcW w:w="643"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1"/>
              <w:jc w:val="left"/>
              <w:rPr>
                <w:rFonts w:ascii="宋体" w:hAnsi="宋体" w:cs="宋体" w:eastAsia="宋体" w:hint="default"/>
                <w:sz w:val="21"/>
                <w:szCs w:val="21"/>
              </w:rPr>
            </w:pPr>
            <w:r>
              <w:rPr>
                <w:rFonts w:ascii="宋体" w:hAnsi="宋体" w:cs="宋体" w:eastAsia="宋体" w:hint="default"/>
                <w:spacing w:val="7"/>
                <w:sz w:val="21"/>
                <w:szCs w:val="21"/>
              </w:rPr>
              <w:t>黄大 </w:t>
            </w:r>
            <w:r>
              <w:rPr>
                <w:rFonts w:ascii="宋体" w:hAnsi="宋体" w:cs="宋体" w:eastAsia="宋体" w:hint="default"/>
                <w:sz w:val="21"/>
                <w:szCs w:val="21"/>
              </w:rPr>
              <w:t>成</w:t>
            </w:r>
          </w:p>
        </w:tc>
        <w:tc>
          <w:tcPr>
            <w:tcW w:w="119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0"/>
              <w:jc w:val="right"/>
              <w:rPr>
                <w:rFonts w:ascii="Times New Roman" w:hAnsi="Times New Roman" w:cs="Times New Roman" w:eastAsia="Times New Roman" w:hint="default"/>
                <w:sz w:val="21"/>
                <w:szCs w:val="21"/>
              </w:rPr>
            </w:pPr>
            <w:r>
              <w:rPr>
                <w:rFonts w:ascii="Times New Roman"/>
                <w:spacing w:val="-1"/>
                <w:sz w:val="21"/>
              </w:rPr>
              <w:t>1,044,497</w:t>
            </w:r>
          </w:p>
        </w:tc>
        <w:tc>
          <w:tcPr>
            <w:tcW w:w="1230"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8"/>
              <w:jc w:val="right"/>
              <w:rPr>
                <w:rFonts w:ascii="Times New Roman" w:hAnsi="Times New Roman" w:cs="Times New Roman" w:eastAsia="Times New Roman" w:hint="default"/>
                <w:sz w:val="21"/>
                <w:szCs w:val="21"/>
              </w:rPr>
            </w:pPr>
            <w:r>
              <w:rPr>
                <w:rFonts w:ascii="Times New Roman"/>
                <w:spacing w:val="-1"/>
                <w:sz w:val="21"/>
              </w:rPr>
              <w:t>1,357,846</w:t>
            </w:r>
          </w:p>
        </w:tc>
        <w:tc>
          <w:tcPr>
            <w:tcW w:w="1135"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8"/>
              <w:jc w:val="right"/>
              <w:rPr>
                <w:rFonts w:ascii="Times New Roman" w:hAnsi="Times New Roman" w:cs="Times New Roman" w:eastAsia="Times New Roman" w:hint="default"/>
                <w:sz w:val="21"/>
                <w:szCs w:val="21"/>
              </w:rPr>
            </w:pPr>
            <w:r>
              <w:rPr>
                <w:rFonts w:ascii="Times New Roman"/>
                <w:spacing w:val="-1"/>
                <w:sz w:val="21"/>
              </w:rPr>
              <w:t>313,349</w:t>
            </w:r>
          </w:p>
        </w:tc>
        <w:tc>
          <w:tcPr>
            <w:tcW w:w="1190"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7"/>
              <w:jc w:val="right"/>
              <w:rPr>
                <w:rFonts w:ascii="Times New Roman" w:hAnsi="Times New Roman" w:cs="Times New Roman" w:eastAsia="Times New Roman" w:hint="default"/>
                <w:sz w:val="21"/>
                <w:szCs w:val="21"/>
              </w:rPr>
            </w:pPr>
            <w:r>
              <w:rPr>
                <w:rFonts w:ascii="Times New Roman"/>
                <w:sz w:val="21"/>
              </w:rPr>
              <w:t>0</w:t>
            </w:r>
          </w:p>
        </w:tc>
        <w:tc>
          <w:tcPr>
            <w:tcW w:w="3170"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流通权之日起，十二个月内不上</w:t>
            </w:r>
          </w:p>
          <w:p>
            <w:pPr>
              <w:pStyle w:val="TableParagraph"/>
              <w:spacing w:line="273" w:lineRule="auto" w:before="37"/>
              <w:ind w:left="100" w:right="78"/>
              <w:jc w:val="both"/>
              <w:rPr>
                <w:rFonts w:ascii="宋体" w:hAnsi="宋体" w:cs="宋体" w:eastAsia="宋体" w:hint="default"/>
                <w:sz w:val="21"/>
                <w:szCs w:val="21"/>
              </w:rPr>
            </w:pPr>
            <w:r>
              <w:rPr>
                <w:rFonts w:ascii="宋体" w:hAnsi="宋体" w:cs="宋体" w:eastAsia="宋体" w:hint="default"/>
                <w:sz w:val="21"/>
                <w:szCs w:val="21"/>
              </w:rPr>
              <w:t>市交易或转让。在上述承诺期满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后，其通过上海证券交易所挂牌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交易出售股份的数量占公司股份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6"/>
                <w:sz w:val="21"/>
                <w:szCs w:val="21"/>
              </w:rPr>
              <w:t>总数比例在十二个月内不超过</w:t>
            </w:r>
            <w:r>
              <w:rPr>
                <w:rFonts w:ascii="宋体" w:hAnsi="宋体" w:cs="宋体" w:eastAsia="宋体" w:hint="default"/>
                <w:spacing w:val="-86"/>
                <w:sz w:val="21"/>
                <w:szCs w:val="21"/>
              </w:rPr>
              <w:t> </w:t>
            </w:r>
            <w:r>
              <w:rPr>
                <w:rFonts w:ascii="宋体" w:hAnsi="宋体" w:cs="宋体" w:eastAsia="宋体" w:hint="default"/>
                <w:sz w:val="21"/>
                <w:szCs w:val="21"/>
              </w:rPr>
            </w:r>
          </w:p>
        </w:tc>
        <w:tc>
          <w:tcPr>
            <w:tcW w:w="739"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2007</w:t>
            </w:r>
          </w:p>
          <w:p>
            <w:pPr>
              <w:pStyle w:val="TableParagraph"/>
              <w:tabs>
                <w:tab w:pos="519" w:val="left" w:leader="none"/>
              </w:tabs>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tab/>
            </w:r>
            <w:r>
              <w:rPr>
                <w:rFonts w:ascii="Times New Roman" w:hAnsi="Times New Roman" w:cs="Times New Roman" w:eastAsia="Times New Roman" w:hint="default"/>
                <w:sz w:val="21"/>
                <w:szCs w:val="21"/>
              </w:rPr>
              <w:t>8</w:t>
            </w:r>
          </w:p>
          <w:p>
            <w:pPr>
              <w:pStyle w:val="TableParagraph"/>
              <w:tabs>
                <w:tab w:pos="519" w:val="left" w:leader="none"/>
              </w:tabs>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tab/>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8" w:hRule="exact"/>
        </w:trPr>
        <w:tc>
          <w:tcPr>
            <w:tcW w:w="643" w:type="dxa"/>
            <w:tcBorders>
              <w:top w:val="nil" w:sz="6" w:space="0" w:color="auto"/>
              <w:left w:val="single" w:sz="6" w:space="0" w:color="101010"/>
              <w:bottom w:val="nil" w:sz="6" w:space="0" w:color="auto"/>
              <w:right w:val="single" w:sz="6" w:space="0" w:color="101010"/>
            </w:tcBorders>
          </w:tcPr>
          <w:p>
            <w:pPr/>
          </w:p>
        </w:tc>
        <w:tc>
          <w:tcPr>
            <w:tcW w:w="1192" w:type="dxa"/>
            <w:tcBorders>
              <w:top w:val="nil" w:sz="6" w:space="0" w:color="auto"/>
              <w:left w:val="single" w:sz="6" w:space="0" w:color="101010"/>
              <w:bottom w:val="nil" w:sz="6" w:space="0" w:color="auto"/>
              <w:right w:val="single" w:sz="6" w:space="0" w:color="101010"/>
            </w:tcBorders>
          </w:tcPr>
          <w:p>
            <w:pPr/>
          </w:p>
        </w:tc>
        <w:tc>
          <w:tcPr>
            <w:tcW w:w="1230" w:type="dxa"/>
            <w:tcBorders>
              <w:top w:val="nil" w:sz="6" w:space="0" w:color="auto"/>
              <w:left w:val="single" w:sz="6" w:space="0" w:color="101010"/>
              <w:bottom w:val="nil" w:sz="6" w:space="0" w:color="auto"/>
              <w:right w:val="single" w:sz="6" w:space="0" w:color="101010"/>
            </w:tcBorders>
          </w:tcPr>
          <w:p>
            <w:pPr/>
          </w:p>
        </w:tc>
        <w:tc>
          <w:tcPr>
            <w:tcW w:w="1135" w:type="dxa"/>
            <w:tcBorders>
              <w:top w:val="nil" w:sz="6" w:space="0" w:color="auto"/>
              <w:left w:val="single" w:sz="6" w:space="0" w:color="101010"/>
              <w:bottom w:val="nil" w:sz="6" w:space="0" w:color="auto"/>
              <w:right w:val="single" w:sz="6" w:space="0" w:color="101010"/>
            </w:tcBorders>
          </w:tcPr>
          <w:p>
            <w:pPr/>
          </w:p>
        </w:tc>
        <w:tc>
          <w:tcPr>
            <w:tcW w:w="1190" w:type="dxa"/>
            <w:tcBorders>
              <w:top w:val="nil" w:sz="6" w:space="0" w:color="auto"/>
              <w:left w:val="single" w:sz="6" w:space="0" w:color="101010"/>
              <w:bottom w:val="nil" w:sz="6" w:space="0" w:color="auto"/>
              <w:right w:val="single" w:sz="6" w:space="0" w:color="101010"/>
            </w:tcBorders>
          </w:tcPr>
          <w:p>
            <w:pPr/>
          </w:p>
        </w:tc>
        <w:tc>
          <w:tcPr>
            <w:tcW w:w="3170" w:type="dxa"/>
            <w:tcBorders>
              <w:top w:val="nil" w:sz="6" w:space="0" w:color="auto"/>
              <w:left w:val="single" w:sz="6" w:space="0" w:color="101010"/>
              <w:bottom w:val="nil" w:sz="6" w:space="0" w:color="auto"/>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0"/>
                <w:sz w:val="21"/>
                <w:szCs w:val="21"/>
              </w:rPr>
              <w:t> </w:t>
            </w:r>
            <w:r>
              <w:rPr>
                <w:rFonts w:ascii="宋体" w:hAnsi="宋体" w:cs="宋体" w:eastAsia="宋体" w:hint="default"/>
                <w:spacing w:val="22"/>
                <w:sz w:val="21"/>
                <w:szCs w:val="21"/>
              </w:rPr>
              <w:t>，在二</w:t>
            </w:r>
            <w:r>
              <w:rPr>
                <w:rFonts w:ascii="宋体" w:hAnsi="宋体" w:cs="宋体" w:eastAsia="宋体" w:hint="default"/>
                <w:spacing w:val="-73"/>
                <w:sz w:val="21"/>
                <w:szCs w:val="21"/>
              </w:rPr>
              <w:t> </w:t>
            </w:r>
            <w:r>
              <w:rPr>
                <w:rFonts w:ascii="宋体" w:hAnsi="宋体" w:cs="宋体" w:eastAsia="宋体" w:hint="default"/>
                <w:spacing w:val="22"/>
                <w:sz w:val="21"/>
                <w:szCs w:val="21"/>
              </w:rPr>
              <w:t>十四个</w:t>
            </w:r>
            <w:r>
              <w:rPr>
                <w:rFonts w:ascii="宋体" w:hAnsi="宋体" w:cs="宋体" w:eastAsia="宋体" w:hint="default"/>
                <w:spacing w:val="-73"/>
                <w:sz w:val="21"/>
                <w:szCs w:val="21"/>
              </w:rPr>
              <w:t> </w:t>
            </w:r>
            <w:r>
              <w:rPr>
                <w:rFonts w:ascii="宋体" w:hAnsi="宋体" w:cs="宋体" w:eastAsia="宋体" w:hint="default"/>
                <w:spacing w:val="16"/>
                <w:sz w:val="21"/>
                <w:szCs w:val="21"/>
              </w:rPr>
              <w:t>月内</w:t>
            </w:r>
            <w:r>
              <w:rPr>
                <w:rFonts w:ascii="宋体" w:hAnsi="宋体" w:cs="宋体" w:eastAsia="宋体" w:hint="default"/>
                <w:spacing w:val="-73"/>
                <w:sz w:val="21"/>
                <w:szCs w:val="21"/>
              </w:rPr>
              <w:t> </w:t>
            </w:r>
            <w:r>
              <w:rPr>
                <w:rFonts w:ascii="宋体" w:hAnsi="宋体" w:cs="宋体" w:eastAsia="宋体" w:hint="default"/>
                <w:spacing w:val="22"/>
                <w:sz w:val="21"/>
                <w:szCs w:val="21"/>
              </w:rPr>
              <w:t>不超过</w:t>
            </w:r>
            <w:r>
              <w:rPr>
                <w:rFonts w:ascii="宋体" w:hAnsi="宋体" w:cs="宋体" w:eastAsia="宋体" w:hint="default"/>
                <w:spacing w:val="-72"/>
                <w:sz w:val="21"/>
                <w:szCs w:val="21"/>
              </w:rPr>
              <w:t> </w:t>
            </w:r>
            <w:r>
              <w:rPr>
                <w:rFonts w:ascii="宋体" w:hAnsi="宋体" w:cs="宋体" w:eastAsia="宋体" w:hint="default"/>
                <w:sz w:val="21"/>
                <w:szCs w:val="21"/>
              </w:rPr>
            </w:r>
          </w:p>
        </w:tc>
        <w:tc>
          <w:tcPr>
            <w:tcW w:w="739" w:type="dxa"/>
            <w:tcBorders>
              <w:top w:val="nil" w:sz="6" w:space="0" w:color="auto"/>
              <w:left w:val="single" w:sz="6" w:space="0" w:color="101010"/>
              <w:bottom w:val="nil" w:sz="6" w:space="0" w:color="auto"/>
              <w:right w:val="single" w:sz="6" w:space="0" w:color="101010"/>
            </w:tcBorders>
          </w:tcPr>
          <w:p>
            <w:pPr/>
          </w:p>
        </w:tc>
      </w:tr>
      <w:tr>
        <w:trPr>
          <w:trHeight w:val="314" w:hRule="exact"/>
        </w:trPr>
        <w:tc>
          <w:tcPr>
            <w:tcW w:w="643" w:type="dxa"/>
            <w:tcBorders>
              <w:top w:val="nil" w:sz="6" w:space="0" w:color="auto"/>
              <w:left w:val="single" w:sz="6" w:space="0" w:color="101010"/>
              <w:bottom w:val="single" w:sz="6" w:space="0" w:color="101010"/>
              <w:right w:val="single" w:sz="6" w:space="0" w:color="101010"/>
            </w:tcBorders>
          </w:tcPr>
          <w:p>
            <w:pPr/>
          </w:p>
        </w:tc>
        <w:tc>
          <w:tcPr>
            <w:tcW w:w="1192" w:type="dxa"/>
            <w:tcBorders>
              <w:top w:val="nil" w:sz="6" w:space="0" w:color="auto"/>
              <w:left w:val="single" w:sz="6" w:space="0" w:color="101010"/>
              <w:bottom w:val="single" w:sz="6" w:space="0" w:color="101010"/>
              <w:right w:val="single" w:sz="6" w:space="0" w:color="101010"/>
            </w:tcBorders>
          </w:tcPr>
          <w:p>
            <w:pPr/>
          </w:p>
        </w:tc>
        <w:tc>
          <w:tcPr>
            <w:tcW w:w="1230" w:type="dxa"/>
            <w:tcBorders>
              <w:top w:val="nil" w:sz="6" w:space="0" w:color="auto"/>
              <w:left w:val="single" w:sz="6" w:space="0" w:color="101010"/>
              <w:bottom w:val="single" w:sz="6" w:space="0" w:color="101010"/>
              <w:right w:val="single" w:sz="6" w:space="0" w:color="101010"/>
            </w:tcBorders>
          </w:tcPr>
          <w:p>
            <w:pPr/>
          </w:p>
        </w:tc>
        <w:tc>
          <w:tcPr>
            <w:tcW w:w="1135" w:type="dxa"/>
            <w:tcBorders>
              <w:top w:val="nil" w:sz="6" w:space="0" w:color="auto"/>
              <w:left w:val="single" w:sz="6" w:space="0" w:color="101010"/>
              <w:bottom w:val="single" w:sz="6" w:space="0" w:color="101010"/>
              <w:right w:val="single" w:sz="6" w:space="0" w:color="101010"/>
            </w:tcBorders>
          </w:tcPr>
          <w:p>
            <w:pPr/>
          </w:p>
        </w:tc>
        <w:tc>
          <w:tcPr>
            <w:tcW w:w="1190" w:type="dxa"/>
            <w:tcBorders>
              <w:top w:val="nil" w:sz="6" w:space="0" w:color="auto"/>
              <w:left w:val="single" w:sz="6" w:space="0" w:color="101010"/>
              <w:bottom w:val="single" w:sz="6" w:space="0" w:color="101010"/>
              <w:right w:val="single" w:sz="6" w:space="0" w:color="101010"/>
            </w:tcBorders>
          </w:tcPr>
          <w:p>
            <w:pPr/>
          </w:p>
        </w:tc>
        <w:tc>
          <w:tcPr>
            <w:tcW w:w="3170" w:type="dxa"/>
            <w:tcBorders>
              <w:top w:val="nil" w:sz="6" w:space="0" w:color="auto"/>
              <w:left w:val="single" w:sz="6" w:space="0" w:color="101010"/>
              <w:bottom w:val="single" w:sz="6" w:space="0" w:color="101010"/>
              <w:right w:val="single" w:sz="6" w:space="0" w:color="10101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c>
          <w:tcPr>
            <w:tcW w:w="739" w:type="dxa"/>
            <w:tcBorders>
              <w:top w:val="nil" w:sz="6" w:space="0" w:color="auto"/>
              <w:left w:val="single" w:sz="6" w:space="0" w:color="101010"/>
              <w:bottom w:val="single" w:sz="6" w:space="0" w:color="101010"/>
              <w:right w:val="single" w:sz="6" w:space="0" w:color="101010"/>
            </w:tcBorders>
          </w:tcPr>
          <w:p>
            <w:pPr/>
          </w:p>
        </w:tc>
      </w:tr>
      <w:tr>
        <w:trPr>
          <w:trHeight w:val="390" w:hRule="exact"/>
        </w:trPr>
        <w:tc>
          <w:tcPr>
            <w:tcW w:w="6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33,081,677</w:t>
            </w:r>
          </w:p>
        </w:tc>
        <w:tc>
          <w:tcPr>
            <w:tcW w:w="12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15,141,616</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9,924,503</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27,864,564</w:t>
            </w:r>
          </w:p>
        </w:tc>
        <w:tc>
          <w:tcPr>
            <w:tcW w:w="31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0" w:footer="1243" w:top="1360" w:bottom="1460" w:left="1060" w:right="700"/>
        </w:sectPr>
      </w:pPr>
    </w:p>
    <w:p>
      <w:pPr>
        <w:pStyle w:val="BodyText"/>
        <w:spacing w:line="240" w:lineRule="auto" w:before="25"/>
        <w:ind w:right="3876"/>
        <w:jc w:val="left"/>
      </w:pPr>
      <w:r>
        <w:rPr>
          <w:rFonts w:ascii="Times New Roman" w:hAnsi="Times New Roman" w:cs="Times New Roman" w:eastAsia="Times New Roman" w:hint="default"/>
        </w:rPr>
        <w:t>3</w:t>
      </w:r>
      <w:r>
        <w:rPr/>
        <w:t>、证券发行与上市情况</w:t>
      </w:r>
    </w:p>
    <w:p>
      <w:pPr>
        <w:pStyle w:val="BodyText"/>
        <w:spacing w:line="256" w:lineRule="auto" w:before="21"/>
        <w:ind w:left="328" w:right="3876"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前三年历次证券发行情况</w:t>
      </w:r>
      <w:r>
        <w:rPr>
          <w:w w:val="99"/>
        </w:rPr>
        <w:t> </w:t>
      </w:r>
      <w:r>
        <w:rPr/>
        <w:t>截止本报告期末至前三年，公司未有证券发行与上市情况。</w:t>
      </w:r>
    </w:p>
    <w:p>
      <w:pPr>
        <w:spacing w:line="240" w:lineRule="auto" w:before="7"/>
        <w:rPr>
          <w:rFonts w:ascii="宋体" w:hAnsi="宋体" w:cs="宋体" w:eastAsia="宋体" w:hint="default"/>
          <w:sz w:val="25"/>
          <w:szCs w:val="25"/>
        </w:rPr>
      </w:pPr>
    </w:p>
    <w:p>
      <w:pPr>
        <w:pStyle w:val="BodyText"/>
        <w:spacing w:line="240" w:lineRule="auto" w:before="0"/>
        <w:ind w:right="387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公司股份总数及结构的变动情况</w:t>
      </w:r>
    </w:p>
    <w:p>
      <w:pPr>
        <w:pStyle w:val="BodyText"/>
        <w:spacing w:line="240" w:lineRule="auto" w:before="21"/>
        <w:ind w:left="213" w:right="897"/>
        <w:jc w:val="center"/>
      </w:pPr>
      <w:r>
        <w:rPr/>
        <w:t>根据公司</w:t>
      </w:r>
      <w:r>
        <w:rPr>
          <w:spacing w:val="-4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006</w:t>
      </w:r>
      <w:r>
        <w:rPr>
          <w:rFonts w:ascii="Times New Roman" w:hAnsi="Times New Roman" w:cs="Times New Roman" w:eastAsia="Times New Roman" w:hint="default"/>
          <w:spacing w:val="11"/>
        </w:rPr>
        <w:t> </w:t>
      </w:r>
      <w:r>
        <w:rPr/>
        <w:t>年度股</w:t>
      </w:r>
      <w:r>
        <w:rPr>
          <w:spacing w:val="-2"/>
        </w:rPr>
        <w:t>东</w:t>
      </w:r>
      <w:r>
        <w:rPr/>
        <w:t>大会决议通过的《公司资本公积转增股本的议案</w:t>
      </w:r>
      <w:r>
        <w:rPr>
          <w:spacing w:val="-105"/>
        </w:rPr>
        <w:t>》</w:t>
      </w:r>
      <w:r>
        <w:rPr/>
        <w:t>，以</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年末总</w:t>
      </w:r>
    </w:p>
    <w:p>
      <w:pPr>
        <w:pStyle w:val="BodyText"/>
        <w:spacing w:line="240" w:lineRule="auto" w:before="21"/>
        <w:ind w:right="452"/>
        <w:jc w:val="left"/>
      </w:pPr>
      <w:r>
        <w:rPr/>
        <w:t>股本</w:t>
      </w:r>
      <w:r>
        <w:rPr>
          <w:spacing w:val="-38"/>
        </w:rPr>
        <w:t> </w:t>
      </w:r>
      <w:r>
        <w:rPr>
          <w:rFonts w:ascii="Times New Roman" w:hAnsi="Times New Roman" w:cs="Times New Roman" w:eastAsia="Times New Roman" w:hint="default"/>
        </w:rPr>
        <w:t>142,800,000.00</w:t>
      </w:r>
      <w:r>
        <w:rPr>
          <w:rFonts w:ascii="Times New Roman" w:hAnsi="Times New Roman" w:cs="Times New Roman" w:eastAsia="Times New Roman" w:hint="default"/>
          <w:spacing w:val="15"/>
        </w:rPr>
        <w:t> </w:t>
      </w:r>
      <w:r>
        <w:rPr/>
        <w:t>股为基数，向全体股东以资本公积金每</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股转增</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股，共计转增股份总</w:t>
      </w:r>
    </w:p>
    <w:p>
      <w:pPr>
        <w:pStyle w:val="BodyText"/>
        <w:spacing w:line="240" w:lineRule="auto" w:before="21"/>
        <w:ind w:left="118" w:right="452"/>
        <w:jc w:val="left"/>
      </w:pPr>
      <w:r>
        <w:rPr/>
        <w:t>额</w:t>
      </w:r>
      <w:r>
        <w:rPr>
          <w:spacing w:val="-52"/>
        </w:rPr>
        <w:t> </w:t>
      </w:r>
      <w:r>
        <w:rPr>
          <w:rFonts w:ascii="Times New Roman" w:hAnsi="Times New Roman" w:cs="Times New Roman" w:eastAsia="Times New Roman" w:hint="default"/>
        </w:rPr>
        <w:t>42,840,000.00</w:t>
      </w:r>
      <w:r>
        <w:rPr>
          <w:rFonts w:ascii="Times New Roman" w:hAnsi="Times New Roman" w:cs="Times New Roman" w:eastAsia="Times New Roman" w:hint="default"/>
          <w:spacing w:val="1"/>
        </w:rPr>
        <w:t> </w:t>
      </w:r>
      <w:r>
        <w:rPr>
          <w:spacing w:val="-3"/>
        </w:rPr>
        <w:t>股。转增后公司注册资本为</w:t>
      </w:r>
      <w:r>
        <w:rPr>
          <w:spacing w:val="-52"/>
        </w:rPr>
        <w:t> </w:t>
      </w:r>
      <w:r>
        <w:rPr>
          <w:rFonts w:ascii="Times New Roman" w:hAnsi="Times New Roman" w:cs="Times New Roman" w:eastAsia="Times New Roman" w:hint="default"/>
        </w:rPr>
        <w:t>185,640,000.00</w:t>
      </w:r>
      <w:r>
        <w:rPr>
          <w:rFonts w:ascii="Times New Roman" w:hAnsi="Times New Roman" w:cs="Times New Roman" w:eastAsia="Times New Roman" w:hint="default"/>
          <w:spacing w:val="1"/>
        </w:rPr>
        <w:t> </w:t>
      </w:r>
      <w:r>
        <w:rPr>
          <w:spacing w:val="-3"/>
        </w:rPr>
        <w:t>元，业经浙江天健会计师事务所有</w:t>
      </w:r>
    </w:p>
    <w:p>
      <w:pPr>
        <w:pStyle w:val="BodyText"/>
        <w:spacing w:line="240" w:lineRule="auto" w:before="21"/>
        <w:ind w:left="118" w:right="452"/>
        <w:jc w:val="left"/>
      </w:pPr>
      <w:r>
        <w:rPr/>
        <w:t>限公司验证并出具浙天会验</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t>第</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8 </w:t>
      </w:r>
      <w:r>
        <w:rPr/>
        <w:t>号《</w:t>
      </w:r>
      <w:r>
        <w:rPr>
          <w:spacing w:val="-2"/>
        </w:rPr>
        <w:t>验</w:t>
      </w:r>
      <w:r>
        <w:rPr/>
        <w:t>资报告</w:t>
      </w:r>
      <w:r>
        <w:rPr>
          <w:spacing w:val="-105"/>
        </w:rPr>
        <w:t>》</w:t>
      </w:r>
      <w:r>
        <w:rPr/>
        <w:t>，</w:t>
      </w:r>
      <w:r>
        <w:rPr>
          <w:spacing w:val="-2"/>
        </w:rPr>
        <w:t>公</w:t>
      </w:r>
      <w:r>
        <w:rPr/>
        <w:t>司已办妥工商变更登记手续。</w:t>
      </w:r>
    </w:p>
    <w:p>
      <w:pPr>
        <w:pStyle w:val="BodyText"/>
        <w:spacing w:line="240" w:lineRule="auto" w:before="21"/>
        <w:ind w:left="208" w:right="997"/>
        <w:jc w:val="center"/>
      </w:pPr>
      <w:r>
        <w:rPr/>
        <w:t>根据</w:t>
      </w:r>
      <w:r>
        <w:rPr>
          <w:spacing w:val="-5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日公司</w:t>
      </w:r>
      <w:r>
        <w:rPr>
          <w:spacing w:val="-5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年第一次临时股东大会审议通过并于</w:t>
      </w:r>
      <w:r>
        <w:rPr>
          <w:spacing w:val="-5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日实施的</w:t>
      </w:r>
    </w:p>
    <w:p>
      <w:pPr>
        <w:pStyle w:val="BodyText"/>
        <w:spacing w:line="266" w:lineRule="auto" w:before="21"/>
        <w:ind w:left="118" w:right="1002"/>
        <w:jc w:val="both"/>
      </w:pPr>
      <w:r>
        <w:rPr>
          <w:spacing w:val="-2"/>
        </w:rPr>
        <w:t>《股权分置改革方案》，公司全体有限售条件的流通股股东承诺其持有的有限售条件的流通股</w:t>
      </w:r>
      <w:r>
        <w:rPr>
          <w:spacing w:val="-89"/>
        </w:rPr>
        <w:t> </w:t>
      </w:r>
      <w:r>
        <w:rPr>
          <w:spacing w:val="-89"/>
        </w:rPr>
      </w:r>
      <w:r>
        <w:rPr/>
        <w:t>股份，自获得上市流通权之日起，十二个月内不上市交易或转让。持有公司</w:t>
      </w:r>
      <w:r>
        <w:rPr>
          <w:spacing w:val="-26"/>
        </w:rPr>
        <w:t> </w:t>
      </w:r>
      <w:r>
        <w:rPr>
          <w:rFonts w:ascii="Times New Roman" w:hAnsi="Times New Roman" w:cs="Times New Roman" w:eastAsia="Times New Roman" w:hint="default"/>
        </w:rPr>
        <w:t>5%</w:t>
      </w:r>
      <w:r>
        <w:rPr/>
        <w:t>以上股份的有 </w:t>
      </w:r>
      <w:r>
        <w:rPr>
          <w:spacing w:val="3"/>
        </w:rPr>
        <w:t>限售条件的流通股股东杭州恒生电子集团有限公司、中国投资担保有限公司和黄大成先生承</w:t>
      </w:r>
      <w:r>
        <w:rPr>
          <w:spacing w:val="-99"/>
        </w:rPr>
        <w:t> </w:t>
      </w:r>
      <w:r>
        <w:rPr>
          <w:spacing w:val="-99"/>
        </w:rPr>
      </w:r>
      <w:r>
        <w:rPr>
          <w:spacing w:val="-2"/>
        </w:rPr>
        <w:t>诺，在上述承诺期满后，其通过上海证券交易所挂牌交易出售股份的数量占公司股份总数比例</w:t>
      </w:r>
      <w:r>
        <w:rPr>
          <w:spacing w:val="-85"/>
        </w:rPr>
        <w:t> </w:t>
      </w:r>
      <w:r>
        <w:rPr>
          <w:spacing w:val="-85"/>
        </w:rPr>
      </w:r>
      <w:r>
        <w:rPr>
          <w:spacing w:val="7"/>
        </w:rPr>
        <w:t>在十二个月内不超过</w:t>
      </w:r>
      <w:r>
        <w:rPr>
          <w:spacing w:val="15"/>
        </w:rPr>
        <w:t> </w:t>
      </w:r>
      <w:r>
        <w:rPr>
          <w:rFonts w:ascii="Times New Roman" w:hAnsi="Times New Roman" w:cs="Times New Roman" w:eastAsia="Times New Roman" w:hint="default"/>
          <w:spacing w:val="7"/>
        </w:rPr>
        <w:t>5%</w:t>
      </w:r>
      <w:r>
        <w:rPr>
          <w:spacing w:val="7"/>
        </w:rPr>
        <w:t>，在二十四个月内不超过</w:t>
      </w:r>
      <w:r>
        <w:rPr>
          <w:spacing w:val="17"/>
        </w:rPr>
        <w:t> </w:t>
      </w:r>
      <w:r>
        <w:rPr>
          <w:rFonts w:ascii="Times New Roman" w:hAnsi="Times New Roman" w:cs="Times New Roman" w:eastAsia="Times New Roman" w:hint="default"/>
          <w:spacing w:val="7"/>
        </w:rPr>
        <w:t>10%</w:t>
      </w:r>
      <w:r>
        <w:rPr>
          <w:spacing w:val="7"/>
        </w:rPr>
        <w:t>。有限售条件的流通股股东持有的</w:t>
      </w:r>
      <w:r>
        <w:rPr>
          <w:spacing w:val="-103"/>
        </w:rPr>
        <w:t> </w:t>
      </w:r>
      <w:r>
        <w:rPr>
          <w:spacing w:val="-103"/>
        </w:rPr>
      </w:r>
      <w:r>
        <w:rPr>
          <w:rFonts w:ascii="Times New Roman" w:hAnsi="Times New Roman" w:cs="Times New Roman" w:eastAsia="Times New Roman" w:hint="default"/>
        </w:rPr>
        <w:t>15,141,616</w:t>
      </w:r>
      <w:r>
        <w:rPr>
          <w:rFonts w:ascii="Times New Roman" w:hAnsi="Times New Roman" w:cs="Times New Roman" w:eastAsia="Times New Roman" w:hint="default"/>
          <w:spacing w:val="-2"/>
        </w:rPr>
        <w:t> </w:t>
      </w:r>
      <w:r>
        <w:rPr/>
        <w:t>股已在</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日转为无限售条件的流通股股份。</w:t>
      </w:r>
    </w:p>
    <w:p>
      <w:pPr>
        <w:spacing w:line="240" w:lineRule="auto" w:before="7"/>
        <w:rPr>
          <w:rFonts w:ascii="宋体" w:hAnsi="宋体" w:cs="宋体" w:eastAsia="宋体" w:hint="default"/>
          <w:sz w:val="23"/>
          <w:szCs w:val="23"/>
        </w:rPr>
      </w:pPr>
    </w:p>
    <w:p>
      <w:pPr>
        <w:pStyle w:val="BodyText"/>
        <w:spacing w:line="256" w:lineRule="auto" w:before="0"/>
        <w:ind w:left="329" w:right="6395"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现存的内部职工股情况</w:t>
      </w:r>
      <w:r>
        <w:rPr>
          <w:w w:val="99"/>
        </w:rPr>
        <w:t> </w:t>
      </w:r>
      <w:r>
        <w:rPr/>
        <w:t>本报告期末公司无内部职工股。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243" w:top="1400" w:bottom="1460" w:left="1680" w:right="540"/>
        </w:sectPr>
      </w:pPr>
    </w:p>
    <w:p>
      <w:pPr>
        <w:pStyle w:val="BodyText"/>
        <w:spacing w:line="256" w:lineRule="auto" w:before="35"/>
        <w:ind w:right="-1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股东情况</w:t>
      </w:r>
      <w:r>
        <w:rPr>
          <w:w w:val="99"/>
        </w:rPr>
        <w:t> </w:t>
      </w:r>
      <w:r>
        <w:rPr>
          <w:rFonts w:ascii="Times New Roman" w:hAnsi="Times New Roman" w:cs="Times New Roman" w:eastAsia="Times New Roman" w:hint="default"/>
          <w:spacing w:val="-1"/>
        </w:rPr>
        <w:t>1</w:t>
      </w:r>
      <w:r>
        <w:rPr>
          <w:spacing w:val="-1"/>
        </w:rPr>
        <w:t>、股东数量和持股情况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right="0"/>
        <w:jc w:val="left"/>
      </w:pPr>
      <w:r>
        <w:rPr/>
        <w:t>单位</w:t>
      </w:r>
      <w:r>
        <w:rPr>
          <w:rFonts w:ascii="Times New Roman" w:hAnsi="Times New Roman" w:cs="Times New Roman" w:eastAsia="Times New Roman" w:hint="default"/>
        </w:rPr>
        <w:t>:</w:t>
      </w:r>
      <w:r>
        <w:rPr/>
        <w:t>股</w:t>
      </w:r>
    </w:p>
    <w:p>
      <w:pPr>
        <w:spacing w:after="0" w:line="240" w:lineRule="auto"/>
        <w:jc w:val="left"/>
        <w:sectPr>
          <w:type w:val="continuous"/>
          <w:pgSz w:w="11910" w:h="16840"/>
          <w:pgMar w:top="1500" w:bottom="900" w:left="1680" w:right="540"/>
          <w:cols w:num="2" w:equalWidth="0">
            <w:col w:w="2322" w:space="5540"/>
            <w:col w:w="1828"/>
          </w:cols>
        </w:sectPr>
      </w:pP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62"/>
        <w:gridCol w:w="1564"/>
        <w:gridCol w:w="1039"/>
        <w:gridCol w:w="1116"/>
        <w:gridCol w:w="1040"/>
        <w:gridCol w:w="1040"/>
        <w:gridCol w:w="2088"/>
      </w:tblGrid>
      <w:tr>
        <w:trPr>
          <w:trHeight w:val="326" w:hRule="exact"/>
        </w:trPr>
        <w:tc>
          <w:tcPr>
            <w:tcW w:w="312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324"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7,185</w:t>
            </w:r>
          </w:p>
        </w:tc>
      </w:tr>
      <w:tr>
        <w:trPr>
          <w:trHeight w:val="32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950"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2" w:right="151" w:hanging="180"/>
              <w:jc w:val="left"/>
              <w:rPr>
                <w:rFonts w:ascii="宋体" w:hAnsi="宋体" w:cs="宋体" w:eastAsia="宋体" w:hint="default"/>
                <w:sz w:val="18"/>
                <w:szCs w:val="18"/>
              </w:rPr>
            </w:pPr>
            <w:r>
              <w:rPr>
                <w:rFonts w:ascii="宋体" w:hAnsi="宋体" w:cs="宋体" w:eastAsia="宋体" w:hint="default"/>
                <w:sz w:val="18"/>
                <w:szCs w:val="18"/>
              </w:rPr>
              <w:t>报告期内 增减</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52" w:right="151"/>
              <w:jc w:val="both"/>
              <w:rPr>
                <w:rFonts w:ascii="宋体" w:hAnsi="宋体" w:cs="宋体" w:eastAsia="宋体" w:hint="default"/>
                <w:sz w:val="18"/>
                <w:szCs w:val="18"/>
              </w:rPr>
            </w:pPr>
            <w:r>
              <w:rPr>
                <w:rFonts w:ascii="宋体" w:hAnsi="宋体" w:cs="宋体" w:eastAsia="宋体" w:hint="default"/>
                <w:sz w:val="18"/>
                <w:szCs w:val="18"/>
              </w:rPr>
              <w:t>持有有限 售条件股 份数量</w:t>
            </w:r>
          </w:p>
        </w:tc>
        <w:tc>
          <w:tcPr>
            <w:tcW w:w="20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640"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4"/>
              <w:jc w:val="left"/>
              <w:rPr>
                <w:rFonts w:ascii="宋体" w:hAnsi="宋体" w:cs="宋体" w:eastAsia="宋体" w:hint="default"/>
                <w:sz w:val="18"/>
                <w:szCs w:val="18"/>
              </w:rPr>
            </w:pPr>
            <w:r>
              <w:rPr>
                <w:rFonts w:ascii="宋体" w:hAnsi="宋体" w:cs="宋体" w:eastAsia="宋体" w:hint="default"/>
                <w:spacing w:val="14"/>
                <w:sz w:val="18"/>
                <w:szCs w:val="18"/>
              </w:rPr>
              <w:t>杭州恒生电子集 </w:t>
            </w:r>
            <w:r>
              <w:rPr>
                <w:rFonts w:ascii="宋体" w:hAnsi="宋体" w:cs="宋体" w:eastAsia="宋体" w:hint="default"/>
                <w:sz w:val="18"/>
                <w:szCs w:val="18"/>
              </w:rPr>
              <w:t>团有限公司</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22.04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40,917,975</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27,864,564</w:t>
            </w:r>
          </w:p>
        </w:tc>
        <w:tc>
          <w:tcPr>
            <w:tcW w:w="20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46"/>
                <w:sz w:val="18"/>
                <w:szCs w:val="18"/>
              </w:rPr>
              <w:t> </w:t>
            </w:r>
            <w:r>
              <w:rPr>
                <w:rFonts w:ascii="宋体" w:hAnsi="宋体" w:cs="宋体" w:eastAsia="宋体" w:hint="default"/>
                <w:sz w:val="18"/>
                <w:szCs w:val="18"/>
              </w:rPr>
              <w:t>15,000,000</w:t>
            </w:r>
          </w:p>
        </w:tc>
      </w:tr>
      <w:tr>
        <w:trPr>
          <w:trHeight w:val="950"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4"/>
              <w:jc w:val="both"/>
              <w:rPr>
                <w:rFonts w:ascii="宋体" w:hAnsi="宋体" w:cs="宋体" w:eastAsia="宋体" w:hint="default"/>
                <w:sz w:val="18"/>
                <w:szCs w:val="18"/>
              </w:rPr>
            </w:pPr>
            <w:r>
              <w:rPr>
                <w:rFonts w:ascii="宋体" w:hAnsi="宋体" w:cs="宋体" w:eastAsia="宋体" w:hint="default"/>
                <w:spacing w:val="14"/>
                <w:sz w:val="18"/>
                <w:szCs w:val="18"/>
              </w:rPr>
              <w:t>长信金利趋势股 票型证券投资基 </w:t>
            </w:r>
            <w:r>
              <w:rPr>
                <w:rFonts w:ascii="宋体" w:hAnsi="宋体" w:cs="宋体" w:eastAsia="宋体" w:hint="default"/>
                <w:sz w:val="18"/>
                <w:szCs w:val="18"/>
              </w:rPr>
              <w:t>金</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4.99</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9,271,709</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黄大成</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4.27</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7,934,116</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周林根</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3.13</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5,805,462</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4"/>
              <w:jc w:val="both"/>
              <w:rPr>
                <w:rFonts w:ascii="宋体" w:hAnsi="宋体" w:cs="宋体" w:eastAsia="宋体" w:hint="default"/>
                <w:sz w:val="18"/>
                <w:szCs w:val="18"/>
              </w:rPr>
            </w:pPr>
            <w:r>
              <w:rPr>
                <w:rFonts w:ascii="宋体" w:hAnsi="宋体" w:cs="宋体" w:eastAsia="宋体" w:hint="default"/>
                <w:spacing w:val="14"/>
                <w:sz w:val="18"/>
                <w:szCs w:val="18"/>
              </w:rPr>
              <w:t>信达澳银领先增 长股票型证券投 </w:t>
            </w:r>
            <w:r>
              <w:rPr>
                <w:rFonts w:ascii="宋体" w:hAnsi="宋体" w:cs="宋体" w:eastAsia="宋体" w:hint="default"/>
                <w:sz w:val="18"/>
                <w:szCs w:val="18"/>
              </w:rPr>
              <w:t>资基金</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3.04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5,648,557</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王则江</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2.88</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5,353,000</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彭政纲</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2.77</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5,135,300</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刘曙峰</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2.61</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4,836,294</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蒋建圣</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2.61</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4,836,294</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陈鸿</w:t>
            </w:r>
          </w:p>
        </w:tc>
        <w:tc>
          <w:tcPr>
            <w:tcW w:w="1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2.54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4,720,000</w:t>
            </w:r>
          </w:p>
        </w:tc>
        <w:tc>
          <w:tcPr>
            <w:tcW w:w="1040"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2088"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1910" w:h="16840"/>
          <w:pgMar w:top="1500" w:bottom="900" w:left="1680" w:right="54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165"/>
        <w:gridCol w:w="2156"/>
        <w:gridCol w:w="3128"/>
      </w:tblGrid>
      <w:tr>
        <w:trPr>
          <w:trHeight w:val="326" w:hRule="exact"/>
        </w:trPr>
        <w:tc>
          <w:tcPr>
            <w:tcW w:w="945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640"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980" w:right="169" w:hanging="810"/>
              <w:jc w:val="left"/>
              <w:rPr>
                <w:rFonts w:ascii="宋体" w:hAnsi="宋体" w:cs="宋体" w:eastAsia="宋体" w:hint="default"/>
                <w:sz w:val="18"/>
                <w:szCs w:val="18"/>
              </w:rPr>
            </w:pPr>
            <w:r>
              <w:rPr>
                <w:rFonts w:ascii="宋体" w:hAnsi="宋体" w:cs="宋体" w:eastAsia="宋体" w:hint="default"/>
                <w:sz w:val="18"/>
                <w:szCs w:val="18"/>
              </w:rPr>
              <w:t>持有无限售条件股份数 量</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6"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13,053,411</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长信金利趋势股票型证券投资基金</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9,271,709</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黄大成</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7,934,116</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周林根</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5,805,462</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信达澳银领先增长股票型证券投资基金</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5,648,557</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王则江</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5,353,000</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彭政纲</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5,135,300</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刘曙峰</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4,836,294</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蒋建圣</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4,836,294</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8"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陈鸿</w:t>
            </w:r>
          </w:p>
        </w:tc>
        <w:tc>
          <w:tcPr>
            <w:tcW w:w="2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4,720,000</w:t>
            </w:r>
          </w:p>
        </w:tc>
        <w:tc>
          <w:tcPr>
            <w:tcW w:w="3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264" w:hRule="exact"/>
        </w:trPr>
        <w:tc>
          <w:tcPr>
            <w:tcW w:w="4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285" w:type="dxa"/>
            <w:gridSpan w:val="2"/>
            <w:tcBorders>
              <w:top w:val="single" w:sz="6" w:space="0" w:color="101010"/>
              <w:left w:val="single" w:sz="6" w:space="0" w:color="101010"/>
              <w:bottom w:val="single" w:sz="6" w:space="0" w:color="101010"/>
              <w:right w:val="single" w:sz="6" w:space="0" w:color="101010"/>
            </w:tcBorders>
          </w:tcPr>
          <w:p>
            <w:pPr>
              <w:pStyle w:val="TableParagraph"/>
              <w:spacing w:line="312"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公司七名自然人股东之间不存在关联关系，亦不属于《上市公司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股东持股变动信息披露管理办法》规定的一致行动人。杭州恒生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电子集团有限公司，由黄大成、彭政纲等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位自然人共同投资成 立。</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right="3876"/>
        <w:jc w:val="left"/>
      </w:pPr>
      <w:r>
        <w:rPr/>
        <w:t>前十名有限售条件股东持股数量及限售条件</w:t>
      </w:r>
    </w:p>
    <w:p>
      <w:pPr>
        <w:pStyle w:val="BodyText"/>
        <w:spacing w:line="240" w:lineRule="auto" w:before="37"/>
        <w:ind w:left="0" w:right="1013"/>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96"/>
        <w:gridCol w:w="872"/>
        <w:gridCol w:w="1031"/>
        <w:gridCol w:w="815"/>
        <w:gridCol w:w="1076"/>
        <w:gridCol w:w="5110"/>
      </w:tblGrid>
      <w:tr>
        <w:trPr>
          <w:trHeight w:val="638"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序 号</w:t>
            </w:r>
          </w:p>
        </w:tc>
        <w:tc>
          <w:tcPr>
            <w:tcW w:w="872"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58" w:right="157"/>
              <w:jc w:val="both"/>
              <w:rPr>
                <w:rFonts w:ascii="宋体" w:hAnsi="宋体" w:cs="宋体" w:eastAsia="宋体" w:hint="default"/>
                <w:sz w:val="18"/>
                <w:szCs w:val="18"/>
              </w:rPr>
            </w:pPr>
            <w:r>
              <w:rPr>
                <w:rFonts w:ascii="宋体" w:hAnsi="宋体" w:cs="宋体" w:eastAsia="宋体" w:hint="default"/>
                <w:sz w:val="18"/>
                <w:szCs w:val="18"/>
              </w:rPr>
              <w:t>有限售 条件股 东名称</w:t>
            </w:r>
          </w:p>
        </w:tc>
        <w:tc>
          <w:tcPr>
            <w:tcW w:w="1031"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47" w:right="146"/>
              <w:jc w:val="both"/>
              <w:rPr>
                <w:rFonts w:ascii="宋体" w:hAnsi="宋体" w:cs="宋体" w:eastAsia="宋体" w:hint="default"/>
                <w:sz w:val="18"/>
                <w:szCs w:val="18"/>
              </w:rPr>
            </w:pPr>
            <w:r>
              <w:rPr>
                <w:rFonts w:ascii="宋体" w:hAnsi="宋体" w:cs="宋体" w:eastAsia="宋体" w:hint="default"/>
                <w:sz w:val="18"/>
                <w:szCs w:val="18"/>
              </w:rPr>
              <w:t>持有的有 限售条件 股份数量</w:t>
            </w:r>
          </w:p>
        </w:tc>
        <w:tc>
          <w:tcPr>
            <w:tcW w:w="1891" w:type="dxa"/>
            <w:gridSpan w:val="2"/>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488" w:right="126" w:hanging="360"/>
              <w:jc w:val="left"/>
              <w:rPr>
                <w:rFonts w:ascii="宋体" w:hAnsi="宋体" w:cs="宋体" w:eastAsia="宋体" w:hint="default"/>
                <w:sz w:val="18"/>
                <w:szCs w:val="18"/>
              </w:rPr>
            </w:pPr>
            <w:r>
              <w:rPr>
                <w:rFonts w:ascii="宋体" w:hAnsi="宋体" w:cs="宋体" w:eastAsia="宋体" w:hint="default"/>
                <w:sz w:val="18"/>
                <w:szCs w:val="18"/>
              </w:rPr>
              <w:t>有限售条件股份可上 市交易情况</w:t>
            </w:r>
          </w:p>
        </w:tc>
        <w:tc>
          <w:tcPr>
            <w:tcW w:w="511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952" w:hRule="exact"/>
        </w:trPr>
        <w:tc>
          <w:tcPr>
            <w:tcW w:w="396" w:type="dxa"/>
            <w:vMerge/>
            <w:tcBorders>
              <w:left w:val="single" w:sz="6" w:space="0" w:color="101010"/>
              <w:bottom w:val="single" w:sz="6" w:space="0" w:color="101010"/>
              <w:right w:val="single" w:sz="6" w:space="0" w:color="101010"/>
            </w:tcBorders>
          </w:tcPr>
          <w:p>
            <w:pPr/>
          </w:p>
        </w:tc>
        <w:tc>
          <w:tcPr>
            <w:tcW w:w="872" w:type="dxa"/>
            <w:vMerge/>
            <w:tcBorders>
              <w:left w:val="single" w:sz="6" w:space="0" w:color="101010"/>
              <w:bottom w:val="single" w:sz="6" w:space="0" w:color="101010"/>
              <w:right w:val="single" w:sz="6" w:space="0" w:color="101010"/>
            </w:tcBorders>
          </w:tcPr>
          <w:p>
            <w:pPr/>
          </w:p>
        </w:tc>
        <w:tc>
          <w:tcPr>
            <w:tcW w:w="1031" w:type="dxa"/>
            <w:vMerge/>
            <w:tcBorders>
              <w:left w:val="single" w:sz="6" w:space="0" w:color="101010"/>
              <w:bottom w:val="single" w:sz="6" w:space="0" w:color="101010"/>
              <w:right w:val="single" w:sz="6" w:space="0" w:color="101010"/>
            </w:tcBorders>
          </w:tcPr>
          <w:p>
            <w:pPr/>
          </w:p>
        </w:tc>
        <w:tc>
          <w:tcPr>
            <w:tcW w:w="815"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29" w:right="128"/>
              <w:jc w:val="center"/>
              <w:rPr>
                <w:rFonts w:ascii="宋体" w:hAnsi="宋体" w:cs="宋体" w:eastAsia="宋体" w:hint="default"/>
                <w:sz w:val="18"/>
                <w:szCs w:val="18"/>
              </w:rPr>
            </w:pPr>
            <w:r>
              <w:rPr>
                <w:rFonts w:ascii="宋体" w:hAnsi="宋体" w:cs="宋体" w:eastAsia="宋体" w:hint="default"/>
                <w:sz w:val="18"/>
                <w:szCs w:val="18"/>
              </w:rPr>
              <w:t>可上市 交易时 间</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53"/>
              <w:jc w:val="both"/>
              <w:rPr>
                <w:rFonts w:ascii="宋体" w:hAnsi="宋体" w:cs="宋体" w:eastAsia="宋体" w:hint="default"/>
                <w:sz w:val="18"/>
                <w:szCs w:val="18"/>
              </w:rPr>
            </w:pPr>
            <w:r>
              <w:rPr>
                <w:rFonts w:ascii="宋体" w:hAnsi="宋体" w:cs="宋体" w:eastAsia="宋体" w:hint="default"/>
                <w:spacing w:val="34"/>
                <w:sz w:val="18"/>
                <w:szCs w:val="18"/>
              </w:rPr>
              <w:t>新增可上</w:t>
            </w:r>
            <w:r>
              <w:rPr>
                <w:rFonts w:ascii="宋体" w:hAnsi="宋体" w:cs="宋体" w:eastAsia="宋体" w:hint="default"/>
                <w:spacing w:val="-44"/>
                <w:sz w:val="18"/>
                <w:szCs w:val="18"/>
              </w:rPr>
              <w:t> </w:t>
            </w:r>
            <w:r>
              <w:rPr>
                <w:rFonts w:ascii="宋体" w:hAnsi="宋体" w:cs="宋体" w:eastAsia="宋体" w:hint="default"/>
                <w:spacing w:val="34"/>
                <w:sz w:val="18"/>
                <w:szCs w:val="18"/>
              </w:rPr>
              <w:t>市交易股</w:t>
            </w:r>
            <w:r>
              <w:rPr>
                <w:rFonts w:ascii="宋体" w:hAnsi="宋体" w:cs="宋体" w:eastAsia="宋体" w:hint="default"/>
                <w:spacing w:val="-44"/>
                <w:sz w:val="18"/>
                <w:szCs w:val="18"/>
              </w:rPr>
              <w:t> </w:t>
            </w:r>
            <w:r>
              <w:rPr>
                <w:rFonts w:ascii="宋体" w:hAnsi="宋体" w:cs="宋体" w:eastAsia="宋体" w:hint="default"/>
                <w:sz w:val="18"/>
                <w:szCs w:val="18"/>
              </w:rPr>
              <w:t>份数量</w:t>
            </w:r>
          </w:p>
        </w:tc>
        <w:tc>
          <w:tcPr>
            <w:tcW w:w="5110" w:type="dxa"/>
            <w:vMerge/>
            <w:tcBorders>
              <w:left w:val="single" w:sz="6" w:space="0" w:color="101010"/>
              <w:bottom w:val="single" w:sz="6" w:space="0" w:color="101010"/>
              <w:right w:val="single" w:sz="6" w:space="0" w:color="101010"/>
            </w:tcBorders>
          </w:tcPr>
          <w:p>
            <w:pPr/>
          </w:p>
        </w:tc>
      </w:tr>
      <w:tr>
        <w:trPr>
          <w:trHeight w:val="1576"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1</w:t>
            </w:r>
          </w:p>
        </w:tc>
        <w:tc>
          <w:tcPr>
            <w:tcW w:w="8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42"/>
              <w:jc w:val="both"/>
              <w:rPr>
                <w:rFonts w:ascii="宋体" w:hAnsi="宋体" w:cs="宋体" w:eastAsia="宋体" w:hint="default"/>
                <w:sz w:val="18"/>
                <w:szCs w:val="18"/>
              </w:rPr>
            </w:pPr>
            <w:r>
              <w:rPr>
                <w:rFonts w:ascii="宋体" w:hAnsi="宋体" w:cs="宋体" w:eastAsia="宋体" w:hint="default"/>
                <w:spacing w:val="38"/>
                <w:sz w:val="18"/>
                <w:szCs w:val="18"/>
              </w:rPr>
              <w:t>杭州恒</w:t>
            </w:r>
            <w:r>
              <w:rPr>
                <w:rFonts w:ascii="宋体" w:hAnsi="宋体" w:cs="宋体" w:eastAsia="宋体" w:hint="default"/>
                <w:spacing w:val="-33"/>
                <w:sz w:val="18"/>
                <w:szCs w:val="18"/>
              </w:rPr>
              <w:t> </w:t>
            </w:r>
            <w:r>
              <w:rPr>
                <w:rFonts w:ascii="宋体" w:hAnsi="宋体" w:cs="宋体" w:eastAsia="宋体" w:hint="default"/>
                <w:spacing w:val="38"/>
                <w:sz w:val="18"/>
                <w:szCs w:val="18"/>
              </w:rPr>
              <w:t>生电子</w:t>
            </w:r>
            <w:r>
              <w:rPr>
                <w:rFonts w:ascii="宋体" w:hAnsi="宋体" w:cs="宋体" w:eastAsia="宋体" w:hint="default"/>
                <w:spacing w:val="-33"/>
                <w:sz w:val="18"/>
                <w:szCs w:val="18"/>
              </w:rPr>
              <w:t> </w:t>
            </w:r>
            <w:r>
              <w:rPr>
                <w:rFonts w:ascii="宋体" w:hAnsi="宋体" w:cs="宋体" w:eastAsia="宋体" w:hint="default"/>
                <w:spacing w:val="38"/>
                <w:sz w:val="18"/>
                <w:szCs w:val="18"/>
              </w:rPr>
              <w:t>集团有</w:t>
            </w:r>
            <w:r>
              <w:rPr>
                <w:rFonts w:ascii="宋体" w:hAnsi="宋体" w:cs="宋体" w:eastAsia="宋体" w:hint="default"/>
                <w:spacing w:val="-33"/>
                <w:sz w:val="18"/>
                <w:szCs w:val="18"/>
              </w:rPr>
              <w:t> </w:t>
            </w:r>
            <w:r>
              <w:rPr>
                <w:rFonts w:ascii="宋体" w:hAnsi="宋体" w:cs="宋体" w:eastAsia="宋体" w:hint="default"/>
                <w:sz w:val="18"/>
                <w:szCs w:val="18"/>
              </w:rPr>
              <w:t>限公司</w:t>
            </w:r>
          </w:p>
        </w:tc>
        <w:tc>
          <w:tcPr>
            <w:tcW w:w="103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27,864,564</w:t>
            </w:r>
          </w:p>
        </w:tc>
        <w:tc>
          <w:tcPr>
            <w:tcW w:w="8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9</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27,864,564</w:t>
            </w:r>
          </w:p>
        </w:tc>
        <w:tc>
          <w:tcPr>
            <w:tcW w:w="5110"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11"/>
              <w:ind w:left="100" w:right="96"/>
              <w:jc w:val="both"/>
              <w:rPr>
                <w:rFonts w:ascii="宋体" w:hAnsi="宋体" w:cs="宋体" w:eastAsia="宋体" w:hint="default"/>
                <w:sz w:val="18"/>
                <w:szCs w:val="18"/>
              </w:rPr>
            </w:pPr>
            <w:r>
              <w:rPr>
                <w:rFonts w:ascii="宋体" w:hAnsi="宋体" w:cs="宋体" w:eastAsia="宋体" w:hint="default"/>
                <w:sz w:val="18"/>
                <w:szCs w:val="18"/>
              </w:rPr>
              <w:t>杭州恒生电子集团有限公司承诺其持有的有限售条件的流通股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股份，自获得上市流通权之日起，十二个月内不上市交易或转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让。在上述承诺期满后，其通过上海证券交易所挂牌交易出售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股份的数量占公司股份总数比例在十二个月内不超过</w:t>
            </w:r>
            <w:r>
              <w:rPr>
                <w:rFonts w:ascii="宋体" w:hAnsi="宋体" w:cs="宋体" w:eastAsia="宋体" w:hint="default"/>
                <w:spacing w:val="-44"/>
                <w:sz w:val="18"/>
                <w:szCs w:val="18"/>
              </w:rPr>
              <w:t> </w:t>
            </w: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，在二</w:t>
            </w:r>
            <w:r>
              <w:rPr>
                <w:rFonts w:ascii="宋体" w:hAnsi="宋体" w:cs="宋体" w:eastAsia="宋体" w:hint="default"/>
                <w:sz w:val="18"/>
                <w:szCs w:val="18"/>
              </w:rPr>
              <w:t> 十四个月内不超过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56" w:lineRule="auto" w:before="35"/>
        <w:ind w:right="6712"/>
        <w:jc w:val="left"/>
      </w:pPr>
      <w:r>
        <w:rPr>
          <w:rFonts w:ascii="Times New Roman" w:hAnsi="Times New Roman" w:cs="Times New Roman" w:eastAsia="Times New Roman" w:hint="default"/>
        </w:rPr>
        <w:t>2</w:t>
      </w:r>
      <w:r>
        <w:rPr/>
        <w:t>、控股股东及实际控制人简介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法人控股股东情况</w:t>
      </w:r>
    </w:p>
    <w:p>
      <w:pPr>
        <w:pStyle w:val="BodyText"/>
        <w:spacing w:line="273" w:lineRule="auto" w:before="5"/>
        <w:ind w:right="5557"/>
        <w:jc w:val="left"/>
      </w:pPr>
      <w:r>
        <w:rPr/>
        <w:t>控股股东名称：杭州恒生电子集团有限公司 法人代表：张磊</w:t>
      </w:r>
    </w:p>
    <w:p>
      <w:pPr>
        <w:pStyle w:val="BodyText"/>
        <w:spacing w:line="256" w:lineRule="auto" w:before="8"/>
        <w:ind w:right="6877"/>
        <w:jc w:val="left"/>
      </w:pPr>
      <w:r>
        <w:rPr/>
        <w:t>注册资本：</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 成立日期：</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pStyle w:val="BodyText"/>
        <w:spacing w:line="240" w:lineRule="auto" w:before="5"/>
        <w:ind w:right="3876"/>
        <w:jc w:val="left"/>
      </w:pPr>
      <w:r>
        <w:rPr/>
        <w:t>主要经营业务或管理活动：投资、咨询服务</w:t>
      </w:r>
    </w:p>
    <w:p>
      <w:pPr>
        <w:spacing w:line="240" w:lineRule="auto" w:before="9"/>
        <w:rPr>
          <w:rFonts w:ascii="宋体" w:hAnsi="宋体" w:cs="宋体" w:eastAsia="宋体" w:hint="default"/>
          <w:sz w:val="26"/>
          <w:szCs w:val="26"/>
        </w:rPr>
      </w:pPr>
    </w:p>
    <w:p>
      <w:pPr>
        <w:pStyle w:val="BodyText"/>
        <w:spacing w:line="256" w:lineRule="auto" w:before="0"/>
        <w:ind w:left="328" w:right="4296"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after="0" w:line="256" w:lineRule="auto"/>
        <w:jc w:val="left"/>
        <w:sectPr>
          <w:pgSz w:w="11910" w:h="16840"/>
          <w:pgMar w:header="0" w:footer="1243" w:top="1360" w:bottom="1460" w:left="1680" w:right="540"/>
        </w:sectPr>
      </w:pPr>
    </w:p>
    <w:p>
      <w:pPr>
        <w:spacing w:line="240" w:lineRule="auto" w:before="10"/>
        <w:rPr>
          <w:rFonts w:ascii="宋体" w:hAnsi="宋体" w:cs="宋体" w:eastAsia="宋体" w:hint="default"/>
          <w:sz w:val="7"/>
          <w:szCs w:val="7"/>
        </w:rPr>
      </w:pPr>
    </w:p>
    <w:p>
      <w:pPr>
        <w:pStyle w:val="BodyText"/>
        <w:spacing w:line="240" w:lineRule="auto" w:before="35"/>
        <w:ind w:right="41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公司与实际控制人之间的产权及控制关系的方框图</w:t>
      </w:r>
    </w:p>
    <w:p>
      <w:pPr>
        <w:spacing w:line="240" w:lineRule="auto" w:before="2"/>
        <w:rPr>
          <w:rFonts w:ascii="宋体" w:hAnsi="宋体" w:cs="宋体" w:eastAsia="宋体" w:hint="default"/>
          <w:sz w:val="4"/>
          <w:szCs w:val="4"/>
        </w:rPr>
      </w:pPr>
    </w:p>
    <w:p>
      <w:pPr>
        <w:spacing w:line="3705" w:lineRule="exact"/>
        <w:ind w:left="117"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5217927" cy="23526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5217927" cy="2352675"/>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4"/>
        <w:rPr>
          <w:rFonts w:ascii="宋体" w:hAnsi="宋体" w:cs="宋体" w:eastAsia="宋体" w:hint="default"/>
          <w:sz w:val="24"/>
          <w:szCs w:val="24"/>
        </w:rPr>
      </w:pPr>
    </w:p>
    <w:p>
      <w:pPr>
        <w:pStyle w:val="BodyText"/>
        <w:spacing w:line="256" w:lineRule="auto" w:before="0"/>
        <w:ind w:left="328" w:right="4186" w:hanging="212"/>
        <w:jc w:val="left"/>
      </w:pPr>
      <w:r>
        <w:rPr>
          <w:rFonts w:ascii="Times New Roman" w:hAnsi="Times New Roman" w:cs="Times New Roman" w:eastAsia="Times New Roman" w:hint="default"/>
        </w:rPr>
        <w:t>3</w:t>
      </w:r>
      <w:r>
        <w:rPr/>
        <w:t>、其他持股在百分之十以上的法人股东 截止本报告期末公司无其他持股在百分之十以上的法人股东。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1"/>
        <w:spacing w:line="240" w:lineRule="auto"/>
        <w:ind w:right="4186"/>
        <w:jc w:val="left"/>
        <w:rPr>
          <w:rFonts w:ascii="宋体" w:hAnsi="宋体" w:cs="宋体" w:eastAsia="宋体" w:hint="default"/>
          <w:b w:val="0"/>
          <w:bCs w:val="0"/>
        </w:rPr>
      </w:pPr>
      <w:bookmarkStart w:name="_TOC_250007" w:id="5"/>
      <w:r>
        <w:rPr>
          <w:rFonts w:ascii="宋体" w:hAnsi="宋体" w:cs="宋体" w:eastAsia="宋体" w:hint="default"/>
        </w:rPr>
        <w:t>五、董事、监事和高级管理人员</w:t>
      </w:r>
      <w:bookmarkEnd w:id="5"/>
      <w:r>
        <w:rPr>
          <w:rFonts w:ascii="宋体" w:hAnsi="宋体" w:cs="宋体" w:eastAsia="宋体" w:hint="default"/>
          <w:b w:val="0"/>
          <w:bCs w:val="0"/>
        </w:rPr>
      </w:r>
    </w:p>
    <w:p>
      <w:pPr>
        <w:spacing w:line="240" w:lineRule="auto" w:before="1"/>
        <w:rPr>
          <w:rFonts w:ascii="宋体" w:hAnsi="宋体" w:cs="宋体" w:eastAsia="宋体" w:hint="default"/>
          <w:b/>
          <w:bCs/>
          <w:sz w:val="12"/>
          <w:szCs w:val="12"/>
        </w:rPr>
      </w:pPr>
    </w:p>
    <w:p>
      <w:pPr>
        <w:pStyle w:val="BodyText"/>
        <w:spacing w:line="240" w:lineRule="auto" w:before="35"/>
        <w:ind w:right="418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董事、监事、高级管理人员情况</w:t>
      </w:r>
    </w:p>
    <w:p>
      <w:pPr>
        <w:pStyle w:val="BodyText"/>
        <w:spacing w:line="240" w:lineRule="auto" w:before="21"/>
        <w:ind w:left="0" w:right="1533"/>
        <w:jc w:val="right"/>
      </w:pPr>
      <w:r>
        <w:rPr/>
        <w:t>单位</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96"/>
        <w:gridCol w:w="576"/>
        <w:gridCol w:w="396"/>
        <w:gridCol w:w="396"/>
        <w:gridCol w:w="576"/>
        <w:gridCol w:w="576"/>
        <w:gridCol w:w="936"/>
        <w:gridCol w:w="936"/>
        <w:gridCol w:w="396"/>
        <w:gridCol w:w="396"/>
        <w:gridCol w:w="936"/>
        <w:gridCol w:w="576"/>
        <w:gridCol w:w="712"/>
        <w:gridCol w:w="396"/>
        <w:gridCol w:w="396"/>
        <w:gridCol w:w="396"/>
        <w:gridCol w:w="396"/>
        <w:gridCol w:w="576"/>
      </w:tblGrid>
      <w:tr>
        <w:trPr>
          <w:trHeight w:val="638"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姓 名</w:t>
            </w:r>
          </w:p>
        </w:tc>
        <w:tc>
          <w:tcPr>
            <w:tcW w:w="57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0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性 别</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99" w:right="100"/>
              <w:jc w:val="left"/>
              <w:rPr>
                <w:rFonts w:ascii="宋体" w:hAnsi="宋体" w:cs="宋体" w:eastAsia="宋体" w:hint="default"/>
                <w:sz w:val="18"/>
                <w:szCs w:val="18"/>
              </w:rPr>
            </w:pPr>
            <w:r>
              <w:rPr>
                <w:rFonts w:ascii="宋体" w:hAnsi="宋体" w:cs="宋体" w:eastAsia="宋体" w:hint="default"/>
                <w:sz w:val="18"/>
                <w:szCs w:val="18"/>
              </w:rPr>
              <w:t>年 龄</w:t>
            </w:r>
          </w:p>
        </w:tc>
        <w:tc>
          <w:tcPr>
            <w:tcW w:w="57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任期 起始 日期</w:t>
            </w:r>
          </w:p>
        </w:tc>
        <w:tc>
          <w:tcPr>
            <w:tcW w:w="57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93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370" w:right="98"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3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370" w:right="98"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396" w:type="dxa"/>
            <w:vMerge w:val="restart"/>
            <w:tcBorders>
              <w:top w:val="single" w:sz="6" w:space="0" w:color="101010"/>
              <w:left w:val="single" w:sz="6" w:space="0" w:color="101010"/>
              <w:right w:val="single" w:sz="6" w:space="0" w:color="101010"/>
            </w:tcBorders>
          </w:tcPr>
          <w:p>
            <w:pPr>
              <w:pStyle w:val="TableParagraph"/>
              <w:spacing w:line="316" w:lineRule="auto" w:before="158"/>
              <w:ind w:left="99" w:right="100"/>
              <w:jc w:val="both"/>
              <w:rPr>
                <w:rFonts w:ascii="宋体" w:hAnsi="宋体" w:cs="宋体" w:eastAsia="宋体" w:hint="default"/>
                <w:sz w:val="18"/>
                <w:szCs w:val="18"/>
              </w:rPr>
            </w:pPr>
            <w:r>
              <w:rPr>
                <w:rFonts w:ascii="宋体" w:hAnsi="宋体" w:cs="宋体" w:eastAsia="宋体" w:hint="default"/>
                <w:sz w:val="18"/>
                <w:szCs w:val="18"/>
              </w:rPr>
              <w:t>持 有 本 公 司 的 股 票 期 权</w:t>
            </w:r>
          </w:p>
        </w:tc>
        <w:tc>
          <w:tcPr>
            <w:tcW w:w="396" w:type="dxa"/>
            <w:vMerge w:val="restart"/>
            <w:tcBorders>
              <w:top w:val="single" w:sz="6" w:space="0" w:color="101010"/>
              <w:left w:val="single" w:sz="6" w:space="0" w:color="101010"/>
              <w:right w:val="single" w:sz="6" w:space="0" w:color="101010"/>
            </w:tcBorders>
          </w:tcPr>
          <w:p>
            <w:pPr>
              <w:pStyle w:val="TableParagraph"/>
              <w:spacing w:line="316"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被 授 予 的 限 制 性 股 票 数 量</w:t>
            </w:r>
          </w:p>
        </w:tc>
        <w:tc>
          <w:tcPr>
            <w:tcW w:w="93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370" w:right="98" w:hanging="270"/>
              <w:jc w:val="left"/>
              <w:rPr>
                <w:rFonts w:ascii="宋体" w:hAnsi="宋体" w:cs="宋体" w:eastAsia="宋体" w:hint="default"/>
                <w:sz w:val="18"/>
                <w:szCs w:val="18"/>
              </w:rPr>
            </w:pPr>
            <w:r>
              <w:rPr>
                <w:rFonts w:ascii="宋体" w:hAnsi="宋体" w:cs="宋体" w:eastAsia="宋体" w:hint="default"/>
                <w:sz w:val="18"/>
                <w:szCs w:val="18"/>
              </w:rPr>
              <w:t>股份增减 数</w:t>
            </w:r>
          </w:p>
        </w:tc>
        <w:tc>
          <w:tcPr>
            <w:tcW w:w="57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712" w:type="dxa"/>
            <w:vMerge w:val="restart"/>
            <w:tcBorders>
              <w:top w:val="single" w:sz="6" w:space="0" w:color="101010"/>
              <w:left w:val="single" w:sz="6" w:space="0" w:color="101010"/>
              <w:right w:val="single" w:sz="6" w:space="0" w:color="101010"/>
            </w:tcBorders>
          </w:tcPr>
          <w:p>
            <w:pPr>
              <w:pStyle w:val="TableParagraph"/>
              <w:spacing w:line="316" w:lineRule="auto" w:before="157"/>
              <w:ind w:left="108" w:right="107" w:firstLine="59"/>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 期内 从公 司领 取的 报酬 总额 </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316" w:lineRule="auto"/>
              <w:ind w:left="167" w:right="167"/>
              <w:jc w:val="both"/>
              <w:rPr>
                <w:rFonts w:ascii="宋体" w:hAnsi="宋体" w:cs="宋体" w:eastAsia="宋体" w:hint="default"/>
                <w:sz w:val="18"/>
                <w:szCs w:val="18"/>
              </w:rPr>
            </w:pPr>
            <w:r>
              <w:rPr>
                <w:rFonts w:ascii="宋体" w:hAnsi="宋体" w:cs="宋体" w:eastAsia="宋体" w:hint="default"/>
                <w:sz w:val="18"/>
                <w:szCs w:val="18"/>
              </w:rPr>
              <w:t>（税 前）</w:t>
            </w:r>
          </w:p>
        </w:tc>
        <w:tc>
          <w:tcPr>
            <w:tcW w:w="1584" w:type="dxa"/>
            <w:gridSpan w:val="4"/>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244" w:right="152" w:hanging="90"/>
              <w:jc w:val="left"/>
              <w:rPr>
                <w:rFonts w:ascii="宋体" w:hAnsi="宋体" w:cs="宋体" w:eastAsia="宋体" w:hint="default"/>
                <w:sz w:val="18"/>
                <w:szCs w:val="18"/>
              </w:rPr>
            </w:pPr>
            <w:r>
              <w:rPr>
                <w:rFonts w:ascii="宋体" w:hAnsi="宋体" w:cs="宋体" w:eastAsia="宋体" w:hint="default"/>
                <w:sz w:val="18"/>
                <w:szCs w:val="18"/>
              </w:rPr>
              <w:t>报告期被授予的 股权激励情况</w:t>
            </w:r>
          </w:p>
        </w:tc>
        <w:tc>
          <w:tcPr>
            <w:tcW w:w="576" w:type="dxa"/>
            <w:vMerge w:val="restart"/>
            <w:tcBorders>
              <w:top w:val="single" w:sz="6" w:space="0" w:color="101010"/>
              <w:left w:val="single" w:sz="6" w:space="0" w:color="101010"/>
              <w:right w:val="single" w:sz="6" w:space="0" w:color="101010"/>
            </w:tcBorders>
          </w:tcPr>
          <w:p>
            <w:pPr>
              <w:pStyle w:val="TableParagraph"/>
              <w:spacing w:line="316" w:lineRule="auto" w:before="8"/>
              <w:ind w:left="100" w:right="98"/>
              <w:jc w:val="center"/>
              <w:rPr>
                <w:rFonts w:ascii="宋体" w:hAnsi="宋体" w:cs="宋体" w:eastAsia="宋体" w:hint="default"/>
                <w:sz w:val="18"/>
                <w:szCs w:val="18"/>
              </w:rPr>
            </w:pPr>
            <w:r>
              <w:rPr>
                <w:rFonts w:ascii="宋体" w:hAnsi="宋体" w:cs="宋体" w:eastAsia="宋体" w:hint="default"/>
                <w:sz w:val="18"/>
                <w:szCs w:val="18"/>
              </w:rPr>
              <w:t>是否 在股 东单 位或 其他 关联 单位 领取 报 酬、 津贴</w:t>
            </w:r>
          </w:p>
        </w:tc>
      </w:tr>
      <w:tr>
        <w:trPr>
          <w:trHeight w:val="2808" w:hRule="exact"/>
        </w:trPr>
        <w:tc>
          <w:tcPr>
            <w:tcW w:w="39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712" w:type="dxa"/>
            <w:vMerge/>
            <w:tcBorders>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100" w:right="98"/>
              <w:jc w:val="both"/>
              <w:rPr>
                <w:rFonts w:ascii="宋体" w:hAnsi="宋体" w:cs="宋体" w:eastAsia="宋体" w:hint="default"/>
                <w:sz w:val="18"/>
                <w:szCs w:val="18"/>
              </w:rPr>
            </w:pPr>
            <w:r>
              <w:rPr>
                <w:rFonts w:ascii="宋体" w:hAnsi="宋体" w:cs="宋体" w:eastAsia="宋体" w:hint="default"/>
                <w:sz w:val="18"/>
                <w:szCs w:val="18"/>
              </w:rPr>
              <w:t>可 行 权 股 数</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00" w:right="98"/>
              <w:jc w:val="both"/>
              <w:rPr>
                <w:rFonts w:ascii="宋体" w:hAnsi="宋体" w:cs="宋体" w:eastAsia="宋体" w:hint="default"/>
                <w:sz w:val="18"/>
                <w:szCs w:val="18"/>
              </w:rPr>
            </w:pPr>
            <w:r>
              <w:rPr>
                <w:rFonts w:ascii="宋体" w:hAnsi="宋体" w:cs="宋体" w:eastAsia="宋体" w:hint="default"/>
                <w:sz w:val="18"/>
                <w:szCs w:val="18"/>
              </w:rPr>
              <w:t>已 行 权 数 量</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行 权 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期 末 股 票 市 价</w:t>
            </w:r>
          </w:p>
        </w:tc>
        <w:tc>
          <w:tcPr>
            <w:tcW w:w="576" w:type="dxa"/>
            <w:vMerge/>
            <w:tcBorders>
              <w:left w:val="single" w:sz="6" w:space="0" w:color="101010"/>
              <w:bottom w:val="single" w:sz="6" w:space="0" w:color="101010"/>
              <w:right w:val="single" w:sz="6" w:space="0" w:color="101010"/>
            </w:tcBorders>
          </w:tcPr>
          <w:p>
            <w:pPr/>
          </w:p>
        </w:tc>
      </w:tr>
      <w:tr>
        <w:trPr>
          <w:trHeight w:val="320"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彭 政 纲</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187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董事 长</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38</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0" w:right="0"/>
              <w:jc w:val="left"/>
              <w:rPr>
                <w:rFonts w:ascii="Times New Roman" w:hAnsi="Times New Roman" w:cs="Times New Roman" w:eastAsia="Times New Roman" w:hint="default"/>
                <w:sz w:val="18"/>
                <w:szCs w:val="18"/>
              </w:rPr>
            </w:pPr>
            <w:r>
              <w:rPr>
                <w:rFonts w:ascii="Times New Roman"/>
                <w:sz w:val="18"/>
              </w:rPr>
              <w:t>4,464,000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5,135,300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4" w:right="0"/>
              <w:jc w:val="center"/>
              <w:rPr>
                <w:rFonts w:ascii="Times New Roman" w:hAnsi="Times New Roman" w:cs="Times New Roman" w:eastAsia="Times New Roman" w:hint="default"/>
                <w:sz w:val="18"/>
                <w:szCs w:val="18"/>
              </w:rPr>
            </w:pPr>
            <w:r>
              <w:rPr>
                <w:rFonts w:ascii="Times New Roman"/>
                <w:sz w:val="18"/>
              </w:rPr>
              <w:t>671,300</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公积 转增 股 本、 二级 市场</w:t>
            </w: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56.62</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买卖</w:t>
            </w: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640"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刘 曙</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董 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3,720,226</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4,836,294</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1,116,068</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57.07</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43" w:top="1600" w:bottom="1460" w:left="1680" w:right="2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96"/>
        <w:gridCol w:w="576"/>
        <w:gridCol w:w="396"/>
        <w:gridCol w:w="396"/>
        <w:gridCol w:w="576"/>
        <w:gridCol w:w="576"/>
        <w:gridCol w:w="936"/>
        <w:gridCol w:w="936"/>
        <w:gridCol w:w="396"/>
        <w:gridCol w:w="396"/>
        <w:gridCol w:w="936"/>
        <w:gridCol w:w="576"/>
        <w:gridCol w:w="712"/>
        <w:gridCol w:w="396"/>
        <w:gridCol w:w="396"/>
        <w:gridCol w:w="396"/>
        <w:gridCol w:w="396"/>
        <w:gridCol w:w="576"/>
      </w:tblGrid>
      <w:tr>
        <w:trPr>
          <w:trHeight w:val="320" w:hRule="exact"/>
        </w:trPr>
        <w:tc>
          <w:tcPr>
            <w:tcW w:w="39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峰</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总经</w:t>
            </w: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3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转增</w:t>
            </w:r>
          </w:p>
        </w:tc>
        <w:tc>
          <w:tcPr>
            <w:tcW w:w="712"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r>
      <w:tr>
        <w:trPr>
          <w:trHeight w:val="316" w:hRule="exact"/>
        </w:trPr>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712"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r>
      <w:tr>
        <w:trPr>
          <w:trHeight w:val="308" w:hRule="exact"/>
        </w:trPr>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财务</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712"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r>
      <w:tr>
        <w:trPr>
          <w:trHeight w:val="312" w:hRule="exact"/>
        </w:trPr>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负责</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93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712"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r>
      <w:tr>
        <w:trPr>
          <w:trHeight w:val="318" w:hRule="exact"/>
        </w:trPr>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712"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r>
      <w:tr>
        <w:trPr>
          <w:trHeight w:val="320"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98"/>
              <w:jc w:val="left"/>
              <w:rPr>
                <w:rFonts w:ascii="宋体" w:hAnsi="宋体" w:cs="宋体" w:eastAsia="宋体" w:hint="default"/>
                <w:sz w:val="18"/>
                <w:szCs w:val="18"/>
              </w:rPr>
            </w:pPr>
            <w:r>
              <w:rPr>
                <w:rFonts w:ascii="宋体" w:hAnsi="宋体" w:cs="宋体" w:eastAsia="宋体" w:hint="default"/>
                <w:sz w:val="18"/>
                <w:szCs w:val="18"/>
              </w:rPr>
              <w:t>陈 鸿</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187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3,990,371</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4,720,000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729,629</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公积 转增 股 本、 二级 市场</w:t>
            </w: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19.38</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买卖</w:t>
            </w: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1574"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蒋 建 圣</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董 事、 副总 经理</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3,720,226</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4,836,294</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1,116,068</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资本 公积 转增 股本</w:t>
            </w:r>
          </w:p>
        </w:tc>
        <w:tc>
          <w:tcPr>
            <w:tcW w:w="7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37.78</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王 则 江</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187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4,464,271</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5,353,000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888,729</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公积 转增 股 本、 二级 市场</w:t>
            </w: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18.54</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买卖</w:t>
            </w: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324"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盛 杰 伟</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5"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36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z w:val="18"/>
              </w:rPr>
              <w:t>5.25</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9"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3"/>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3"/>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4"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324"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马 占 春</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5"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45</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09"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3"/>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3"/>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5"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324"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程 厚 博</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936"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61"/>
              <w:ind w:left="100" w:right="98"/>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44</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sz w:val="18"/>
              </w:rPr>
              <w:t>5.25</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952"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胡 本 立</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64</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7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Times New Roman" w:hAnsi="Times New Roman" w:cs="Times New Roman" w:eastAsia="Times New Roman" w:hint="default"/>
                <w:sz w:val="18"/>
                <w:szCs w:val="18"/>
              </w:rPr>
            </w:pPr>
            <w:r>
              <w:rPr>
                <w:rFonts w:ascii="Times New Roman"/>
                <w:sz w:val="18"/>
              </w:rPr>
              <w:t>5.25</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43" w:top="1360" w:bottom="1440" w:left="1680" w:right="2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96"/>
        <w:gridCol w:w="576"/>
        <w:gridCol w:w="396"/>
        <w:gridCol w:w="396"/>
        <w:gridCol w:w="576"/>
        <w:gridCol w:w="576"/>
        <w:gridCol w:w="936"/>
        <w:gridCol w:w="936"/>
        <w:gridCol w:w="396"/>
        <w:gridCol w:w="396"/>
        <w:gridCol w:w="936"/>
        <w:gridCol w:w="576"/>
        <w:gridCol w:w="712"/>
        <w:gridCol w:w="396"/>
        <w:gridCol w:w="396"/>
        <w:gridCol w:w="396"/>
        <w:gridCol w:w="396"/>
        <w:gridCol w:w="576"/>
      </w:tblGrid>
      <w:tr>
        <w:trPr>
          <w:trHeight w:val="638" w:hRule="exact"/>
        </w:trPr>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71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324"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李 尊 农</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936"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61"/>
              <w:ind w:left="100" w:right="98"/>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45</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sz w:val="18"/>
              </w:rPr>
              <w:t>5.25</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5"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324"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俞 建 午</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936"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61"/>
              <w:ind w:left="100" w:right="98"/>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41</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9"/>
              <w:jc w:val="right"/>
              <w:rPr>
                <w:rFonts w:ascii="Times New Roman" w:hAnsi="Times New Roman" w:cs="Times New Roman" w:eastAsia="Times New Roman" w:hint="default"/>
                <w:sz w:val="18"/>
                <w:szCs w:val="18"/>
              </w:rPr>
            </w:pPr>
            <w:r>
              <w:rPr>
                <w:rFonts w:ascii="Times New Roman"/>
                <w:sz w:val="18"/>
              </w:rPr>
              <w:t>5.25</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324"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彭 小 益</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0"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会主</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33</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273,535</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w w:val="95"/>
                <w:sz w:val="18"/>
              </w:rPr>
              <w:t>-273,535</w:t>
            </w:r>
            <w:r>
              <w:rPr>
                <w:rFonts w:ascii="Times New Roman"/>
                <w:sz w:val="18"/>
              </w:rPr>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2.03</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席</w:t>
            </w: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8"/>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8"/>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买卖</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5"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321"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钱 屹 俊</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31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按期</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权计</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187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27,300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27,300</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划转 让、 公积 金转 增股 本、</w:t>
            </w: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8.55</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8"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买卖</w:t>
            </w: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321"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98"/>
              <w:jc w:val="both"/>
              <w:rPr>
                <w:rFonts w:ascii="宋体" w:hAnsi="宋体" w:cs="宋体" w:eastAsia="宋体" w:hint="default"/>
                <w:sz w:val="18"/>
                <w:szCs w:val="18"/>
              </w:rPr>
            </w:pPr>
            <w:r>
              <w:rPr>
                <w:rFonts w:ascii="宋体" w:hAnsi="宋体" w:cs="宋体" w:eastAsia="宋体" w:hint="default"/>
                <w:sz w:val="18"/>
                <w:szCs w:val="18"/>
              </w:rPr>
              <w:t>屠 海 雁</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31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按期</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5"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权计</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3"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划转</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1"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37</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9,303</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9,303</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让、</w:t>
            </w: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9.03</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1"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6"/>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6"/>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09"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金转</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2"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增股</w:t>
            </w: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9"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1888"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方 汉 林</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1,779,232</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1,779,232</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2"/>
              <w:ind w:left="100" w:right="98"/>
              <w:jc w:val="both"/>
              <w:rPr>
                <w:rFonts w:ascii="宋体" w:hAnsi="宋体" w:cs="宋体" w:eastAsia="宋体" w:hint="default"/>
                <w:sz w:val="18"/>
                <w:szCs w:val="18"/>
              </w:rPr>
            </w:pPr>
            <w:r>
              <w:rPr>
                <w:rFonts w:ascii="宋体" w:hAnsi="宋体" w:cs="宋体" w:eastAsia="宋体" w:hint="default"/>
                <w:sz w:val="18"/>
                <w:szCs w:val="18"/>
              </w:rPr>
              <w:t>公司 按期 权计 划转 让、 公积</w:t>
            </w:r>
          </w:p>
        </w:tc>
        <w:tc>
          <w:tcPr>
            <w:tcW w:w="7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33.06</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43" w:top="1360" w:bottom="1440" w:left="1680" w:right="2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96"/>
        <w:gridCol w:w="576"/>
        <w:gridCol w:w="396"/>
        <w:gridCol w:w="396"/>
        <w:gridCol w:w="576"/>
        <w:gridCol w:w="576"/>
        <w:gridCol w:w="936"/>
        <w:gridCol w:w="936"/>
        <w:gridCol w:w="396"/>
        <w:gridCol w:w="396"/>
        <w:gridCol w:w="936"/>
        <w:gridCol w:w="576"/>
        <w:gridCol w:w="712"/>
        <w:gridCol w:w="396"/>
        <w:gridCol w:w="396"/>
        <w:gridCol w:w="396"/>
        <w:gridCol w:w="396"/>
        <w:gridCol w:w="576"/>
      </w:tblGrid>
      <w:tr>
        <w:trPr>
          <w:trHeight w:val="950" w:hRule="exact"/>
        </w:trPr>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金转 增股 本</w:t>
            </w:r>
          </w:p>
        </w:tc>
        <w:tc>
          <w:tcPr>
            <w:tcW w:w="71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r>
      <w:tr>
        <w:trPr>
          <w:trHeight w:val="324"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林 剑 辉</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936"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61"/>
              <w:ind w:left="100" w:right="98"/>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51</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00"/>
              <w:jc w:val="right"/>
              <w:rPr>
                <w:rFonts w:ascii="Times New Roman" w:hAnsi="Times New Roman" w:cs="Times New Roman" w:eastAsia="Times New Roman" w:hint="default"/>
                <w:sz w:val="18"/>
                <w:szCs w:val="18"/>
              </w:rPr>
            </w:pPr>
            <w:r>
              <w:rPr>
                <w:rFonts w:ascii="Times New Roman"/>
                <w:sz w:val="18"/>
              </w:rPr>
              <w:t>48.14</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5"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2198"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范 径 武</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z w:val="18"/>
              </w:rPr>
              <w:t>1,570,000</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7"/>
              <w:jc w:val="right"/>
              <w:rPr>
                <w:rFonts w:ascii="Times New Roman" w:hAnsi="Times New Roman" w:cs="Times New Roman" w:eastAsia="Times New Roman" w:hint="default"/>
                <w:sz w:val="18"/>
                <w:szCs w:val="18"/>
              </w:rPr>
            </w:pPr>
            <w:r>
              <w:rPr>
                <w:rFonts w:ascii="Times New Roman"/>
                <w:sz w:val="18"/>
              </w:rPr>
              <w:t>1,994,575</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424,575</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2"/>
              <w:ind w:left="100" w:right="98"/>
              <w:jc w:val="both"/>
              <w:rPr>
                <w:rFonts w:ascii="宋体" w:hAnsi="宋体" w:cs="宋体" w:eastAsia="宋体" w:hint="default"/>
                <w:sz w:val="18"/>
                <w:szCs w:val="18"/>
              </w:rPr>
            </w:pPr>
            <w:r>
              <w:rPr>
                <w:rFonts w:ascii="宋体" w:hAnsi="宋体" w:cs="宋体" w:eastAsia="宋体" w:hint="default"/>
                <w:sz w:val="18"/>
                <w:szCs w:val="18"/>
              </w:rPr>
              <w:t>公积 金转 增股 本、 二级 市场 买卖</w:t>
            </w:r>
          </w:p>
        </w:tc>
        <w:tc>
          <w:tcPr>
            <w:tcW w:w="7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32.98</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1"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98"/>
              <w:jc w:val="both"/>
              <w:rPr>
                <w:rFonts w:ascii="宋体" w:hAnsi="宋体" w:cs="宋体" w:eastAsia="宋体" w:hint="default"/>
                <w:sz w:val="18"/>
                <w:szCs w:val="18"/>
              </w:rPr>
            </w:pPr>
            <w:r>
              <w:rPr>
                <w:rFonts w:ascii="宋体" w:hAnsi="宋体" w:cs="宋体" w:eastAsia="宋体" w:hint="default"/>
                <w:sz w:val="18"/>
                <w:szCs w:val="18"/>
              </w:rPr>
              <w:t>官 晓 岚</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2184"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36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415,042</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415,042</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按期 权计 划转 让、 公积 金转 增股</w:t>
            </w: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30.29</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324"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童 晨 晖</w:t>
            </w:r>
          </w:p>
        </w:tc>
        <w:tc>
          <w:tcPr>
            <w:tcW w:w="57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396" w:type="dxa"/>
            <w:tcBorders>
              <w:top w:val="single" w:sz="6" w:space="0" w:color="101010"/>
              <w:left w:val="single" w:sz="6" w:space="0" w:color="101010"/>
              <w:bottom w:val="nil" w:sz="6" w:space="0" w:color="auto"/>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2007</w:t>
            </w:r>
          </w:p>
        </w:tc>
        <w:tc>
          <w:tcPr>
            <w:tcW w:w="57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2010</w:t>
            </w:r>
          </w:p>
        </w:tc>
        <w:tc>
          <w:tcPr>
            <w:tcW w:w="936" w:type="dxa"/>
            <w:tcBorders>
              <w:top w:val="single" w:sz="6" w:space="0" w:color="101010"/>
              <w:left w:val="single" w:sz="6" w:space="0" w:color="101010"/>
              <w:bottom w:val="nil" w:sz="6" w:space="0" w:color="auto"/>
              <w:right w:val="single" w:sz="6" w:space="0" w:color="101010"/>
            </w:tcBorders>
          </w:tcPr>
          <w:p>
            <w:pPr/>
          </w:p>
        </w:tc>
        <w:tc>
          <w:tcPr>
            <w:tcW w:w="936"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936"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712"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57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0"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会秘</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0</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2"/>
                <w:sz w:val="18"/>
              </w:rPr>
              <w:t>11.73</w:t>
            </w: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书</w:t>
            </w:r>
          </w:p>
        </w:tc>
        <w:tc>
          <w:tcPr>
            <w:tcW w:w="396" w:type="dxa"/>
            <w:tcBorders>
              <w:top w:val="nil" w:sz="6" w:space="0" w:color="auto"/>
              <w:left w:val="single" w:sz="6" w:space="0" w:color="101010"/>
              <w:bottom w:val="nil" w:sz="6" w:space="0" w:color="auto"/>
              <w:right w:val="single" w:sz="6" w:space="0" w:color="101010"/>
            </w:tcBorders>
          </w:tcPr>
          <w:p>
            <w:pPr/>
          </w:p>
        </w:tc>
        <w:tc>
          <w:tcPr>
            <w:tcW w:w="396" w:type="dxa"/>
            <w:tcBorders>
              <w:top w:val="nil" w:sz="6" w:space="0" w:color="auto"/>
              <w:left w:val="single" w:sz="6" w:space="0" w:color="101010"/>
              <w:bottom w:val="nil" w:sz="6" w:space="0" w:color="auto"/>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8"/>
              <w:ind w:left="100"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single" w:sz="6" w:space="0" w:color="101010"/>
              <w:bottom w:val="nil" w:sz="6" w:space="0" w:color="auto"/>
              <w:right w:val="single" w:sz="6" w:space="0" w:color="101010"/>
            </w:tcBorders>
          </w:tcPr>
          <w:p>
            <w:pPr>
              <w:pStyle w:val="TableParagraph"/>
              <w:spacing w:line="240" w:lineRule="auto" w:before="48"/>
              <w:ind w:left="100" w:right="0"/>
              <w:jc w:val="left"/>
              <w:rPr>
                <w:rFonts w:ascii="Times New Roman" w:hAnsi="Times New Roman" w:cs="Times New Roman" w:eastAsia="Times New Roman" w:hint="default"/>
                <w:sz w:val="18"/>
                <w:szCs w:val="18"/>
              </w:rPr>
            </w:pPr>
            <w:r>
              <w:rPr>
                <w:rFonts w:ascii="Times New Roman"/>
                <w:sz w:val="18"/>
              </w:rPr>
              <w:t>15</w:t>
            </w:r>
          </w:p>
        </w:tc>
        <w:tc>
          <w:tcPr>
            <w:tcW w:w="936" w:type="dxa"/>
            <w:tcBorders>
              <w:top w:val="nil" w:sz="6" w:space="0" w:color="auto"/>
              <w:left w:val="single" w:sz="6" w:space="0" w:color="101010"/>
              <w:bottom w:val="nil" w:sz="6" w:space="0" w:color="auto"/>
              <w:right w:val="single" w:sz="6" w:space="0" w:color="101010"/>
            </w:tcBorders>
          </w:tcPr>
          <w:p>
            <w:pPr/>
          </w:p>
        </w:tc>
        <w:tc>
          <w:tcPr>
            <w:tcW w:w="936"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936"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712" w:type="dxa"/>
            <w:tcBorders>
              <w:top w:val="nil" w:sz="6" w:space="0" w:color="auto"/>
              <w:left w:val="single" w:sz="6" w:space="0" w:color="101010"/>
              <w:bottom w:val="nil" w:sz="6" w:space="0" w:color="auto"/>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576" w:type="dxa"/>
            <w:tcBorders>
              <w:top w:val="nil" w:sz="6" w:space="0" w:color="auto"/>
              <w:left w:val="single" w:sz="6" w:space="0" w:color="101010"/>
              <w:bottom w:val="nil" w:sz="6" w:space="0" w:color="auto"/>
              <w:right w:val="single" w:sz="6" w:space="0" w:color="101010"/>
            </w:tcBorders>
          </w:tcPr>
          <w:p>
            <w:pPr/>
          </w:p>
        </w:tc>
      </w:tr>
      <w:tr>
        <w:trPr>
          <w:trHeight w:val="314" w:hRule="exact"/>
        </w:trPr>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396" w:type="dxa"/>
            <w:tcBorders>
              <w:top w:val="nil" w:sz="6" w:space="0" w:color="auto"/>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nil" w:sz="6" w:space="0" w:color="auto"/>
              <w:left w:val="single" w:sz="6" w:space="0" w:color="101010"/>
              <w:bottom w:val="single" w:sz="6" w:space="0" w:color="101010"/>
              <w:right w:val="single" w:sz="6" w:space="0" w:color="101010"/>
            </w:tcBorders>
          </w:tcPr>
          <w:p>
            <w:pPr/>
          </w:p>
        </w:tc>
        <w:tc>
          <w:tcPr>
            <w:tcW w:w="936"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936"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712"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6" w:type="dxa"/>
            <w:tcBorders>
              <w:top w:val="nil" w:sz="6" w:space="0" w:color="auto"/>
              <w:left w:val="single" w:sz="6" w:space="0" w:color="101010"/>
              <w:bottom w:val="single" w:sz="6" w:space="0" w:color="101010"/>
              <w:right w:val="single" w:sz="6" w:space="0" w:color="101010"/>
            </w:tcBorders>
          </w:tcPr>
          <w:p>
            <w:pPr/>
          </w:p>
        </w:tc>
      </w:tr>
      <w:tr>
        <w:trPr>
          <w:trHeight w:val="640"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合 计</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101010"/>
              <w:left w:val="single" w:sz="6" w:space="0" w:color="101010"/>
              <w:bottom w:val="single" w:sz="6" w:space="0" w:color="101010"/>
              <w:right w:val="single" w:sz="6" w:space="0" w:color="101010"/>
            </w:tcBorders>
          </w:tcPr>
          <w:p>
            <w:pPr/>
          </w:p>
        </w:tc>
        <w:tc>
          <w:tcPr>
            <w:tcW w:w="93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391.95</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right="4186"/>
        <w:jc w:val="left"/>
      </w:pPr>
      <w:r>
        <w:rPr/>
        <w:t>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21"/>
        <w:ind w:left="223" w:right="904"/>
        <w:jc w:val="left"/>
      </w:pPr>
      <w:r>
        <w:rPr>
          <w:rFonts w:ascii="Times New Roman" w:hAnsi="Times New Roman" w:cs="Times New Roman" w:eastAsia="Times New Roman" w:hint="default"/>
        </w:rPr>
        <w:t>(1)</w:t>
      </w:r>
      <w:r>
        <w:rPr/>
        <w:t>彭政纲</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年至今，曾任公司董事长、副董事长，现任公司董事长。</w:t>
      </w:r>
    </w:p>
    <w:p>
      <w:pPr>
        <w:pStyle w:val="BodyText"/>
        <w:spacing w:line="240" w:lineRule="auto" w:before="21"/>
        <w:ind w:left="223" w:right="904"/>
        <w:jc w:val="left"/>
      </w:pP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w:t>
      </w:r>
      <w:r>
        <w:rPr>
          <w:w w:val="99"/>
        </w:rPr>
        <w:t>刘曙峰</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w w:val="99"/>
        </w:rPr>
        <w:t>3 </w:t>
      </w:r>
      <w:r>
        <w:rPr>
          <w:w w:val="99"/>
        </w:rPr>
        <w:t>年至今</w:t>
      </w:r>
      <w:r>
        <w:rPr>
          <w:spacing w:val="-2"/>
          <w:w w:val="99"/>
        </w:rPr>
        <w:t>，</w:t>
      </w:r>
      <w:r>
        <w:rPr>
          <w:w w:val="99"/>
        </w:rPr>
        <w:t>曾任公司董事、副总经理</w:t>
      </w:r>
      <w:r>
        <w:rPr>
          <w:spacing w:val="-105"/>
          <w:w w:val="99"/>
        </w:rPr>
        <w:t>、</w:t>
      </w:r>
      <w:r>
        <w:rPr>
          <w:w w:val="99"/>
        </w:rPr>
        <w:t>，现任</w:t>
      </w:r>
      <w:r>
        <w:rPr>
          <w:spacing w:val="-2"/>
          <w:w w:val="99"/>
        </w:rPr>
        <w:t>公</w:t>
      </w:r>
      <w:r>
        <w:rPr>
          <w:w w:val="99"/>
        </w:rPr>
        <w:t>司董事、总经理、财务负责人。</w:t>
      </w:r>
      <w:r>
        <w:rPr/>
      </w:r>
    </w:p>
    <w:p>
      <w:pPr>
        <w:pStyle w:val="BodyText"/>
        <w:spacing w:line="240" w:lineRule="auto" w:before="21"/>
        <w:ind w:left="223" w:right="904"/>
        <w:jc w:val="left"/>
      </w:pPr>
      <w:r>
        <w:rPr>
          <w:rFonts w:ascii="Times New Roman" w:hAnsi="Times New Roman" w:cs="Times New Roman" w:eastAsia="Times New Roman" w:hint="default"/>
        </w:rPr>
        <w:t>(3)</w:t>
      </w:r>
      <w:r>
        <w:rPr/>
        <w:t>陈鸿</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年至今，曾任公司副董事长、副总经理，现任董事。</w:t>
      </w:r>
    </w:p>
    <w:p>
      <w:pPr>
        <w:pStyle w:val="BodyText"/>
        <w:spacing w:line="240" w:lineRule="auto" w:before="21"/>
        <w:ind w:left="223" w:right="4186"/>
        <w:jc w:val="left"/>
      </w:pPr>
      <w:r>
        <w:rPr>
          <w:rFonts w:ascii="Times New Roman" w:hAnsi="Times New Roman" w:cs="Times New Roman" w:eastAsia="Times New Roman" w:hint="default"/>
        </w:rPr>
        <w:t>(4)</w:t>
      </w:r>
      <w:r>
        <w:rPr/>
        <w:t>蒋建圣</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年至今，任公司董事、副总经理。</w:t>
      </w:r>
    </w:p>
    <w:p>
      <w:pPr>
        <w:pStyle w:val="BodyText"/>
        <w:spacing w:line="240" w:lineRule="auto" w:before="21"/>
        <w:ind w:left="223" w:right="4186"/>
        <w:jc w:val="left"/>
      </w:pPr>
      <w:r>
        <w:rPr>
          <w:rFonts w:ascii="Times New Roman" w:hAnsi="Times New Roman" w:cs="Times New Roman" w:eastAsia="Times New Roman" w:hint="default"/>
        </w:rPr>
        <w:t>(5)</w:t>
      </w:r>
      <w:r>
        <w:rPr/>
        <w:t>王则江</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年至今，任公司董事。</w:t>
      </w:r>
    </w:p>
    <w:p>
      <w:pPr>
        <w:pStyle w:val="BodyText"/>
        <w:spacing w:line="240" w:lineRule="auto" w:before="21"/>
        <w:ind w:left="223" w:right="904"/>
        <w:jc w:val="left"/>
      </w:pPr>
      <w:r>
        <w:rPr>
          <w:rFonts w:ascii="Times New Roman" w:hAnsi="Times New Roman" w:cs="Times New Roman" w:eastAsia="Times New Roman" w:hint="default"/>
        </w:rPr>
        <w:t>(6)</w:t>
      </w:r>
      <w:r>
        <w:rPr/>
        <w:t>盛杰伟</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年至今，任杭州普维光电技术有限公司董事长。</w:t>
      </w:r>
    </w:p>
    <w:p>
      <w:pPr>
        <w:pStyle w:val="BodyText"/>
        <w:spacing w:line="240" w:lineRule="auto" w:before="21"/>
        <w:ind w:left="223" w:right="904"/>
        <w:jc w:val="left"/>
      </w:pPr>
      <w:r>
        <w:rPr>
          <w:rFonts w:ascii="Times New Roman" w:hAnsi="Times New Roman" w:cs="Times New Roman" w:eastAsia="Times New Roman" w:hint="default"/>
        </w:rPr>
        <w:t>(7)</w:t>
      </w:r>
      <w:r>
        <w:rPr/>
        <w:t>马占春</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年以来一直在中国投资担保有限公司工作，现任总经理职务。</w:t>
      </w:r>
    </w:p>
    <w:p>
      <w:pPr>
        <w:pStyle w:val="BodyText"/>
        <w:spacing w:line="256" w:lineRule="auto" w:before="21"/>
        <w:ind w:right="1525" w:firstLine="105"/>
        <w:jc w:val="left"/>
      </w:pPr>
      <w:r>
        <w:rPr>
          <w:rFonts w:ascii="Times New Roman" w:hAnsi="Times New Roman" w:cs="Times New Roman" w:eastAsia="Times New Roman" w:hint="default"/>
        </w:rPr>
        <w:t>(8)</w:t>
      </w:r>
      <w:r>
        <w:rPr/>
        <w:t>程厚博</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年至</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年在深圳创新投资集团公司工作，任副总裁，现任深圳东方富海投</w:t>
      </w:r>
      <w:r>
        <w:rPr>
          <w:w w:val="99"/>
        </w:rPr>
        <w:t> </w:t>
      </w:r>
      <w:r>
        <w:rPr/>
        <w:t>资管理有限公司总裁。</w:t>
      </w:r>
    </w:p>
    <w:p>
      <w:pPr>
        <w:pStyle w:val="BodyText"/>
        <w:spacing w:line="256" w:lineRule="auto" w:before="22"/>
        <w:ind w:left="118" w:right="1530" w:firstLine="105"/>
        <w:jc w:val="left"/>
      </w:pPr>
      <w:r>
        <w:rPr>
          <w:rFonts w:ascii="Times New Roman" w:hAnsi="Times New Roman" w:cs="Times New Roman" w:eastAsia="Times New Roman" w:hint="default"/>
        </w:rPr>
        <w:t>(9)</w:t>
      </w:r>
      <w:r>
        <w:rPr/>
        <w:t>胡本立</w:t>
      </w:r>
      <w:r>
        <w:rPr>
          <w:rFonts w:ascii="Times New Roman" w:hAnsi="Times New Roman" w:cs="Times New Roman" w:eastAsia="Times New Roman" w:hint="default"/>
        </w:rPr>
        <w:t>,2002-2003 </w:t>
      </w:r>
      <w:r>
        <w:rPr>
          <w:spacing w:val="-4"/>
        </w:rPr>
        <w:t>年任中国证监会战略及规划委员会委员。</w:t>
      </w:r>
      <w:r>
        <w:rPr>
          <w:rFonts w:ascii="Times New Roman" w:hAnsi="Times New Roman" w:cs="Times New Roman" w:eastAsia="Times New Roman" w:hint="default"/>
          <w:spacing w:val="-4"/>
        </w:rPr>
        <w:t>2004-2005</w:t>
      </w:r>
      <w:r>
        <w:rPr>
          <w:rFonts w:ascii="Times New Roman" w:hAnsi="Times New Roman" w:cs="Times New Roman" w:eastAsia="Times New Roman" w:hint="default"/>
          <w:spacing w:val="17"/>
        </w:rPr>
        <w:t> </w:t>
      </w:r>
      <w:r>
        <w:rPr/>
        <w:t>年任中国社保基金国</w:t>
      </w:r>
      <w:r>
        <w:rPr>
          <w:w w:val="99"/>
        </w:rPr>
        <w:t> </w:t>
      </w:r>
      <w:r>
        <w:rPr/>
        <w:t>家理事会高级顾问、</w:t>
      </w:r>
      <w:r>
        <w:rPr>
          <w:rFonts w:ascii="Times New Roman" w:hAnsi="Times New Roman" w:cs="Times New Roman" w:eastAsia="Times New Roman" w:hint="default"/>
        </w:rPr>
        <w:t>HP</w:t>
      </w:r>
      <w:r>
        <w:rPr>
          <w:rFonts w:ascii="Times New Roman" w:hAnsi="Times New Roman" w:cs="Times New Roman" w:eastAsia="Times New Roman" w:hint="default"/>
          <w:spacing w:val="-2"/>
        </w:rPr>
        <w:t> </w:t>
      </w:r>
      <w:r>
        <w:rPr/>
        <w:t>中国高级总顾问。</w:t>
      </w:r>
    </w:p>
    <w:p>
      <w:pPr>
        <w:spacing w:after="0" w:line="256" w:lineRule="auto"/>
        <w:jc w:val="left"/>
        <w:sectPr>
          <w:pgSz w:w="11910" w:h="16840"/>
          <w:pgMar w:header="0" w:footer="1243" w:top="1360" w:bottom="1440" w:left="1680" w:right="20"/>
        </w:sectPr>
      </w:pPr>
    </w:p>
    <w:p>
      <w:pPr>
        <w:pStyle w:val="BodyText"/>
        <w:spacing w:line="240" w:lineRule="auto" w:before="25"/>
        <w:ind w:left="223" w:right="452"/>
        <w:jc w:val="left"/>
      </w:pPr>
      <w:r>
        <w:rPr>
          <w:rFonts w:ascii="Times New Roman" w:hAnsi="Times New Roman" w:cs="Times New Roman" w:eastAsia="Times New Roman" w:hint="default"/>
        </w:rPr>
        <w:t>(10)</w:t>
      </w:r>
      <w:r>
        <w:rPr/>
        <w:t>李尊农</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t>年至今在中兴华会计师事务所有限责任公司任董事长。</w:t>
      </w:r>
    </w:p>
    <w:p>
      <w:pPr>
        <w:pStyle w:val="BodyText"/>
        <w:spacing w:line="256" w:lineRule="auto" w:before="21"/>
        <w:ind w:left="222" w:right="1453"/>
        <w:jc w:val="left"/>
      </w:pPr>
      <w:r>
        <w:rPr>
          <w:rFonts w:ascii="Times New Roman" w:hAnsi="Times New Roman" w:cs="Times New Roman" w:eastAsia="Times New Roman" w:hint="default"/>
        </w:rPr>
        <w:t>(11)</w:t>
      </w:r>
      <w:r>
        <w:rPr/>
        <w:t>俞建午</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年至今一直在杭州宋都房地产集团有限公司工作，任董事长兼总经理。</w:t>
      </w:r>
      <w:r>
        <w:rPr>
          <w:w w:val="99"/>
        </w:rPr>
        <w:t> </w:t>
      </w:r>
      <w:r>
        <w:rPr>
          <w:rFonts w:ascii="Times New Roman" w:hAnsi="Times New Roman" w:cs="Times New Roman" w:eastAsia="Times New Roman" w:hint="default"/>
        </w:rPr>
        <w:t>(12)</w:t>
      </w:r>
      <w:r>
        <w:rPr/>
        <w:t>彭小益</w:t>
      </w:r>
      <w:r>
        <w:rPr>
          <w:rFonts w:ascii="Times New Roman" w:hAnsi="Times New Roman" w:cs="Times New Roman" w:eastAsia="Times New Roman" w:hint="default"/>
        </w:rPr>
        <w:t>,2003-2006 </w:t>
      </w:r>
      <w:r>
        <w:rPr/>
        <w:t>年任恒生电子股份有限公司证券事业部技术总监助理。</w:t>
      </w:r>
      <w:r>
        <w:rPr>
          <w:w w:val="99"/>
        </w:rPr>
        <w:t> </w:t>
      </w:r>
      <w:r>
        <w:rPr>
          <w:rFonts w:ascii="Times New Roman" w:hAnsi="Times New Roman" w:cs="Times New Roman" w:eastAsia="Times New Roman" w:hint="default"/>
        </w:rPr>
        <w:t>(13)</w:t>
      </w:r>
      <w:r>
        <w:rPr/>
        <w:t>钱屹俊</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t>年至今，任公司监事、审计部负责人。</w:t>
      </w:r>
    </w:p>
    <w:p>
      <w:pPr>
        <w:pStyle w:val="BodyText"/>
        <w:spacing w:line="240" w:lineRule="auto" w:before="5"/>
        <w:ind w:left="222" w:right="452"/>
        <w:jc w:val="left"/>
      </w:pPr>
      <w:r>
        <w:rPr>
          <w:rFonts w:ascii="Times New Roman" w:hAnsi="Times New Roman" w:cs="Times New Roman" w:eastAsia="Times New Roman" w:hint="default"/>
        </w:rPr>
        <w:t>(14)</w:t>
      </w:r>
      <w:r>
        <w:rPr/>
        <w:t>屠海雁</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spacing w:val="-3"/>
        </w:rPr>
        <w:t>年至今，一直在恒生电子股份有限公司工作，现负责公司董事会办公室事务。</w:t>
      </w:r>
    </w:p>
    <w:p>
      <w:pPr>
        <w:pStyle w:val="BodyText"/>
        <w:spacing w:line="240" w:lineRule="auto" w:before="21"/>
        <w:ind w:left="222" w:right="452"/>
        <w:jc w:val="left"/>
      </w:pPr>
      <w:r>
        <w:rPr>
          <w:rFonts w:ascii="Times New Roman" w:hAnsi="Times New Roman" w:cs="Times New Roman" w:eastAsia="Times New Roman" w:hint="default"/>
        </w:rPr>
        <w:t>(15)</w:t>
      </w:r>
      <w:r>
        <w:rPr/>
        <w:t>方汉林</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年以来一直在本公司工作，</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月起任公司副总经理。</w:t>
      </w:r>
    </w:p>
    <w:p>
      <w:pPr>
        <w:pStyle w:val="BodyText"/>
        <w:spacing w:line="240" w:lineRule="auto" w:before="21"/>
        <w:ind w:left="222" w:right="452"/>
        <w:jc w:val="left"/>
        <w:rPr>
          <w:rFonts w:ascii="Times New Roman" w:hAnsi="Times New Roman" w:cs="Times New Roman" w:eastAsia="Times New Roman" w:hint="default"/>
        </w:rPr>
      </w:pPr>
      <w:r>
        <w:rPr>
          <w:rFonts w:ascii="Times New Roman" w:hAnsi="Times New Roman" w:cs="Times New Roman" w:eastAsia="Times New Roman" w:hint="default"/>
          <w:w w:val="99"/>
        </w:rPr>
        <w:t>(16</w:t>
      </w:r>
      <w:r>
        <w:rPr>
          <w:rFonts w:ascii="Times New Roman" w:hAnsi="Times New Roman" w:cs="Times New Roman" w:eastAsia="Times New Roman" w:hint="default"/>
          <w:spacing w:val="-1"/>
          <w:w w:val="99"/>
        </w:rPr>
        <w:t>)</w:t>
      </w:r>
      <w:r>
        <w:rPr>
          <w:w w:val="99"/>
        </w:rPr>
        <w:t>林剑辉</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03</w:t>
      </w:r>
      <w:r>
        <w:rPr>
          <w:rFonts w:ascii="Times New Roman" w:hAnsi="Times New Roman" w:cs="Times New Roman" w:eastAsia="Times New Roman" w:hint="default"/>
          <w:spacing w:val="-3"/>
          <w:w w:val="99"/>
        </w:rPr>
        <w:t> </w:t>
      </w:r>
      <w:r>
        <w:rPr>
          <w:w w:val="99"/>
        </w:rPr>
        <w:t>年</w:t>
      </w:r>
      <w:r>
        <w:rPr>
          <w:spacing w:val="-57"/>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3"/>
          <w:w w:val="99"/>
        </w:rPr>
        <w:t> </w:t>
      </w:r>
      <w:r>
        <w:rPr>
          <w:spacing w:val="-2"/>
          <w:w w:val="99"/>
        </w:rPr>
        <w:t>月</w:t>
      </w:r>
      <w:r>
        <w:rPr>
          <w:w w:val="99"/>
        </w:rPr>
        <w:t>至</w:t>
      </w:r>
      <w:r>
        <w:rPr>
          <w:spacing w:val="-56"/>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05</w:t>
      </w:r>
      <w:r>
        <w:rPr>
          <w:rFonts w:ascii="Times New Roman" w:hAnsi="Times New Roman" w:cs="Times New Roman" w:eastAsia="Times New Roman" w:hint="default"/>
          <w:spacing w:val="-3"/>
          <w:w w:val="99"/>
        </w:rPr>
        <w:t> </w:t>
      </w:r>
      <w:r>
        <w:rPr>
          <w:w w:val="99"/>
        </w:rPr>
        <w:t>年</w:t>
      </w:r>
      <w:r>
        <w:rPr>
          <w:spacing w:val="-57"/>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4"/>
          <w:w w:val="99"/>
        </w:rPr>
        <w:t> </w:t>
      </w:r>
      <w:r>
        <w:rPr>
          <w:w w:val="99"/>
        </w:rPr>
        <w:t>月</w:t>
      </w:r>
      <w:r>
        <w:rPr>
          <w:spacing w:val="-105"/>
          <w:w w:val="99"/>
        </w:rPr>
        <w:t>，</w:t>
      </w:r>
      <w:r>
        <w:rPr>
          <w:w w:val="99"/>
        </w:rPr>
        <w:t>任光宝</w:t>
      </w:r>
      <w:r>
        <w:rPr>
          <w:rFonts w:ascii="Times New Roman" w:hAnsi="Times New Roman" w:cs="Times New Roman" w:eastAsia="Times New Roman" w:hint="default"/>
          <w:spacing w:val="-1"/>
          <w:w w:val="99"/>
        </w:rPr>
        <w:t>(</w:t>
      </w:r>
      <w:r>
        <w:rPr>
          <w:w w:val="99"/>
        </w:rPr>
        <w:t>广州</w:t>
      </w:r>
      <w:r>
        <w:rPr>
          <w:rFonts w:ascii="Times New Roman" w:hAnsi="Times New Roman" w:cs="Times New Roman" w:eastAsia="Times New Roman" w:hint="default"/>
          <w:spacing w:val="-1"/>
          <w:w w:val="99"/>
        </w:rPr>
        <w:t>)</w:t>
      </w:r>
      <w:r>
        <w:rPr>
          <w:w w:val="99"/>
        </w:rPr>
        <w:t>计算机科技有限公司中国区总经理</w:t>
      </w:r>
      <w:r>
        <w:rPr>
          <w:spacing w:val="-105"/>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05</w:t>
      </w:r>
      <w:r>
        <w:rPr>
          <w:rFonts w:ascii="Times New Roman" w:hAnsi="Times New Roman" w:cs="Times New Roman" w:eastAsia="Times New Roman" w:hint="default"/>
        </w:rPr>
      </w:r>
    </w:p>
    <w:p>
      <w:pPr>
        <w:pStyle w:val="BodyText"/>
        <w:spacing w:line="240" w:lineRule="auto" w:before="21"/>
        <w:ind w:left="116" w:right="3876"/>
        <w:jc w:val="left"/>
      </w:pP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月起，任公司副总经理。</w:t>
      </w:r>
    </w:p>
    <w:p>
      <w:pPr>
        <w:pStyle w:val="BodyText"/>
        <w:spacing w:line="256" w:lineRule="auto" w:before="21"/>
        <w:ind w:left="116" w:right="1002" w:firstLine="105"/>
        <w:jc w:val="left"/>
      </w:pPr>
      <w:r>
        <w:rPr>
          <w:rFonts w:ascii="Times New Roman" w:hAnsi="Times New Roman" w:cs="Times New Roman" w:eastAsia="Times New Roman" w:hint="default"/>
        </w:rPr>
        <w:t>(17)</w:t>
      </w:r>
      <w:r>
        <w:rPr/>
        <w:t>范径武</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年至今，任公司证券研发部经理、证券事业部副总经理。目前担任证券事业</w:t>
      </w:r>
      <w:r>
        <w:rPr>
          <w:w w:val="99"/>
        </w:rPr>
        <w:t> </w:t>
      </w:r>
      <w:r>
        <w:rPr/>
        <w:t>部技术总监、公司技术总监、公司副总经理。</w:t>
      </w:r>
    </w:p>
    <w:p>
      <w:pPr>
        <w:pStyle w:val="BodyText"/>
        <w:spacing w:line="256" w:lineRule="auto" w:before="22"/>
        <w:ind w:left="115" w:right="1003" w:firstLine="105"/>
        <w:jc w:val="left"/>
      </w:pPr>
      <w:r>
        <w:rPr>
          <w:rFonts w:ascii="Times New Roman" w:hAnsi="Times New Roman" w:cs="Times New Roman" w:eastAsia="Times New Roman" w:hint="default"/>
        </w:rPr>
        <w:t>(18)</w:t>
      </w:r>
      <w:r>
        <w:rPr/>
        <w:t>官晓岚</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年至今，任证券行业市场总监、证券行业副总经理、证券事业部总经理。现</w:t>
      </w:r>
      <w:r>
        <w:rPr>
          <w:w w:val="99"/>
        </w:rPr>
        <w:t> </w:t>
      </w:r>
      <w:r>
        <w:rPr/>
        <w:t>任证券事业部总经理、公司副总经理。</w:t>
      </w:r>
    </w:p>
    <w:p>
      <w:pPr>
        <w:pStyle w:val="BodyText"/>
        <w:spacing w:line="256" w:lineRule="auto" w:before="22"/>
        <w:ind w:left="115" w:right="1003" w:firstLine="105"/>
        <w:jc w:val="left"/>
      </w:pPr>
      <w:r>
        <w:rPr>
          <w:rFonts w:ascii="Times New Roman" w:hAnsi="Times New Roman" w:cs="Times New Roman" w:eastAsia="Times New Roman" w:hint="default"/>
        </w:rPr>
        <w:t>(19)</w:t>
      </w:r>
      <w:r>
        <w:rPr/>
        <w:t>童晨晖</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年起先后任职于恒生电子股份有限公司投资发展部高级经理、杭州恒生世纪</w:t>
      </w:r>
      <w:r>
        <w:rPr>
          <w:w w:val="99"/>
        </w:rPr>
        <w:t> </w:t>
      </w:r>
      <w:r>
        <w:rPr/>
        <w:t>实业有限公司董事、总经理助理，现任公司董事会秘书、投资总监。</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0"/>
        <w:ind w:left="115" w:right="387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在股东单位任职情况</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53"/>
        <w:gridCol w:w="1982"/>
        <w:gridCol w:w="1520"/>
        <w:gridCol w:w="1522"/>
        <w:gridCol w:w="1520"/>
        <w:gridCol w:w="1452"/>
      </w:tblGrid>
      <w:tr>
        <w:trPr>
          <w:trHeight w:val="638" w:hRule="exact"/>
        </w:trPr>
        <w:tc>
          <w:tcPr>
            <w:tcW w:w="1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3"/>
              <w:jc w:val="center"/>
              <w:rPr>
                <w:rFonts w:ascii="宋体" w:hAnsi="宋体" w:cs="宋体" w:eastAsia="宋体" w:hint="default"/>
                <w:sz w:val="21"/>
                <w:szCs w:val="21"/>
              </w:rPr>
            </w:pPr>
            <w:r>
              <w:rPr>
                <w:rFonts w:ascii="宋体" w:hAnsi="宋体" w:cs="宋体" w:eastAsia="宋体" w:hint="default"/>
                <w:sz w:val="21"/>
                <w:szCs w:val="21"/>
              </w:rPr>
              <w:t>姓名</w:t>
            </w:r>
          </w:p>
        </w:tc>
        <w:tc>
          <w:tcPr>
            <w:tcW w:w="19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350"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22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2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left="12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400" w:right="195" w:hanging="210"/>
              <w:jc w:val="left"/>
              <w:rPr>
                <w:rFonts w:ascii="宋体" w:hAnsi="宋体" w:cs="宋体" w:eastAsia="宋体" w:hint="default"/>
                <w:sz w:val="21"/>
                <w:szCs w:val="21"/>
              </w:rPr>
            </w:pPr>
            <w:r>
              <w:rPr>
                <w:rFonts w:ascii="宋体" w:hAnsi="宋体" w:cs="宋体" w:eastAsia="宋体" w:hint="default"/>
                <w:sz w:val="21"/>
                <w:szCs w:val="21"/>
              </w:rPr>
              <w:t>是否领取报 酬津贴</w:t>
            </w:r>
          </w:p>
        </w:tc>
      </w:tr>
      <w:tr>
        <w:trPr>
          <w:trHeight w:val="640" w:hRule="exact"/>
        </w:trPr>
        <w:tc>
          <w:tcPr>
            <w:tcW w:w="1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9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中国投资担保有限</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522" w:type="dxa"/>
            <w:tcBorders>
              <w:top w:val="single" w:sz="6" w:space="0" w:color="101010"/>
              <w:left w:val="single" w:sz="6" w:space="0" w:color="101010"/>
              <w:bottom w:val="single" w:sz="6" w:space="0" w:color="101010"/>
              <w:right w:val="single" w:sz="6" w:space="0" w:color="101010"/>
            </w:tcBorders>
          </w:tcPr>
          <w:p>
            <w:pPr/>
          </w:p>
        </w:tc>
        <w:tc>
          <w:tcPr>
            <w:tcW w:w="1520" w:type="dxa"/>
            <w:tcBorders>
              <w:top w:val="single" w:sz="6" w:space="0" w:color="101010"/>
              <w:left w:val="single" w:sz="6" w:space="0" w:color="101010"/>
              <w:bottom w:val="single" w:sz="6" w:space="0" w:color="101010"/>
              <w:right w:val="single" w:sz="6" w:space="0" w:color="101010"/>
            </w:tcBorders>
          </w:tcPr>
          <w:p>
            <w:pP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9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杭州恒生电子集团</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9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杭州恒生电子集团</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9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杭州恒生电子集团</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9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杭州恒生电子集团</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9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杭州恒生电子集团</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彭小益</w:t>
            </w:r>
          </w:p>
        </w:tc>
        <w:tc>
          <w:tcPr>
            <w:tcW w:w="19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杭州恒生电子集团</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pStyle w:val="BodyText"/>
        <w:spacing w:line="273" w:lineRule="auto" w:before="35"/>
        <w:ind w:left="328" w:right="3876" w:hanging="212"/>
        <w:jc w:val="left"/>
      </w:pPr>
      <w:r>
        <w:rPr/>
        <w:t>在其他单位任职情况 截止本报告期末公司无董事、监事、高管在其他单位任职。</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56" w:lineRule="auto" w:before="0"/>
        <w:ind w:right="45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董事、监事、高级管理人员报酬情况</w:t>
      </w:r>
      <w:r>
        <w:rPr>
          <w:w w:val="99"/>
        </w:rPr>
        <w:t> </w:t>
      </w:r>
      <w:r>
        <w:rPr>
          <w:rFonts w:ascii="Times New Roman" w:hAnsi="Times New Roman" w:cs="Times New Roman" w:eastAsia="Times New Roman" w:hint="default"/>
          <w:spacing w:val="-2"/>
        </w:rPr>
        <w:t>1</w:t>
      </w:r>
      <w:r>
        <w:rPr>
          <w:spacing w:val="-2"/>
        </w:rPr>
        <w:t>、董事、监事、高级管理人员报酬的决策程序</w:t>
      </w:r>
      <w:r>
        <w:rPr>
          <w:rFonts w:ascii="Times New Roman" w:hAnsi="Times New Roman" w:cs="Times New Roman" w:eastAsia="Times New Roman" w:hint="default"/>
          <w:spacing w:val="-2"/>
        </w:rPr>
        <w:t>:</w:t>
      </w:r>
      <w:r>
        <w:rPr>
          <w:spacing w:val="-2"/>
        </w:rPr>
        <w:t>报告期内</w:t>
      </w:r>
      <w:r>
        <w:rPr>
          <w:rFonts w:ascii="Times New Roman" w:hAnsi="Times New Roman" w:cs="Times New Roman" w:eastAsia="Times New Roman" w:hint="default"/>
          <w:spacing w:val="-2"/>
        </w:rPr>
        <w:t>,</w:t>
      </w:r>
      <w:r>
        <w:rPr>
          <w:spacing w:val="-2"/>
        </w:rPr>
        <w:t>在公司领取薪酬的董事、监事和高级</w:t>
      </w:r>
      <w:r>
        <w:rPr>
          <w:spacing w:val="-88"/>
        </w:rPr>
        <w:t> </w:t>
      </w:r>
      <w:r>
        <w:rPr>
          <w:spacing w:val="-88"/>
        </w:rPr>
      </w:r>
      <w:r>
        <w:rPr/>
        <w:t>管理人员的报酬均根据公司制订的有关薪酬考核的规定确定。</w:t>
      </w:r>
    </w:p>
    <w:p>
      <w:pPr>
        <w:spacing w:line="240" w:lineRule="auto" w:before="7"/>
        <w:rPr>
          <w:rFonts w:ascii="宋体" w:hAnsi="宋体" w:cs="宋体" w:eastAsia="宋体" w:hint="default"/>
          <w:sz w:val="25"/>
          <w:szCs w:val="25"/>
        </w:rPr>
      </w:pPr>
    </w:p>
    <w:p>
      <w:pPr>
        <w:pStyle w:val="BodyText"/>
        <w:spacing w:line="256" w:lineRule="auto" w:before="0"/>
        <w:ind w:right="452"/>
        <w:jc w:val="left"/>
      </w:pPr>
      <w:r>
        <w:rPr>
          <w:rFonts w:ascii="Times New Roman" w:hAnsi="Times New Roman" w:cs="Times New Roman" w:eastAsia="Times New Roman" w:hint="default"/>
        </w:rPr>
        <w:t>2</w:t>
      </w:r>
      <w:r>
        <w:rPr/>
        <w:t>、董事、监事、高级管理人员报酬确定依据：报告期内，薪酬委员会在年初制订的薪酬报告</w:t>
      </w:r>
      <w:r>
        <w:rPr>
          <w:spacing w:val="-67"/>
        </w:rPr>
        <w:t> </w:t>
      </w:r>
      <w:r>
        <w:rPr>
          <w:spacing w:val="-67"/>
        </w:rPr>
      </w:r>
      <w:r>
        <w:rPr/>
        <w:t>确定。</w:t>
      </w:r>
    </w:p>
    <w:p>
      <w:pPr>
        <w:spacing w:after="0" w:line="256" w:lineRule="auto"/>
        <w:jc w:val="left"/>
        <w:sectPr>
          <w:pgSz w:w="11910" w:h="16840"/>
          <w:pgMar w:header="0" w:footer="1243" w:top="1400" w:bottom="1440" w:left="1680" w:right="540"/>
        </w:sectPr>
      </w:pPr>
    </w:p>
    <w:p>
      <w:pPr>
        <w:pStyle w:val="BodyText"/>
        <w:spacing w:line="240" w:lineRule="auto" w:before="25"/>
        <w:ind w:right="3876"/>
        <w:jc w:val="left"/>
      </w:pPr>
      <w:r>
        <w:rPr>
          <w:rFonts w:ascii="Times New Roman" w:hAnsi="Times New Roman" w:cs="Times New Roman" w:eastAsia="Times New Roman" w:hint="default"/>
        </w:rPr>
        <w:t>3</w:t>
      </w:r>
      <w:r>
        <w:rPr/>
        <w:t>、不在公司领取报酬津贴的董事监事情况</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610"/>
        <w:gridCol w:w="4840"/>
      </w:tblGrid>
      <w:tr>
        <w:trPr>
          <w:trHeight w:val="434"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302" w:right="0"/>
              <w:jc w:val="left"/>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311" w:right="0"/>
              <w:jc w:val="left"/>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328"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right="3876"/>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公司董事、监事、高级管理人员变动情况</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00"/>
        <w:gridCol w:w="3980"/>
        <w:gridCol w:w="3319"/>
      </w:tblGrid>
      <w:tr>
        <w:trPr>
          <w:trHeight w:val="406" w:hRule="exact"/>
        </w:trPr>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9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3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离任原因</w:t>
            </w:r>
          </w:p>
        </w:tc>
      </w:tr>
      <w:tr>
        <w:trPr>
          <w:trHeight w:val="328" w:hRule="exact"/>
        </w:trPr>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刘翔</w:t>
            </w:r>
          </w:p>
        </w:tc>
        <w:tc>
          <w:tcPr>
            <w:tcW w:w="398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319"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个人原因</w:t>
            </w:r>
          </w:p>
        </w:tc>
      </w:tr>
    </w:tbl>
    <w:p>
      <w:pPr>
        <w:pStyle w:val="BodyText"/>
        <w:spacing w:line="276" w:lineRule="exact" w:before="0"/>
        <w:ind w:right="452"/>
        <w:jc w:val="left"/>
      </w:pPr>
      <w:r>
        <w:rPr/>
        <w:t>副总经理刘翔因个人原因辞职，相关信息见</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日的《上海证券报</w:t>
      </w:r>
      <w:r>
        <w:rPr>
          <w:spacing w:val="-105"/>
        </w:rPr>
        <w:t>》</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before="0"/>
        <w:ind w:right="387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公司员工情况</w:t>
      </w:r>
    </w:p>
    <w:p>
      <w:pPr>
        <w:pStyle w:val="BodyText"/>
        <w:spacing w:line="240" w:lineRule="auto" w:before="21"/>
        <w:ind w:left="328" w:right="452"/>
        <w:jc w:val="left"/>
      </w:pPr>
      <w:r>
        <w:rPr/>
        <w:t>截止报告期末</w:t>
      </w:r>
      <w:r>
        <w:rPr>
          <w:rFonts w:ascii="Times New Roman" w:hAnsi="Times New Roman" w:cs="Times New Roman" w:eastAsia="Times New Roman" w:hint="default"/>
        </w:rPr>
        <w:t>,</w:t>
      </w:r>
      <w:r>
        <w:rPr/>
        <w:t>公司在职员工为</w:t>
      </w:r>
      <w:r>
        <w:rPr>
          <w:spacing w:val="-55"/>
        </w:rPr>
        <w:t> </w:t>
      </w:r>
      <w:r>
        <w:rPr>
          <w:rFonts w:ascii="Times New Roman" w:hAnsi="Times New Roman" w:cs="Times New Roman" w:eastAsia="Times New Roman" w:hint="default"/>
        </w:rPr>
        <w:t>1,312</w:t>
      </w:r>
      <w:r>
        <w:rPr>
          <w:rFonts w:ascii="Times New Roman" w:hAnsi="Times New Roman" w:cs="Times New Roman" w:eastAsia="Times New Roman" w:hint="default"/>
          <w:spacing w:val="-2"/>
        </w:rPr>
        <w:t> </w:t>
      </w:r>
      <w:r>
        <w:rPr/>
        <w:t>人</w:t>
      </w:r>
      <w:r>
        <w:rPr>
          <w:rFonts w:ascii="Times New Roman" w:hAnsi="Times New Roman" w:cs="Times New Roman" w:eastAsia="Times New Roman" w:hint="default"/>
        </w:rPr>
        <w:t>,</w:t>
      </w:r>
      <w:r>
        <w:rPr/>
        <w:t>需承担费用的离退休职工为</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人。</w:t>
      </w:r>
    </w:p>
    <w:p>
      <w:pPr>
        <w:spacing w:line="240" w:lineRule="auto" w:before="6"/>
        <w:rPr>
          <w:rFonts w:ascii="宋体" w:hAnsi="宋体" w:cs="宋体" w:eastAsia="宋体" w:hint="default"/>
          <w:sz w:val="25"/>
          <w:szCs w:val="25"/>
        </w:rPr>
      </w:pPr>
    </w:p>
    <w:p>
      <w:pPr>
        <w:pStyle w:val="BodyText"/>
        <w:spacing w:line="240" w:lineRule="auto" w:before="0"/>
        <w:ind w:left="116" w:right="3876"/>
        <w:jc w:val="left"/>
      </w:pPr>
      <w:r>
        <w:rPr/>
        <w:t>员工的结构如下：</w:t>
      </w:r>
    </w:p>
    <w:p>
      <w:pPr>
        <w:pStyle w:val="BodyText"/>
        <w:spacing w:line="240" w:lineRule="auto" w:before="37"/>
        <w:ind w:left="116" w:right="3876"/>
        <w:jc w:val="left"/>
      </w:pPr>
      <w:r>
        <w:rPr>
          <w:rFonts w:ascii="Times New Roman" w:hAnsi="Times New Roman" w:cs="Times New Roman" w:eastAsia="Times New Roman" w:hint="default"/>
        </w:rPr>
        <w:t>1</w:t>
      </w:r>
      <w:r>
        <w:rPr/>
        <w:t>、专业构成情况</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605"/>
        <w:gridCol w:w="2845"/>
      </w:tblGrid>
      <w:tr>
        <w:trPr>
          <w:trHeight w:val="434" w:hRule="exact"/>
        </w:trPr>
        <w:tc>
          <w:tcPr>
            <w:tcW w:w="66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28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90" w:hRule="exact"/>
        </w:trPr>
        <w:tc>
          <w:tcPr>
            <w:tcW w:w="66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技术开发类</w:t>
            </w:r>
          </w:p>
        </w:tc>
        <w:tc>
          <w:tcPr>
            <w:tcW w:w="28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761</w:t>
            </w:r>
          </w:p>
        </w:tc>
      </w:tr>
      <w:tr>
        <w:trPr>
          <w:trHeight w:val="389" w:hRule="exact"/>
        </w:trPr>
        <w:tc>
          <w:tcPr>
            <w:tcW w:w="66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客户服务类</w:t>
            </w:r>
          </w:p>
        </w:tc>
        <w:tc>
          <w:tcPr>
            <w:tcW w:w="28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223</w:t>
            </w:r>
          </w:p>
        </w:tc>
      </w:tr>
      <w:tr>
        <w:trPr>
          <w:trHeight w:val="390" w:hRule="exact"/>
        </w:trPr>
        <w:tc>
          <w:tcPr>
            <w:tcW w:w="66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8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3"/>
                <w:sz w:val="21"/>
              </w:rPr>
              <w:t>118</w:t>
            </w:r>
          </w:p>
        </w:tc>
      </w:tr>
      <w:tr>
        <w:trPr>
          <w:trHeight w:val="389" w:hRule="exact"/>
        </w:trPr>
        <w:tc>
          <w:tcPr>
            <w:tcW w:w="66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专业支持人员</w:t>
            </w:r>
          </w:p>
        </w:tc>
        <w:tc>
          <w:tcPr>
            <w:tcW w:w="28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197</w:t>
            </w:r>
          </w:p>
        </w:tc>
      </w:tr>
      <w:tr>
        <w:trPr>
          <w:trHeight w:val="390" w:hRule="exact"/>
        </w:trPr>
        <w:tc>
          <w:tcPr>
            <w:tcW w:w="66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综合管理人员</w:t>
            </w:r>
          </w:p>
        </w:tc>
        <w:tc>
          <w:tcPr>
            <w:tcW w:w="28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13</w:t>
            </w:r>
          </w:p>
        </w:tc>
      </w:tr>
    </w:tbl>
    <w:p>
      <w:pPr>
        <w:spacing w:line="240" w:lineRule="auto" w:before="0"/>
        <w:rPr>
          <w:rFonts w:ascii="宋体" w:hAnsi="宋体" w:cs="宋体" w:eastAsia="宋体" w:hint="default"/>
          <w:sz w:val="20"/>
          <w:szCs w:val="20"/>
        </w:rPr>
      </w:pPr>
    </w:p>
    <w:p>
      <w:pPr>
        <w:pStyle w:val="BodyText"/>
        <w:spacing w:line="240" w:lineRule="auto" w:before="35"/>
        <w:ind w:right="3876"/>
        <w:jc w:val="left"/>
      </w:pPr>
      <w:r>
        <w:rPr>
          <w:rFonts w:ascii="Times New Roman" w:hAnsi="Times New Roman" w:cs="Times New Roman" w:eastAsia="Times New Roman" w:hint="default"/>
        </w:rPr>
        <w:t>2</w:t>
      </w:r>
      <w:r>
        <w:rPr/>
        <w:t>、教育程度情况</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444"/>
        <w:gridCol w:w="3006"/>
      </w:tblGrid>
      <w:tr>
        <w:trPr>
          <w:trHeight w:val="436" w:hRule="exact"/>
        </w:trPr>
        <w:tc>
          <w:tcPr>
            <w:tcW w:w="64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3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89" w:hRule="exact"/>
        </w:trPr>
        <w:tc>
          <w:tcPr>
            <w:tcW w:w="64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硕士以上学历</w:t>
            </w:r>
          </w:p>
        </w:tc>
        <w:tc>
          <w:tcPr>
            <w:tcW w:w="3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45</w:t>
            </w:r>
          </w:p>
        </w:tc>
      </w:tr>
      <w:tr>
        <w:trPr>
          <w:trHeight w:val="390" w:hRule="exact"/>
        </w:trPr>
        <w:tc>
          <w:tcPr>
            <w:tcW w:w="64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本科学历</w:t>
            </w:r>
          </w:p>
        </w:tc>
        <w:tc>
          <w:tcPr>
            <w:tcW w:w="3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1,014</w:t>
            </w:r>
          </w:p>
        </w:tc>
      </w:tr>
      <w:tr>
        <w:trPr>
          <w:trHeight w:val="389" w:hRule="exact"/>
        </w:trPr>
        <w:tc>
          <w:tcPr>
            <w:tcW w:w="64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3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218</w:t>
            </w:r>
          </w:p>
        </w:tc>
      </w:tr>
      <w:tr>
        <w:trPr>
          <w:trHeight w:val="390" w:hRule="exact"/>
        </w:trPr>
        <w:tc>
          <w:tcPr>
            <w:tcW w:w="64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3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z w:val="21"/>
              </w:rPr>
              <w:t>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before="35"/>
        <w:ind w:right="3876"/>
        <w:jc w:val="left"/>
        <w:rPr>
          <w:rFonts w:ascii="宋体" w:hAnsi="宋体" w:cs="宋体" w:eastAsia="宋体" w:hint="default"/>
          <w:b w:val="0"/>
          <w:bCs w:val="0"/>
        </w:rPr>
      </w:pPr>
      <w:bookmarkStart w:name="_TOC_250006" w:id="6"/>
      <w:r>
        <w:rPr>
          <w:rFonts w:ascii="宋体" w:hAnsi="宋体" w:cs="宋体" w:eastAsia="宋体" w:hint="default"/>
        </w:rPr>
        <w:t>六、公司治理结构</w:t>
      </w:r>
      <w:bookmarkEnd w:id="6"/>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56" w:lineRule="auto" w:before="0"/>
        <w:ind w:left="537" w:right="452"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公司治理的情况</w:t>
      </w:r>
      <w:r>
        <w:rPr>
          <w:w w:val="99"/>
        </w:rPr>
        <w:t> </w:t>
      </w:r>
      <w:r>
        <w:rPr>
          <w:spacing w:val="-2"/>
        </w:rPr>
        <w:t>报告期内，公司根据中国证券监督管理委员会发布的《关于开展加强上市公司治理专项活</w:t>
      </w:r>
    </w:p>
    <w:p>
      <w:pPr>
        <w:pStyle w:val="BodyText"/>
        <w:spacing w:line="273" w:lineRule="auto" w:before="22"/>
        <w:ind w:right="452" w:hanging="1"/>
        <w:jc w:val="left"/>
      </w:pPr>
      <w:r>
        <w:rPr>
          <w:spacing w:val="-7"/>
        </w:rPr>
        <w:t>动有关事项的通知》（以下简称“通知”），积极开展了公司治理专项活动，基本上完成了通知</w:t>
      </w:r>
      <w:r>
        <w:rPr>
          <w:spacing w:val="-90"/>
        </w:rPr>
        <w:t> </w:t>
      </w:r>
      <w:r>
        <w:rPr>
          <w:spacing w:val="-90"/>
        </w:rPr>
      </w:r>
      <w:r>
        <w:rPr/>
        <w:t>要求，达到了预期目的。</w:t>
      </w:r>
    </w:p>
    <w:p>
      <w:pPr>
        <w:pStyle w:val="BodyText"/>
        <w:spacing w:line="256" w:lineRule="auto" w:before="8"/>
        <w:ind w:right="452" w:firstLine="209"/>
        <w:jc w:val="left"/>
      </w:pPr>
      <w:r>
        <w:rPr>
          <w:rFonts w:ascii="Times New Roman" w:hAnsi="Times New Roman" w:cs="Times New Roman" w:eastAsia="Times New Roman" w:hint="default"/>
        </w:rPr>
        <w:t>1</w:t>
      </w:r>
      <w:r>
        <w:rPr/>
        <w:t>、公司在治理专项活动完成的主要工作 </w:t>
      </w:r>
      <w:r>
        <w:rPr>
          <w:spacing w:val="-2"/>
        </w:rPr>
        <w:t>根据中国证监会《关于开展加强上市公司治理专项活动有关事项的通知》及浙江证监局《关于</w:t>
      </w:r>
    </w:p>
    <w:p>
      <w:pPr>
        <w:spacing w:after="0" w:line="256" w:lineRule="auto"/>
        <w:jc w:val="left"/>
        <w:sectPr>
          <w:pgSz w:w="11910" w:h="16840"/>
          <w:pgMar w:header="0" w:footer="1243" w:top="1400" w:bottom="1440" w:left="1680" w:right="540"/>
        </w:sectPr>
      </w:pPr>
    </w:p>
    <w:p>
      <w:pPr>
        <w:pStyle w:val="BodyText"/>
        <w:spacing w:line="240" w:lineRule="auto" w:before="25"/>
        <w:ind w:right="0"/>
        <w:jc w:val="left"/>
      </w:pPr>
      <w:r>
        <w:rPr/>
        <w:t>开展浙江辖区上市公司治理专项活动的通知》等文件精神，恒生电子股份有限公司于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p>
    <w:p>
      <w:pPr>
        <w:pStyle w:val="BodyText"/>
        <w:spacing w:line="268" w:lineRule="auto" w:before="21"/>
        <w:ind w:right="16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日启动了公司治理专项活动，成立了公司治理专项活动工作小组，由公司董事长彭政纲 </w:t>
      </w:r>
      <w:r>
        <w:rPr>
          <w:spacing w:val="-2"/>
        </w:rPr>
        <w:t>先生担任组长，总经理刘曙峰担任副组长，公司各主要职能部门均参与此次专项活动，公司治</w:t>
      </w:r>
      <w:r>
        <w:rPr>
          <w:spacing w:val="-83"/>
        </w:rPr>
        <w:t> </w:t>
      </w:r>
      <w:r>
        <w:rPr>
          <w:spacing w:val="-83"/>
        </w:rPr>
      </w:r>
      <w:r>
        <w:rPr/>
        <w:t>理各项工作得以顺利开展。现将有关情况报告如下： 一、公司治理专项活动期间完成的主要工作 第一阶段：专项治理活动的自查主要完成了以下工作：</w:t>
      </w:r>
    </w:p>
    <w:p>
      <w:pPr>
        <w:pStyle w:val="BodyText"/>
        <w:spacing w:line="240" w:lineRule="auto" w:before="12"/>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日，完成公司基本情况、股东状况的自查；</w:t>
      </w:r>
    </w:p>
    <w:p>
      <w:pPr>
        <w:pStyle w:val="BodyText"/>
        <w:spacing w:line="240" w:lineRule="auto" w:before="21"/>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日，完成公司规范运作情况的自查；</w:t>
      </w:r>
    </w:p>
    <w:p>
      <w:pPr>
        <w:pStyle w:val="BodyText"/>
        <w:spacing w:line="240" w:lineRule="auto" w:before="21"/>
        <w:ind w:left="116"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日，完成公司独立性方面情况的自查；</w:t>
      </w:r>
    </w:p>
    <w:p>
      <w:pPr>
        <w:pStyle w:val="BodyText"/>
        <w:spacing w:line="240" w:lineRule="auto" w:before="21"/>
        <w:ind w:left="116"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日，完成公司透明度情况的自查；</w:t>
      </w:r>
    </w:p>
    <w:p>
      <w:pPr>
        <w:pStyle w:val="BodyText"/>
        <w:spacing w:line="240" w:lineRule="auto" w:before="21"/>
        <w:ind w:left="116" w:right="0"/>
        <w:jc w:val="left"/>
      </w:pP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7 </w:t>
      </w:r>
      <w:r>
        <w:rPr/>
        <w:t>日</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 </w:t>
      </w:r>
      <w:r>
        <w:rPr/>
        <w:t>日，</w:t>
      </w:r>
      <w:r>
        <w:rPr>
          <w:spacing w:val="-2"/>
        </w:rPr>
        <w:t>完</w:t>
      </w:r>
      <w:r>
        <w:rPr/>
        <w:t>成公司治理创新情况及综合评</w:t>
      </w:r>
      <w:r>
        <w:rPr>
          <w:spacing w:val="-105"/>
        </w:rPr>
        <w:t>；</w:t>
      </w:r>
      <w:r>
        <w:rPr/>
        <w:t>：</w:t>
      </w:r>
    </w:p>
    <w:p>
      <w:pPr>
        <w:pStyle w:val="BodyText"/>
        <w:spacing w:line="256" w:lineRule="auto" w:before="21"/>
        <w:ind w:left="116" w:right="175"/>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日，根据以上内容完成内部总结与复核，</w:t>
      </w:r>
      <w:r>
        <w:rPr>
          <w:rFonts w:ascii="Times New Roman" w:hAnsi="Times New Roman" w:cs="Times New Roman" w:eastAsia="Times New Roman" w:hint="default"/>
          <w:spacing w:val="-3"/>
        </w:rPr>
        <w:t>6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日完成初步自查报告，递交浙江证监局 和公司董事会成员审议；</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日，公司三届六次董事会审议通过《公司专项治理自查报告 </w:t>
      </w:r>
      <w:r>
        <w:rPr>
          <w:spacing w:val="-16"/>
        </w:rPr>
        <w:t>和整改计划》。</w:t>
      </w:r>
    </w:p>
    <w:p>
      <w:pPr>
        <w:spacing w:line="240" w:lineRule="auto" w:before="7"/>
        <w:rPr>
          <w:rFonts w:ascii="宋体" w:hAnsi="宋体" w:cs="宋体" w:eastAsia="宋体" w:hint="default"/>
          <w:sz w:val="25"/>
          <w:szCs w:val="25"/>
        </w:rPr>
      </w:pPr>
    </w:p>
    <w:p>
      <w:pPr>
        <w:pStyle w:val="BodyText"/>
        <w:spacing w:line="240" w:lineRule="auto" w:before="0"/>
        <w:ind w:left="116" w:right="0"/>
        <w:jc w:val="left"/>
      </w:pPr>
      <w:r>
        <w:rPr/>
        <w:t>第二阶段：接受投资者评议和证监局的现场检查（</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p>
    <w:p>
      <w:pPr>
        <w:pStyle w:val="BodyText"/>
        <w:spacing w:line="261" w:lineRule="auto" w:before="21"/>
        <w:ind w:left="115" w:right="0" w:firstLine="5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5"/>
        </w:rPr>
        <w:t> </w:t>
      </w:r>
      <w:r>
        <w:rPr>
          <w:spacing w:val="-5"/>
        </w:rPr>
        <w:t>日，公司在《上海证券报》、上海证券交易所网站和恒生电子主页公布了《自查报告和</w:t>
      </w:r>
      <w:r>
        <w:rPr/>
        <w:t> </w:t>
      </w:r>
      <w:r>
        <w:rPr>
          <w:spacing w:val="-6"/>
        </w:rPr>
        <w:t>整改计划》。同时，我公司设立专门的电话</w:t>
      </w:r>
      <w:r>
        <w:rPr>
          <w:spacing w:val="-35"/>
        </w:rPr>
        <w:t> </w:t>
      </w:r>
      <w:r>
        <w:rPr>
          <w:rFonts w:ascii="Times New Roman" w:hAnsi="Times New Roman" w:cs="Times New Roman" w:eastAsia="Times New Roman" w:hint="default"/>
          <w:spacing w:val="-1"/>
        </w:rPr>
        <w:t>0571-28829702</w:t>
      </w:r>
      <w:r>
        <w:rPr>
          <w:spacing w:val="-1"/>
        </w:rPr>
        <w:t>、</w:t>
      </w:r>
      <w:r>
        <w:rPr>
          <w:rFonts w:ascii="Times New Roman" w:hAnsi="Times New Roman" w:cs="Times New Roman" w:eastAsia="Times New Roman" w:hint="default"/>
          <w:spacing w:val="-1"/>
        </w:rPr>
        <w:t>29929378</w:t>
      </w:r>
      <w:r>
        <w:rPr>
          <w:spacing w:val="-1"/>
        </w:rPr>
        <w:t>；接听投资者评议电话。</w:t>
      </w:r>
      <w:r>
        <w:rPr>
          <w:spacing w:val="-97"/>
        </w:rPr>
        <w:t> </w:t>
      </w:r>
      <w:r>
        <w:rPr>
          <w:spacing w:val="-97"/>
        </w:rPr>
      </w:r>
      <w:r>
        <w:rPr/>
        <w:t>在公司的网络平台上</w:t>
      </w:r>
      <w:r>
        <w:rPr>
          <w:spacing w:val="-55"/>
        </w:rPr>
        <w:t> </w:t>
      </w:r>
      <w:hyperlink r:id="rId8">
        <w:r>
          <w:rPr>
            <w:rFonts w:ascii="Times New Roman" w:hAnsi="Times New Roman" w:cs="Times New Roman" w:eastAsia="Times New Roman" w:hint="default"/>
          </w:rPr>
          <w:t>www.hundsun.com</w:t>
        </w:r>
      </w:hyperlink>
      <w:r>
        <w:rPr>
          <w:rFonts w:ascii="Times New Roman" w:hAnsi="Times New Roman" w:cs="Times New Roman" w:eastAsia="Times New Roman" w:hint="default"/>
          <w:spacing w:val="-3"/>
        </w:rPr>
        <w:t> </w:t>
      </w:r>
      <w:r>
        <w:rPr>
          <w:spacing w:val="-5"/>
        </w:rPr>
        <w:t>投资者关系栏目设立了“公司治理专项平台”接受投资</w:t>
      </w:r>
      <w:r>
        <w:rPr/>
        <w:t> </w:t>
      </w:r>
      <w:r>
        <w:rPr>
          <w:spacing w:val="-2"/>
        </w:rPr>
        <w:t>者和社会公众对公司的治理情况和整改计划进行分析评议，听取投资者和社会公众的意见和建</w:t>
      </w:r>
      <w:r>
        <w:rPr>
          <w:spacing w:val="-82"/>
        </w:rPr>
        <w:t> </w:t>
      </w:r>
      <w:r>
        <w:rPr>
          <w:spacing w:val="-82"/>
        </w:rPr>
      </w:r>
      <w:r>
        <w:rPr/>
        <w:t>议。</w:t>
      </w:r>
    </w:p>
    <w:p>
      <w:pPr>
        <w:pStyle w:val="BodyText"/>
        <w:spacing w:line="240" w:lineRule="auto" w:before="18"/>
        <w:ind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日，公司在会议室召开治理专项投资者评议会。</w:t>
      </w:r>
    </w:p>
    <w:p>
      <w:pPr>
        <w:pStyle w:val="BodyText"/>
        <w:spacing w:line="264" w:lineRule="auto" w:before="21"/>
        <w:ind w:right="172"/>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日，本公司接受浙江证监局对我公司治理专项活动的现场指导与检查；</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spacing w:val="-5"/>
        </w:rPr>
        <w:t>日，收到</w:t>
      </w:r>
      <w:r>
        <w:rPr/>
        <w:t> </w:t>
      </w:r>
      <w:r>
        <w:rPr>
          <w:spacing w:val="-7"/>
        </w:rPr>
        <w:t>中国证监会浙江监管局出具的《关于对恒生电子公司治理情况综合评价和整改意见的通知》（浙</w:t>
      </w:r>
      <w:r>
        <w:rPr>
          <w:spacing w:val="-80"/>
        </w:rPr>
        <w:t> </w:t>
      </w:r>
      <w:r>
        <w:rPr>
          <w:spacing w:val="-80"/>
        </w:rPr>
      </w:r>
      <w:r>
        <w:rPr>
          <w:spacing w:val="-1"/>
        </w:rPr>
        <w:t>证监上市字</w:t>
      </w:r>
      <w:r>
        <w:rPr>
          <w:rFonts w:ascii="Times New Roman" w:hAnsi="Times New Roman" w:cs="Times New Roman" w:eastAsia="Times New Roman" w:hint="default"/>
          <w:spacing w:val="-1"/>
        </w:rPr>
        <w:t>[2007]161</w:t>
      </w:r>
      <w:r>
        <w:rPr>
          <w:rFonts w:ascii="Times New Roman" w:hAnsi="Times New Roman" w:cs="Times New Roman" w:eastAsia="Times New Roman" w:hint="default"/>
          <w:spacing w:val="11"/>
        </w:rPr>
        <w:t> </w:t>
      </w:r>
      <w:r>
        <w:rPr>
          <w:spacing w:val="-36"/>
        </w:rPr>
        <w:t>号）。</w:t>
      </w:r>
    </w:p>
    <w:p>
      <w:pPr>
        <w:spacing w:line="240" w:lineRule="auto" w:before="9"/>
        <w:rPr>
          <w:rFonts w:ascii="宋体" w:hAnsi="宋体" w:cs="宋体" w:eastAsia="宋体" w:hint="default"/>
          <w:sz w:val="23"/>
          <w:szCs w:val="23"/>
        </w:rPr>
      </w:pPr>
    </w:p>
    <w:p>
      <w:pPr>
        <w:pStyle w:val="BodyText"/>
        <w:spacing w:line="273" w:lineRule="auto" w:before="0"/>
        <w:ind w:right="2617"/>
        <w:jc w:val="left"/>
      </w:pPr>
      <w:r>
        <w:rPr/>
        <w:t>二、对公司自查发现问题的整改 针对在自查和公众评议中暴露出来的一些问题，公司进行了整改：</w:t>
      </w:r>
    </w:p>
    <w:p>
      <w:pPr>
        <w:pStyle w:val="BodyText"/>
        <w:spacing w:line="240" w:lineRule="auto" w:before="8"/>
        <w:ind w:right="0"/>
        <w:jc w:val="left"/>
      </w:pPr>
      <w:r>
        <w:rPr/>
        <w:t>（一）加强公司投资者关系管理制度的建设，尤其是对信息披露制度的建设。</w:t>
      </w:r>
    </w:p>
    <w:p>
      <w:pPr>
        <w:pStyle w:val="BodyText"/>
        <w:spacing w:line="268" w:lineRule="auto" w:before="37"/>
        <w:ind w:right="163" w:hanging="1"/>
        <w:jc w:val="left"/>
      </w:pPr>
      <w:r>
        <w:rPr>
          <w:rFonts w:ascii="Times New Roman" w:hAnsi="Times New Roman" w:cs="Times New Roman" w:eastAsia="Times New Roman" w:hint="default"/>
        </w:rPr>
        <w:t>1</w:t>
      </w:r>
      <w:r>
        <w:rPr/>
        <w:t>、公司在</w:t>
      </w:r>
      <w:r>
        <w:rPr>
          <w:spacing w:val="-36"/>
        </w:rPr>
        <w:t>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月</w:t>
      </w:r>
      <w:r>
        <w:rPr>
          <w:spacing w:val="-36"/>
        </w:rPr>
        <w:t> </w:t>
      </w:r>
      <w:r>
        <w:rPr>
          <w:rFonts w:ascii="Times New Roman" w:hAnsi="Times New Roman" w:cs="Times New Roman" w:eastAsia="Times New Roman" w:hint="default"/>
        </w:rPr>
        <w:t>29</w:t>
      </w:r>
      <w:r>
        <w:rPr>
          <w:rFonts w:ascii="Times New Roman" w:hAnsi="Times New Roman" w:cs="Times New Roman" w:eastAsia="Times New Roman" w:hint="default"/>
          <w:spacing w:val="17"/>
        </w:rPr>
        <w:t> </w:t>
      </w:r>
      <w:r>
        <w:rPr>
          <w:spacing w:val="-4"/>
        </w:rPr>
        <w:t>日召开的三届六次董事会上审议通过《投资者关系管理工作制度》、修改公</w:t>
      </w:r>
      <w:r>
        <w:rPr/>
        <w:t> </w:t>
      </w:r>
      <w:r>
        <w:rPr>
          <w:spacing w:val="-8"/>
        </w:rPr>
        <w:t>司《公司信息披露管理制度》。</w:t>
      </w:r>
      <w:r>
        <w:rPr>
          <w:spacing w:val="-99"/>
        </w:rPr>
        <w:t> </w:t>
      </w:r>
      <w:r>
        <w:rPr>
          <w:spacing w:val="-99"/>
        </w:rPr>
      </w:r>
      <w:r>
        <w:rPr>
          <w:rFonts w:ascii="Times New Roman" w:hAnsi="Times New Roman" w:cs="Times New Roman" w:eastAsia="Times New Roman" w:hint="default"/>
        </w:rPr>
        <w:t>2</w:t>
      </w:r>
      <w:r>
        <w:rPr/>
        <w:t>、在董事长的领导下，由董秘童晨晖主要负责开展加强信息披露的细化工作。进一步落实信</w:t>
      </w:r>
      <w:r>
        <w:rPr>
          <w:spacing w:val="-68"/>
        </w:rPr>
        <w:t> </w:t>
      </w:r>
      <w:r>
        <w:rPr>
          <w:spacing w:val="-68"/>
        </w:rPr>
      </w:r>
      <w:r>
        <w:rPr>
          <w:spacing w:val="-2"/>
        </w:rPr>
        <w:t>息披露的事项和标准，明确董事、监事、高级管理人员和其他信息披露相关人员的责任，同时</w:t>
      </w:r>
      <w:r>
        <w:rPr>
          <w:spacing w:val="-84"/>
        </w:rPr>
        <w:t> </w:t>
      </w:r>
      <w:r>
        <w:rPr>
          <w:spacing w:val="-84"/>
        </w:rPr>
      </w:r>
      <w:r>
        <w:rPr>
          <w:spacing w:val="-2"/>
        </w:rPr>
        <w:t>加强对信息披露义务人的培训。继续加强与投资者的沟通，加强公司自愿性信息披露，增加季</w:t>
      </w:r>
      <w:r>
        <w:rPr>
          <w:spacing w:val="-84"/>
        </w:rPr>
        <w:t> </w:t>
      </w:r>
      <w:r>
        <w:rPr>
          <w:spacing w:val="-84"/>
        </w:rPr>
      </w:r>
      <w:r>
        <w:rPr>
          <w:spacing w:val="-2"/>
        </w:rPr>
        <w:t>度投资者沟通会，组织公司业务管理高层参加面对面的沟通，努力提高公司透明度。切实保障</w:t>
      </w:r>
      <w:r>
        <w:rPr>
          <w:spacing w:val="-84"/>
        </w:rPr>
        <w:t> </w:t>
      </w:r>
      <w:r>
        <w:rPr>
          <w:spacing w:val="-84"/>
        </w:rPr>
      </w:r>
      <w:r>
        <w:rPr>
          <w:spacing w:val="-2"/>
        </w:rPr>
        <w:t>中小投资者的利益，遵守“三公”原则，提高投资者关系管理的工作水准。落实公司《信息披</w:t>
      </w:r>
      <w:r>
        <w:rPr>
          <w:spacing w:val="-84"/>
        </w:rPr>
        <w:t> </w:t>
      </w:r>
      <w:r>
        <w:rPr>
          <w:spacing w:val="-84"/>
        </w:rPr>
      </w:r>
      <w:r>
        <w:rPr>
          <w:spacing w:val="-2"/>
        </w:rPr>
        <w:t>露管理制度》在公司内的实施流程，召集相关部门开会学习信息披露制度。在实际操作中进一</w:t>
      </w:r>
      <w:r>
        <w:rPr>
          <w:spacing w:val="-84"/>
        </w:rPr>
        <w:t> </w:t>
      </w:r>
      <w:r>
        <w:rPr>
          <w:spacing w:val="-84"/>
        </w:rPr>
      </w:r>
      <w:r>
        <w:rPr/>
        <w:t>步提高公司透明度。</w:t>
      </w:r>
    </w:p>
    <w:p>
      <w:pPr>
        <w:pStyle w:val="BodyText"/>
        <w:spacing w:line="240" w:lineRule="auto" w:before="12"/>
        <w:ind w:right="0"/>
        <w:jc w:val="left"/>
      </w:pPr>
      <w:r>
        <w:rPr/>
        <w:t>（二）加强募集资金管理</w:t>
      </w:r>
    </w:p>
    <w:p>
      <w:pPr>
        <w:pStyle w:val="BodyText"/>
        <w:spacing w:line="256" w:lineRule="auto" w:before="37"/>
        <w:ind w:right="167"/>
        <w:jc w:val="left"/>
      </w:pPr>
      <w:r>
        <w:rPr/>
        <w:t>公司于</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1"/>
        </w:rPr>
        <w:t> </w:t>
      </w:r>
      <w:r>
        <w:rPr>
          <w:spacing w:val="-5"/>
        </w:rPr>
        <w:t>日经三届六次董事会审议通过《募集资金管理办法》，进一步规范募集资金的使</w:t>
      </w:r>
      <w:r>
        <w:rPr/>
        <w:t> 用，同时在半年报上对前次募集资金的使用情况进行了相关的补充说明。</w:t>
      </w:r>
    </w:p>
    <w:p>
      <w:pPr>
        <w:pStyle w:val="BodyText"/>
        <w:spacing w:line="273" w:lineRule="auto" w:before="22"/>
        <w:ind w:right="0"/>
        <w:jc w:val="left"/>
      </w:pPr>
      <w:r>
        <w:rPr/>
        <w:t>（三）进一步完善公司治理结构，加强制度建设，提高治理水平。 </w:t>
      </w:r>
      <w:r>
        <w:rPr>
          <w:spacing w:val="-2"/>
        </w:rPr>
        <w:t>２００７年７月１８日，公司召开临时股东大会审议通过根据各项指引修改的《股东大会议事</w:t>
      </w:r>
      <w:r>
        <w:rPr>
          <w:spacing w:val="-85"/>
        </w:rPr>
        <w:t> </w:t>
      </w:r>
      <w:r>
        <w:rPr>
          <w:spacing w:val="-85"/>
        </w:rPr>
      </w:r>
      <w:r>
        <w:rPr>
          <w:spacing w:val="-23"/>
        </w:rPr>
        <w:t>规则》、《董事会议事规则》、《监事会议事规则》；</w:t>
      </w:r>
    </w:p>
    <w:p>
      <w:pPr>
        <w:spacing w:after="0" w:line="273" w:lineRule="auto"/>
        <w:jc w:val="left"/>
        <w:sectPr>
          <w:pgSz w:w="11910" w:h="16840"/>
          <w:pgMar w:header="0" w:footer="1243" w:top="1400" w:bottom="1440" w:left="1680" w:right="1380"/>
        </w:sectPr>
      </w:pPr>
    </w:p>
    <w:p>
      <w:pPr>
        <w:pStyle w:val="BodyText"/>
        <w:spacing w:line="273" w:lineRule="auto" w:before="25"/>
        <w:ind w:right="95"/>
        <w:jc w:val="left"/>
      </w:pPr>
      <w:r>
        <w:rPr>
          <w:spacing w:val="-2"/>
        </w:rPr>
        <w:t>２００７年８月２２日三届七次董事会审议通过《独立董事制度》，使独立董事的工作规范进</w:t>
      </w:r>
      <w:r>
        <w:rPr>
          <w:spacing w:val="-89"/>
        </w:rPr>
        <w:t> </w:t>
      </w:r>
      <w:r>
        <w:rPr>
          <w:spacing w:val="-89"/>
        </w:rPr>
      </w:r>
      <w:r>
        <w:rPr/>
        <w:t>一步得到保障和体现。</w:t>
      </w:r>
    </w:p>
    <w:p>
      <w:pPr>
        <w:pStyle w:val="BodyText"/>
        <w:spacing w:line="271" w:lineRule="auto" w:before="8"/>
        <w:ind w:right="104"/>
        <w:jc w:val="left"/>
      </w:pPr>
      <w:r>
        <w:rPr/>
        <w:t>（四）完善内控制度，增强执行力。 根据监管部门对上市公司内控制度建设和管理的要求，公司进一步修改和完善公司内控制度的 建设，使之与公司的质量体系制度相结合，落实到各个职能部门，切实保障制度的执行。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加强对独立董事和其他高管的培训管理 公司结合内外部培训，借鉴国内外上市公司的有效措施，制定培训计划，加强对高管的培训管 理，切实保障高管参加证监会组织的董事、监事和高级管理人员的各级培训，今年以来，已参 </w:t>
      </w:r>
      <w:r>
        <w:rPr>
          <w:spacing w:val="-9"/>
        </w:rPr>
        <w:t>加上交所上市公司有关高管培训７人次。在公司内部由董秘发起开展高管培训两次：培训（一），</w:t>
      </w:r>
      <w:r>
        <w:rPr>
          <w:spacing w:val="-96"/>
        </w:rPr>
        <w:t> </w:t>
      </w:r>
      <w:r>
        <w:rPr>
          <w:spacing w:val="-96"/>
        </w:rPr>
      </w:r>
      <w:r>
        <w:rPr>
          <w:spacing w:val="-2"/>
        </w:rPr>
        <w:t>主题为：高管持股变动管理规定；培训（二），主题为：信息披露管理规定。通过以上工作，</w:t>
      </w:r>
      <w:r>
        <w:rPr>
          <w:spacing w:val="-89"/>
        </w:rPr>
        <w:t> </w:t>
      </w:r>
      <w:r>
        <w:rPr>
          <w:spacing w:val="-89"/>
        </w:rPr>
      </w:r>
      <w:r>
        <w:rPr>
          <w:spacing w:val="3"/>
        </w:rPr>
        <w:t>切实把此项工作作为提高公司治理水平的重要内容来抓，为提高公司治理水平奠定扎实的基</w:t>
      </w:r>
      <w:r>
        <w:rPr>
          <w:spacing w:val="-99"/>
        </w:rPr>
        <w:t> </w:t>
      </w:r>
      <w:r>
        <w:rPr>
          <w:spacing w:val="-99"/>
        </w:rPr>
      </w:r>
      <w:r>
        <w:rPr/>
        <w:t>础。</w:t>
      </w:r>
    </w:p>
    <w:p>
      <w:pPr>
        <w:pStyle w:val="BodyText"/>
        <w:spacing w:line="273" w:lineRule="auto" w:before="10"/>
        <w:ind w:right="95"/>
        <w:jc w:val="left"/>
      </w:pPr>
      <w:r>
        <w:rPr/>
        <w:t>（六）解决公司主商标的使用授权问题 </w:t>
      </w:r>
      <w:r>
        <w:rPr>
          <w:spacing w:val="-2"/>
        </w:rPr>
        <w:t>由于公司主商标的重要一个类别由大股东杭州恒生电子集团有限公司（下简称“集团公司”）</w:t>
      </w:r>
      <w:r>
        <w:rPr>
          <w:spacing w:val="-90"/>
        </w:rPr>
        <w:t> </w:t>
      </w:r>
      <w:r>
        <w:rPr>
          <w:spacing w:val="-90"/>
        </w:rPr>
      </w:r>
      <w:r>
        <w:rPr>
          <w:spacing w:val="-2"/>
        </w:rPr>
        <w:t>所有，为保证公司商标的使用不受限制，经公司与大股东协商，集团公司已将其持有的“ＨＵ</w:t>
      </w:r>
      <w:r>
        <w:rPr>
          <w:spacing w:val="-83"/>
        </w:rPr>
        <w:t> </w:t>
      </w:r>
      <w:r>
        <w:rPr>
          <w:spacing w:val="-83"/>
        </w:rPr>
      </w:r>
      <w:r>
        <w:rPr/>
        <w:t>ＮＤＳＵＮ”９类商标无偿授权给本公司使用，期限十年。</w:t>
      </w:r>
    </w:p>
    <w:p>
      <w:pPr>
        <w:spacing w:line="240" w:lineRule="auto" w:before="6"/>
        <w:rPr>
          <w:rFonts w:ascii="宋体" w:hAnsi="宋体" w:cs="宋体" w:eastAsia="宋体" w:hint="default"/>
          <w:sz w:val="24"/>
          <w:szCs w:val="24"/>
        </w:rPr>
      </w:pPr>
    </w:p>
    <w:p>
      <w:pPr>
        <w:pStyle w:val="BodyText"/>
        <w:spacing w:line="273" w:lineRule="auto" w:before="0"/>
        <w:ind w:right="137"/>
        <w:jc w:val="left"/>
      </w:pPr>
      <w:r>
        <w:rPr/>
        <w:t>三、对浙江证监局现场检查发现问题的整改和投资者公众评议发现问题的整改 </w:t>
      </w:r>
      <w:r>
        <w:rPr>
          <w:spacing w:val="-2"/>
        </w:rPr>
        <w:t>浙江证监局对本公司作了公司治理现场检查，提出了公司在公司治理方面存在的问题，要求公</w:t>
      </w:r>
      <w:r>
        <w:rPr>
          <w:spacing w:val="-85"/>
        </w:rPr>
        <w:t> </w:t>
      </w:r>
      <w:r>
        <w:rPr>
          <w:spacing w:val="-85"/>
        </w:rPr>
      </w:r>
      <w:r>
        <w:rPr/>
        <w:t>司按证监会的有关规定进行整改。公司逐条对存在的问题进行了分析，查找原因，认真整改， 以切实提高公司治理水平和公司质量。</w:t>
      </w:r>
    </w:p>
    <w:p>
      <w:pPr>
        <w:pStyle w:val="BodyText"/>
        <w:spacing w:line="240" w:lineRule="auto" w:before="8"/>
        <w:ind w:right="95"/>
        <w:jc w:val="left"/>
      </w:pPr>
      <w:r>
        <w:rPr/>
        <w:t>证监局现场检查主要提出以下问题：</w:t>
      </w:r>
    </w:p>
    <w:p>
      <w:pPr>
        <w:pStyle w:val="BodyText"/>
        <w:spacing w:line="271" w:lineRule="auto" w:before="37"/>
        <w:ind w:right="137"/>
        <w:jc w:val="left"/>
      </w:pPr>
      <w:r>
        <w:rPr>
          <w:spacing w:val="-11"/>
        </w:rPr>
        <w:t>（一）、三会运作方面</w:t>
      </w:r>
      <w:r>
        <w:rPr>
          <w:spacing w:val="-102"/>
        </w:rPr>
        <w:t> </w:t>
      </w:r>
      <w:r>
        <w:rPr>
          <w:spacing w:val="-102"/>
        </w:rPr>
      </w:r>
      <w:r>
        <w:rPr>
          <w:spacing w:val="-2"/>
        </w:rPr>
        <w:t>整改意见：公司部分独立董事尚未取得任职资格，应尽快参加任职培训，以更好地履行独立董</w:t>
      </w:r>
      <w:r>
        <w:rPr>
          <w:spacing w:val="-83"/>
        </w:rPr>
        <w:t> </w:t>
      </w:r>
      <w:r>
        <w:rPr>
          <w:spacing w:val="-83"/>
        </w:rPr>
      </w:r>
      <w:r>
        <w:rPr/>
        <w:t>事职责，发挥独立董事作用。 整改情况：经查，本公司四位独立董事中，已参加上交所独立董事培训取得任职资格的两位， 还有两位独立董事将在本年度和下一年度合适的时间参加该类培训，尽快取得独董任职资格。 </w:t>
      </w:r>
      <w:r>
        <w:rPr>
          <w:spacing w:val="-4"/>
        </w:rPr>
        <w:t>整改意见：公司现行《总经理办公会议议事规则》（</w:t>
      </w:r>
      <w:r>
        <w:rPr>
          <w:rFonts w:ascii="Times New Roman" w:hAnsi="Times New Roman" w:cs="Times New Roman" w:eastAsia="Times New Roman" w:hint="default"/>
          <w:spacing w:val="-4"/>
        </w:rPr>
        <w:t>2001</w:t>
      </w:r>
      <w:r>
        <w:rPr>
          <w:rFonts w:ascii="Times New Roman" w:hAnsi="Times New Roman" w:cs="Times New Roman" w:eastAsia="Times New Roman" w:hint="default"/>
        </w:rPr>
        <w:t> </w:t>
      </w:r>
      <w:r>
        <w:rPr>
          <w:spacing w:val="-13"/>
        </w:rPr>
        <w:t>年）未根据《公司法》、《公司章程》</w:t>
      </w:r>
      <w:r>
        <w:rPr>
          <w:spacing w:val="-97"/>
        </w:rPr>
        <w:t> </w:t>
      </w:r>
      <w:r>
        <w:rPr>
          <w:spacing w:val="-97"/>
        </w:rPr>
      </w:r>
      <w:r>
        <w:rPr/>
        <w:t>及时修订，且存在与公司章程不一致的条文，应尽快修订。 </w:t>
      </w:r>
      <w:r>
        <w:rPr>
          <w:spacing w:val="-7"/>
        </w:rPr>
        <w:t>整改情况：公司已根据新的《公司法》、《公司章程》修改《总经理办公会议议事规则》，递交</w:t>
      </w:r>
      <w:r>
        <w:rPr>
          <w:spacing w:val="-90"/>
        </w:rPr>
        <w:t> </w:t>
      </w:r>
      <w:r>
        <w:rPr>
          <w:spacing w:val="-90"/>
        </w:rPr>
      </w:r>
      <w:r>
        <w:rPr/>
        <w:t>三届九次董事会审议通过。</w:t>
      </w:r>
    </w:p>
    <w:p>
      <w:pPr>
        <w:pStyle w:val="BodyText"/>
        <w:spacing w:line="273" w:lineRule="auto" w:before="10"/>
        <w:ind w:right="95"/>
        <w:jc w:val="left"/>
      </w:pPr>
      <w:r>
        <w:rPr>
          <w:spacing w:val="-11"/>
        </w:rPr>
        <w:t>（二）、内部控制方面</w:t>
      </w:r>
      <w:r>
        <w:rPr>
          <w:spacing w:val="-102"/>
        </w:rPr>
        <w:t> </w:t>
      </w:r>
      <w:r>
        <w:rPr>
          <w:spacing w:val="-102"/>
        </w:rPr>
      </w:r>
      <w:r>
        <w:rPr>
          <w:spacing w:val="-2"/>
        </w:rPr>
        <w:t>整改意见：公司内部审计职能分散在各业务部门，建议公司设立独立部门主导内控工作，并进</w:t>
      </w:r>
      <w:r>
        <w:rPr>
          <w:spacing w:val="-83"/>
        </w:rPr>
        <w:t> </w:t>
      </w:r>
      <w:r>
        <w:rPr>
          <w:spacing w:val="-83"/>
        </w:rPr>
      </w:r>
      <w:r>
        <w:rPr/>
        <w:t>一步细化内部审计的监督职能，以强化内部控制，改善经营管理。 </w:t>
      </w:r>
      <w:r>
        <w:rPr>
          <w:spacing w:val="-2"/>
        </w:rPr>
        <w:t>整改情况：公司内审职能根据质量管理的要求，分散到审计室、质量管理办、技术总监办等部</w:t>
      </w:r>
      <w:r>
        <w:rPr>
          <w:spacing w:val="-83"/>
        </w:rPr>
        <w:t> </w:t>
      </w:r>
      <w:r>
        <w:rPr>
          <w:spacing w:val="-83"/>
        </w:rPr>
      </w:r>
      <w:r>
        <w:rPr>
          <w:spacing w:val="-2"/>
        </w:rPr>
        <w:t>门的职能中，公司将充分考虑证监局的这一建议，按照法律法规的规定和监管部门的要求，同</w:t>
      </w:r>
      <w:r>
        <w:rPr>
          <w:spacing w:val="-83"/>
        </w:rPr>
        <w:t> </w:t>
      </w:r>
      <w:r>
        <w:rPr>
          <w:spacing w:val="-83"/>
        </w:rPr>
      </w:r>
      <w:r>
        <w:rPr>
          <w:spacing w:val="-2"/>
        </w:rPr>
        <w:t>时结合公司的实际情况，统一公司的内控管理，提高公司内控的执行能力，强化内控职能，做</w:t>
      </w:r>
      <w:r>
        <w:rPr>
          <w:spacing w:val="-83"/>
        </w:rPr>
        <w:t> </w:t>
      </w:r>
      <w:r>
        <w:rPr>
          <w:spacing w:val="-83"/>
        </w:rPr>
      </w:r>
      <w:r>
        <w:rPr>
          <w:spacing w:val="-2"/>
        </w:rPr>
        <w:t>好相应的管理工作。具体的工作将按照法规和文件精神在董事会审计委员会的统一部署下进行</w:t>
      </w:r>
      <w:r>
        <w:rPr>
          <w:spacing w:val="-82"/>
        </w:rPr>
        <w:t> </w:t>
      </w:r>
      <w:r>
        <w:rPr>
          <w:spacing w:val="-82"/>
        </w:rPr>
      </w:r>
      <w:r>
        <w:rPr/>
        <w:t>落实。</w:t>
      </w:r>
    </w:p>
    <w:p>
      <w:pPr>
        <w:pStyle w:val="BodyText"/>
        <w:spacing w:line="273" w:lineRule="auto" w:before="8"/>
        <w:ind w:right="137"/>
        <w:jc w:val="left"/>
      </w:pPr>
      <w:r>
        <w:rPr>
          <w:spacing w:val="-18"/>
        </w:rPr>
        <w:t>（三）、其他</w:t>
      </w:r>
      <w:r>
        <w:rPr>
          <w:spacing w:val="-102"/>
        </w:rPr>
        <w:t> </w:t>
      </w:r>
      <w:r>
        <w:rPr>
          <w:spacing w:val="-102"/>
        </w:rPr>
      </w:r>
      <w:r>
        <w:rPr/>
        <w:t>整改意见：建议公司应积极探索薪酬福利、股权等多种激励方式，选择适合公司的激励模式， 并发挥激励机制的最大效果。</w:t>
      </w:r>
    </w:p>
    <w:p>
      <w:pPr>
        <w:pStyle w:val="BodyText"/>
        <w:spacing w:line="256" w:lineRule="auto" w:before="8"/>
        <w:ind w:right="198"/>
        <w:jc w:val="left"/>
      </w:pPr>
      <w:r>
        <w:rPr/>
        <w:t>整改情况：作为一家高科技的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企业，恒生电子一直在思考上述问题，人才是恒生电子这样 的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企业的核心竞争力，如何积极发挥人才的作用，除了提供理想的事业方向和战略外，还</w:t>
      </w:r>
    </w:p>
    <w:p>
      <w:pPr>
        <w:spacing w:after="0" w:line="256" w:lineRule="auto"/>
        <w:jc w:val="left"/>
        <w:sectPr>
          <w:pgSz w:w="11910" w:h="16840"/>
          <w:pgMar w:header="0" w:footer="1243" w:top="1400" w:bottom="1440" w:left="1680" w:right="1340"/>
        </w:sectPr>
      </w:pPr>
    </w:p>
    <w:p>
      <w:pPr>
        <w:pStyle w:val="BodyText"/>
        <w:spacing w:line="273" w:lineRule="auto" w:before="25"/>
        <w:ind w:right="777"/>
        <w:jc w:val="left"/>
      </w:pPr>
      <w:r>
        <w:rPr>
          <w:spacing w:val="-2"/>
        </w:rPr>
        <w:t>需要切合实际进行包括薪酬福利和股权等多种方式的激励，我们将根据现有的法规政策，在监</w:t>
      </w:r>
      <w:r>
        <w:rPr>
          <w:spacing w:val="-85"/>
        </w:rPr>
        <w:t> </w:t>
      </w:r>
      <w:r>
        <w:rPr>
          <w:spacing w:val="-85"/>
        </w:rPr>
      </w:r>
      <w:r>
        <w:rPr>
          <w:spacing w:val="-2"/>
        </w:rPr>
        <w:t>管部门的支持和帮助下，在公司决策层和管理层的推动下，积极推进包括股权激励在内的各项</w:t>
      </w:r>
      <w:r>
        <w:rPr>
          <w:spacing w:val="-85"/>
        </w:rPr>
        <w:t> </w:t>
      </w:r>
      <w:r>
        <w:rPr>
          <w:spacing w:val="-85"/>
        </w:rPr>
      </w:r>
      <w:r>
        <w:rPr/>
        <w:t>激励机制的实施。 </w:t>
      </w:r>
      <w:r>
        <w:rPr>
          <w:spacing w:val="-2"/>
        </w:rPr>
        <w:t>投资者公众评议中对公司的投资者管理工作提出了不少建议和意见，包括定期交流、高管参与</w:t>
      </w:r>
      <w:r>
        <w:rPr>
          <w:spacing w:val="-85"/>
        </w:rPr>
        <w:t> </w:t>
      </w:r>
      <w:r>
        <w:rPr>
          <w:spacing w:val="-85"/>
        </w:rPr>
      </w:r>
      <w:r>
        <w:rPr>
          <w:spacing w:val="-2"/>
        </w:rPr>
        <w:t>交流等，公司将遵循三公原则，增加公司信息披露的透明度，增加与投资者交流的机会，使公</w:t>
      </w:r>
      <w:r>
        <w:rPr>
          <w:spacing w:val="-83"/>
        </w:rPr>
        <w:t> </w:t>
      </w:r>
      <w:r>
        <w:rPr>
          <w:spacing w:val="-83"/>
        </w:rPr>
      </w:r>
      <w:r>
        <w:rPr>
          <w:spacing w:val="-2"/>
        </w:rPr>
        <w:t>司的投资者管理工作制度化、流程化，我们将继续加大工作力度，投入更多的人力、物力，力</w:t>
      </w:r>
      <w:r>
        <w:rPr>
          <w:spacing w:val="-83"/>
        </w:rPr>
        <w:t> </w:t>
      </w:r>
      <w:r>
        <w:rPr>
          <w:spacing w:val="-83"/>
        </w:rPr>
      </w:r>
      <w:r>
        <w:rPr/>
        <w:t>争使投资者关系管理工作更上一层楼。</w:t>
      </w:r>
    </w:p>
    <w:p>
      <w:pPr>
        <w:pStyle w:val="BodyText"/>
        <w:spacing w:line="271" w:lineRule="auto" w:before="8"/>
        <w:ind w:right="777"/>
        <w:jc w:val="left"/>
      </w:pPr>
      <w:r>
        <w:rPr/>
        <w:t>总结： 此次公司治理专项活动全面检查了股份公司运作制度、</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运作情况、公司内部控制及公司 </w:t>
      </w:r>
      <w:r>
        <w:rPr>
          <w:spacing w:val="-2"/>
        </w:rPr>
        <w:t>独立性等情况，查找出了需要改进的问题与不足，董事、监事和高级管理人员通过学习公司治</w:t>
      </w:r>
      <w:r>
        <w:rPr>
          <w:spacing w:val="-85"/>
        </w:rPr>
        <w:t> </w:t>
      </w:r>
      <w:r>
        <w:rPr>
          <w:spacing w:val="-85"/>
        </w:rPr>
      </w:r>
      <w:r>
        <w:rPr>
          <w:spacing w:val="-2"/>
        </w:rPr>
        <w:t>理有关文件，加深了对公司治理重要性的认识，公司通过整改，加强了内控制度的建设，进一</w:t>
      </w:r>
      <w:r>
        <w:rPr>
          <w:spacing w:val="-83"/>
        </w:rPr>
        <w:t> </w:t>
      </w:r>
      <w:r>
        <w:rPr>
          <w:spacing w:val="-83"/>
        </w:rPr>
      </w:r>
      <w:r>
        <w:rPr/>
        <w:t>步规范了公司运作，强化了投资者关系管理，对推动公司治理水平的提高起到了积极的作用。 </w:t>
      </w:r>
      <w:r>
        <w:rPr>
          <w:spacing w:val="-2"/>
        </w:rPr>
        <w:t>在整改过程中，广大投资者和监管部门给公司提出了良好的建议和意见，公司依法进行了积极</w:t>
      </w:r>
      <w:r>
        <w:rPr>
          <w:spacing w:val="-85"/>
        </w:rPr>
        <w:t> </w:t>
      </w:r>
      <w:r>
        <w:rPr>
          <w:spacing w:val="-85"/>
        </w:rPr>
      </w:r>
      <w:r>
        <w:rPr/>
        <w:t>的采纳和整改。 </w:t>
      </w:r>
      <w:r>
        <w:rPr>
          <w:spacing w:val="-2"/>
        </w:rPr>
        <w:t>公司将进一步根据法律法规及时调整和总结各项治理工作情况，积极听取来自各方，特别是监</w:t>
      </w:r>
      <w:r>
        <w:rPr>
          <w:spacing w:val="-85"/>
        </w:rPr>
        <w:t> </w:t>
      </w:r>
      <w:r>
        <w:rPr>
          <w:spacing w:val="-85"/>
        </w:rPr>
      </w:r>
      <w:r>
        <w:rPr>
          <w:spacing w:val="-2"/>
        </w:rPr>
        <w:t>管部门和投资者的建议，结合自身的实际情况，进一步完善公司的治理结构，为做大做强公司</w:t>
      </w:r>
      <w:r>
        <w:rPr>
          <w:spacing w:val="-83"/>
        </w:rPr>
        <w:t> </w:t>
      </w:r>
      <w:r>
        <w:rPr>
          <w:spacing w:val="-83"/>
        </w:rPr>
      </w:r>
      <w:r>
        <w:rPr/>
        <w:t>打下坚实基础，回报社会和股东的期望。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56" w:lineRule="auto" w:before="0"/>
        <w:ind w:right="613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独立董事履行职责情况</w:t>
      </w:r>
      <w:r>
        <w:rPr>
          <w:w w:val="99"/>
        </w:rPr>
        <w:t> </w:t>
      </w:r>
      <w:r>
        <w:rPr>
          <w:rFonts w:ascii="Times New Roman" w:hAnsi="Times New Roman" w:cs="Times New Roman" w:eastAsia="Times New Roman" w:hint="default"/>
        </w:rPr>
        <w:t>1</w:t>
      </w:r>
      <w:r>
        <w:rPr/>
        <w:t>、独立董事参加董事会的出席情况</w:t>
      </w:r>
    </w:p>
    <w:tbl>
      <w:tblPr>
        <w:tblW w:w="0" w:type="auto"/>
        <w:jc w:val="left"/>
        <w:tblInd w:w="101" w:type="dxa"/>
        <w:tblLayout w:type="fixed"/>
        <w:tblCellMar>
          <w:top w:w="0" w:type="dxa"/>
          <w:left w:w="0" w:type="dxa"/>
          <w:bottom w:w="0" w:type="dxa"/>
          <w:right w:w="0" w:type="dxa"/>
        </w:tblCellMar>
        <w:tblLook w:val="01E0"/>
      </w:tblPr>
      <w:tblGrid>
        <w:gridCol w:w="1306"/>
        <w:gridCol w:w="2008"/>
        <w:gridCol w:w="1549"/>
        <w:gridCol w:w="1549"/>
        <w:gridCol w:w="1198"/>
        <w:gridCol w:w="1691"/>
      </w:tblGrid>
      <w:tr>
        <w:trPr>
          <w:trHeight w:val="638" w:hRule="exact"/>
        </w:trPr>
        <w:tc>
          <w:tcPr>
            <w:tcW w:w="1306"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540" w:right="119" w:hanging="420"/>
              <w:jc w:val="left"/>
              <w:rPr>
                <w:rFonts w:ascii="宋体" w:hAnsi="宋体" w:cs="宋体" w:eastAsia="宋体" w:hint="default"/>
                <w:sz w:val="21"/>
                <w:szCs w:val="21"/>
              </w:rPr>
            </w:pPr>
            <w:r>
              <w:rPr>
                <w:rFonts w:ascii="宋体" w:hAnsi="宋体" w:cs="宋体" w:eastAsia="宋体" w:hint="default"/>
                <w:sz w:val="21"/>
                <w:szCs w:val="21"/>
              </w:rPr>
              <w:t>独立董事姓 名</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786" w:right="155" w:hanging="630"/>
              <w:jc w:val="left"/>
              <w:rPr>
                <w:rFonts w:ascii="宋体" w:hAnsi="宋体" w:cs="宋体" w:eastAsia="宋体" w:hint="default"/>
                <w:sz w:val="21"/>
                <w:szCs w:val="21"/>
              </w:rPr>
            </w:pPr>
            <w:r>
              <w:rPr>
                <w:rFonts w:ascii="宋体" w:hAnsi="宋体" w:cs="宋体" w:eastAsia="宋体" w:hint="default"/>
                <w:sz w:val="21"/>
                <w:szCs w:val="21"/>
              </w:rPr>
              <w:t>本年应参加董事会 次数</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3"/>
              <w:jc w:val="right"/>
              <w:rPr>
                <w:rFonts w:ascii="宋体" w:hAnsi="宋体" w:cs="宋体" w:eastAsia="宋体" w:hint="default"/>
                <w:sz w:val="21"/>
                <w:szCs w:val="21"/>
              </w:rPr>
            </w:pPr>
            <w:r>
              <w:rPr>
                <w:rFonts w:ascii="宋体" w:hAnsi="宋体" w:cs="宋体" w:eastAsia="宋体" w:hint="default"/>
                <w:spacing w:val="-5"/>
                <w:sz w:val="21"/>
                <w:szCs w:val="21"/>
              </w:rPr>
              <w:t>亲自出席（次）</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4"/>
              <w:jc w:val="right"/>
              <w:rPr>
                <w:rFonts w:ascii="宋体" w:hAnsi="宋体" w:cs="宋体" w:eastAsia="宋体" w:hint="default"/>
                <w:sz w:val="21"/>
                <w:szCs w:val="21"/>
              </w:rPr>
            </w:pPr>
            <w:r>
              <w:rPr>
                <w:rFonts w:ascii="宋体" w:hAnsi="宋体" w:cs="宋体" w:eastAsia="宋体" w:hint="default"/>
                <w:spacing w:val="-5"/>
                <w:sz w:val="21"/>
                <w:szCs w:val="21"/>
              </w:rPr>
              <w:t>委托出席（次）</w:t>
            </w:r>
          </w:p>
        </w:tc>
        <w:tc>
          <w:tcPr>
            <w:tcW w:w="11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30"/>
              <w:jc w:val="right"/>
              <w:rPr>
                <w:rFonts w:ascii="宋体" w:hAnsi="宋体" w:cs="宋体" w:eastAsia="宋体" w:hint="default"/>
                <w:sz w:val="21"/>
                <w:szCs w:val="21"/>
              </w:rPr>
            </w:pPr>
            <w:r>
              <w:rPr>
                <w:rFonts w:ascii="宋体" w:hAnsi="宋体" w:cs="宋体" w:eastAsia="宋体" w:hint="default"/>
                <w:sz w:val="21"/>
                <w:szCs w:val="21"/>
              </w:rPr>
              <w:t>缺席（次）</w:t>
            </w:r>
          </w:p>
        </w:tc>
        <w:tc>
          <w:tcPr>
            <w:tcW w:w="16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90" w:hRule="exact"/>
        </w:trPr>
        <w:tc>
          <w:tcPr>
            <w:tcW w:w="13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程厚博</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9</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z w:val="21"/>
              </w:rPr>
              <w:t>6</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3</w:t>
            </w:r>
          </w:p>
        </w:tc>
        <w:tc>
          <w:tcPr>
            <w:tcW w:w="1198" w:type="dxa"/>
            <w:tcBorders>
              <w:top w:val="single" w:sz="6" w:space="0" w:color="101010"/>
              <w:left w:val="single" w:sz="6" w:space="0" w:color="101010"/>
              <w:bottom w:val="single" w:sz="6" w:space="0" w:color="101010"/>
              <w:right w:val="single" w:sz="6" w:space="0" w:color="101010"/>
            </w:tcBorders>
          </w:tcPr>
          <w:p>
            <w:pPr/>
          </w:p>
        </w:tc>
        <w:tc>
          <w:tcPr>
            <w:tcW w:w="1691"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3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胡本立</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w:t>
            </w:r>
          </w:p>
        </w:tc>
        <w:tc>
          <w:tcPr>
            <w:tcW w:w="11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w:t>
            </w:r>
          </w:p>
        </w:tc>
        <w:tc>
          <w:tcPr>
            <w:tcW w:w="1691"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因出国，未能参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390" w:hRule="exact"/>
        </w:trPr>
        <w:tc>
          <w:tcPr>
            <w:tcW w:w="13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李尊农</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9</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z w:val="21"/>
              </w:rPr>
              <w:t>8</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1</w:t>
            </w:r>
          </w:p>
        </w:tc>
        <w:tc>
          <w:tcPr>
            <w:tcW w:w="1198" w:type="dxa"/>
            <w:tcBorders>
              <w:top w:val="single" w:sz="6" w:space="0" w:color="101010"/>
              <w:left w:val="single" w:sz="6" w:space="0" w:color="101010"/>
              <w:bottom w:val="single" w:sz="6" w:space="0" w:color="101010"/>
              <w:right w:val="single" w:sz="6" w:space="0" w:color="101010"/>
            </w:tcBorders>
          </w:tcPr>
          <w:p>
            <w:pPr/>
          </w:p>
        </w:tc>
        <w:tc>
          <w:tcPr>
            <w:tcW w:w="1691"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3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俞建午</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9</w:t>
            </w:r>
          </w:p>
        </w:tc>
        <w:tc>
          <w:tcPr>
            <w:tcW w:w="15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z w:val="21"/>
              </w:rPr>
              <w:t>9</w:t>
            </w:r>
          </w:p>
        </w:tc>
        <w:tc>
          <w:tcPr>
            <w:tcW w:w="1549"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691"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21"/>
          <w:szCs w:val="21"/>
        </w:rPr>
      </w:pPr>
    </w:p>
    <w:p>
      <w:pPr>
        <w:pStyle w:val="BodyText"/>
        <w:spacing w:line="516" w:lineRule="auto" w:before="35"/>
        <w:ind w:left="537" w:right="777" w:hanging="420"/>
        <w:jc w:val="left"/>
      </w:pPr>
      <w:r>
        <w:rPr>
          <w:rFonts w:ascii="Times New Roman" w:hAnsi="Times New Roman" w:cs="Times New Roman" w:eastAsia="Times New Roman" w:hint="default"/>
        </w:rPr>
        <w:t>2</w:t>
      </w:r>
      <w:r>
        <w:rPr/>
        <w:t>、独立董事对公司有关事项提出异议的情况 </w:t>
      </w:r>
      <w:r>
        <w:rPr>
          <w:spacing w:val="-2"/>
        </w:rPr>
        <w:t>报告期内，公司独立董事未对公司本年度的董事会议案及其他非董事会议案事项提出异议</w:t>
      </w:r>
    </w:p>
    <w:p>
      <w:pPr>
        <w:pStyle w:val="BodyText"/>
        <w:spacing w:line="240" w:lineRule="auto" w:before="108"/>
        <w:ind w:left="537" w:right="777"/>
        <w:jc w:val="left"/>
      </w:pPr>
      <w:r>
        <w:rPr>
          <w:spacing w:val="1"/>
        </w:rPr>
        <w:t>报告期内，公司独立董事本着为全体股东负责的态度，按照《中华人民共和国公司法</w:t>
      </w:r>
      <w:r>
        <w:rPr>
          <w:spacing w:val="-104"/>
        </w:rPr>
        <w:t>》</w:t>
      </w:r>
      <w:r>
        <w:rPr/>
        <w:t>、</w:t>
      </w:r>
    </w:p>
    <w:p>
      <w:pPr>
        <w:pStyle w:val="BodyText"/>
        <w:spacing w:line="273" w:lineRule="auto" w:before="37"/>
        <w:ind w:right="735"/>
        <w:jc w:val="left"/>
      </w:pPr>
      <w:r>
        <w:rPr>
          <w:spacing w:val="-4"/>
        </w:rPr>
        <w:t>《中华人民共和国证券法》和《上市公司治理准则》等法律法规的要求，履行诚信和勤勉义务，</w:t>
      </w:r>
      <w:r>
        <w:rPr>
          <w:spacing w:val="-101"/>
        </w:rPr>
        <w:t> </w:t>
      </w:r>
      <w:r>
        <w:rPr>
          <w:spacing w:val="-101"/>
        </w:rPr>
      </w:r>
      <w:r>
        <w:rPr/>
        <w:t>维护公司整体利益和全体股东，尤其是中小股东的合法利益不受侵犯。独立董事通过参加董事</w:t>
      </w:r>
      <w:r>
        <w:rPr/>
        <w:t> 会会议及作为董事会各专门委员会的成员，参与公司的决策议案审议，并对关联交易事项发表 独立意见，为董事会科学决策提供建设性意见。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56" w:lineRule="auto" w:before="0"/>
        <w:ind w:left="537" w:right="777" w:hanging="42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公司相对于控股股东在业务、人员、资产、机构、财务等方面的独立情况</w:t>
      </w:r>
      <w:r>
        <w:rPr>
          <w:w w:val="99"/>
        </w:rPr>
        <w:t> </w:t>
      </w:r>
      <w:r>
        <w:rPr>
          <w:rFonts w:ascii="Times New Roman" w:hAnsi="Times New Roman" w:cs="Times New Roman" w:eastAsia="Times New Roman" w:hint="default"/>
        </w:rPr>
        <w:t>1</w:t>
      </w:r>
      <w:r>
        <w:rPr/>
        <w:t>、业务方面：公司独立从事业务经营，对控股股东及其关联企业不存在依赖关系。公司</w:t>
      </w:r>
    </w:p>
    <w:p>
      <w:pPr>
        <w:pStyle w:val="BodyText"/>
        <w:spacing w:line="240" w:lineRule="auto" w:before="5"/>
        <w:ind w:right="735"/>
        <w:jc w:val="left"/>
      </w:pPr>
      <w:r>
        <w:rPr/>
        <w:t>拥有独立的采购和产品的开发生产、销售和服务系统，产品的生产、销售和服务不依赖于控股</w:t>
      </w:r>
    </w:p>
    <w:p>
      <w:pPr>
        <w:spacing w:after="0" w:line="240" w:lineRule="auto"/>
        <w:jc w:val="left"/>
        <w:sectPr>
          <w:pgSz w:w="11910" w:h="16840"/>
          <w:pgMar w:header="0" w:footer="1243" w:top="1400" w:bottom="1440" w:left="1680" w:right="700"/>
        </w:sectPr>
      </w:pPr>
    </w:p>
    <w:p>
      <w:pPr>
        <w:pStyle w:val="BodyText"/>
        <w:spacing w:line="273" w:lineRule="auto" w:before="25"/>
        <w:ind w:right="212"/>
        <w:jc w:val="both"/>
      </w:pPr>
      <w:r>
        <w:rPr>
          <w:spacing w:val="-2"/>
        </w:rPr>
        <w:t>股东及其关联企业。公司拥有独立的商标权、专利权、著作权等知识产权和独立的技术开发队</w:t>
      </w:r>
      <w:r>
        <w:rPr>
          <w:spacing w:val="-83"/>
        </w:rPr>
        <w:t> </w:t>
      </w:r>
      <w:r>
        <w:rPr>
          <w:spacing w:val="-83"/>
        </w:rPr>
      </w:r>
      <w:r>
        <w:rPr>
          <w:spacing w:val="-2"/>
        </w:rPr>
        <w:t>伍，业务发展不依赖和受制于控股股东和任何其他关联企业。本公司主营金融、交通、电子政</w:t>
      </w:r>
      <w:r>
        <w:rPr>
          <w:spacing w:val="-83"/>
        </w:rPr>
        <w:t> </w:t>
      </w:r>
      <w:r>
        <w:rPr>
          <w:spacing w:val="-83"/>
        </w:rPr>
      </w:r>
      <w:r>
        <w:rPr>
          <w:spacing w:val="-2"/>
        </w:rPr>
        <w:t>务等行业应用软件，及系统集成项目等。公司各项业务活动由本公司业务部门完成，由本公司</w:t>
      </w:r>
      <w:r>
        <w:rPr>
          <w:spacing w:val="-83"/>
        </w:rPr>
        <w:t> </w:t>
      </w:r>
      <w:r>
        <w:rPr>
          <w:spacing w:val="-83"/>
        </w:rPr>
      </w:r>
      <w:r>
        <w:rPr/>
        <w:t>经营层下达计划、进行考核，完全独立于控股股东。控股股东与公司不存在同业竞争</w:t>
      </w:r>
    </w:p>
    <w:p>
      <w:pPr>
        <w:spacing w:line="240" w:lineRule="auto" w:before="6"/>
        <w:rPr>
          <w:rFonts w:ascii="宋体" w:hAnsi="宋体" w:cs="宋体" w:eastAsia="宋体" w:hint="default"/>
          <w:sz w:val="24"/>
          <w:szCs w:val="24"/>
        </w:rPr>
      </w:pPr>
    </w:p>
    <w:p>
      <w:pPr>
        <w:pStyle w:val="BodyText"/>
        <w:spacing w:line="264" w:lineRule="auto" w:before="0"/>
        <w:ind w:right="212" w:firstLine="419"/>
        <w:jc w:val="both"/>
      </w:pPr>
      <w:r>
        <w:rPr>
          <w:rFonts w:ascii="Times New Roman" w:hAnsi="Times New Roman" w:cs="Times New Roman" w:eastAsia="Times New Roman" w:hint="default"/>
        </w:rPr>
        <w:t>2</w:t>
      </w:r>
      <w:r>
        <w:rPr/>
        <w:t>、人员方面：公司的高级管理人员均专职在本公司工作并领薪，不在控股股东及其关联</w:t>
      </w:r>
      <w:r>
        <w:rPr>
          <w:spacing w:val="1"/>
        </w:rPr>
        <w:t> </w:t>
      </w:r>
      <w:r>
        <w:rPr>
          <w:spacing w:val="-2"/>
        </w:rPr>
        <w:t>企业兼任除董事之外的其他职务。公司的劳动、人事及工资管理完全独立。控股股东推荐董事</w:t>
      </w:r>
      <w:r>
        <w:rPr>
          <w:spacing w:val="-83"/>
        </w:rPr>
        <w:t> </w:t>
      </w:r>
      <w:r>
        <w:rPr>
          <w:spacing w:val="-83"/>
        </w:rPr>
      </w:r>
      <w:r>
        <w:rPr/>
        <w:t>和经理人员均通过法定程序进行。</w:t>
      </w:r>
    </w:p>
    <w:p>
      <w:pPr>
        <w:pStyle w:val="BodyText"/>
        <w:spacing w:line="256" w:lineRule="auto" w:before="16"/>
        <w:ind w:right="213" w:firstLine="419"/>
        <w:jc w:val="both"/>
      </w:pPr>
      <w:r>
        <w:rPr>
          <w:rFonts w:ascii="Times New Roman" w:hAnsi="Times New Roman" w:cs="Times New Roman" w:eastAsia="Times New Roman" w:hint="default"/>
        </w:rPr>
        <w:t>3</w:t>
      </w:r>
      <w:r>
        <w:rPr/>
        <w:t>、资产方面：公司拥有独立的研发、销售、工程、维护服务等方面的体系；拥有自己的</w:t>
      </w:r>
      <w:r>
        <w:rPr>
          <w:spacing w:val="1"/>
        </w:rPr>
        <w:t> </w:t>
      </w:r>
      <w:r>
        <w:rPr/>
        <w:t>软件专利，及商标、知识产权等无形资产；拥有自营进出口权；资产方面完全独立</w:t>
      </w:r>
    </w:p>
    <w:p>
      <w:pPr>
        <w:pStyle w:val="BodyText"/>
        <w:spacing w:line="264" w:lineRule="auto" w:before="22"/>
        <w:ind w:right="212" w:firstLine="419"/>
        <w:jc w:val="both"/>
      </w:pPr>
      <w:r>
        <w:rPr>
          <w:rFonts w:ascii="Times New Roman" w:hAnsi="Times New Roman" w:cs="Times New Roman" w:eastAsia="Times New Roman" w:hint="default"/>
        </w:rPr>
        <w:t>4</w:t>
      </w:r>
      <w:r>
        <w:rPr/>
        <w:t>、机构方面：公司建立有功能健全、独立于控股集团公司的董事会、经营层及相应的管</w:t>
      </w:r>
      <w:r>
        <w:rPr>
          <w:spacing w:val="1"/>
        </w:rPr>
        <w:t> </w:t>
      </w:r>
      <w:r>
        <w:rPr>
          <w:spacing w:val="-2"/>
        </w:rPr>
        <w:t>理机构，各职能部门依据公司经营层决策运作，不存在与控股股东的上下级关系，不受控股股</w:t>
      </w:r>
      <w:r>
        <w:rPr>
          <w:spacing w:val="-83"/>
        </w:rPr>
        <w:t> </w:t>
      </w:r>
      <w:r>
        <w:rPr>
          <w:spacing w:val="-83"/>
        </w:rPr>
      </w:r>
      <w:r>
        <w:rPr/>
        <w:t>东的影响。</w:t>
      </w:r>
    </w:p>
    <w:p>
      <w:pPr>
        <w:pStyle w:val="BodyText"/>
        <w:spacing w:line="264" w:lineRule="auto" w:before="16"/>
        <w:ind w:right="212" w:firstLine="419"/>
        <w:jc w:val="both"/>
      </w:pPr>
      <w:r>
        <w:rPr>
          <w:rFonts w:ascii="Times New Roman" w:hAnsi="Times New Roman" w:cs="Times New Roman" w:eastAsia="Times New Roman" w:hint="default"/>
        </w:rPr>
        <w:t>5</w:t>
      </w:r>
      <w:r>
        <w:rPr/>
        <w:t>、财务方面：公司设置了独立的财务会计部门，并建立了独立的会计核算体系和财务管</w:t>
      </w:r>
      <w:r>
        <w:rPr>
          <w:spacing w:val="1"/>
        </w:rPr>
        <w:t> </w:t>
      </w:r>
      <w:r>
        <w:rPr>
          <w:spacing w:val="-2"/>
        </w:rPr>
        <w:t>理制度。公司独立作出财务决策，不存在控股股东干预公司资金使用的情况。公司在银行独立</w:t>
      </w:r>
      <w:r>
        <w:rPr>
          <w:spacing w:val="-83"/>
        </w:rPr>
        <w:t> </w:t>
      </w:r>
      <w:r>
        <w:rPr>
          <w:spacing w:val="-83"/>
        </w:rPr>
      </w:r>
      <w:r>
        <w:rPr/>
        <w:t>开户，依法独立纳税。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66" w:lineRule="auto" w:before="0"/>
        <w:ind w:right="9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高级管理人员的考评及激励情况</w:t>
      </w:r>
      <w:r>
        <w:rPr>
          <w:w w:val="99"/>
        </w:rPr>
        <w:t> </w:t>
      </w:r>
      <w:r>
        <w:rPr>
          <w:spacing w:val="-2"/>
        </w:rPr>
        <w:t>公司基于业务开拓和长远发展的需要，建立了高级管理人员的考评、激励机制。董事会对高级</w:t>
      </w:r>
      <w:r>
        <w:rPr>
          <w:spacing w:val="-84"/>
        </w:rPr>
        <w:t> </w:t>
      </w:r>
      <w:r>
        <w:rPr>
          <w:spacing w:val="-84"/>
        </w:rPr>
      </w:r>
      <w:r>
        <w:rPr>
          <w:spacing w:val="-2"/>
        </w:rPr>
        <w:t>管理人员的聘任任期同董事会任期，由董事会及下属薪酬委员会按年度对高级管理人员的业绩</w:t>
      </w:r>
      <w:r>
        <w:rPr>
          <w:spacing w:val="-83"/>
        </w:rPr>
        <w:t> </w:t>
      </w:r>
      <w:r>
        <w:rPr>
          <w:spacing w:val="-83"/>
        </w:rPr>
      </w:r>
      <w:r>
        <w:rPr/>
        <w:t>和履职情况进行考评，并根据考评结果决定年度薪酬。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68" w:lineRule="auto" w:before="0"/>
        <w:ind w:left="116" w:right="9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公司内部控制制度的建立健全情况</w:t>
      </w:r>
      <w:r>
        <w:rPr>
          <w:w w:val="99"/>
        </w:rPr>
        <w:t> </w:t>
      </w:r>
      <w:r>
        <w:rPr>
          <w:spacing w:val="-10"/>
          <w:w w:val="99"/>
        </w:rPr>
        <w:t>公司已经按照《中华人民共和国公司法》（以下简称《公司法》</w:t>
      </w:r>
      <w:r>
        <w:rPr>
          <w:rFonts w:ascii="Times New Roman" w:hAnsi="Times New Roman" w:cs="Times New Roman" w:eastAsia="Times New Roman" w:hint="default"/>
          <w:spacing w:val="-10"/>
          <w:w w:val="99"/>
        </w:rPr>
        <w:t>)</w:t>
      </w:r>
      <w:r>
        <w:rPr>
          <w:spacing w:val="-10"/>
          <w:w w:val="99"/>
        </w:rPr>
        <w:t>、《中华人民共和国证券法》</w:t>
      </w:r>
      <w:r>
        <w:rPr>
          <w:rFonts w:ascii="Times New Roman" w:hAnsi="Times New Roman" w:cs="Times New Roman" w:eastAsia="Times New Roman" w:hint="default"/>
          <w:spacing w:val="-10"/>
          <w:w w:val="99"/>
        </w:rPr>
        <w:t>(</w:t>
      </w:r>
      <w:r>
        <w:rPr>
          <w:spacing w:val="-10"/>
          <w:w w:val="99"/>
        </w:rPr>
        <w:t>以</w:t>
      </w:r>
      <w:r>
        <w:rPr>
          <w:spacing w:val="-78"/>
          <w:w w:val="99"/>
        </w:rPr>
        <w:t> </w:t>
      </w:r>
      <w:r>
        <w:rPr>
          <w:spacing w:val="-6"/>
          <w:w w:val="99"/>
        </w:rPr>
        <w:t>下简称《证券法》</w:t>
      </w:r>
      <w:r>
        <w:rPr>
          <w:rFonts w:ascii="Times New Roman" w:hAnsi="Times New Roman" w:cs="Times New Roman" w:eastAsia="Times New Roman" w:hint="default"/>
          <w:spacing w:val="-6"/>
          <w:w w:val="99"/>
        </w:rPr>
        <w:t>)</w:t>
      </w:r>
      <w:r>
        <w:rPr>
          <w:spacing w:val="-6"/>
          <w:w w:val="99"/>
        </w:rPr>
        <w:t>和有关监管要求及《恒生电子股份有限公司章程》，设立了董事会、监事会，</w:t>
      </w:r>
      <w:r>
        <w:rPr>
          <w:spacing w:val="-88"/>
          <w:w w:val="99"/>
        </w:rPr>
        <w:t> </w:t>
      </w:r>
      <w:r>
        <w:rPr>
          <w:spacing w:val="-88"/>
          <w:w w:val="99"/>
        </w:rPr>
      </w:r>
      <w:r>
        <w:rPr/>
        <w:t>在公司内部建立了与业务性质和规模相适应的组织结构，各部门有明确的管理职能，部门之间</w:t>
      </w:r>
      <w:r>
        <w:rPr>
          <w:w w:val="99"/>
        </w:rPr>
        <w:t> </w:t>
      </w:r>
      <w:r>
        <w:rPr/>
        <w:t>及内部建立了适当的职责分工与报告关系，以确保各项经济业务的授权、执行、记录及资产的</w:t>
      </w:r>
      <w:r>
        <w:rPr>
          <w:w w:val="99"/>
        </w:rPr>
        <w:t> </w:t>
      </w:r>
      <w:r>
        <w:rPr/>
        <w:t>维护与保管由不同的部门或人员相互牵制监督。公司明确了管理理念和经营风格，并在公司范</w:t>
      </w:r>
      <w:r>
        <w:rPr>
          <w:w w:val="99"/>
        </w:rPr>
        <w:t> </w:t>
      </w:r>
      <w:r>
        <w:rPr/>
        <w:t>围内进行广泛的教育和宣传。</w:t>
      </w:r>
      <w:r>
        <w:rPr>
          <w:w w:val="99"/>
        </w:rPr>
        <w:t> </w:t>
      </w:r>
      <w:r>
        <w:rPr/>
        <w:t>公司制定了长远发展整体目标，并辅以具体策略和业务流程层面的计划将企业经营目标明确地</w:t>
      </w:r>
      <w:r>
        <w:rPr>
          <w:w w:val="99"/>
        </w:rPr>
        <w:t> </w:t>
      </w:r>
      <w:r>
        <w:rPr/>
        <w:t>传达到每一位员工。</w:t>
      </w:r>
      <w:r>
        <w:rPr>
          <w:w w:val="99"/>
        </w:rPr>
        <w:t> </w:t>
      </w:r>
      <w:r>
        <w:rPr/>
        <w:t>公司为向管理层及时有效地提供业绩报告建立了强大的信息系统，信息系统人员</w:t>
      </w:r>
      <w:r>
        <w:rPr>
          <w:rFonts w:ascii="Times New Roman" w:hAnsi="Times New Roman" w:cs="Times New Roman" w:eastAsia="Times New Roman" w:hint="default"/>
        </w:rPr>
        <w:t>(</w:t>
      </w:r>
      <w:r>
        <w:rPr/>
        <w:t>包括财务人</w:t>
      </w:r>
      <w:r>
        <w:rPr>
          <w:spacing w:val="-35"/>
        </w:rPr>
        <w:t> </w:t>
      </w:r>
      <w:r>
        <w:rPr>
          <w:spacing w:val="-35"/>
        </w:rPr>
      </w:r>
      <w:r>
        <w:rPr/>
        <w:t>员</w:t>
      </w:r>
      <w:r>
        <w:rPr>
          <w:rFonts w:ascii="Times New Roman" w:hAnsi="Times New Roman" w:cs="Times New Roman" w:eastAsia="Times New Roman" w:hint="default"/>
        </w:rPr>
        <w:t>)</w:t>
      </w:r>
      <w:r>
        <w:rPr/>
        <w:t>恪尽职守、勤勉工作，能够有效地履行赋予的职责。公司管理层也提供了适当的人力、财</w:t>
      </w:r>
      <w:r>
        <w:rPr>
          <w:spacing w:val="-38"/>
        </w:rPr>
        <w:t> </w:t>
      </w:r>
      <w:r>
        <w:rPr>
          <w:spacing w:val="-38"/>
        </w:rPr>
      </w:r>
      <w:r>
        <w:rPr/>
        <w:t>力以保障整个信息系统的正常、有效运行。</w:t>
      </w:r>
      <w:r>
        <w:rPr>
          <w:w w:val="99"/>
        </w:rPr>
        <w:t> </w:t>
      </w:r>
      <w:r>
        <w:rPr/>
        <w:t>公司针对可疑的不恰当事项和行为建立了有效的沟通渠道和机制，使管理层就员工职责和控制</w:t>
      </w:r>
      <w:r>
        <w:rPr>
          <w:w w:val="99"/>
        </w:rPr>
        <w:t> </w:t>
      </w:r>
      <w:r>
        <w:rPr/>
        <w:t>责任能够进行有效沟通。组织内部沟通的充分性使员工能够有效地履行其职责，与客户、供应</w:t>
      </w:r>
      <w:r>
        <w:rPr>
          <w:w w:val="99"/>
        </w:rPr>
        <w:t> </w:t>
      </w:r>
      <w:r>
        <w:rPr/>
        <w:t>商、监管者和其他外部人士的有效沟通，使管理层面对各种变化能够及时采取适当的进一步行</w:t>
      </w:r>
      <w:r>
        <w:rPr>
          <w:w w:val="99"/>
        </w:rPr>
        <w:t> </w:t>
      </w:r>
      <w:r>
        <w:rPr/>
        <w:t>动。</w:t>
      </w:r>
      <w:r>
        <w:rPr>
          <w:w w:val="99"/>
        </w:rPr>
        <w:t> </w:t>
      </w:r>
      <w:r>
        <w:rPr/>
        <w:t>公司主要经营活动都有必要的控制政策和程序。管理层在预算、利润和其他财务和经营业绩都</w:t>
      </w:r>
      <w:r>
        <w:rPr>
          <w:w w:val="99"/>
        </w:rPr>
        <w:t> </w:t>
      </w:r>
      <w:r>
        <w:rPr/>
        <w:t>有清晰的目标，公司内部对这些目标都有清晰的记录和沟通，并且积极地对其加以监控。财务</w:t>
      </w:r>
      <w:r>
        <w:rPr>
          <w:w w:val="99"/>
        </w:rPr>
        <w:t> </w:t>
      </w:r>
      <w:r>
        <w:rPr/>
        <w:t>部门建立了适当的保护措施较合理地保证对资产和记录的接触、处理均经过适当的授权；较合</w:t>
      </w:r>
      <w:r>
        <w:rPr>
          <w:w w:val="99"/>
        </w:rPr>
        <w:t> </w:t>
      </w:r>
      <w:r>
        <w:rPr/>
        <w:t>理地保证账面资产与实存资产定期核对相符。</w:t>
      </w:r>
    </w:p>
    <w:p>
      <w:pPr>
        <w:spacing w:after="0" w:line="268" w:lineRule="auto"/>
        <w:jc w:val="left"/>
        <w:sectPr>
          <w:pgSz w:w="11910" w:h="16840"/>
          <w:pgMar w:header="0" w:footer="1243" w:top="1400" w:bottom="1440" w:left="1680" w:right="1340"/>
        </w:sectPr>
      </w:pPr>
    </w:p>
    <w:p>
      <w:pPr>
        <w:pStyle w:val="BodyText"/>
        <w:spacing w:line="273" w:lineRule="auto" w:before="25"/>
        <w:ind w:right="154"/>
        <w:jc w:val="both"/>
      </w:pPr>
      <w:r>
        <w:rPr>
          <w:spacing w:val="-2"/>
        </w:rPr>
        <w:t>为合理保证各项目标的实现，公司建立了相关的控制程序，主要包括：交易授权控制、责任分</w:t>
      </w:r>
      <w:r>
        <w:rPr>
          <w:spacing w:val="-83"/>
        </w:rPr>
        <w:t> </w:t>
      </w:r>
      <w:r>
        <w:rPr>
          <w:spacing w:val="-83"/>
        </w:rPr>
      </w:r>
      <w:r>
        <w:rPr/>
        <w:t>工控制、凭证与记录控制、资产接触与记录使用控制、独立稽查控制、电子信息系统控制等。 </w:t>
      </w:r>
      <w:r>
        <w:rPr>
          <w:spacing w:val="-2"/>
        </w:rPr>
        <w:t>公司定期对各项内部控制进行评价，同时一方面建立各种机制使相关人员在履行正常岗位职责</w:t>
      </w:r>
      <w:r>
        <w:rPr>
          <w:spacing w:val="-82"/>
        </w:rPr>
        <w:t> </w:t>
      </w:r>
      <w:r>
        <w:rPr>
          <w:spacing w:val="-82"/>
        </w:rPr>
      </w:r>
      <w:r>
        <w:rPr>
          <w:spacing w:val="-2"/>
        </w:rPr>
        <w:t>时，就能够在相当程度上获得内部控制有效运行的证据；另一方面通过外部沟通来证实内部产</w:t>
      </w:r>
      <w:r>
        <w:rPr>
          <w:spacing w:val="-85"/>
        </w:rPr>
        <w:t> </w:t>
      </w:r>
      <w:r>
        <w:rPr>
          <w:spacing w:val="-85"/>
        </w:rPr>
      </w:r>
      <w:r>
        <w:rPr>
          <w:spacing w:val="-2"/>
        </w:rPr>
        <w:t>生的信息或者指出存在的问题。公司管理层高度重视内部控制的各职能部门和监管机构的报告</w:t>
      </w:r>
      <w:r>
        <w:rPr>
          <w:spacing w:val="-82"/>
        </w:rPr>
        <w:t> </w:t>
      </w:r>
      <w:r>
        <w:rPr>
          <w:spacing w:val="-82"/>
        </w:rPr>
      </w:r>
      <w:r>
        <w:rPr/>
        <w:t>及建议，并采取各种措施及时纠正控制运行中产生的偏差。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1"/>
        <w:spacing w:line="240" w:lineRule="auto"/>
        <w:ind w:right="95"/>
        <w:jc w:val="left"/>
        <w:rPr>
          <w:rFonts w:ascii="宋体" w:hAnsi="宋体" w:cs="宋体" w:eastAsia="宋体" w:hint="default"/>
          <w:b w:val="0"/>
          <w:bCs w:val="0"/>
        </w:rPr>
      </w:pPr>
      <w:bookmarkStart w:name="_TOC_250005" w:id="7"/>
      <w:r>
        <w:rPr>
          <w:rFonts w:ascii="宋体" w:hAnsi="宋体" w:cs="宋体" w:eastAsia="宋体" w:hint="default"/>
        </w:rPr>
        <w:t>七、股东大会情况简介</w:t>
      </w:r>
      <w:bookmarkEnd w:id="7"/>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9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年度股东大会情况</w:t>
      </w:r>
    </w:p>
    <w:p>
      <w:pPr>
        <w:pStyle w:val="BodyText"/>
        <w:spacing w:line="256" w:lineRule="auto" w:before="21"/>
        <w:ind w:left="116" w:right="95"/>
        <w:jc w:val="left"/>
      </w:pPr>
      <w:r>
        <w:rPr>
          <w:rFonts w:ascii="Times New Roman" w:hAnsi="Times New Roman" w:cs="Times New Roman" w:eastAsia="Times New Roman" w:hint="default"/>
        </w:rPr>
        <w:t>1</w:t>
      </w:r>
      <w:r>
        <w:rPr>
          <w:spacing w:val="-88"/>
        </w:rPr>
        <w:t>、</w:t>
      </w:r>
      <w:r>
        <w:rPr/>
        <w:t>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日召开</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年度股东大会</w:t>
      </w:r>
      <w:r>
        <w:rPr>
          <w:spacing w:val="-88"/>
        </w:rPr>
        <w:t>。</w:t>
      </w:r>
      <w:r>
        <w:rPr/>
        <w:t>决议公告刊登在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spacing w:val="-2"/>
        </w:rPr>
        <w:t>日</w:t>
      </w:r>
      <w:r>
        <w:rPr>
          <w:spacing w:val="-88"/>
        </w:rPr>
        <w:t>的</w:t>
      </w:r>
      <w:r>
        <w:rPr>
          <w:spacing w:val="1"/>
        </w:rPr>
        <w:t>《上</w:t>
      </w:r>
      <w:r>
        <w:rPr>
          <w:spacing w:val="1"/>
        </w:rPr>
        <w:t> </w:t>
      </w:r>
      <w:r>
        <w:rPr/>
        <w:t>海证券报</w:t>
      </w:r>
      <w:r>
        <w:rPr>
          <w:spacing w:val="-105"/>
        </w:rPr>
        <w:t>》</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0"/>
        <w:ind w:left="116" w:right="9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临时股东大会情况</w:t>
      </w:r>
    </w:p>
    <w:p>
      <w:pPr>
        <w:pStyle w:val="BodyText"/>
        <w:spacing w:line="240" w:lineRule="auto" w:before="21"/>
        <w:ind w:left="116" w:right="95"/>
        <w:jc w:val="left"/>
      </w:pPr>
      <w:r>
        <w:rPr>
          <w:rFonts w:ascii="Times New Roman" w:hAnsi="Times New Roman" w:cs="Times New Roman" w:eastAsia="Times New Roman" w:hint="default"/>
        </w:rPr>
        <w:t>1</w:t>
      </w:r>
      <w:r>
        <w:rPr/>
        <w:t>、第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次临时股东大会情况：</w:t>
      </w:r>
    </w:p>
    <w:p>
      <w:pPr>
        <w:pStyle w:val="BodyText"/>
        <w:spacing w:line="240" w:lineRule="auto" w:before="21"/>
        <w:ind w:left="328" w:right="95"/>
        <w:jc w:val="left"/>
      </w:pPr>
      <w:r>
        <w:rPr/>
        <w:t>公司于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日召开</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年第</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次临时股东大会。决议公告刊登在</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p>
    <w:p>
      <w:pPr>
        <w:pStyle w:val="BodyText"/>
        <w:spacing w:line="240" w:lineRule="auto" w:before="21"/>
        <w:ind w:left="116" w:right="95"/>
        <w:jc w:val="left"/>
      </w:pPr>
      <w:r>
        <w:rPr>
          <w:rFonts w:ascii="Times New Roman" w:hAnsi="Times New Roman" w:cs="Times New Roman" w:eastAsia="Times New Roman" w:hint="default"/>
        </w:rPr>
        <w:t>13 </w:t>
      </w:r>
      <w:r>
        <w:rPr/>
        <w:t>日的《</w:t>
      </w:r>
      <w:r>
        <w:rPr>
          <w:spacing w:val="-2"/>
        </w:rPr>
        <w:t>上</w:t>
      </w:r>
      <w:r>
        <w:rPr/>
        <w:t>海证券报</w:t>
      </w:r>
      <w:r>
        <w:rPr>
          <w:spacing w:val="-105"/>
        </w:rPr>
        <w:t>》</w:t>
      </w:r>
      <w:r>
        <w:rPr/>
        <w:t>。</w:t>
      </w:r>
    </w:p>
    <w:p>
      <w:pPr>
        <w:pStyle w:val="BodyText"/>
        <w:spacing w:line="240" w:lineRule="auto" w:before="21"/>
        <w:ind w:left="116" w:right="95"/>
        <w:jc w:val="left"/>
      </w:pPr>
      <w:r>
        <w:rPr>
          <w:rFonts w:ascii="Times New Roman" w:hAnsi="Times New Roman" w:cs="Times New Roman" w:eastAsia="Times New Roman" w:hint="default"/>
        </w:rPr>
        <w:t>2</w:t>
      </w:r>
      <w:r>
        <w:rPr/>
        <w:t>、第</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次临时股东大会情况：</w:t>
      </w:r>
    </w:p>
    <w:p>
      <w:pPr>
        <w:pStyle w:val="BodyText"/>
        <w:spacing w:line="240" w:lineRule="auto" w:before="21"/>
        <w:ind w:left="328" w:right="95"/>
        <w:jc w:val="left"/>
      </w:pPr>
      <w:r>
        <w:rPr/>
        <w:t>公司于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日召开</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年第</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次临时股东大会。决议公告刊登在</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p>
    <w:p>
      <w:pPr>
        <w:pStyle w:val="BodyText"/>
        <w:spacing w:line="240" w:lineRule="auto" w:before="21"/>
        <w:ind w:left="116" w:right="95"/>
        <w:jc w:val="left"/>
      </w:pPr>
      <w:r>
        <w:rPr>
          <w:rFonts w:ascii="Times New Roman" w:hAnsi="Times New Roman" w:cs="Times New Roman" w:eastAsia="Times New Roman" w:hint="default"/>
        </w:rPr>
        <w:t>26 </w:t>
      </w:r>
      <w:r>
        <w:rPr/>
        <w:t>日的《</w:t>
      </w:r>
      <w:r>
        <w:rPr>
          <w:spacing w:val="-2"/>
        </w:rPr>
        <w:t>上</w:t>
      </w:r>
      <w:r>
        <w:rPr/>
        <w:t>海证券报</w:t>
      </w:r>
      <w:r>
        <w:rPr>
          <w:spacing w:val="-105"/>
        </w:rPr>
        <w:t>》</w:t>
      </w:r>
      <w:r>
        <w:rPr/>
        <w:t>。</w:t>
      </w:r>
    </w:p>
    <w:p>
      <w:pPr>
        <w:pStyle w:val="BodyText"/>
        <w:spacing w:line="240" w:lineRule="auto" w:before="21"/>
        <w:ind w:left="116" w:right="95"/>
        <w:jc w:val="left"/>
      </w:pPr>
      <w:r>
        <w:rPr>
          <w:rFonts w:ascii="Times New Roman" w:hAnsi="Times New Roman" w:cs="Times New Roman" w:eastAsia="Times New Roman" w:hint="default"/>
        </w:rPr>
        <w:t>3</w:t>
      </w:r>
      <w:r>
        <w:rPr/>
        <w:t>、第</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次临时股东大会情况：</w:t>
      </w:r>
    </w:p>
    <w:p>
      <w:pPr>
        <w:pStyle w:val="BodyText"/>
        <w:spacing w:line="240" w:lineRule="auto" w:before="20"/>
        <w:ind w:left="328" w:right="95"/>
        <w:jc w:val="left"/>
      </w:pPr>
      <w:r>
        <w:rPr/>
        <w:t>公司于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日召开</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年第</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次临时股东大会。决议公告刊登在</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p>
    <w:p>
      <w:pPr>
        <w:pStyle w:val="BodyText"/>
        <w:spacing w:line="240" w:lineRule="auto" w:before="21"/>
        <w:ind w:right="95"/>
        <w:jc w:val="left"/>
      </w:pPr>
      <w:r>
        <w:rPr>
          <w:rFonts w:ascii="Times New Roman" w:hAnsi="Times New Roman" w:cs="Times New Roman" w:eastAsia="Times New Roman" w:hint="default"/>
        </w:rPr>
        <w:t>19 </w:t>
      </w:r>
      <w:r>
        <w:rPr/>
        <w:t>日的《</w:t>
      </w:r>
      <w:r>
        <w:rPr>
          <w:spacing w:val="-2"/>
        </w:rPr>
        <w:t>上</w:t>
      </w:r>
      <w:r>
        <w:rPr/>
        <w:t>海证券报</w:t>
      </w:r>
      <w:r>
        <w:rPr>
          <w:spacing w:val="-105"/>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7"/>
          <w:szCs w:val="17"/>
        </w:rPr>
      </w:pPr>
    </w:p>
    <w:p>
      <w:pPr>
        <w:pStyle w:val="Heading1"/>
        <w:spacing w:line="240" w:lineRule="auto"/>
        <w:ind w:right="95"/>
        <w:jc w:val="left"/>
        <w:rPr>
          <w:rFonts w:ascii="宋体" w:hAnsi="宋体" w:cs="宋体" w:eastAsia="宋体" w:hint="default"/>
          <w:b w:val="0"/>
          <w:bCs w:val="0"/>
        </w:rPr>
      </w:pPr>
      <w:bookmarkStart w:name="_TOC_250004" w:id="8"/>
      <w:r>
        <w:rPr>
          <w:rFonts w:ascii="宋体" w:hAnsi="宋体" w:cs="宋体" w:eastAsia="宋体" w:hint="default"/>
        </w:rPr>
        <w:t>八、董事会报告</w:t>
      </w:r>
      <w:bookmarkEnd w:id="8"/>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223" w:right="9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管理层讨论与分析</w:t>
      </w:r>
    </w:p>
    <w:p>
      <w:pPr>
        <w:pStyle w:val="BodyText"/>
        <w:spacing w:line="240" w:lineRule="auto" w:before="21"/>
        <w:ind w:left="537" w:right="95"/>
        <w:jc w:val="left"/>
      </w:pPr>
      <w:r>
        <w:rPr>
          <w:rFonts w:ascii="Times New Roman" w:hAnsi="Times New Roman" w:cs="Times New Roman" w:eastAsia="Times New Roman" w:hint="default"/>
        </w:rPr>
        <w:t>2007 </w:t>
      </w:r>
      <w:r>
        <w:rPr>
          <w:rFonts w:ascii="Times New Roman" w:hAnsi="Times New Roman" w:cs="Times New Roman" w:eastAsia="Times New Roman" w:hint="default"/>
          <w:spacing w:val="34"/>
        </w:rPr>
        <w:t> </w:t>
      </w:r>
      <w:r>
        <w:rPr/>
        <w:t>年，恒生电子依托中国经济的稳定增长，借助中国金融、资本市场的快速发展，公</w:t>
      </w:r>
    </w:p>
    <w:p>
      <w:pPr>
        <w:pStyle w:val="BodyText"/>
        <w:spacing w:line="264" w:lineRule="auto" w:before="21"/>
        <w:ind w:right="95"/>
        <w:jc w:val="left"/>
      </w:pPr>
      <w:r>
        <w:rPr/>
        <w:t>司销售收入、主营业务利润、净利润等各项指标均实现了较大幅度的提高；公司从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年开 </w:t>
      </w:r>
      <w:r>
        <w:rPr>
          <w:spacing w:val="-4"/>
        </w:rPr>
        <w:t>始的“二次成长”得以初步确立。现就公司本年度生产经营及重大事项进展情况具体阐述如下：</w:t>
      </w:r>
      <w:r>
        <w:rPr/>
        <w:t> </w:t>
      </w:r>
      <w:r>
        <w:rPr>
          <w:rFonts w:ascii="Times New Roman" w:hAnsi="Times New Roman" w:cs="Times New Roman" w:eastAsia="Times New Roman" w:hint="default"/>
        </w:rPr>
        <w:t>1</w:t>
      </w:r>
      <w:r>
        <w:rPr/>
        <w:t>、财务各项指标与总体经营状况：</w:t>
      </w:r>
    </w:p>
    <w:p>
      <w:pPr>
        <w:pStyle w:val="BodyText"/>
        <w:spacing w:line="261" w:lineRule="auto" w:before="0"/>
        <w:ind w:right="89" w:firstLine="105"/>
        <w:jc w:val="left"/>
      </w:pPr>
      <w:r>
        <w:rPr/>
        <w:t>公司</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年实现销售收入</w:t>
      </w:r>
      <w:r>
        <w:rPr>
          <w:spacing w:val="-56"/>
        </w:rPr>
        <w:t> </w:t>
      </w:r>
      <w:r>
        <w:rPr>
          <w:rFonts w:ascii="Times New Roman" w:hAnsi="Times New Roman" w:cs="Times New Roman" w:eastAsia="Times New Roman" w:hint="default"/>
        </w:rPr>
        <w:t>57243</w:t>
      </w:r>
      <w:r>
        <w:rPr>
          <w:rFonts w:ascii="Times New Roman" w:hAnsi="Times New Roman" w:cs="Times New Roman" w:eastAsia="Times New Roman" w:hint="default"/>
          <w:spacing w:val="-4"/>
        </w:rPr>
        <w:t> </w:t>
      </w:r>
      <w:r>
        <w:rPr/>
        <w:t>万元，同比上年增长</w:t>
      </w:r>
      <w:r>
        <w:rPr>
          <w:spacing w:val="-5"/>
        </w:rPr>
        <w:t> </w:t>
      </w:r>
      <w:r>
        <w:rPr>
          <w:rFonts w:ascii="Times New Roman" w:hAnsi="Times New Roman" w:cs="Times New Roman" w:eastAsia="Times New Roman" w:hint="default"/>
        </w:rPr>
        <w:t>65.51</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；实现净利润</w:t>
      </w:r>
      <w:r>
        <w:rPr>
          <w:spacing w:val="-56"/>
        </w:rPr>
        <w:t> </w:t>
      </w:r>
      <w:r>
        <w:rPr>
          <w:rFonts w:ascii="Times New Roman" w:hAnsi="Times New Roman" w:cs="Times New Roman" w:eastAsia="Times New Roman" w:hint="default"/>
        </w:rPr>
        <w:t>12642</w:t>
      </w:r>
      <w:r>
        <w:rPr>
          <w:rFonts w:ascii="Times New Roman" w:hAnsi="Times New Roman" w:cs="Times New Roman" w:eastAsia="Times New Roman" w:hint="default"/>
          <w:spacing w:val="-3"/>
        </w:rPr>
        <w:t> </w:t>
      </w:r>
      <w:r>
        <w:rPr>
          <w:spacing w:val="-3"/>
        </w:rPr>
        <w:t>万元，同</w:t>
      </w:r>
      <w:r>
        <w:rPr/>
        <w:t> 比上年增长</w:t>
      </w:r>
      <w:r>
        <w:rPr>
          <w:spacing w:val="-26"/>
        </w:rPr>
        <w:t> </w:t>
      </w:r>
      <w:r>
        <w:rPr>
          <w:rFonts w:ascii="Times New Roman" w:hAnsi="Times New Roman" w:cs="Times New Roman" w:eastAsia="Times New Roman" w:hint="default"/>
        </w:rPr>
        <w:t>131%</w:t>
      </w:r>
      <w:r>
        <w:rPr/>
        <w:t>。公司取得业绩增长的原因，既得益于中国资本市场的长期良性发展，也得 益于公司长期坚持的产品研发获得市场的需求和认可，同时，公司内部管理的加强，考核机制 的到位也是业绩增长的重要因素。证券、金融、基金三个大金融</w:t>
      </w:r>
      <w:r>
        <w:rPr>
          <w:spacing w:val="-75"/>
        </w:rPr>
        <w:t>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事业部业务量对销售收入、 利润贡献占的比重最大，其中，</w:t>
      </w:r>
      <w:r>
        <w:rPr>
          <w:rFonts w:ascii="Times New Roman" w:hAnsi="Times New Roman" w:cs="Times New Roman" w:eastAsia="Times New Roman" w:hint="default"/>
        </w:rPr>
        <w:t>07 </w:t>
      </w:r>
      <w:r>
        <w:rPr/>
        <w:t>年证券事业部是公司利润增长的一个亮点。此外，公司在</w:t>
      </w:r>
      <w:r>
        <w:rPr>
          <w:spacing w:val="-6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年也取得了较好的投资收益。</w:t>
      </w:r>
    </w:p>
    <w:p>
      <w:pPr>
        <w:spacing w:line="240" w:lineRule="auto" w:before="5"/>
        <w:rPr>
          <w:rFonts w:ascii="宋体" w:hAnsi="宋体" w:cs="宋体" w:eastAsia="宋体" w:hint="default"/>
          <w:sz w:val="18"/>
          <w:szCs w:val="18"/>
        </w:rPr>
      </w:pPr>
    </w:p>
    <w:p>
      <w:pPr>
        <w:pStyle w:val="BodyText"/>
        <w:spacing w:line="240" w:lineRule="auto" w:before="0"/>
        <w:ind w:left="537" w:right="95"/>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年公司期间费用同比增长</w:t>
      </w:r>
      <w:r>
        <w:rPr>
          <w:spacing w:val="-1"/>
        </w:rPr>
        <w:t> </w:t>
      </w:r>
      <w:r>
        <w:rPr>
          <w:rFonts w:ascii="Times New Roman" w:hAnsi="Times New Roman" w:cs="Times New Roman" w:eastAsia="Times New Roman" w:hint="default"/>
          <w:spacing w:val="-4"/>
        </w:rPr>
        <w:t>65%</w:t>
      </w:r>
      <w:r>
        <w:rPr>
          <w:spacing w:val="-4"/>
        </w:rPr>
        <w:t>左右，主要是由于</w:t>
      </w:r>
      <w:r>
        <w:rPr>
          <w:spacing w:val="-54"/>
        </w:rPr>
        <w:t> </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spacing w:val="-3"/>
        </w:rPr>
        <w:t>年大金融业务发展形势良好，使</w:t>
      </w:r>
    </w:p>
    <w:p>
      <w:pPr>
        <w:pStyle w:val="BodyText"/>
        <w:spacing w:line="240" w:lineRule="auto" w:before="21"/>
        <w:ind w:right="95"/>
        <w:jc w:val="left"/>
      </w:pPr>
      <w:r>
        <w:rPr/>
        <w:t>得业务部门技术、服务人员都有不同程度增加，这是</w:t>
      </w:r>
      <w:r>
        <w:rPr>
          <w:spacing w:val="-55"/>
        </w:rPr>
        <w:t> </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年费用增加的主要原因。</w:t>
      </w:r>
    </w:p>
    <w:p>
      <w:pPr>
        <w:pStyle w:val="BodyText"/>
        <w:spacing w:line="240" w:lineRule="auto" w:before="21"/>
        <w:ind w:left="116" w:right="95"/>
        <w:jc w:val="left"/>
      </w:pPr>
      <w:r>
        <w:rPr>
          <w:rFonts w:ascii="Times New Roman" w:hAnsi="Times New Roman" w:cs="Times New Roman" w:eastAsia="Times New Roman" w:hint="default"/>
        </w:rPr>
        <w:t>2</w:t>
      </w:r>
      <w:r>
        <w:rPr/>
        <w:t>、市场与产品方面：</w:t>
      </w:r>
    </w:p>
    <w:p>
      <w:pPr>
        <w:spacing w:after="0" w:line="240" w:lineRule="auto"/>
        <w:jc w:val="left"/>
        <w:sectPr>
          <w:pgSz w:w="11910" w:h="16840"/>
          <w:pgMar w:header="0" w:footer="1243" w:top="1400" w:bottom="1440" w:left="1680" w:right="1340"/>
        </w:sectPr>
      </w:pPr>
    </w:p>
    <w:p>
      <w:pPr>
        <w:pStyle w:val="BodyText"/>
        <w:spacing w:line="261" w:lineRule="auto" w:before="25"/>
        <w:ind w:right="93" w:firstLine="421"/>
        <w:jc w:val="left"/>
      </w:pPr>
      <w:r>
        <w:rPr/>
        <w:t>恒生电子多年来坚持前瞻性研发，</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年恒生电子的金融软件服务业务实现了较大发展， 公司稳步推进产品化战略，形成一批拳头产品和服务，为公司的盈利增长和快速发展奠定了坚 </w:t>
      </w:r>
      <w:r>
        <w:rPr>
          <w:spacing w:val="-4"/>
        </w:rPr>
        <w:t>实的基础，这些产品主要包括第三方存管（证券、银行）、基金投资交易系统、基金</w:t>
      </w:r>
      <w:r>
        <w:rPr>
          <w:spacing w:val="-39"/>
        </w:rPr>
        <w:t> </w:t>
      </w:r>
      <w:r>
        <w:rPr>
          <w:rFonts w:ascii="Times New Roman" w:hAnsi="Times New Roman" w:cs="Times New Roman" w:eastAsia="Times New Roman" w:hint="default"/>
          <w:spacing w:val="-9"/>
          <w:w w:val="99"/>
        </w:rPr>
        <w:t>TA</w:t>
      </w:r>
      <w:r>
        <w:rPr>
          <w:rFonts w:ascii="Times New Roman" w:hAnsi="Times New Roman" w:cs="Times New Roman" w:eastAsia="Times New Roman" w:hint="default"/>
          <w:spacing w:val="13"/>
          <w:w w:val="99"/>
        </w:rPr>
        <w:t> </w:t>
      </w:r>
      <w:r>
        <w:rPr/>
        <w:t>直销、</w:t>
      </w:r>
      <w:r>
        <w:rPr>
          <w:spacing w:val="-101"/>
        </w:rPr>
        <w:t> </w:t>
      </w:r>
      <w:r>
        <w:rPr>
          <w:rFonts w:ascii="Times New Roman" w:hAnsi="Times New Roman" w:cs="Times New Roman" w:eastAsia="Times New Roman" w:hint="default"/>
        </w:rPr>
        <w:t>callcenter</w:t>
      </w:r>
      <w:r>
        <w:rPr/>
        <w:t>、股指期货等。公司在大金融混业领域核心产品的市场地位得到进一步巩固，其中一 部分产品的市场占有率在业内占据绝对优势地位。</w:t>
      </w:r>
    </w:p>
    <w:p>
      <w:pPr>
        <w:pStyle w:val="BodyText"/>
        <w:spacing w:line="256" w:lineRule="auto" w:before="18"/>
        <w:ind w:right="3917"/>
        <w:jc w:val="left"/>
      </w:pPr>
      <w:r>
        <w:rPr>
          <w:rFonts w:ascii="Times New Roman" w:hAnsi="Times New Roman" w:cs="Times New Roman" w:eastAsia="Times New Roman" w:hint="default"/>
        </w:rPr>
        <w:t>3</w:t>
      </w:r>
      <w:r>
        <w:rPr/>
        <w:t>、技术创新能力： 公司继续加大了对技术研发的投入，鼓励技术创新。</w:t>
      </w:r>
    </w:p>
    <w:p>
      <w:pPr>
        <w:pStyle w:val="BodyText"/>
        <w:spacing w:line="240" w:lineRule="auto" w:before="22"/>
        <w:ind w:right="9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w:t>
      </w:r>
      <w:r>
        <w:rPr>
          <w:spacing w:val="-2"/>
        </w:rPr>
        <w:t>公</w:t>
      </w:r>
      <w:r>
        <w:rPr/>
        <w:t>司研发投入多年的</w:t>
      </w:r>
      <w:r>
        <w:rPr>
          <w:spacing w:val="-53"/>
        </w:rPr>
        <w:t> </w:t>
      </w:r>
      <w:r>
        <w:rPr>
          <w:rFonts w:ascii="Times New Roman" w:hAnsi="Times New Roman" w:cs="Times New Roman" w:eastAsia="Times New Roman" w:hint="default"/>
          <w:spacing w:val="-1"/>
          <w:w w:val="99"/>
        </w:rPr>
        <w:t>HSI</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rPr>
        <w:t>C</w:t>
      </w:r>
      <w:r>
        <w:rPr>
          <w:rFonts w:ascii="Times New Roman" w:hAnsi="Times New Roman" w:cs="Times New Roman" w:eastAsia="Times New Roman" w:hint="default"/>
        </w:rPr>
        <w:t>C </w:t>
      </w:r>
      <w:r>
        <w:rPr/>
        <w:t>产品荣</w:t>
      </w:r>
      <w:r>
        <w:rPr>
          <w:spacing w:val="-2"/>
        </w:rPr>
        <w:t>获</w:t>
      </w:r>
      <w:r>
        <w:rPr/>
        <w:t>“中国最佳呼叫中心技术产品奖</w:t>
      </w:r>
      <w:r>
        <w:rPr>
          <w:spacing w:val="-105"/>
        </w:rPr>
        <w:t>”</w:t>
      </w:r>
      <w:r>
        <w:rPr/>
        <w:t>。</w:t>
      </w:r>
    </w:p>
    <w:p>
      <w:pPr>
        <w:pStyle w:val="BodyText"/>
        <w:spacing w:line="256" w:lineRule="auto" w:before="21"/>
        <w:ind w:right="19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年，公司对具有优势的金融领域研发试行集中管理，成立了技术专家俱乐部，延伸公 司研发中心的高端触面。</w:t>
      </w:r>
    </w:p>
    <w:p>
      <w:pPr>
        <w:pStyle w:val="BodyText"/>
        <w:spacing w:line="256" w:lineRule="auto" w:before="22"/>
        <w:ind w:right="95" w:hanging="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日，恒生电子正式通过美国</w:t>
      </w:r>
      <w:r>
        <w:rPr>
          <w:spacing w:val="-50"/>
        </w:rPr>
        <w:t> </w:t>
      </w:r>
      <w:r>
        <w:rPr>
          <w:rFonts w:ascii="Times New Roman" w:hAnsi="Times New Roman" w:cs="Times New Roman" w:eastAsia="Times New Roman" w:hint="default"/>
        </w:rPr>
        <w:t>SEI</w:t>
      </w:r>
      <w:r>
        <w:rPr>
          <w:rFonts w:ascii="Times New Roman" w:hAnsi="Times New Roman" w:cs="Times New Roman" w:eastAsia="Times New Roman" w:hint="default"/>
          <w:spacing w:val="2"/>
        </w:rPr>
        <w:t> </w:t>
      </w:r>
      <w:r>
        <w:rPr/>
        <w:t>的</w:t>
      </w:r>
      <w:r>
        <w:rPr>
          <w:spacing w:val="-50"/>
        </w:rPr>
        <w:t> </w:t>
      </w:r>
      <w:r>
        <w:rPr>
          <w:rFonts w:ascii="Times New Roman" w:hAnsi="Times New Roman" w:cs="Times New Roman" w:eastAsia="Times New Roman" w:hint="default"/>
        </w:rPr>
        <w:t>CMMI</w:t>
      </w:r>
      <w:r>
        <w:rPr>
          <w:rFonts w:ascii="Times New Roman" w:hAnsi="Times New Roman" w:cs="Times New Roman" w:eastAsia="Times New Roman" w:hint="default"/>
          <w:spacing w:val="50"/>
        </w:rPr>
        <w:t> </w:t>
      </w:r>
      <w:r>
        <w:rPr>
          <w:rFonts w:ascii="Times New Roman" w:hAnsi="Times New Roman" w:cs="Times New Roman" w:eastAsia="Times New Roman" w:hint="default"/>
        </w:rPr>
        <w:t>V1.2</w:t>
      </w:r>
      <w:r>
        <w:rPr>
          <w:rFonts w:ascii="Times New Roman" w:hAnsi="Times New Roman" w:cs="Times New Roman" w:eastAsia="Times New Roman" w:hint="default"/>
          <w:spacing w:val="3"/>
        </w:rPr>
        <w:t> </w:t>
      </w:r>
      <w:r>
        <w:rPr/>
        <w:t>成熟度</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级评估，这标志 着公司的软件能力成熟度和项目管理水平踏上了一个更高的台阶。</w:t>
      </w:r>
    </w:p>
    <w:p>
      <w:pPr>
        <w:pStyle w:val="BodyText"/>
        <w:spacing w:line="240" w:lineRule="auto" w:before="22"/>
        <w:ind w:right="9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年有两项专利获得授权，其他多项专利正在申请中。</w:t>
      </w:r>
    </w:p>
    <w:p>
      <w:pPr>
        <w:spacing w:line="240" w:lineRule="auto" w:before="6"/>
        <w:rPr>
          <w:rFonts w:ascii="宋体" w:hAnsi="宋体" w:cs="宋体" w:eastAsia="宋体" w:hint="default"/>
          <w:sz w:val="25"/>
          <w:szCs w:val="25"/>
        </w:rPr>
      </w:pPr>
    </w:p>
    <w:p>
      <w:pPr>
        <w:pStyle w:val="BodyText"/>
        <w:spacing w:line="256" w:lineRule="auto" w:before="0"/>
        <w:ind w:left="538" w:right="136" w:hanging="422"/>
        <w:jc w:val="left"/>
      </w:pPr>
      <w:r>
        <w:rPr>
          <w:rFonts w:ascii="Times New Roman" w:hAnsi="Times New Roman" w:cs="Times New Roman" w:eastAsia="Times New Roman" w:hint="default"/>
        </w:rPr>
        <w:t>4</w:t>
      </w:r>
      <w:r>
        <w:rPr/>
        <w:t>、人力资源方面： 面对市场需求和公司业务的快速成长，恒生全体员工在过去的一年里付出了辛勤的劳动，</w:t>
      </w:r>
    </w:p>
    <w:p>
      <w:pPr>
        <w:pStyle w:val="BodyText"/>
        <w:spacing w:line="266" w:lineRule="auto" w:before="22"/>
        <w:ind w:right="95"/>
        <w:jc w:val="left"/>
      </w:pPr>
      <w:r>
        <w:rPr>
          <w:spacing w:val="-2"/>
        </w:rPr>
        <w:t>恒生的员工队伍茁壮成长，公司事业部两级管理团队和各业务线专家团队初步成型，这是公司</w:t>
      </w:r>
      <w:r>
        <w:rPr>
          <w:spacing w:val="-85"/>
        </w:rPr>
        <w:t> </w:t>
      </w:r>
      <w:r>
        <w:rPr>
          <w:spacing w:val="-85"/>
        </w:rPr>
      </w:r>
      <w:r>
        <w:rPr/>
        <w:t>长期可持续发展的基本保障，</w:t>
      </w:r>
      <w:r>
        <w:rPr>
          <w:rFonts w:ascii="Times New Roman" w:hAnsi="Times New Roman" w:cs="Times New Roman" w:eastAsia="Times New Roman" w:hint="default"/>
        </w:rPr>
        <w:t>2007</w:t>
      </w:r>
      <w:r>
        <w:rPr>
          <w:rFonts w:ascii="Times New Roman" w:hAnsi="Times New Roman" w:cs="Times New Roman" w:eastAsia="Times New Roman" w:hint="default"/>
          <w:spacing w:val="31"/>
        </w:rPr>
        <w:t> </w:t>
      </w:r>
      <w:r>
        <w:rPr/>
        <w:t>年度员工综合满意度比去年提升，初步显示了公司的人力</w:t>
      </w:r>
      <w:r>
        <w:rPr>
          <w:spacing w:val="-100"/>
        </w:rPr>
        <w:t> </w:t>
      </w:r>
      <w:r>
        <w:rPr/>
        <w:t>资源管理成效，同时公司也感受到了人力资源受社会环境、经济环境变化所带来的压力。</w:t>
      </w:r>
      <w:r>
        <w:rPr/>
        <w:t> </w:t>
      </w:r>
      <w:r>
        <w:rPr>
          <w:rFonts w:ascii="Times New Roman" w:hAnsi="Times New Roman" w:cs="Times New Roman" w:eastAsia="Times New Roman" w:hint="default"/>
        </w:rPr>
        <w:t>5</w:t>
      </w:r>
      <w:r>
        <w:rPr/>
        <w:t>、质量体系运行方面：</w:t>
      </w:r>
    </w:p>
    <w:p>
      <w:pPr>
        <w:spacing w:line="240" w:lineRule="auto" w:before="0"/>
        <w:rPr>
          <w:rFonts w:ascii="宋体" w:hAnsi="宋体" w:cs="宋体" w:eastAsia="宋体" w:hint="default"/>
          <w:sz w:val="18"/>
          <w:szCs w:val="18"/>
        </w:rPr>
      </w:pPr>
    </w:p>
    <w:p>
      <w:pPr>
        <w:pStyle w:val="BodyText"/>
        <w:spacing w:line="256" w:lineRule="auto" w:before="0"/>
        <w:ind w:left="116" w:right="214" w:firstLine="42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29"/>
        </w:rPr>
        <w:t> </w:t>
      </w:r>
      <w:r>
        <w:rPr/>
        <w:t>年，公司加强了技术项目管理，推进建设项目管理制度，同时公司尚需在客户满意 </w:t>
      </w:r>
      <w:r>
        <w:rPr>
          <w:spacing w:val="-1"/>
        </w:rPr>
        <w:t>度等方面作进一步的努力，</w:t>
      </w:r>
      <w:r>
        <w:rPr>
          <w:rFonts w:ascii="Times New Roman" w:hAnsi="Times New Roman" w:cs="Times New Roman" w:eastAsia="Times New Roman" w:hint="default"/>
          <w:spacing w:val="-1"/>
        </w:rPr>
        <w:t>07</w:t>
      </w:r>
      <w:r>
        <w:rPr>
          <w:rFonts w:ascii="Times New Roman" w:hAnsi="Times New Roman" w:cs="Times New Roman" w:eastAsia="Times New Roman" w:hint="default"/>
          <w:spacing w:val="27"/>
        </w:rPr>
        <w:t> </w:t>
      </w:r>
      <w:r>
        <w:rPr>
          <w:spacing w:val="-5"/>
        </w:rPr>
        <w:t>年公司开辟了客户投诉渠道，并发布《投诉管理规程》，公司同</w:t>
      </w:r>
      <w:r>
        <w:rPr>
          <w:spacing w:val="-97"/>
        </w:rPr>
        <w:t> </w:t>
      </w:r>
      <w:r>
        <w:rPr>
          <w:spacing w:val="-97"/>
        </w:rPr>
      </w:r>
      <w:r>
        <w:rPr/>
        <w:t>时做了优化客户服务流程的工作；</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年公司整体质量管理体系运行良好。</w:t>
      </w:r>
    </w:p>
    <w:p>
      <w:pPr>
        <w:spacing w:line="240" w:lineRule="auto" w:before="10"/>
        <w:rPr>
          <w:rFonts w:ascii="宋体" w:hAnsi="宋体" w:cs="宋体" w:eastAsia="宋体" w:hint="default"/>
          <w:sz w:val="18"/>
          <w:szCs w:val="18"/>
        </w:rPr>
      </w:pPr>
    </w:p>
    <w:p>
      <w:pPr>
        <w:pStyle w:val="BodyText"/>
        <w:spacing w:line="256" w:lineRule="auto" w:before="0"/>
        <w:ind w:left="536" w:right="95" w:hanging="420"/>
        <w:jc w:val="left"/>
      </w:pPr>
      <w:r>
        <w:rPr/>
        <w:t>（二）公司对未来及</w:t>
      </w:r>
      <w:r>
        <w:rPr>
          <w:spacing w:val="-53"/>
        </w:rPr>
        <w:t> </w:t>
      </w:r>
      <w:r>
        <w:rPr>
          <w:rFonts w:ascii="Times New Roman" w:hAnsi="Times New Roman" w:cs="Times New Roman" w:eastAsia="Times New Roman" w:hint="default"/>
        </w:rPr>
        <w:t>2008 </w:t>
      </w:r>
      <w:r>
        <w:rPr/>
        <w:t>年的展望 </w:t>
      </w:r>
      <w:r>
        <w:rPr>
          <w:spacing w:val="-2"/>
        </w:rPr>
        <w:t>针对公司主营业务，未来挑战与机遇并存，中国金融改革与发展的趋势不可改变，成熟的</w:t>
      </w:r>
    </w:p>
    <w:p>
      <w:pPr>
        <w:pStyle w:val="BodyText"/>
        <w:spacing w:line="256" w:lineRule="auto" w:before="22"/>
        <w:ind w:left="116" w:right="212"/>
        <w:jc w:val="both"/>
      </w:pPr>
      <w:r>
        <w:rPr/>
        <w:t>中国金融市场正逐步向我们走来，</w:t>
      </w:r>
      <w:r>
        <w:rPr>
          <w:rFonts w:ascii="Times New Roman" w:hAnsi="Times New Roman" w:cs="Times New Roman" w:eastAsia="Times New Roman" w:hint="default"/>
        </w:rPr>
        <w:t>2008</w:t>
      </w:r>
      <w:r>
        <w:rPr>
          <w:rFonts w:ascii="Times New Roman" w:hAnsi="Times New Roman" w:cs="Times New Roman" w:eastAsia="Times New Roman" w:hint="default"/>
          <w:spacing w:val="31"/>
        </w:rPr>
        <w:t> </w:t>
      </w:r>
      <w:r>
        <w:rPr/>
        <w:t>年随着金融市场的稳健发展和产品需求而充满机会，</w:t>
      </w:r>
      <w:r>
        <w:rPr>
          <w:spacing w:val="-100"/>
        </w:rPr>
        <w:t> </w:t>
      </w:r>
      <w:r>
        <w:rPr>
          <w:spacing w:val="-100"/>
        </w:rPr>
      </w:r>
      <w:r>
        <w:rPr>
          <w:spacing w:val="-3"/>
        </w:rPr>
        <w:t>同时，进一步全球化的国内经济和宏观调控也增加了宏观方面的复杂性。公司展望未来及</w:t>
      </w:r>
      <w:r>
        <w:rPr>
          <w:spacing w:val="-50"/>
        </w:rPr>
        <w:t> </w:t>
      </w:r>
      <w:r>
        <w:rPr>
          <w:rFonts w:ascii="Times New Roman" w:hAnsi="Times New Roman" w:cs="Times New Roman" w:eastAsia="Times New Roman" w:hint="default"/>
        </w:rPr>
        <w:t>2008 </w:t>
      </w:r>
      <w:r>
        <w:rPr/>
        <w:t>年主要的四项重点工作：</w:t>
      </w:r>
    </w:p>
    <w:p>
      <w:pPr>
        <w:pStyle w:val="BodyText"/>
        <w:tabs>
          <w:tab w:pos="1061" w:val="left" w:leader="none"/>
        </w:tabs>
        <w:spacing w:line="256" w:lineRule="auto" w:before="22"/>
        <w:ind w:left="1062" w:right="109" w:hanging="736"/>
        <w:jc w:val="left"/>
      </w:pPr>
      <w:r>
        <w:rPr/>
        <w:t>（</w:t>
      </w:r>
      <w:r>
        <w:rPr>
          <w:rFonts w:ascii="Times New Roman" w:hAnsi="Times New Roman" w:cs="Times New Roman" w:eastAsia="Times New Roman" w:hint="default"/>
        </w:rPr>
        <w:t>1</w:t>
      </w:r>
      <w:r>
        <w:rPr/>
        <w:t>）</w:t>
        <w:tab/>
        <w:t>公司从</w:t>
      </w:r>
      <w:r>
        <w:rPr>
          <w:spacing w:val="-42"/>
        </w:rPr>
        <w:t> </w:t>
      </w:r>
      <w:r>
        <w:rPr>
          <w:rFonts w:ascii="Times New Roman" w:hAnsi="Times New Roman" w:cs="Times New Roman" w:eastAsia="Times New Roman" w:hint="default"/>
        </w:rPr>
        <w:t>06</w:t>
      </w:r>
      <w:r>
        <w:rPr>
          <w:rFonts w:ascii="Times New Roman" w:hAnsi="Times New Roman" w:cs="Times New Roman" w:eastAsia="Times New Roman" w:hint="default"/>
          <w:spacing w:val="11"/>
        </w:rPr>
        <w:t> </w:t>
      </w:r>
      <w:r>
        <w:rPr/>
        <w:t>年的四个核心事业部发展到</w:t>
      </w:r>
      <w:r>
        <w:rPr>
          <w:spacing w:val="-42"/>
        </w:rPr>
        <w:t> </w:t>
      </w:r>
      <w:r>
        <w:rPr>
          <w:rFonts w:ascii="Times New Roman" w:hAnsi="Times New Roman" w:cs="Times New Roman" w:eastAsia="Times New Roman" w:hint="default"/>
        </w:rPr>
        <w:t>07</w:t>
      </w:r>
      <w:r>
        <w:rPr>
          <w:rFonts w:ascii="Times New Roman" w:hAnsi="Times New Roman" w:cs="Times New Roman" w:eastAsia="Times New Roman" w:hint="default"/>
          <w:spacing w:val="11"/>
        </w:rPr>
        <w:t> </w:t>
      </w:r>
      <w:r>
        <w:rPr/>
        <w:t>年的七个，并且各事业部的业务都取得了 </w:t>
      </w:r>
      <w:r>
        <w:rPr>
          <w:spacing w:val="-5"/>
        </w:rPr>
        <w:t>突破性的成长，规模进一步扩大，逐步形成了以大金融</w:t>
      </w:r>
      <w:r>
        <w:rPr/>
        <w:t> </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27"/>
        </w:rPr>
        <w:t> </w:t>
      </w:r>
      <w:r>
        <w:rPr>
          <w:spacing w:val="-21"/>
        </w:rPr>
        <w:t>业务（证券、银行、基金、、</w:t>
      </w:r>
      <w:r>
        <w:rPr/>
        <w:t> 期货、保险等</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业务）为主体的，主业经营突出的业务线，同时公司在软件外包、 系统集成、呼叫中心、投资等业务线也将积极、稳健推进。</w:t>
      </w:r>
    </w:p>
    <w:p>
      <w:pPr>
        <w:pStyle w:val="BodyText"/>
        <w:spacing w:line="268" w:lineRule="auto" w:before="22"/>
        <w:ind w:left="1063" w:right="214" w:hanging="736"/>
        <w:jc w:val="both"/>
      </w:pPr>
      <w:r>
        <w:rPr/>
        <w:t>（</w:t>
      </w:r>
      <w:r>
        <w:rPr>
          <w:rFonts w:ascii="Times New Roman" w:hAnsi="Times New Roman" w:cs="Times New Roman" w:eastAsia="Times New Roman" w:hint="default"/>
        </w:rPr>
        <w:t>2</w:t>
      </w:r>
      <w:r>
        <w:rPr/>
        <w:t>）</w:t>
      </w:r>
      <w:r>
        <w:rPr>
          <w:spacing w:val="32"/>
        </w:rPr>
        <w:t> </w:t>
      </w:r>
      <w:r>
        <w:rPr/>
        <w:t>公司传统的业务模式主要是提供行业解决方案和服务，经过多年的积累，恒生已经</w:t>
      </w:r>
      <w:r>
        <w:rPr>
          <w:spacing w:val="-103"/>
        </w:rPr>
        <w:t> </w:t>
      </w:r>
      <w:r>
        <w:rPr>
          <w:spacing w:val="-103"/>
        </w:rPr>
      </w:r>
      <w:r>
        <w:rPr/>
        <w:t>具备了相当深厚的技术功底和丰富的业务知识，有能力进行适当的技术和业务的前</w:t>
      </w:r>
      <w:r>
        <w:rPr/>
        <w:t> 瞻性研究；同时随着市场的发展，客户对软件功能和性能的要求也已经产生了根本 的变化，大力发展产品化已经逐步成为公司管理团队和广大员工的共识。产品化意 味着我们要加大基础研发的投入，进一步强化流程管理，加强部门间的相互配合。</w:t>
      </w:r>
    </w:p>
    <w:p>
      <w:pPr>
        <w:pStyle w:val="BodyText"/>
        <w:spacing w:line="266" w:lineRule="auto" w:before="12"/>
        <w:ind w:left="1063" w:right="214" w:hanging="736"/>
        <w:jc w:val="both"/>
      </w:pPr>
      <w:r>
        <w:rPr/>
        <w:t>（</w:t>
      </w:r>
      <w:r>
        <w:rPr>
          <w:rFonts w:ascii="Times New Roman" w:hAnsi="Times New Roman" w:cs="Times New Roman" w:eastAsia="Times New Roman" w:hint="default"/>
        </w:rPr>
        <w:t>3</w:t>
      </w:r>
      <w:r>
        <w:rPr/>
        <w:t>）</w:t>
      </w:r>
      <w:r>
        <w:rPr>
          <w:spacing w:val="32"/>
        </w:rPr>
        <w:t> </w:t>
      </w:r>
      <w:r>
        <w:rPr/>
        <w:t>国内市场也已经日益成为一个国际竞争的市场，没有全球的视野和能力想在中国市</w:t>
      </w:r>
      <w:r>
        <w:rPr>
          <w:spacing w:val="-103"/>
        </w:rPr>
        <w:t> </w:t>
      </w:r>
      <w:r>
        <w:rPr>
          <w:spacing w:val="-103"/>
        </w:rPr>
      </w:r>
      <w:r>
        <w:rPr/>
        <w:t>场竞争中取胜也是不可能的，因此，全球化不仅仅是客户的全球化，同时也是公司</w:t>
      </w:r>
      <w:r>
        <w:rPr/>
        <w:t> 核心竞争力、员工队伍、流程体系的全球化，同时，公司也看到全球化必须配合本 地化，要进一步贴近本地市场和客户，提供本地化的，客户导向的服务。</w:t>
      </w:r>
    </w:p>
    <w:p>
      <w:pPr>
        <w:pStyle w:val="BodyText"/>
        <w:tabs>
          <w:tab w:pos="1062" w:val="left" w:leader="none"/>
        </w:tabs>
        <w:spacing w:line="256" w:lineRule="auto" w:before="14"/>
        <w:ind w:left="1063" w:right="108" w:hanging="736"/>
        <w:jc w:val="left"/>
      </w:pPr>
      <w:r>
        <w:rPr/>
        <w:t>（</w:t>
      </w:r>
      <w:r>
        <w:rPr>
          <w:rFonts w:ascii="Times New Roman" w:hAnsi="Times New Roman" w:cs="Times New Roman" w:eastAsia="Times New Roman" w:hint="default"/>
        </w:rPr>
        <w:t>4</w:t>
      </w:r>
      <w:r>
        <w:rPr/>
        <w:t>）</w:t>
        <w:tab/>
      </w:r>
      <w:r>
        <w:rPr>
          <w:rFonts w:ascii="Times New Roman" w:hAnsi="Times New Roman" w:cs="Times New Roman" w:eastAsia="Times New Roman" w:hint="default"/>
        </w:rPr>
        <w:t>2008</w:t>
      </w:r>
      <w:r>
        <w:rPr>
          <w:rFonts w:ascii="Times New Roman" w:hAnsi="Times New Roman" w:cs="Times New Roman" w:eastAsia="Times New Roman" w:hint="default"/>
          <w:spacing w:val="23"/>
        </w:rPr>
        <w:t> </w:t>
      </w:r>
      <w:r>
        <w:rPr>
          <w:spacing w:val="-4"/>
        </w:rPr>
        <w:t>年要要坚定不移地推进“管理网络化”的实现，持续优化组织和各项流程体系，</w:t>
      </w:r>
      <w:r>
        <w:rPr/>
        <w:t> 采纳 </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CMMi</w:t>
      </w:r>
      <w:r>
        <w:rPr/>
        <w:t>、</w:t>
      </w:r>
      <w:r>
        <w:rPr>
          <w:rFonts w:ascii="Times New Roman" w:hAnsi="Times New Roman" w:cs="Times New Roman" w:eastAsia="Times New Roman" w:hint="default"/>
        </w:rPr>
        <w:t>ISO27001 </w:t>
      </w:r>
      <w:r>
        <w:rPr/>
        <w:t>等国际标准，引进和推广协同系统、</w:t>
      </w:r>
      <w:r>
        <w:rPr>
          <w:rFonts w:ascii="Times New Roman" w:hAnsi="Times New Roman" w:cs="Times New Roman" w:eastAsia="Times New Roman" w:hint="default"/>
        </w:rPr>
        <w:t>ERP</w:t>
      </w:r>
      <w:r>
        <w:rPr>
          <w:rFonts w:ascii="Times New Roman" w:hAnsi="Times New Roman" w:cs="Times New Roman" w:eastAsia="Times New Roman" w:hint="default"/>
          <w:spacing w:val="-23"/>
        </w:rPr>
        <w:t> </w:t>
      </w:r>
      <w:r>
        <w:rPr/>
        <w:t>系统、</w:t>
      </w:r>
    </w:p>
    <w:p>
      <w:pPr>
        <w:spacing w:after="0" w:line="256" w:lineRule="auto"/>
        <w:jc w:val="left"/>
        <w:sectPr>
          <w:pgSz w:w="11910" w:h="16840"/>
          <w:pgMar w:header="0" w:footer="1243" w:top="1400" w:bottom="1440" w:left="1680" w:right="1340"/>
        </w:sectPr>
      </w:pPr>
    </w:p>
    <w:p>
      <w:pPr>
        <w:pStyle w:val="BodyText"/>
        <w:spacing w:line="240" w:lineRule="auto" w:before="25"/>
        <w:ind w:left="1063" w:right="3876"/>
        <w:jc w:val="left"/>
      </w:pPr>
      <w:r>
        <w:rPr/>
        <w:t>项目管理工具等各项网络化工具。</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243" w:top="1400" w:bottom="1440" w:left="1680" w:right="540"/>
        </w:sectPr>
      </w:pPr>
    </w:p>
    <w:p>
      <w:pPr>
        <w:pStyle w:val="BodyText"/>
        <w:spacing w:line="256" w:lineRule="auto" w:before="35"/>
        <w:ind w:right="-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公司主营业务及其经营状况</w:t>
      </w:r>
      <w:r>
        <w:rPr>
          <w:w w:val="99"/>
        </w:rPr>
        <w:t> </w:t>
      </w:r>
      <w:r>
        <w:rPr>
          <w:rFonts w:ascii="Times New Roman" w:hAnsi="Times New Roman" w:cs="Times New Roman" w:eastAsia="Times New Roman" w:hint="default"/>
          <w:spacing w:val="-1"/>
        </w:rPr>
        <w:t>1</w:t>
      </w:r>
      <w:r>
        <w:rPr>
          <w:spacing w:val="-1"/>
        </w:rPr>
        <w:t>、主营业务分行业、产品情况表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500" w:bottom="900" w:left="1680" w:right="540"/>
          <w:cols w:num="2" w:equalWidth="0">
            <w:col w:w="3162" w:space="3487"/>
            <w:col w:w="3041"/>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786"/>
        <w:gridCol w:w="1342"/>
        <w:gridCol w:w="1340"/>
        <w:gridCol w:w="811"/>
        <w:gridCol w:w="1708"/>
        <w:gridCol w:w="1732"/>
        <w:gridCol w:w="1732"/>
      </w:tblGrid>
      <w:tr>
        <w:trPr>
          <w:trHeight w:val="1262"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75" w:right="0"/>
              <w:jc w:val="both"/>
              <w:rPr>
                <w:rFonts w:ascii="宋体" w:hAnsi="宋体" w:cs="宋体" w:eastAsia="宋体" w:hint="default"/>
                <w:sz w:val="21"/>
                <w:szCs w:val="21"/>
              </w:rPr>
            </w:pPr>
            <w:r>
              <w:rPr>
                <w:rFonts w:ascii="宋体" w:hAnsi="宋体" w:cs="宋体" w:eastAsia="宋体" w:hint="default"/>
                <w:sz w:val="21"/>
                <w:szCs w:val="21"/>
              </w:rPr>
              <w:t>分行</w:t>
            </w:r>
          </w:p>
          <w:p>
            <w:pPr>
              <w:pStyle w:val="TableParagraph"/>
              <w:spacing w:line="273" w:lineRule="auto" w:before="37"/>
              <w:ind w:left="175" w:right="174"/>
              <w:jc w:val="both"/>
              <w:rPr>
                <w:rFonts w:ascii="宋体" w:hAnsi="宋体" w:cs="宋体" w:eastAsia="宋体" w:hint="default"/>
                <w:sz w:val="21"/>
                <w:szCs w:val="21"/>
              </w:rPr>
            </w:pPr>
            <w:r>
              <w:rPr>
                <w:rFonts w:ascii="宋体" w:hAnsi="宋体" w:cs="宋体" w:eastAsia="宋体" w:hint="default"/>
                <w:sz w:val="21"/>
                <w:szCs w:val="21"/>
              </w:rPr>
              <w:t>业或 分产 品</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99" w:right="-4" w:hanging="106"/>
              <w:jc w:val="center"/>
              <w:rPr>
                <w:rFonts w:ascii="宋体" w:hAnsi="宋体" w:cs="宋体" w:eastAsia="宋体" w:hint="default"/>
                <w:sz w:val="21"/>
                <w:szCs w:val="21"/>
              </w:rPr>
            </w:pPr>
            <w:r>
              <w:rPr>
                <w:rFonts w:ascii="宋体" w:hAnsi="宋体" w:cs="宋体" w:eastAsia="宋体" w:hint="default"/>
                <w:sz w:val="21"/>
                <w:szCs w:val="21"/>
              </w:rPr>
              <w:t>营业 利润 </w:t>
            </w:r>
            <w:r>
              <w:rPr>
                <w:rFonts w:ascii="宋体" w:hAnsi="宋体" w:cs="宋体" w:eastAsia="宋体" w:hint="default"/>
                <w:spacing w:val="-27"/>
                <w:sz w:val="21"/>
                <w:szCs w:val="21"/>
              </w:rPr>
              <w:t>率（</w:t>
            </w:r>
            <w:r>
              <w:rPr>
                <w:rFonts w:ascii="Times New Roman" w:hAnsi="Times New Roman" w:cs="Times New Roman" w:eastAsia="Times New Roman" w:hint="default"/>
                <w:spacing w:val="-27"/>
                <w:sz w:val="21"/>
                <w:szCs w:val="21"/>
              </w:rPr>
              <w:t>%</w:t>
            </w:r>
            <w:r>
              <w:rPr>
                <w:rFonts w:ascii="宋体" w:hAnsi="宋体" w:cs="宋体" w:eastAsia="宋体" w:hint="default"/>
                <w:spacing w:val="-27"/>
                <w:sz w:val="21"/>
                <w:szCs w:val="21"/>
              </w:rPr>
              <w:t>）</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78" w:right="109"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营业收入比上年 增减</w:t>
            </w:r>
            <w:r>
              <w:rPr>
                <w:rFonts w:ascii="Times New Roman" w:hAnsi="Times New Roman" w:cs="Times New Roman" w:eastAsia="Times New Roman" w:hint="default"/>
                <w:sz w:val="21"/>
                <w:szCs w:val="21"/>
              </w:rPr>
              <w:t>(%)</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90" w:right="121"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营业成本比上年 增减</w:t>
            </w:r>
            <w:r>
              <w:rPr>
                <w:rFonts w:ascii="Times New Roman" w:hAnsi="Times New Roman" w:cs="Times New Roman" w:eastAsia="Times New Roman" w:hint="default"/>
                <w:sz w:val="21"/>
                <w:szCs w:val="21"/>
              </w:rPr>
              <w:t>(%)</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86" w:right="121"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营业利润率比上 年增减</w:t>
            </w:r>
            <w:r>
              <w:rPr>
                <w:rFonts w:ascii="Times New Roman" w:hAnsi="Times New Roman" w:cs="Times New Roman" w:eastAsia="Times New Roman" w:hint="default"/>
                <w:sz w:val="21"/>
                <w:szCs w:val="21"/>
              </w:rPr>
              <w:t>(%)</w:t>
            </w:r>
          </w:p>
        </w:tc>
      </w:tr>
      <w:tr>
        <w:trPr>
          <w:trHeight w:val="328"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205"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8664" w:type="dxa"/>
            <w:gridSpan w:val="6"/>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IT</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356,881,707.50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93,565,809.19</w:t>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187" w:right="0"/>
              <w:jc w:val="center"/>
              <w:rPr>
                <w:rFonts w:ascii="Times New Roman" w:hAnsi="Times New Roman" w:cs="Times New Roman" w:eastAsia="Times New Roman" w:hint="default"/>
                <w:sz w:val="18"/>
                <w:szCs w:val="18"/>
              </w:rPr>
            </w:pPr>
            <w:r>
              <w:rPr>
                <w:rFonts w:ascii="Times New Roman"/>
                <w:sz w:val="18"/>
              </w:rPr>
              <w:t>73.78</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124.68</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120.62</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right="29"/>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64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211,454,500.42</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162,729,325.80</w:t>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23.04</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14.46</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18.79</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2" w:hanging="1"/>
              <w:jc w:val="left"/>
              <w:rPr>
                <w:rFonts w:ascii="宋体" w:hAnsi="宋体" w:cs="宋体" w:eastAsia="宋体" w:hint="default"/>
                <w:sz w:val="18"/>
                <w:szCs w:val="18"/>
              </w:rPr>
            </w:pPr>
            <w:r>
              <w:rPr>
                <w:rFonts w:ascii="宋体" w:hAnsi="宋体" w:cs="宋体" w:eastAsia="宋体" w:hint="default"/>
                <w:spacing w:val="3"/>
                <w:sz w:val="18"/>
                <w:szCs w:val="18"/>
              </w:rPr>
              <w:t>减少 </w:t>
            </w:r>
            <w:r>
              <w:rPr>
                <w:rFonts w:ascii="Times New Roman" w:hAnsi="Times New Roman" w:cs="Times New Roman" w:eastAsia="Times New Roman" w:hint="default"/>
                <w:sz w:val="18"/>
                <w:szCs w:val="18"/>
              </w:rPr>
              <w:t>10.86</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个百分 </w:t>
            </w:r>
            <w:r>
              <w:rPr>
                <w:rFonts w:ascii="宋体" w:hAnsi="宋体" w:cs="宋体" w:eastAsia="宋体" w:hint="default"/>
                <w:sz w:val="18"/>
                <w:szCs w:val="18"/>
              </w:rPr>
              <w:t>点</w:t>
            </w:r>
          </w:p>
        </w:tc>
      </w:tr>
      <w:tr>
        <w:trPr>
          <w:trHeight w:val="638"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568,336,207.92</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256,295,134.99</w:t>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54.90</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65.41</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42.86</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2" w:hanging="1"/>
              <w:jc w:val="left"/>
              <w:rPr>
                <w:rFonts w:ascii="宋体" w:hAnsi="宋体" w:cs="宋体" w:eastAsia="宋体" w:hint="default"/>
                <w:sz w:val="18"/>
                <w:szCs w:val="18"/>
              </w:rPr>
            </w:pPr>
            <w:r>
              <w:rPr>
                <w:rFonts w:ascii="宋体" w:hAnsi="宋体" w:cs="宋体" w:eastAsia="宋体" w:hint="default"/>
                <w:spacing w:val="3"/>
                <w:sz w:val="18"/>
                <w:szCs w:val="18"/>
              </w:rPr>
              <w:t>增加 </w:t>
            </w:r>
            <w:r>
              <w:rPr>
                <w:rFonts w:ascii="Times New Roman" w:hAnsi="Times New Roman" w:cs="Times New Roman" w:eastAsia="Times New Roman" w:hint="default"/>
                <w:sz w:val="18"/>
                <w:szCs w:val="18"/>
              </w:rPr>
              <w:t>14.89</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个百分 </w:t>
            </w:r>
            <w:r>
              <w:rPr>
                <w:rFonts w:ascii="宋体" w:hAnsi="宋体" w:cs="宋体" w:eastAsia="宋体" w:hint="default"/>
                <w:sz w:val="18"/>
                <w:szCs w:val="18"/>
              </w:rPr>
              <w:t>点</w:t>
            </w:r>
          </w:p>
        </w:tc>
      </w:tr>
      <w:tr>
        <w:trPr>
          <w:trHeight w:val="328"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205"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8664" w:type="dxa"/>
            <w:gridSpan w:val="6"/>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5"/>
              <w:jc w:val="left"/>
              <w:rPr>
                <w:rFonts w:ascii="宋体" w:hAnsi="宋体" w:cs="宋体" w:eastAsia="宋体" w:hint="default"/>
                <w:sz w:val="18"/>
                <w:szCs w:val="18"/>
              </w:rPr>
            </w:pPr>
            <w:r>
              <w:rPr>
                <w:rFonts w:ascii="宋体" w:hAnsi="宋体" w:cs="宋体" w:eastAsia="宋体" w:hint="default"/>
                <w:spacing w:val="14"/>
                <w:sz w:val="18"/>
                <w:szCs w:val="18"/>
              </w:rPr>
              <w:t>软件收 </w:t>
            </w:r>
            <w:r>
              <w:rPr>
                <w:rFonts w:ascii="宋体" w:hAnsi="宋体" w:cs="宋体" w:eastAsia="宋体" w:hint="default"/>
                <w:sz w:val="18"/>
                <w:szCs w:val="18"/>
              </w:rPr>
              <w:t>入</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299,725,008.77</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24,934,638.89</w:t>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91.68</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87.48</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31.08</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64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5"/>
              <w:jc w:val="left"/>
              <w:rPr>
                <w:rFonts w:ascii="宋体" w:hAnsi="宋体" w:cs="宋体" w:eastAsia="宋体" w:hint="default"/>
                <w:sz w:val="18"/>
                <w:szCs w:val="18"/>
              </w:rPr>
            </w:pPr>
            <w:r>
              <w:rPr>
                <w:rFonts w:ascii="宋体" w:hAnsi="宋体" w:cs="宋体" w:eastAsia="宋体" w:hint="default"/>
                <w:spacing w:val="14"/>
                <w:sz w:val="18"/>
                <w:szCs w:val="18"/>
              </w:rPr>
              <w:t>集成收 </w:t>
            </w:r>
            <w:r>
              <w:rPr>
                <w:rFonts w:ascii="宋体" w:hAnsi="宋体" w:cs="宋体" w:eastAsia="宋体" w:hint="default"/>
                <w:sz w:val="18"/>
                <w:szCs w:val="18"/>
              </w:rPr>
              <w:t>入</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19,704,234.96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17,121,269.16</w:t>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13.11</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-46.30</w:t>
            </w:r>
            <w:r>
              <w:rPr>
                <w:rFonts w:ascii="Times New Roman"/>
                <w:sz w:val="18"/>
              </w:rPr>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-44.70</w:t>
            </w:r>
            <w:r>
              <w:rPr>
                <w:rFonts w:ascii="Times New Roman"/>
                <w:sz w:val="18"/>
              </w:rPr>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2" w:hanging="1"/>
              <w:jc w:val="left"/>
              <w:rPr>
                <w:rFonts w:ascii="宋体" w:hAnsi="宋体" w:cs="宋体" w:eastAsia="宋体" w:hint="default"/>
                <w:sz w:val="18"/>
                <w:szCs w:val="18"/>
              </w:rPr>
            </w:pPr>
            <w:r>
              <w:rPr>
                <w:rFonts w:ascii="宋体" w:hAnsi="宋体" w:cs="宋体" w:eastAsia="宋体" w:hint="default"/>
                <w:spacing w:val="3"/>
                <w:sz w:val="18"/>
                <w:szCs w:val="18"/>
              </w:rPr>
              <w:t>减少 </w:t>
            </w:r>
            <w:r>
              <w:rPr>
                <w:rFonts w:ascii="Times New Roman" w:hAnsi="Times New Roman" w:cs="Times New Roman" w:eastAsia="Times New Roman" w:hint="default"/>
                <w:sz w:val="18"/>
                <w:szCs w:val="18"/>
              </w:rPr>
              <w:t>16.13</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个百分 </w:t>
            </w:r>
            <w:r>
              <w:rPr>
                <w:rFonts w:ascii="宋体" w:hAnsi="宋体" w:cs="宋体" w:eastAsia="宋体" w:hint="default"/>
                <w:sz w:val="18"/>
                <w:szCs w:val="18"/>
              </w:rPr>
              <w:t>点</w:t>
            </w:r>
          </w:p>
        </w:tc>
      </w:tr>
      <w:tr>
        <w:trPr>
          <w:trHeight w:val="638"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5"/>
              <w:jc w:val="left"/>
              <w:rPr>
                <w:rFonts w:ascii="宋体" w:hAnsi="宋体" w:cs="宋体" w:eastAsia="宋体" w:hint="default"/>
                <w:sz w:val="18"/>
                <w:szCs w:val="18"/>
              </w:rPr>
            </w:pPr>
            <w:r>
              <w:rPr>
                <w:rFonts w:ascii="宋体" w:hAnsi="宋体" w:cs="宋体" w:eastAsia="宋体" w:hint="default"/>
                <w:spacing w:val="14"/>
                <w:sz w:val="18"/>
                <w:szCs w:val="18"/>
              </w:rPr>
              <w:t>硬件收 </w:t>
            </w:r>
            <w:r>
              <w:rPr>
                <w:rFonts w:ascii="宋体" w:hAnsi="宋体" w:cs="宋体" w:eastAsia="宋体" w:hint="default"/>
                <w:sz w:val="18"/>
                <w:szCs w:val="18"/>
              </w:rPr>
              <w:t>入</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238,316,747.53</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214,239,226.94</w:t>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10.10</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74.64</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66.72</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2" w:hanging="1"/>
              <w:jc w:val="left"/>
              <w:rPr>
                <w:rFonts w:ascii="宋体" w:hAnsi="宋体" w:cs="宋体" w:eastAsia="宋体" w:hint="default"/>
                <w:sz w:val="18"/>
                <w:szCs w:val="18"/>
              </w:rPr>
            </w:pPr>
            <w:r>
              <w:rPr>
                <w:rFonts w:ascii="宋体" w:hAnsi="宋体" w:cs="宋体" w:eastAsia="宋体" w:hint="default"/>
                <w:spacing w:val="3"/>
                <w:sz w:val="18"/>
                <w:szCs w:val="18"/>
              </w:rPr>
              <w:t>增加 </w:t>
            </w:r>
            <w:r>
              <w:rPr>
                <w:rFonts w:ascii="Times New Roman" w:hAnsi="Times New Roman" w:cs="Times New Roman" w:eastAsia="Times New Roman" w:hint="default"/>
                <w:sz w:val="18"/>
                <w:szCs w:val="18"/>
              </w:rPr>
              <w:t>73.30</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个百分 </w:t>
            </w:r>
            <w:r>
              <w:rPr>
                <w:rFonts w:ascii="宋体" w:hAnsi="宋体" w:cs="宋体" w:eastAsia="宋体" w:hint="default"/>
                <w:sz w:val="18"/>
                <w:szCs w:val="18"/>
              </w:rPr>
              <w:t>点</w:t>
            </w:r>
          </w:p>
        </w:tc>
      </w:tr>
      <w:tr>
        <w:trPr>
          <w:trHeight w:val="64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5"/>
              <w:jc w:val="left"/>
              <w:rPr>
                <w:rFonts w:ascii="宋体" w:hAnsi="宋体" w:cs="宋体" w:eastAsia="宋体" w:hint="default"/>
                <w:sz w:val="18"/>
                <w:szCs w:val="18"/>
              </w:rPr>
            </w:pPr>
            <w:r>
              <w:rPr>
                <w:rFonts w:ascii="宋体" w:hAnsi="宋体" w:cs="宋体" w:eastAsia="宋体" w:hint="default"/>
                <w:spacing w:val="14"/>
                <w:sz w:val="18"/>
                <w:szCs w:val="18"/>
              </w:rPr>
              <w:t>其他收 </w:t>
            </w:r>
            <w:r>
              <w:rPr>
                <w:rFonts w:ascii="宋体" w:hAnsi="宋体" w:cs="宋体" w:eastAsia="宋体" w:hint="default"/>
                <w:sz w:val="18"/>
                <w:szCs w:val="18"/>
              </w:rPr>
              <w:t>入</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10,590,216.66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100.00</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0.29</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640" w:hRule="exact"/>
        </w:trPr>
        <w:tc>
          <w:tcPr>
            <w:tcW w:w="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568,336,207.92</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256,295,134.99</w:t>
            </w:r>
          </w:p>
        </w:tc>
        <w:tc>
          <w:tcPr>
            <w:tcW w:w="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54.90</w:t>
            </w:r>
          </w:p>
        </w:tc>
        <w:tc>
          <w:tcPr>
            <w:tcW w:w="1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65.41</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42.86</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2" w:hanging="1"/>
              <w:jc w:val="left"/>
              <w:rPr>
                <w:rFonts w:ascii="宋体" w:hAnsi="宋体" w:cs="宋体" w:eastAsia="宋体" w:hint="default"/>
                <w:sz w:val="18"/>
                <w:szCs w:val="18"/>
              </w:rPr>
            </w:pPr>
            <w:r>
              <w:rPr>
                <w:rFonts w:ascii="宋体" w:hAnsi="宋体" w:cs="宋体" w:eastAsia="宋体" w:hint="default"/>
                <w:spacing w:val="3"/>
                <w:sz w:val="18"/>
                <w:szCs w:val="18"/>
              </w:rPr>
              <w:t>增加 </w:t>
            </w:r>
            <w:r>
              <w:rPr>
                <w:rFonts w:ascii="Times New Roman" w:hAnsi="Times New Roman" w:cs="Times New Roman" w:eastAsia="Times New Roman" w:hint="default"/>
                <w:sz w:val="18"/>
                <w:szCs w:val="18"/>
              </w:rPr>
              <w:t>14.89</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个百分 </w:t>
            </w:r>
            <w:r>
              <w:rPr>
                <w:rFonts w:ascii="宋体" w:hAnsi="宋体" w:cs="宋体" w:eastAsia="宋体" w:hint="default"/>
                <w:sz w:val="18"/>
                <w:szCs w:val="18"/>
              </w:rPr>
              <w:t>点</w:t>
            </w:r>
          </w:p>
        </w:tc>
      </w:tr>
    </w:tbl>
    <w:p>
      <w:pPr>
        <w:spacing w:line="240" w:lineRule="auto" w:before="0"/>
        <w:rPr>
          <w:rFonts w:ascii="宋体" w:hAnsi="宋体" w:cs="宋体" w:eastAsia="宋体" w:hint="default"/>
          <w:sz w:val="20"/>
          <w:szCs w:val="20"/>
        </w:rPr>
      </w:pPr>
    </w:p>
    <w:p>
      <w:pPr>
        <w:pStyle w:val="BodyText"/>
        <w:spacing w:line="256" w:lineRule="auto" w:before="35"/>
        <w:ind w:left="328" w:right="5346" w:hanging="212"/>
        <w:jc w:val="left"/>
      </w:pPr>
      <w:r>
        <w:rPr>
          <w:rFonts w:ascii="Times New Roman" w:hAnsi="Times New Roman" w:cs="Times New Roman" w:eastAsia="Times New Roman" w:hint="default"/>
        </w:rPr>
        <w:t>2</w:t>
      </w:r>
      <w:r>
        <w:rPr/>
        <w:t>、主营业务分地区情况 本公司业务面向全国，地区分布比较均衡。</w:t>
      </w:r>
    </w:p>
    <w:p>
      <w:pPr>
        <w:pStyle w:val="BodyText"/>
        <w:spacing w:line="273" w:lineRule="auto" w:before="22"/>
        <w:ind w:right="452" w:firstLine="211"/>
        <w:jc w:val="left"/>
      </w:pPr>
      <w:r>
        <w:rPr>
          <w:spacing w:val="-2"/>
        </w:rPr>
        <w:t>本公司主营业务包括：提供证券、银行、基金及理财机构、期货等金融行业的ＩＴ整体解决</w:t>
      </w:r>
      <w:r>
        <w:rPr/>
        <w:t> 方案和ＩＴ服务；软件外包；电子政务、智能交通、行业集成服务等。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0"/>
        <w:ind w:right="387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公司投资情况</w:t>
      </w:r>
    </w:p>
    <w:p>
      <w:pPr>
        <w:pStyle w:val="BodyText"/>
        <w:spacing w:line="516" w:lineRule="auto" w:before="21"/>
        <w:ind w:left="343" w:right="1757"/>
        <w:jc w:val="left"/>
      </w:pPr>
      <w:r>
        <w:rPr/>
        <w:pict>
          <v:shape style="position:absolute;margin-left:89.099998pt;margin-top:48.571568pt;width:466.1pt;height:96.6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0"/>
                    <w:gridCol w:w="1621"/>
                    <w:gridCol w:w="1618"/>
                    <w:gridCol w:w="4072"/>
                  </w:tblGrid>
                  <w:tr>
                    <w:trPr>
                      <w:trHeight w:val="638" w:hRule="exact"/>
                    </w:trPr>
                    <w:tc>
                      <w:tcPr>
                        <w:tcW w:w="19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4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72"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2" w:lineRule="exact"/>
                          <w:ind w:left="118" w:right="0" w:firstLine="52"/>
                          <w:jc w:val="left"/>
                          <w:rPr>
                            <w:rFonts w:ascii="宋体" w:hAnsi="宋体" w:cs="宋体" w:eastAsia="宋体" w:hint="default"/>
                            <w:sz w:val="21"/>
                            <w:szCs w:val="21"/>
                          </w:rPr>
                        </w:pPr>
                        <w:r>
                          <w:rPr>
                            <w:rFonts w:ascii="宋体" w:hAnsi="宋体" w:cs="宋体" w:eastAsia="宋体" w:hint="default"/>
                            <w:sz w:val="21"/>
                            <w:szCs w:val="21"/>
                          </w:rPr>
                          <w:t>占被投资公司</w:t>
                        </w:r>
                      </w:p>
                      <w:p>
                        <w:pPr>
                          <w:pStyle w:val="TableParagraph"/>
                          <w:spacing w:line="240" w:lineRule="auto" w:before="37"/>
                          <w:ind w:left="11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权益的比例</w:t>
                        </w:r>
                        <w:r>
                          <w:rPr>
                            <w:rFonts w:ascii="Times New Roman" w:hAnsi="Times New Roman" w:cs="Times New Roman" w:eastAsia="Times New Roman" w:hint="default"/>
                            <w:sz w:val="21"/>
                            <w:szCs w:val="21"/>
                          </w:rPr>
                          <w:t>(%)</w:t>
                        </w:r>
                      </w:p>
                    </w:tc>
                    <w:tc>
                      <w:tcPr>
                        <w:tcW w:w="40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40" w:hRule="exact"/>
                    </w:trPr>
                    <w:tc>
                      <w:tcPr>
                        <w:tcW w:w="199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杭州数米网科技有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基金门户网站</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w:t>
                        </w:r>
                      </w:p>
                    </w:tc>
                    <w:tc>
                      <w:tcPr>
                        <w:tcW w:w="4072"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199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无锡恒华科技发展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无锡恒华科</w:t>
                        </w:r>
                        <w:r>
                          <w:rPr>
                            <w:rFonts w:ascii="宋体" w:hAnsi="宋体" w:cs="宋体" w:eastAsia="宋体" w:hint="default"/>
                            <w:spacing w:val="-74"/>
                            <w:sz w:val="21"/>
                            <w:szCs w:val="21"/>
                          </w:rPr>
                          <w:t> </w:t>
                        </w:r>
                        <w:r>
                          <w:rPr>
                            <w:rFonts w:ascii="宋体" w:hAnsi="宋体" w:cs="宋体" w:eastAsia="宋体" w:hint="default"/>
                            <w:sz w:val="21"/>
                            <w:szCs w:val="21"/>
                          </w:rPr>
                          <w:t>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2"/>
                            <w:sz w:val="21"/>
                            <w:szCs w:val="21"/>
                          </w:rPr>
                          <w:t>园的建设与</w:t>
                        </w:r>
                        <w:r>
                          <w:rPr>
                            <w:rFonts w:ascii="宋体" w:hAnsi="宋体" w:cs="宋体" w:eastAsia="宋体" w:hint="default"/>
                            <w:spacing w:val="-74"/>
                            <w:sz w:val="21"/>
                            <w:szCs w:val="21"/>
                          </w:rPr>
                          <w:t> </w:t>
                        </w:r>
                        <w:r>
                          <w:rPr>
                            <w:rFonts w:ascii="宋体" w:hAnsi="宋体" w:cs="宋体" w:eastAsia="宋体" w:hint="default"/>
                            <w:sz w:val="21"/>
                            <w:szCs w:val="21"/>
                          </w:rPr>
                          <w:t>运</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w:t>
                        </w:r>
                      </w:p>
                    </w:tc>
                    <w:tc>
                      <w:tcPr>
                        <w:tcW w:w="4072" w:type="dxa"/>
                        <w:tcBorders>
                          <w:top w:val="single" w:sz="6" w:space="0" w:color="101010"/>
                          <w:left w:val="single" w:sz="6" w:space="0" w:color="101010"/>
                          <w:bottom w:val="single" w:sz="6" w:space="0" w:color="101010"/>
                          <w:right w:val="single" w:sz="6" w:space="0" w:color="101010"/>
                        </w:tcBorders>
                      </w:tcPr>
                      <w:p>
                        <w:pPr/>
                      </w:p>
                    </w:tc>
                  </w:tr>
                </w:tbl>
                <w:p>
                  <w:pPr/>
                </w:p>
              </w:txbxContent>
            </v:textbox>
            <w10:wrap type="none"/>
          </v:shape>
        </w:pict>
      </w:r>
      <w:r>
        <w:rPr/>
        <w:t>报告期内公司投资额为</w:t>
      </w:r>
      <w:r>
        <w:rPr>
          <w:spacing w:val="-55"/>
        </w:rPr>
        <w:t> </w:t>
      </w:r>
      <w:r>
        <w:rPr>
          <w:rFonts w:ascii="Times New Roman" w:hAnsi="Times New Roman" w:cs="Times New Roman" w:eastAsia="Times New Roman" w:hint="default"/>
        </w:rPr>
        <w:t>8,820</w:t>
      </w:r>
      <w:r>
        <w:rPr>
          <w:rFonts w:ascii="Times New Roman" w:hAnsi="Times New Roman" w:cs="Times New Roman" w:eastAsia="Times New Roman" w:hint="default"/>
          <w:spacing w:val="-3"/>
        </w:rPr>
        <w:t> </w:t>
      </w:r>
      <w:r>
        <w:rPr/>
        <w:t>万元，比上年增加</w:t>
      </w:r>
      <w:r>
        <w:rPr>
          <w:spacing w:val="-55"/>
        </w:rPr>
        <w:t> </w:t>
      </w:r>
      <w:r>
        <w:rPr>
          <w:rFonts w:ascii="Times New Roman" w:hAnsi="Times New Roman" w:cs="Times New Roman" w:eastAsia="Times New Roman" w:hint="default"/>
        </w:rPr>
        <w:t>5,832</w:t>
      </w:r>
      <w:r>
        <w:rPr>
          <w:rFonts w:ascii="Times New Roman" w:hAnsi="Times New Roman" w:cs="Times New Roman" w:eastAsia="Times New Roman" w:hint="default"/>
          <w:spacing w:val="-3"/>
        </w:rPr>
        <w:t> </w:t>
      </w:r>
      <w:r>
        <w:rPr/>
        <w:t>万元，增加的比例为</w:t>
      </w:r>
      <w:r>
        <w:rPr>
          <w:spacing w:val="-55"/>
        </w:rPr>
        <w:t> </w:t>
      </w:r>
      <w:r>
        <w:rPr>
          <w:rFonts w:ascii="Times New Roman" w:hAnsi="Times New Roman" w:cs="Times New Roman" w:eastAsia="Times New Roman" w:hint="default"/>
        </w:rPr>
        <w:t>195%</w:t>
      </w:r>
      <w:r>
        <w:rPr/>
        <w:t>。 被投资的公司情况</w:t>
      </w:r>
    </w:p>
    <w:p>
      <w:pPr>
        <w:spacing w:after="0" w:line="516" w:lineRule="auto"/>
        <w:jc w:val="left"/>
        <w:sectPr>
          <w:type w:val="continuous"/>
          <w:pgSz w:w="11910" w:h="16840"/>
          <w:pgMar w:top="1500" w:bottom="900" w:left="1680" w:right="54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990"/>
        <w:gridCol w:w="1621"/>
        <w:gridCol w:w="1618"/>
        <w:gridCol w:w="4072"/>
      </w:tblGrid>
      <w:tr>
        <w:trPr>
          <w:trHeight w:val="326" w:hRule="exact"/>
        </w:trPr>
        <w:tc>
          <w:tcPr>
            <w:tcW w:w="1990" w:type="dxa"/>
            <w:tcBorders>
              <w:top w:val="single" w:sz="6" w:space="0" w:color="101010"/>
              <w:left w:val="single" w:sz="6" w:space="0" w:color="101010"/>
              <w:bottom w:val="single" w:sz="6" w:space="0" w:color="101010"/>
              <w:right w:val="single" w:sz="6" w:space="0" w:color="101010"/>
            </w:tcBorders>
          </w:tcPr>
          <w:p>
            <w:pPr/>
          </w:p>
        </w:tc>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w:t>
            </w:r>
          </w:p>
        </w:tc>
        <w:tc>
          <w:tcPr>
            <w:tcW w:w="1618" w:type="dxa"/>
            <w:tcBorders>
              <w:top w:val="single" w:sz="6" w:space="0" w:color="101010"/>
              <w:left w:val="single" w:sz="6" w:space="0" w:color="101010"/>
              <w:bottom w:val="single" w:sz="6" w:space="0" w:color="101010"/>
              <w:right w:val="single" w:sz="6" w:space="0" w:color="101010"/>
            </w:tcBorders>
          </w:tcPr>
          <w:p>
            <w:pPr/>
          </w:p>
        </w:tc>
        <w:tc>
          <w:tcPr>
            <w:tcW w:w="4072" w:type="dxa"/>
            <w:tcBorders>
              <w:top w:val="single" w:sz="6" w:space="0" w:color="101010"/>
              <w:left w:val="single" w:sz="6" w:space="0" w:color="101010"/>
              <w:bottom w:val="single" w:sz="6" w:space="0" w:color="101010"/>
              <w:right w:val="single" w:sz="6" w:space="0" w:color="101010"/>
            </w:tcBorders>
          </w:tcPr>
          <w:p>
            <w:pPr/>
          </w:p>
        </w:tc>
      </w:tr>
      <w:tr>
        <w:trPr>
          <w:trHeight w:val="319" w:hRule="exact"/>
        </w:trPr>
        <w:tc>
          <w:tcPr>
            <w:tcW w:w="1990" w:type="dxa"/>
            <w:tcBorders>
              <w:top w:val="single" w:sz="6" w:space="0" w:color="101010"/>
              <w:left w:val="single" w:sz="6" w:space="0" w:color="101010"/>
              <w:bottom w:val="nil" w:sz="6" w:space="0" w:color="auto"/>
              <w:right w:val="single" w:sz="6" w:space="0" w:color="101010"/>
            </w:tcBorders>
          </w:tcPr>
          <w:p>
            <w:pPr/>
          </w:p>
        </w:tc>
        <w:tc>
          <w:tcPr>
            <w:tcW w:w="1621" w:type="dxa"/>
            <w:tcBorders>
              <w:top w:val="single" w:sz="6" w:space="0" w:color="101010"/>
              <w:left w:val="single" w:sz="6" w:space="0" w:color="101010"/>
              <w:bottom w:val="nil" w:sz="6" w:space="0" w:color="auto"/>
              <w:right w:val="single" w:sz="6" w:space="0" w:color="101010"/>
            </w:tcBorders>
          </w:tcPr>
          <w:p>
            <w:pPr/>
          </w:p>
        </w:tc>
        <w:tc>
          <w:tcPr>
            <w:tcW w:w="1618" w:type="dxa"/>
            <w:tcBorders>
              <w:top w:val="single" w:sz="6" w:space="0" w:color="101010"/>
              <w:left w:val="single" w:sz="6" w:space="0" w:color="101010"/>
              <w:bottom w:val="nil" w:sz="6" w:space="0" w:color="auto"/>
              <w:right w:val="single" w:sz="6" w:space="0" w:color="101010"/>
            </w:tcBorders>
          </w:tcPr>
          <w:p>
            <w:pPr/>
          </w:p>
        </w:tc>
        <w:tc>
          <w:tcPr>
            <w:tcW w:w="4072" w:type="dxa"/>
            <w:tcBorders>
              <w:top w:val="single" w:sz="6" w:space="0" w:color="101010"/>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根据发起人协议，公司已按出资金额的</w:t>
            </w:r>
            <w:r>
              <w:rPr>
                <w:rFonts w:ascii="宋体" w:hAnsi="宋体" w:cs="宋体" w:eastAsia="宋体" w:hint="default"/>
                <w:sz w:val="21"/>
                <w:szCs w:val="21"/>
              </w:rPr>
            </w:r>
          </w:p>
        </w:tc>
      </w:tr>
      <w:tr>
        <w:trPr>
          <w:trHeight w:val="318" w:hRule="exact"/>
        </w:trPr>
        <w:tc>
          <w:tcPr>
            <w:tcW w:w="1990" w:type="dxa"/>
            <w:tcBorders>
              <w:top w:val="nil" w:sz="6" w:space="0" w:color="auto"/>
              <w:left w:val="single" w:sz="6" w:space="0" w:color="101010"/>
              <w:bottom w:val="nil" w:sz="6" w:space="0" w:color="auto"/>
              <w:right w:val="single" w:sz="6" w:space="0" w:color="101010"/>
            </w:tcBorders>
          </w:tcPr>
          <w:p>
            <w:pPr/>
          </w:p>
        </w:tc>
        <w:tc>
          <w:tcPr>
            <w:tcW w:w="1621" w:type="dxa"/>
            <w:tcBorders>
              <w:top w:val="nil" w:sz="6" w:space="0" w:color="auto"/>
              <w:left w:val="single" w:sz="6" w:space="0" w:color="101010"/>
              <w:bottom w:val="nil" w:sz="6" w:space="0" w:color="auto"/>
              <w:right w:val="single" w:sz="6" w:space="0" w:color="101010"/>
            </w:tcBorders>
          </w:tcPr>
          <w:p>
            <w:pPr/>
          </w:p>
        </w:tc>
        <w:tc>
          <w:tcPr>
            <w:tcW w:w="1618" w:type="dxa"/>
            <w:tcBorders>
              <w:top w:val="nil" w:sz="6" w:space="0" w:color="auto"/>
              <w:left w:val="single" w:sz="6" w:space="0" w:color="101010"/>
              <w:bottom w:val="nil" w:sz="6" w:space="0" w:color="auto"/>
              <w:right w:val="single" w:sz="6" w:space="0" w:color="101010"/>
            </w:tcBorders>
          </w:tcPr>
          <w:p>
            <w:pPr/>
          </w:p>
        </w:tc>
        <w:tc>
          <w:tcPr>
            <w:tcW w:w="4072" w:type="dxa"/>
            <w:tcBorders>
              <w:top w:val="nil" w:sz="6" w:space="0" w:color="auto"/>
              <w:left w:val="single" w:sz="6" w:space="0" w:color="101010"/>
              <w:bottom w:val="nil" w:sz="6" w:space="0" w:color="auto"/>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即 </w:t>
            </w:r>
            <w:r>
              <w:rPr>
                <w:rFonts w:ascii="Times New Roman" w:hAnsi="Times New Roman" w:cs="Times New Roman" w:eastAsia="Times New Roman" w:hint="default"/>
                <w:sz w:val="21"/>
                <w:szCs w:val="21"/>
              </w:rPr>
              <w:t>480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万元划入国金证券有限责任公</w:t>
            </w:r>
          </w:p>
        </w:tc>
      </w:tr>
      <w:tr>
        <w:trPr>
          <w:trHeight w:val="930" w:hRule="exact"/>
        </w:trPr>
        <w:tc>
          <w:tcPr>
            <w:tcW w:w="1990" w:type="dxa"/>
            <w:tcBorders>
              <w:top w:val="nil" w:sz="6" w:space="0" w:color="auto"/>
              <w:left w:val="single" w:sz="6" w:space="0" w:color="101010"/>
              <w:bottom w:val="nil" w:sz="6" w:space="0" w:color="auto"/>
              <w:right w:val="single" w:sz="6" w:space="0" w:color="101010"/>
            </w:tcBorders>
          </w:tcPr>
          <w:p>
            <w:pPr>
              <w:pStyle w:val="TableParagraph"/>
              <w:spacing w:line="273" w:lineRule="auto" w:before="135"/>
              <w:ind w:left="100" w:right="86"/>
              <w:jc w:val="left"/>
              <w:rPr>
                <w:rFonts w:ascii="宋体" w:hAnsi="宋体" w:cs="宋体" w:eastAsia="宋体" w:hint="default"/>
                <w:sz w:val="21"/>
                <w:szCs w:val="21"/>
              </w:rPr>
            </w:pPr>
            <w:r>
              <w:rPr>
                <w:rFonts w:ascii="宋体" w:hAnsi="宋体" w:cs="宋体" w:eastAsia="宋体" w:hint="default"/>
                <w:spacing w:val="13"/>
                <w:sz w:val="21"/>
                <w:szCs w:val="21"/>
              </w:rPr>
              <w:t>国金通用基金管理 </w:t>
            </w:r>
            <w:r>
              <w:rPr>
                <w:rFonts w:ascii="宋体" w:hAnsi="宋体" w:cs="宋体" w:eastAsia="宋体" w:hint="default"/>
                <w:sz w:val="21"/>
                <w:szCs w:val="21"/>
              </w:rPr>
              <w:t>有限公司（筹）</w:t>
            </w:r>
          </w:p>
        </w:tc>
        <w:tc>
          <w:tcPr>
            <w:tcW w:w="1621" w:type="dxa"/>
            <w:tcBorders>
              <w:top w:val="nil" w:sz="6" w:space="0" w:color="auto"/>
              <w:left w:val="single" w:sz="6" w:space="0" w:color="101010"/>
              <w:bottom w:val="nil" w:sz="6" w:space="0" w:color="auto"/>
              <w:right w:val="single" w:sz="6" w:space="0" w:color="101010"/>
            </w:tcBorders>
          </w:tcPr>
          <w:p>
            <w:pPr>
              <w:pStyle w:val="TableParagraph"/>
              <w:spacing w:line="273" w:lineRule="auto" w:before="135"/>
              <w:ind w:left="100" w:right="98"/>
              <w:jc w:val="left"/>
              <w:rPr>
                <w:rFonts w:ascii="宋体" w:hAnsi="宋体" w:cs="宋体" w:eastAsia="宋体" w:hint="default"/>
                <w:sz w:val="21"/>
                <w:szCs w:val="21"/>
              </w:rPr>
            </w:pPr>
            <w:r>
              <w:rPr>
                <w:rFonts w:ascii="宋体" w:hAnsi="宋体" w:cs="宋体" w:eastAsia="宋体" w:hint="default"/>
                <w:spacing w:val="22"/>
                <w:sz w:val="21"/>
                <w:szCs w:val="21"/>
              </w:rPr>
              <w:t>基金理财与</w:t>
            </w:r>
            <w:r>
              <w:rPr>
                <w:rFonts w:ascii="宋体" w:hAnsi="宋体" w:cs="宋体" w:eastAsia="宋体" w:hint="default"/>
                <w:spacing w:val="-74"/>
                <w:sz w:val="21"/>
                <w:szCs w:val="21"/>
              </w:rPr>
              <w:t> </w:t>
            </w:r>
            <w:r>
              <w:rPr>
                <w:rFonts w:ascii="宋体" w:hAnsi="宋体" w:cs="宋体" w:eastAsia="宋体" w:hint="default"/>
                <w:sz w:val="21"/>
                <w:szCs w:val="21"/>
              </w:rPr>
              <w:t>运</w:t>
            </w:r>
            <w:r>
              <w:rPr>
                <w:rFonts w:ascii="宋体" w:hAnsi="宋体" w:cs="宋体" w:eastAsia="宋体" w:hint="default"/>
                <w:sz w:val="21"/>
                <w:szCs w:val="21"/>
              </w:rPr>
              <w:t> 营</w:t>
            </w:r>
          </w:p>
        </w:tc>
        <w:tc>
          <w:tcPr>
            <w:tcW w:w="1618"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w:t>
            </w:r>
          </w:p>
        </w:tc>
        <w:tc>
          <w:tcPr>
            <w:tcW w:w="4072" w:type="dxa"/>
            <w:tcBorders>
              <w:top w:val="nil" w:sz="6" w:space="0" w:color="auto"/>
              <w:left w:val="single" w:sz="6" w:space="0" w:color="101010"/>
              <w:bottom w:val="nil" w:sz="6" w:space="0" w:color="auto"/>
              <w:right w:val="single" w:sz="6" w:space="0" w:color="10101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司开设的筹备组临时专用账户作为垫付筹</w:t>
            </w:r>
            <w:r>
              <w:rPr>
                <w:rFonts w:ascii="宋体" w:hAnsi="宋体" w:cs="宋体" w:eastAsia="宋体" w:hint="default"/>
                <w:sz w:val="21"/>
                <w:szCs w:val="21"/>
              </w:rPr>
            </w:r>
          </w:p>
          <w:p>
            <w:pPr>
              <w:pStyle w:val="TableParagraph"/>
              <w:spacing w:line="273" w:lineRule="auto" w:before="37"/>
              <w:ind w:left="100" w:right="91"/>
              <w:jc w:val="left"/>
              <w:rPr>
                <w:rFonts w:ascii="宋体" w:hAnsi="宋体" w:cs="宋体" w:eastAsia="宋体" w:hint="default"/>
                <w:sz w:val="21"/>
                <w:szCs w:val="21"/>
              </w:rPr>
            </w:pPr>
            <w:r>
              <w:rPr>
                <w:rFonts w:ascii="宋体" w:hAnsi="宋体" w:cs="宋体" w:eastAsia="宋体" w:hint="default"/>
                <w:spacing w:val="3"/>
                <w:sz w:val="21"/>
                <w:szCs w:val="21"/>
              </w:rPr>
              <w:t>备费用，该等因筹备基金公司设立而发生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的费用由基金公司承担。上述发起设立基</w:t>
            </w:r>
            <w:r>
              <w:rPr>
                <w:rFonts w:ascii="宋体" w:hAnsi="宋体" w:cs="宋体" w:eastAsia="宋体" w:hint="default"/>
                <w:sz w:val="21"/>
                <w:szCs w:val="21"/>
              </w:rPr>
            </w:r>
          </w:p>
        </w:tc>
      </w:tr>
      <w:tr>
        <w:trPr>
          <w:trHeight w:val="312" w:hRule="exact"/>
        </w:trPr>
        <w:tc>
          <w:tcPr>
            <w:tcW w:w="1990" w:type="dxa"/>
            <w:tcBorders>
              <w:top w:val="nil" w:sz="6" w:space="0" w:color="auto"/>
              <w:left w:val="single" w:sz="6" w:space="0" w:color="101010"/>
              <w:bottom w:val="nil" w:sz="6" w:space="0" w:color="auto"/>
              <w:right w:val="single" w:sz="6" w:space="0" w:color="101010"/>
            </w:tcBorders>
          </w:tcPr>
          <w:p>
            <w:pPr/>
          </w:p>
        </w:tc>
        <w:tc>
          <w:tcPr>
            <w:tcW w:w="1621" w:type="dxa"/>
            <w:tcBorders>
              <w:top w:val="nil" w:sz="6" w:space="0" w:color="auto"/>
              <w:left w:val="single" w:sz="6" w:space="0" w:color="101010"/>
              <w:bottom w:val="nil" w:sz="6" w:space="0" w:color="auto"/>
              <w:right w:val="single" w:sz="6" w:space="0" w:color="101010"/>
            </w:tcBorders>
          </w:tcPr>
          <w:p>
            <w:pPr/>
          </w:p>
        </w:tc>
        <w:tc>
          <w:tcPr>
            <w:tcW w:w="1618" w:type="dxa"/>
            <w:tcBorders>
              <w:top w:val="nil" w:sz="6" w:space="0" w:color="auto"/>
              <w:left w:val="single" w:sz="6" w:space="0" w:color="101010"/>
              <w:bottom w:val="nil" w:sz="6" w:space="0" w:color="auto"/>
              <w:right w:val="single" w:sz="6" w:space="0" w:color="101010"/>
            </w:tcBorders>
          </w:tcPr>
          <w:p>
            <w:pPr/>
          </w:p>
        </w:tc>
        <w:tc>
          <w:tcPr>
            <w:tcW w:w="4072" w:type="dxa"/>
            <w:tcBorders>
              <w:top w:val="nil" w:sz="6" w:space="0" w:color="auto"/>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金公司事项尚需获得中国证券监督管理委</w:t>
            </w:r>
            <w:r>
              <w:rPr>
                <w:rFonts w:ascii="宋体" w:hAnsi="宋体" w:cs="宋体" w:eastAsia="宋体" w:hint="default"/>
                <w:sz w:val="21"/>
                <w:szCs w:val="21"/>
              </w:rPr>
            </w:r>
          </w:p>
        </w:tc>
      </w:tr>
      <w:tr>
        <w:trPr>
          <w:trHeight w:val="320" w:hRule="exact"/>
        </w:trPr>
        <w:tc>
          <w:tcPr>
            <w:tcW w:w="1990" w:type="dxa"/>
            <w:tcBorders>
              <w:top w:val="nil" w:sz="6" w:space="0" w:color="auto"/>
              <w:left w:val="single" w:sz="6" w:space="0" w:color="101010"/>
              <w:bottom w:val="single" w:sz="6" w:space="0" w:color="101010"/>
              <w:right w:val="single" w:sz="6" w:space="0" w:color="101010"/>
            </w:tcBorders>
          </w:tcPr>
          <w:p>
            <w:pPr/>
          </w:p>
        </w:tc>
        <w:tc>
          <w:tcPr>
            <w:tcW w:w="1621" w:type="dxa"/>
            <w:tcBorders>
              <w:top w:val="nil" w:sz="6" w:space="0" w:color="auto"/>
              <w:left w:val="single" w:sz="6" w:space="0" w:color="101010"/>
              <w:bottom w:val="single" w:sz="6" w:space="0" w:color="101010"/>
              <w:right w:val="single" w:sz="6" w:space="0" w:color="101010"/>
            </w:tcBorders>
          </w:tcPr>
          <w:p>
            <w:pPr/>
          </w:p>
        </w:tc>
        <w:tc>
          <w:tcPr>
            <w:tcW w:w="1618" w:type="dxa"/>
            <w:tcBorders>
              <w:top w:val="nil" w:sz="6" w:space="0" w:color="auto"/>
              <w:left w:val="single" w:sz="6" w:space="0" w:color="101010"/>
              <w:bottom w:val="single" w:sz="6" w:space="0" w:color="101010"/>
              <w:right w:val="single" w:sz="6" w:space="0" w:color="101010"/>
            </w:tcBorders>
          </w:tcPr>
          <w:p>
            <w:pPr/>
          </w:p>
        </w:tc>
        <w:tc>
          <w:tcPr>
            <w:tcW w:w="4072" w:type="dxa"/>
            <w:tcBorders>
              <w:top w:val="nil" w:sz="6" w:space="0" w:color="auto"/>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员会的批准</w:t>
            </w:r>
          </w:p>
        </w:tc>
      </w:tr>
      <w:tr>
        <w:trPr>
          <w:trHeight w:val="319" w:hRule="exact"/>
        </w:trPr>
        <w:tc>
          <w:tcPr>
            <w:tcW w:w="1990" w:type="dxa"/>
            <w:tcBorders>
              <w:top w:val="single" w:sz="6" w:space="0" w:color="101010"/>
              <w:left w:val="single" w:sz="6" w:space="0" w:color="101010"/>
              <w:bottom w:val="nil" w:sz="6" w:space="0" w:color="auto"/>
              <w:right w:val="single" w:sz="6" w:space="0" w:color="101010"/>
            </w:tcBorders>
          </w:tcPr>
          <w:p>
            <w:pPr/>
          </w:p>
        </w:tc>
        <w:tc>
          <w:tcPr>
            <w:tcW w:w="1621" w:type="dxa"/>
            <w:tcBorders>
              <w:top w:val="single" w:sz="6" w:space="0" w:color="101010"/>
              <w:left w:val="single" w:sz="6" w:space="0" w:color="101010"/>
              <w:bottom w:val="nil" w:sz="6" w:space="0" w:color="auto"/>
              <w:right w:val="single" w:sz="6" w:space="0" w:color="101010"/>
            </w:tcBorders>
          </w:tcPr>
          <w:p>
            <w:pPr/>
          </w:p>
        </w:tc>
        <w:tc>
          <w:tcPr>
            <w:tcW w:w="1618" w:type="dxa"/>
            <w:tcBorders>
              <w:top w:val="single" w:sz="6" w:space="0" w:color="101010"/>
              <w:left w:val="single" w:sz="6" w:space="0" w:color="101010"/>
              <w:bottom w:val="nil" w:sz="6" w:space="0" w:color="auto"/>
              <w:right w:val="single" w:sz="6" w:space="0" w:color="101010"/>
            </w:tcBorders>
          </w:tcPr>
          <w:p>
            <w:pPr/>
          </w:p>
        </w:tc>
        <w:tc>
          <w:tcPr>
            <w:tcW w:w="4072" w:type="dxa"/>
            <w:tcBorders>
              <w:top w:val="single" w:sz="6" w:space="0" w:color="101010"/>
              <w:left w:val="single" w:sz="6" w:space="0" w:color="101010"/>
              <w:bottom w:val="nil" w:sz="6" w:space="0" w:color="auto"/>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投资款项已支付，但因本次增资扩股及定</w:t>
            </w:r>
            <w:r>
              <w:rPr>
                <w:rFonts w:ascii="宋体" w:hAnsi="宋体" w:cs="宋体" w:eastAsia="宋体" w:hint="default"/>
                <w:sz w:val="21"/>
                <w:szCs w:val="21"/>
              </w:rPr>
            </w:r>
          </w:p>
        </w:tc>
      </w:tr>
      <w:tr>
        <w:trPr>
          <w:trHeight w:val="625" w:hRule="exact"/>
        </w:trPr>
        <w:tc>
          <w:tcPr>
            <w:tcW w:w="1990" w:type="dxa"/>
            <w:tcBorders>
              <w:top w:val="nil" w:sz="6" w:space="0" w:color="auto"/>
              <w:left w:val="single" w:sz="6" w:space="0" w:color="101010"/>
              <w:bottom w:val="nil" w:sz="6" w:space="0" w:color="auto"/>
              <w:right w:val="single" w:sz="6" w:space="0" w:color="10101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青岛市商业银行股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21" w:type="dxa"/>
            <w:tcBorders>
              <w:top w:val="nil" w:sz="6" w:space="0" w:color="auto"/>
              <w:left w:val="single" w:sz="6" w:space="0" w:color="101010"/>
              <w:bottom w:val="nil" w:sz="6" w:space="0" w:color="auto"/>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城市商业银行</w:t>
            </w:r>
          </w:p>
        </w:tc>
        <w:tc>
          <w:tcPr>
            <w:tcW w:w="1618" w:type="dxa"/>
            <w:tcBorders>
              <w:top w:val="nil" w:sz="6" w:space="0" w:color="auto"/>
              <w:left w:val="single" w:sz="6" w:space="0" w:color="101010"/>
              <w:bottom w:val="nil" w:sz="6" w:space="0" w:color="auto"/>
              <w:right w:val="single" w:sz="6" w:space="0" w:color="10101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0.98</w:t>
            </w:r>
          </w:p>
        </w:tc>
        <w:tc>
          <w:tcPr>
            <w:tcW w:w="4072" w:type="dxa"/>
            <w:tcBorders>
              <w:top w:val="nil" w:sz="6" w:space="0" w:color="auto"/>
              <w:left w:val="single" w:sz="6" w:space="0" w:color="101010"/>
              <w:bottom w:val="nil" w:sz="6" w:space="0" w:color="auto"/>
              <w:right w:val="single" w:sz="6" w:space="0" w:color="10101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向增发尚需要中国银行业监督管理委员会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或者其授权机构审批，尚未办妥工商变更</w:t>
            </w:r>
            <w:r>
              <w:rPr>
                <w:rFonts w:ascii="宋体" w:hAnsi="宋体" w:cs="宋体" w:eastAsia="宋体" w:hint="default"/>
                <w:sz w:val="21"/>
                <w:szCs w:val="21"/>
              </w:rPr>
            </w:r>
          </w:p>
        </w:tc>
      </w:tr>
      <w:tr>
        <w:trPr>
          <w:trHeight w:val="320" w:hRule="exact"/>
        </w:trPr>
        <w:tc>
          <w:tcPr>
            <w:tcW w:w="1990" w:type="dxa"/>
            <w:tcBorders>
              <w:top w:val="nil" w:sz="6" w:space="0" w:color="auto"/>
              <w:left w:val="single" w:sz="6" w:space="0" w:color="101010"/>
              <w:bottom w:val="single" w:sz="6" w:space="0" w:color="101010"/>
              <w:right w:val="single" w:sz="6" w:space="0" w:color="101010"/>
            </w:tcBorders>
          </w:tcPr>
          <w:p>
            <w:pPr/>
          </w:p>
        </w:tc>
        <w:tc>
          <w:tcPr>
            <w:tcW w:w="1621" w:type="dxa"/>
            <w:tcBorders>
              <w:top w:val="nil" w:sz="6" w:space="0" w:color="auto"/>
              <w:left w:val="single" w:sz="6" w:space="0" w:color="101010"/>
              <w:bottom w:val="single" w:sz="6" w:space="0" w:color="101010"/>
              <w:right w:val="single" w:sz="6" w:space="0" w:color="101010"/>
            </w:tcBorders>
          </w:tcPr>
          <w:p>
            <w:pPr/>
          </w:p>
        </w:tc>
        <w:tc>
          <w:tcPr>
            <w:tcW w:w="1618" w:type="dxa"/>
            <w:tcBorders>
              <w:top w:val="nil" w:sz="6" w:space="0" w:color="auto"/>
              <w:left w:val="single" w:sz="6" w:space="0" w:color="101010"/>
              <w:bottom w:val="single" w:sz="6" w:space="0" w:color="101010"/>
              <w:right w:val="single" w:sz="6" w:space="0" w:color="101010"/>
            </w:tcBorders>
          </w:tcPr>
          <w:p>
            <w:pPr/>
          </w:p>
        </w:tc>
        <w:tc>
          <w:tcPr>
            <w:tcW w:w="4072" w:type="dxa"/>
            <w:tcBorders>
              <w:top w:val="nil" w:sz="6" w:space="0" w:color="auto"/>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登记手续</w:t>
            </w:r>
          </w:p>
        </w:tc>
      </w:tr>
    </w:tbl>
    <w:p>
      <w:pPr>
        <w:spacing w:line="240" w:lineRule="auto" w:before="0"/>
        <w:rPr>
          <w:rFonts w:ascii="宋体" w:hAnsi="宋体" w:cs="宋体" w:eastAsia="宋体" w:hint="default"/>
          <w:sz w:val="20"/>
          <w:szCs w:val="20"/>
        </w:rPr>
      </w:pPr>
    </w:p>
    <w:p>
      <w:pPr>
        <w:pStyle w:val="BodyText"/>
        <w:spacing w:line="240" w:lineRule="auto" w:before="35"/>
        <w:ind w:right="777"/>
        <w:jc w:val="left"/>
      </w:pPr>
      <w:r>
        <w:rPr>
          <w:rFonts w:ascii="Times New Roman" w:hAnsi="Times New Roman" w:cs="Times New Roman" w:eastAsia="Times New Roman" w:hint="default"/>
        </w:rPr>
        <w:t>1</w:t>
      </w:r>
      <w:r>
        <w:rPr/>
        <w:t>、募集资金使用情况</w:t>
      </w:r>
    </w:p>
    <w:p>
      <w:pPr>
        <w:pStyle w:val="BodyText"/>
        <w:spacing w:line="240" w:lineRule="auto" w:before="21"/>
        <w:ind w:left="327" w:right="777"/>
        <w:jc w:val="left"/>
      </w:pPr>
      <w:r>
        <w:rPr>
          <w:rFonts w:ascii="Times New Roman" w:hAnsi="Times New Roman" w:cs="Times New Roman" w:eastAsia="Times New Roman" w:hint="default"/>
        </w:rPr>
        <w:t>1)</w:t>
      </w:r>
      <w:r>
        <w:rPr/>
        <w:t>、公司于</w:t>
      </w:r>
      <w:r>
        <w:rPr>
          <w:spacing w:val="-4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1"/>
        </w:rPr>
        <w:t> </w:t>
      </w:r>
      <w:r>
        <w:rPr/>
        <w:t>年通过首次发行募集资金</w:t>
      </w:r>
      <w:r>
        <w:rPr>
          <w:spacing w:val="-41"/>
        </w:rPr>
        <w:t> </w:t>
      </w:r>
      <w:r>
        <w:rPr>
          <w:rFonts w:ascii="Times New Roman" w:hAnsi="Times New Roman" w:cs="Times New Roman" w:eastAsia="Times New Roman" w:hint="default"/>
        </w:rPr>
        <w:t>24,414.16</w:t>
      </w:r>
      <w:r>
        <w:rPr>
          <w:rFonts w:ascii="Times New Roman" w:hAnsi="Times New Roman" w:cs="Times New Roman" w:eastAsia="Times New Roman" w:hint="default"/>
          <w:spacing w:val="11"/>
        </w:rPr>
        <w:t> </w:t>
      </w:r>
      <w:r>
        <w:rPr/>
        <w:t>万元，已累计使用</w:t>
      </w:r>
      <w:r>
        <w:rPr>
          <w:spacing w:val="-41"/>
        </w:rPr>
        <w:t> </w:t>
      </w:r>
      <w:r>
        <w:rPr>
          <w:rFonts w:ascii="Times New Roman" w:hAnsi="Times New Roman" w:cs="Times New Roman" w:eastAsia="Times New Roman" w:hint="default"/>
        </w:rPr>
        <w:t>22,354.71</w:t>
      </w:r>
      <w:r>
        <w:rPr>
          <w:rFonts w:ascii="Times New Roman" w:hAnsi="Times New Roman" w:cs="Times New Roman" w:eastAsia="Times New Roman" w:hint="default"/>
          <w:spacing w:val="10"/>
        </w:rPr>
        <w:t> </w:t>
      </w:r>
      <w:r>
        <w:rPr/>
        <w:t>万元，其</w:t>
      </w:r>
    </w:p>
    <w:p>
      <w:pPr>
        <w:pStyle w:val="BodyText"/>
        <w:spacing w:line="240" w:lineRule="auto" w:before="21"/>
        <w:ind w:right="777"/>
        <w:jc w:val="left"/>
      </w:pPr>
      <w:r>
        <w:rPr/>
        <w:t>中本年度已使用</w:t>
      </w:r>
      <w:r>
        <w:rPr>
          <w:spacing w:val="-56"/>
        </w:rPr>
        <w:t> </w:t>
      </w:r>
      <w:r>
        <w:rPr>
          <w:rFonts w:ascii="Times New Roman" w:hAnsi="Times New Roman" w:cs="Times New Roman" w:eastAsia="Times New Roman" w:hint="default"/>
        </w:rPr>
        <w:t>3,278.90</w:t>
      </w:r>
      <w:r>
        <w:rPr>
          <w:rFonts w:ascii="Times New Roman" w:hAnsi="Times New Roman" w:cs="Times New Roman" w:eastAsia="Times New Roman" w:hint="default"/>
          <w:spacing w:val="-3"/>
        </w:rPr>
        <w:t> </w:t>
      </w:r>
      <w:r>
        <w:rPr/>
        <w:t>万元，尚未使用</w:t>
      </w:r>
      <w:r>
        <w:rPr>
          <w:spacing w:val="-56"/>
        </w:rPr>
        <w:t> </w:t>
      </w:r>
      <w:r>
        <w:rPr>
          <w:rFonts w:ascii="Times New Roman" w:hAnsi="Times New Roman" w:cs="Times New Roman" w:eastAsia="Times New Roman" w:hint="default"/>
        </w:rPr>
        <w:t>2,059.45</w:t>
      </w:r>
      <w:r>
        <w:rPr>
          <w:rFonts w:ascii="Times New Roman" w:hAnsi="Times New Roman" w:cs="Times New Roman" w:eastAsia="Times New Roman" w:hint="default"/>
          <w:spacing w:val="-3"/>
        </w:rPr>
        <w:t> </w:t>
      </w:r>
      <w:r>
        <w:rPr/>
        <w:t>万元。尚未使用募集资金留存公司。</w:t>
      </w:r>
    </w:p>
    <w:p>
      <w:pPr>
        <w:spacing w:line="240" w:lineRule="auto" w:before="6"/>
        <w:rPr>
          <w:rFonts w:ascii="宋体" w:hAnsi="宋体" w:cs="宋体" w:eastAsia="宋体" w:hint="default"/>
          <w:sz w:val="25"/>
          <w:szCs w:val="25"/>
        </w:rPr>
      </w:pPr>
    </w:p>
    <w:p>
      <w:pPr>
        <w:pStyle w:val="BodyText"/>
        <w:spacing w:line="256" w:lineRule="auto" w:before="0"/>
        <w:ind w:right="854" w:firstLine="42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29"/>
        </w:rPr>
        <w:t> </w:t>
      </w:r>
      <w:r>
        <w:rPr/>
        <w:t>年下半年以来，中国金融市场逐步走上稳健发展的道路，各种金融创新带来了金融 产品的丰富，优化金融服务的</w:t>
      </w:r>
      <w:r>
        <w:rPr>
          <w:spacing w:val="-63"/>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需求以及金融风险控制和管理的</w:t>
      </w:r>
      <w:r>
        <w:rPr>
          <w:spacing w:val="-63"/>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需求也逐步增加，投资活 动日渐活跃，都带来国内金融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产品和服务的需求持续增长，公司前期投入的募集资金研发 产品得到市场良好的反响，因此，大部分募集项目取得了较好的收益。</w:t>
      </w:r>
    </w:p>
    <w:p>
      <w:pPr>
        <w:spacing w:line="240" w:lineRule="auto" w:before="12"/>
        <w:rPr>
          <w:rFonts w:ascii="宋体" w:hAnsi="宋体" w:cs="宋体" w:eastAsia="宋体" w:hint="default"/>
          <w:sz w:val="22"/>
          <w:szCs w:val="22"/>
        </w:rPr>
      </w:pPr>
    </w:p>
    <w:p>
      <w:pPr>
        <w:pStyle w:val="BodyText"/>
        <w:spacing w:line="240" w:lineRule="auto" w:before="35"/>
        <w:ind w:right="777"/>
        <w:jc w:val="left"/>
      </w:pPr>
      <w:r>
        <w:rPr>
          <w:rFonts w:ascii="Times New Roman" w:hAnsi="Times New Roman" w:cs="Times New Roman" w:eastAsia="Times New Roman" w:hint="default"/>
        </w:rPr>
        <w:t>2</w:t>
      </w:r>
      <w:r>
        <w:rPr/>
        <w:t>、承诺项目使用情况</w:t>
      </w:r>
    </w:p>
    <w:p>
      <w:pPr>
        <w:pStyle w:val="BodyText"/>
        <w:spacing w:line="240" w:lineRule="auto" w:before="21"/>
        <w:ind w:left="0" w:right="854"/>
        <w:jc w:val="righ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20"/>
        <w:gridCol w:w="1332"/>
        <w:gridCol w:w="883"/>
        <w:gridCol w:w="1340"/>
        <w:gridCol w:w="1319"/>
        <w:gridCol w:w="1338"/>
        <w:gridCol w:w="884"/>
        <w:gridCol w:w="883"/>
      </w:tblGrid>
      <w:tr>
        <w:trPr>
          <w:trHeight w:val="950"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546" w:right="126" w:hanging="420"/>
              <w:jc w:val="left"/>
              <w:rPr>
                <w:rFonts w:ascii="宋体" w:hAnsi="宋体" w:cs="宋体" w:eastAsia="宋体" w:hint="default"/>
                <w:sz w:val="21"/>
                <w:szCs w:val="21"/>
              </w:rPr>
            </w:pPr>
            <w:r>
              <w:rPr>
                <w:rFonts w:ascii="宋体" w:hAnsi="宋体" w:cs="宋体" w:eastAsia="宋体" w:hint="default"/>
                <w:sz w:val="21"/>
                <w:szCs w:val="21"/>
              </w:rPr>
              <w:t>承诺项目名 称</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32"/>
              <w:jc w:val="right"/>
              <w:rPr>
                <w:rFonts w:ascii="宋体" w:hAnsi="宋体" w:cs="宋体" w:eastAsia="宋体" w:hint="default"/>
                <w:sz w:val="21"/>
                <w:szCs w:val="21"/>
              </w:rPr>
            </w:pPr>
            <w:r>
              <w:rPr>
                <w:rFonts w:ascii="宋体" w:hAnsi="宋体" w:cs="宋体" w:eastAsia="宋体" w:hint="default"/>
                <w:sz w:val="21"/>
                <w:szCs w:val="21"/>
              </w:rPr>
              <w:t>拟投入金额</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19" w:right="117"/>
              <w:jc w:val="left"/>
              <w:rPr>
                <w:rFonts w:ascii="宋体" w:hAnsi="宋体" w:cs="宋体" w:eastAsia="宋体" w:hint="default"/>
                <w:sz w:val="21"/>
                <w:szCs w:val="21"/>
              </w:rPr>
            </w:pPr>
            <w:r>
              <w:rPr>
                <w:rFonts w:ascii="宋体" w:hAnsi="宋体" w:cs="宋体" w:eastAsia="宋体" w:hint="default"/>
                <w:sz w:val="21"/>
                <w:szCs w:val="21"/>
              </w:rPr>
              <w:t>是否变 更项目</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557" w:right="136" w:hanging="420"/>
              <w:jc w:val="left"/>
              <w:rPr>
                <w:rFonts w:ascii="宋体" w:hAnsi="宋体" w:cs="宋体" w:eastAsia="宋体" w:hint="default"/>
                <w:sz w:val="21"/>
                <w:szCs w:val="21"/>
              </w:rPr>
            </w:pPr>
            <w:r>
              <w:rPr>
                <w:rFonts w:ascii="宋体" w:hAnsi="宋体" w:cs="宋体" w:eastAsia="宋体" w:hint="default"/>
                <w:sz w:val="21"/>
                <w:szCs w:val="21"/>
              </w:rPr>
              <w:t>实际投入金 额</w:t>
            </w:r>
          </w:p>
        </w:tc>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556" w:right="135" w:hanging="420"/>
              <w:jc w:val="left"/>
              <w:rPr>
                <w:rFonts w:ascii="宋体" w:hAnsi="宋体" w:cs="宋体" w:eastAsia="宋体" w:hint="default"/>
                <w:sz w:val="21"/>
                <w:szCs w:val="21"/>
              </w:rPr>
            </w:pPr>
            <w:r>
              <w:rPr>
                <w:rFonts w:ascii="宋体" w:hAnsi="宋体" w:cs="宋体" w:eastAsia="宋体" w:hint="default"/>
                <w:sz w:val="21"/>
                <w:szCs w:val="21"/>
              </w:rPr>
              <w:t>产生收益情 况</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119" w:right="118"/>
              <w:jc w:val="both"/>
              <w:rPr>
                <w:rFonts w:ascii="宋体" w:hAnsi="宋体" w:cs="宋体" w:eastAsia="宋体" w:hint="default"/>
                <w:sz w:val="21"/>
                <w:szCs w:val="21"/>
              </w:rPr>
            </w:pPr>
            <w:r>
              <w:rPr>
                <w:rFonts w:ascii="宋体" w:hAnsi="宋体" w:cs="宋体" w:eastAsia="宋体" w:hint="default"/>
                <w:sz w:val="21"/>
                <w:szCs w:val="21"/>
              </w:rPr>
              <w:t>是否符 合计划 进度</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119" w:right="117"/>
              <w:jc w:val="both"/>
              <w:rPr>
                <w:rFonts w:ascii="宋体" w:hAnsi="宋体" w:cs="宋体" w:eastAsia="宋体" w:hint="default"/>
                <w:sz w:val="21"/>
                <w:szCs w:val="21"/>
              </w:rPr>
            </w:pPr>
            <w:r>
              <w:rPr>
                <w:rFonts w:ascii="宋体" w:hAnsi="宋体" w:cs="宋体" w:eastAsia="宋体" w:hint="default"/>
                <w:sz w:val="21"/>
                <w:szCs w:val="21"/>
              </w:rPr>
              <w:t>是否符 合预计 收益</w:t>
            </w:r>
          </w:p>
        </w:tc>
      </w:tr>
      <w:tr>
        <w:trPr>
          <w:trHeight w:val="952"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大范围集中</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式证券交易 </w:t>
            </w:r>
            <w:r>
              <w:rPr>
                <w:rFonts w:ascii="宋体" w:hAnsi="宋体" w:cs="宋体" w:eastAsia="宋体" w:hint="default"/>
                <w:sz w:val="21"/>
                <w:szCs w:val="21"/>
              </w:rPr>
              <w:t>系统技改</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4,007</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3,471.16</w:t>
            </w:r>
            <w:r>
              <w:rPr>
                <w:rFonts w:ascii="Times New Roman"/>
                <w:sz w:val="21"/>
              </w:rPr>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2757.7</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证券客户管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理系统技改</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3,780</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3,285.11</w:t>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1191.32</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银行证券业</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务服务平台 </w:t>
            </w:r>
            <w:r>
              <w:rPr>
                <w:rFonts w:ascii="宋体" w:hAnsi="宋体" w:cs="宋体" w:eastAsia="宋体" w:hint="default"/>
                <w:sz w:val="21"/>
                <w:szCs w:val="21"/>
              </w:rPr>
              <w:t>技改</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3,595</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3,352.40</w:t>
            </w:r>
            <w:r>
              <w:rPr>
                <w:rFonts w:ascii="Times New Roman"/>
                <w:sz w:val="21"/>
              </w:rPr>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2867.55</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银行电子服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务系统技改</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3,439</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2,763.31</w:t>
            </w:r>
            <w:r>
              <w:rPr>
                <w:rFonts w:ascii="Times New Roman"/>
                <w:sz w:val="21"/>
              </w:rPr>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1817.19</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基金管理与</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服务综合平 </w:t>
            </w:r>
            <w:r>
              <w:rPr>
                <w:rFonts w:ascii="宋体" w:hAnsi="宋体" w:cs="宋体" w:eastAsia="宋体" w:hint="default"/>
                <w:sz w:val="21"/>
                <w:szCs w:val="21"/>
              </w:rPr>
              <w:t>台技改</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3,591</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3,588.79</w:t>
            </w:r>
            <w:r>
              <w:rPr>
                <w:rFonts w:ascii="Times New Roman"/>
                <w:sz w:val="21"/>
              </w:rPr>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2315.61</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呼叫中心系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统技改</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3,517</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3,469.11</w:t>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999.71</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pacing w:val="13"/>
                <w:sz w:val="21"/>
                <w:szCs w:val="21"/>
              </w:rPr>
              <w:t>银行保险业</w:t>
            </w:r>
            <w:r>
              <w:rPr>
                <w:rFonts w:ascii="宋体" w:hAnsi="宋体" w:cs="宋体" w:eastAsia="宋体" w:hint="default"/>
                <w:sz w:val="21"/>
                <w:szCs w:val="21"/>
              </w:rPr>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2220</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0</w:t>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83"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0" w:footer="1243" w:top="1360" w:bottom="1440" w:left="168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320"/>
        <w:gridCol w:w="1332"/>
        <w:gridCol w:w="883"/>
        <w:gridCol w:w="1340"/>
        <w:gridCol w:w="1319"/>
        <w:gridCol w:w="1338"/>
        <w:gridCol w:w="884"/>
        <w:gridCol w:w="883"/>
      </w:tblGrid>
      <w:tr>
        <w:trPr>
          <w:trHeight w:val="346"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务平台技改</w:t>
            </w:r>
          </w:p>
        </w:tc>
        <w:tc>
          <w:tcPr>
            <w:tcW w:w="1332" w:type="dxa"/>
            <w:tcBorders>
              <w:top w:val="single" w:sz="6" w:space="0" w:color="101010"/>
              <w:left w:val="single" w:sz="6" w:space="0" w:color="101010"/>
              <w:bottom w:val="single" w:sz="6" w:space="0" w:color="101010"/>
              <w:right w:val="single" w:sz="6" w:space="0" w:color="101010"/>
            </w:tcBorders>
          </w:tcPr>
          <w:p>
            <w:pPr/>
          </w:p>
        </w:tc>
        <w:tc>
          <w:tcPr>
            <w:tcW w:w="883"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
        </w:tc>
        <w:tc>
          <w:tcPr>
            <w:tcW w:w="884" w:type="dxa"/>
            <w:tcBorders>
              <w:top w:val="single" w:sz="6" w:space="0" w:color="101010"/>
              <w:left w:val="single" w:sz="6" w:space="0" w:color="101010"/>
              <w:bottom w:val="single" w:sz="6" w:space="0" w:color="101010"/>
              <w:right w:val="single" w:sz="6" w:space="0" w:color="101010"/>
            </w:tcBorders>
          </w:tcPr>
          <w:p>
            <w:pP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950"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创新研究技</w:t>
            </w:r>
            <w:r>
              <w:rPr>
                <w:rFonts w:ascii="宋体" w:hAnsi="宋体" w:cs="宋体" w:eastAsia="宋体" w:hint="default"/>
                <w:sz w:val="21"/>
                <w:szCs w:val="21"/>
              </w:rPr>
            </w:r>
          </w:p>
          <w:p>
            <w:pPr>
              <w:pStyle w:val="TableParagraph"/>
              <w:spacing w:line="273" w:lineRule="auto" w:before="36"/>
              <w:ind w:left="100" w:right="86"/>
              <w:jc w:val="left"/>
              <w:rPr>
                <w:rFonts w:ascii="宋体" w:hAnsi="宋体" w:cs="宋体" w:eastAsia="宋体" w:hint="default"/>
                <w:sz w:val="21"/>
                <w:szCs w:val="21"/>
              </w:rPr>
            </w:pPr>
            <w:r>
              <w:rPr>
                <w:rFonts w:ascii="宋体" w:hAnsi="宋体" w:cs="宋体" w:eastAsia="宋体" w:hint="default"/>
                <w:spacing w:val="13"/>
                <w:sz w:val="21"/>
                <w:szCs w:val="21"/>
              </w:rPr>
              <w:t>术中心技改 </w:t>
            </w:r>
            <w:r>
              <w:rPr>
                <w:rFonts w:ascii="宋体" w:hAnsi="宋体" w:cs="宋体" w:eastAsia="宋体" w:hint="default"/>
                <w:sz w:val="21"/>
                <w:szCs w:val="21"/>
              </w:rPr>
              <w:t>项目</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2,540</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2,457.44</w:t>
            </w:r>
            <w:r>
              <w:rPr>
                <w:rFonts w:ascii="Times New Roman"/>
                <w:sz w:val="21"/>
              </w:rPr>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客户服务中</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心</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2,034.70</w:t>
            </w:r>
            <w:r>
              <w:rPr>
                <w:rFonts w:ascii="Times New Roman"/>
                <w:sz w:val="21"/>
              </w:rPr>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1306.75</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83"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3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32,689</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22,354.71</w:t>
            </w:r>
          </w:p>
        </w:tc>
        <w:tc>
          <w:tcPr>
            <w:tcW w:w="1319" w:type="dxa"/>
            <w:tcBorders>
              <w:top w:val="single" w:sz="6" w:space="0" w:color="101010"/>
              <w:left w:val="single" w:sz="6" w:space="0" w:color="101010"/>
              <w:bottom w:val="single" w:sz="6" w:space="0" w:color="101010"/>
              <w:right w:val="single" w:sz="6" w:space="0" w:color="101010"/>
            </w:tcBorders>
          </w:tcPr>
          <w:p>
            <w:pPr/>
          </w:p>
        </w:tc>
        <w:tc>
          <w:tcPr>
            <w:tcW w:w="13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13255.84</w:t>
            </w:r>
          </w:p>
        </w:tc>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8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777"/>
        <w:jc w:val="left"/>
      </w:pPr>
      <w:r>
        <w:rPr>
          <w:rFonts w:ascii="Times New Roman" w:hAnsi="Times New Roman" w:cs="Times New Roman" w:eastAsia="Times New Roman" w:hint="default"/>
        </w:rPr>
        <w:t>1)</w:t>
      </w:r>
      <w:r>
        <w:rPr/>
        <w:t>、大范围集中式证券交易系统技改</w:t>
      </w:r>
    </w:p>
    <w:p>
      <w:pPr>
        <w:pStyle w:val="BodyText"/>
        <w:spacing w:line="240" w:lineRule="auto" w:before="21"/>
        <w:ind w:left="328" w:right="777"/>
        <w:jc w:val="left"/>
      </w:pPr>
      <w:r>
        <w:rPr/>
        <w:t>项目拟投入</w:t>
      </w:r>
      <w:r>
        <w:rPr>
          <w:spacing w:val="-56"/>
        </w:rPr>
        <w:t> </w:t>
      </w:r>
      <w:r>
        <w:rPr>
          <w:rFonts w:ascii="Times New Roman" w:hAnsi="Times New Roman" w:cs="Times New Roman" w:eastAsia="Times New Roman" w:hint="default"/>
        </w:rPr>
        <w:t>4,007</w:t>
      </w:r>
      <w:r>
        <w:rPr>
          <w:rFonts w:ascii="Times New Roman" w:hAnsi="Times New Roman" w:cs="Times New Roman" w:eastAsia="Times New Roman" w:hint="default"/>
          <w:spacing w:val="-3"/>
        </w:rPr>
        <w:t> </w:t>
      </w:r>
      <w:r>
        <w:rPr/>
        <w:t>万元，实际投入</w:t>
      </w:r>
      <w:r>
        <w:rPr>
          <w:spacing w:val="-56"/>
        </w:rPr>
        <w:t> </w:t>
      </w:r>
      <w:r>
        <w:rPr>
          <w:rFonts w:ascii="Times New Roman" w:hAnsi="Times New Roman" w:cs="Times New Roman" w:eastAsia="Times New Roman" w:hint="default"/>
        </w:rPr>
        <w:t>3,471.16</w:t>
      </w:r>
      <w:r>
        <w:rPr>
          <w:rFonts w:ascii="Times New Roman" w:hAnsi="Times New Roman" w:cs="Times New Roman" w:eastAsia="Times New Roman" w:hint="default"/>
          <w:spacing w:val="-2"/>
        </w:rPr>
        <w:t> </w:t>
      </w:r>
      <w:r>
        <w:rPr/>
        <w:t>万元</w:t>
      </w:r>
    </w:p>
    <w:p>
      <w:pPr>
        <w:pStyle w:val="BodyText"/>
        <w:spacing w:line="240" w:lineRule="auto" w:before="21"/>
        <w:ind w:right="777"/>
        <w:jc w:val="left"/>
      </w:pPr>
      <w:r>
        <w:rPr>
          <w:rFonts w:ascii="Times New Roman" w:hAnsi="Times New Roman" w:cs="Times New Roman" w:eastAsia="Times New Roman" w:hint="default"/>
        </w:rPr>
        <w:t>2)</w:t>
      </w:r>
      <w:r>
        <w:rPr/>
        <w:t>、证券客户管理系统技改</w:t>
      </w:r>
    </w:p>
    <w:p>
      <w:pPr>
        <w:pStyle w:val="BodyText"/>
        <w:spacing w:line="240" w:lineRule="auto" w:before="21"/>
        <w:ind w:left="328" w:right="777"/>
        <w:jc w:val="left"/>
      </w:pPr>
      <w:r>
        <w:rPr/>
        <w:t>项目拟投入</w:t>
      </w:r>
      <w:r>
        <w:rPr>
          <w:spacing w:val="-58"/>
        </w:rPr>
        <w:t> </w:t>
      </w:r>
      <w:r>
        <w:rPr>
          <w:rFonts w:ascii="Times New Roman" w:hAnsi="Times New Roman" w:cs="Times New Roman" w:eastAsia="Times New Roman" w:hint="default"/>
        </w:rPr>
        <w:t>3,780</w:t>
      </w:r>
      <w:r>
        <w:rPr>
          <w:rFonts w:ascii="Times New Roman" w:hAnsi="Times New Roman" w:cs="Times New Roman" w:eastAsia="Times New Roman" w:hint="default"/>
          <w:spacing w:val="-5"/>
        </w:rPr>
        <w:t> </w:t>
      </w:r>
      <w:r>
        <w:rPr/>
        <w:t>万元，实际投入</w:t>
      </w:r>
      <w:r>
        <w:rPr>
          <w:spacing w:val="-58"/>
        </w:rPr>
        <w:t> </w:t>
      </w:r>
      <w:r>
        <w:rPr>
          <w:rFonts w:ascii="Times New Roman" w:hAnsi="Times New Roman" w:cs="Times New Roman" w:eastAsia="Times New Roman" w:hint="default"/>
        </w:rPr>
        <w:t>3,285.11</w:t>
      </w:r>
      <w:r>
        <w:rPr>
          <w:rFonts w:ascii="Times New Roman" w:hAnsi="Times New Roman" w:cs="Times New Roman" w:eastAsia="Times New Roman" w:hint="default"/>
          <w:spacing w:val="-4"/>
        </w:rPr>
        <w:t> </w:t>
      </w:r>
      <w:r>
        <w:rPr/>
        <w:t>万元</w:t>
      </w:r>
    </w:p>
    <w:p>
      <w:pPr>
        <w:pStyle w:val="BodyText"/>
        <w:spacing w:line="240" w:lineRule="auto" w:before="21"/>
        <w:ind w:right="777"/>
        <w:jc w:val="left"/>
      </w:pPr>
      <w:r>
        <w:rPr>
          <w:rFonts w:ascii="Times New Roman" w:hAnsi="Times New Roman" w:cs="Times New Roman" w:eastAsia="Times New Roman" w:hint="default"/>
        </w:rPr>
        <w:t>3)</w:t>
      </w:r>
      <w:r>
        <w:rPr/>
        <w:t>、银行证券业务服务平台技改</w:t>
      </w:r>
    </w:p>
    <w:p>
      <w:pPr>
        <w:pStyle w:val="BodyText"/>
        <w:spacing w:line="240" w:lineRule="auto" w:before="21"/>
        <w:ind w:left="329" w:right="777"/>
        <w:jc w:val="left"/>
      </w:pPr>
      <w:r>
        <w:rPr/>
        <w:t>项目拟投入</w:t>
      </w:r>
      <w:r>
        <w:rPr>
          <w:spacing w:val="-56"/>
        </w:rPr>
        <w:t> </w:t>
      </w:r>
      <w:r>
        <w:rPr>
          <w:rFonts w:ascii="Times New Roman" w:hAnsi="Times New Roman" w:cs="Times New Roman" w:eastAsia="Times New Roman" w:hint="default"/>
        </w:rPr>
        <w:t>3,595</w:t>
      </w:r>
      <w:r>
        <w:rPr>
          <w:rFonts w:ascii="Times New Roman" w:hAnsi="Times New Roman" w:cs="Times New Roman" w:eastAsia="Times New Roman" w:hint="default"/>
          <w:spacing w:val="-3"/>
        </w:rPr>
        <w:t> </w:t>
      </w:r>
      <w:r>
        <w:rPr/>
        <w:t>万元，实际投入</w:t>
      </w:r>
      <w:r>
        <w:rPr>
          <w:spacing w:val="-56"/>
        </w:rPr>
        <w:t> </w:t>
      </w:r>
      <w:r>
        <w:rPr>
          <w:rFonts w:ascii="Times New Roman" w:hAnsi="Times New Roman" w:cs="Times New Roman" w:eastAsia="Times New Roman" w:hint="default"/>
        </w:rPr>
        <w:t>3,352.40</w:t>
      </w:r>
      <w:r>
        <w:rPr>
          <w:rFonts w:ascii="Times New Roman" w:hAnsi="Times New Roman" w:cs="Times New Roman" w:eastAsia="Times New Roman" w:hint="default"/>
          <w:spacing w:val="-2"/>
        </w:rPr>
        <w:t> </w:t>
      </w:r>
      <w:r>
        <w:rPr/>
        <w:t>万元</w:t>
      </w:r>
    </w:p>
    <w:p>
      <w:pPr>
        <w:pStyle w:val="BodyText"/>
        <w:spacing w:line="240" w:lineRule="auto" w:before="21"/>
        <w:ind w:right="777"/>
        <w:jc w:val="left"/>
      </w:pPr>
      <w:r>
        <w:rPr>
          <w:rFonts w:ascii="Times New Roman" w:hAnsi="Times New Roman" w:cs="Times New Roman" w:eastAsia="Times New Roman" w:hint="default"/>
        </w:rPr>
        <w:t>4)</w:t>
      </w:r>
      <w:r>
        <w:rPr/>
        <w:t>、银行电子服务系统技改</w:t>
      </w:r>
    </w:p>
    <w:p>
      <w:pPr>
        <w:pStyle w:val="BodyText"/>
        <w:spacing w:line="240" w:lineRule="auto" w:before="21"/>
        <w:ind w:left="329" w:right="777"/>
        <w:jc w:val="left"/>
      </w:pPr>
      <w:r>
        <w:rPr/>
        <w:t>项目拟投入</w:t>
      </w:r>
      <w:r>
        <w:rPr>
          <w:spacing w:val="-56"/>
        </w:rPr>
        <w:t> </w:t>
      </w:r>
      <w:r>
        <w:rPr>
          <w:rFonts w:ascii="Times New Roman" w:hAnsi="Times New Roman" w:cs="Times New Roman" w:eastAsia="Times New Roman" w:hint="default"/>
        </w:rPr>
        <w:t>3,439</w:t>
      </w:r>
      <w:r>
        <w:rPr>
          <w:rFonts w:ascii="Times New Roman" w:hAnsi="Times New Roman" w:cs="Times New Roman" w:eastAsia="Times New Roman" w:hint="default"/>
          <w:spacing w:val="-3"/>
        </w:rPr>
        <w:t> </w:t>
      </w:r>
      <w:r>
        <w:rPr/>
        <w:t>万元，实际投入</w:t>
      </w:r>
      <w:r>
        <w:rPr>
          <w:spacing w:val="-56"/>
        </w:rPr>
        <w:t> </w:t>
      </w:r>
      <w:r>
        <w:rPr>
          <w:rFonts w:ascii="Times New Roman" w:hAnsi="Times New Roman" w:cs="Times New Roman" w:eastAsia="Times New Roman" w:hint="default"/>
        </w:rPr>
        <w:t>2,763.31</w:t>
      </w:r>
      <w:r>
        <w:rPr>
          <w:rFonts w:ascii="Times New Roman" w:hAnsi="Times New Roman" w:cs="Times New Roman" w:eastAsia="Times New Roman" w:hint="default"/>
          <w:spacing w:val="-2"/>
        </w:rPr>
        <w:t> </w:t>
      </w:r>
      <w:r>
        <w:rPr/>
        <w:t>万元</w:t>
      </w:r>
    </w:p>
    <w:p>
      <w:pPr>
        <w:pStyle w:val="BodyText"/>
        <w:spacing w:line="240" w:lineRule="auto" w:before="21"/>
        <w:ind w:right="777"/>
        <w:jc w:val="left"/>
      </w:pPr>
      <w:r>
        <w:rPr>
          <w:rFonts w:ascii="Times New Roman" w:hAnsi="Times New Roman" w:cs="Times New Roman" w:eastAsia="Times New Roman" w:hint="default"/>
        </w:rPr>
        <w:t>5)</w:t>
      </w:r>
      <w:r>
        <w:rPr/>
        <w:t>、基金管理与服务综合平台技改</w:t>
      </w:r>
    </w:p>
    <w:p>
      <w:pPr>
        <w:pStyle w:val="BodyText"/>
        <w:spacing w:line="240" w:lineRule="auto" w:before="21"/>
        <w:ind w:left="329" w:right="777"/>
        <w:jc w:val="left"/>
      </w:pPr>
      <w:r>
        <w:rPr/>
        <w:t>项目拟投入</w:t>
      </w:r>
      <w:r>
        <w:rPr>
          <w:spacing w:val="-56"/>
        </w:rPr>
        <w:t> </w:t>
      </w:r>
      <w:r>
        <w:rPr>
          <w:rFonts w:ascii="Times New Roman" w:hAnsi="Times New Roman" w:cs="Times New Roman" w:eastAsia="Times New Roman" w:hint="default"/>
        </w:rPr>
        <w:t>3,591</w:t>
      </w:r>
      <w:r>
        <w:rPr>
          <w:rFonts w:ascii="Times New Roman" w:hAnsi="Times New Roman" w:cs="Times New Roman" w:eastAsia="Times New Roman" w:hint="default"/>
          <w:spacing w:val="-3"/>
        </w:rPr>
        <w:t> </w:t>
      </w:r>
      <w:r>
        <w:rPr/>
        <w:t>万元，实际投入</w:t>
      </w:r>
      <w:r>
        <w:rPr>
          <w:spacing w:val="-56"/>
        </w:rPr>
        <w:t> </w:t>
      </w:r>
      <w:r>
        <w:rPr>
          <w:rFonts w:ascii="Times New Roman" w:hAnsi="Times New Roman" w:cs="Times New Roman" w:eastAsia="Times New Roman" w:hint="default"/>
        </w:rPr>
        <w:t>3,588.79</w:t>
      </w:r>
      <w:r>
        <w:rPr>
          <w:rFonts w:ascii="Times New Roman" w:hAnsi="Times New Roman" w:cs="Times New Roman" w:eastAsia="Times New Roman" w:hint="default"/>
          <w:spacing w:val="-2"/>
        </w:rPr>
        <w:t> </w:t>
      </w:r>
      <w:r>
        <w:rPr/>
        <w:t>万元</w:t>
      </w:r>
    </w:p>
    <w:p>
      <w:pPr>
        <w:pStyle w:val="BodyText"/>
        <w:spacing w:line="240" w:lineRule="auto" w:before="21"/>
        <w:ind w:right="777"/>
        <w:jc w:val="left"/>
      </w:pPr>
      <w:r>
        <w:rPr>
          <w:rFonts w:ascii="Times New Roman" w:hAnsi="Times New Roman" w:cs="Times New Roman" w:eastAsia="Times New Roman" w:hint="default"/>
        </w:rPr>
        <w:t>6)</w:t>
      </w:r>
      <w:r>
        <w:rPr/>
        <w:t>、呼叫中心系统技改</w:t>
      </w:r>
    </w:p>
    <w:p>
      <w:pPr>
        <w:pStyle w:val="BodyText"/>
        <w:spacing w:line="240" w:lineRule="auto" w:before="21"/>
        <w:ind w:left="329" w:right="777"/>
        <w:jc w:val="left"/>
      </w:pPr>
      <w:r>
        <w:rPr/>
        <w:t>项目拟投入</w:t>
      </w:r>
      <w:r>
        <w:rPr>
          <w:spacing w:val="-58"/>
        </w:rPr>
        <w:t> </w:t>
      </w:r>
      <w:r>
        <w:rPr>
          <w:rFonts w:ascii="Times New Roman" w:hAnsi="Times New Roman" w:cs="Times New Roman" w:eastAsia="Times New Roman" w:hint="default"/>
        </w:rPr>
        <w:t>3,517</w:t>
      </w:r>
      <w:r>
        <w:rPr>
          <w:rFonts w:ascii="Times New Roman" w:hAnsi="Times New Roman" w:cs="Times New Roman" w:eastAsia="Times New Roman" w:hint="default"/>
          <w:spacing w:val="-5"/>
        </w:rPr>
        <w:t> </w:t>
      </w:r>
      <w:r>
        <w:rPr/>
        <w:t>万元，实际投入</w:t>
      </w:r>
      <w:r>
        <w:rPr>
          <w:spacing w:val="-58"/>
        </w:rPr>
        <w:t> </w:t>
      </w:r>
      <w:r>
        <w:rPr>
          <w:rFonts w:ascii="Times New Roman" w:hAnsi="Times New Roman" w:cs="Times New Roman" w:eastAsia="Times New Roman" w:hint="default"/>
        </w:rPr>
        <w:t>3,469.11</w:t>
      </w:r>
      <w:r>
        <w:rPr>
          <w:rFonts w:ascii="Times New Roman" w:hAnsi="Times New Roman" w:cs="Times New Roman" w:eastAsia="Times New Roman" w:hint="default"/>
          <w:spacing w:val="-4"/>
        </w:rPr>
        <w:t> </w:t>
      </w:r>
      <w:r>
        <w:rPr/>
        <w:t>万元</w:t>
      </w:r>
    </w:p>
    <w:p>
      <w:pPr>
        <w:pStyle w:val="BodyText"/>
        <w:spacing w:line="240" w:lineRule="auto" w:before="21"/>
        <w:ind w:left="118" w:right="777"/>
        <w:jc w:val="left"/>
      </w:pPr>
      <w:r>
        <w:rPr>
          <w:rFonts w:ascii="Times New Roman" w:hAnsi="Times New Roman" w:cs="Times New Roman" w:eastAsia="Times New Roman" w:hint="default"/>
        </w:rPr>
        <w:t>7)</w:t>
      </w:r>
      <w:r>
        <w:rPr/>
        <w:t>、银行保险业务平台技改</w:t>
      </w:r>
    </w:p>
    <w:p>
      <w:pPr>
        <w:pStyle w:val="BodyText"/>
        <w:spacing w:line="240" w:lineRule="auto" w:before="21"/>
        <w:ind w:left="329" w:right="777"/>
        <w:jc w:val="left"/>
      </w:pPr>
      <w:r>
        <w:rPr/>
        <w:t>项目拟投入</w:t>
      </w:r>
      <w:r>
        <w:rPr>
          <w:spacing w:val="-55"/>
        </w:rPr>
        <w:t> </w:t>
      </w:r>
      <w:r>
        <w:rPr>
          <w:rFonts w:ascii="Times New Roman" w:hAnsi="Times New Roman" w:cs="Times New Roman" w:eastAsia="Times New Roman" w:hint="default"/>
        </w:rPr>
        <w:t>2220</w:t>
      </w:r>
      <w:r>
        <w:rPr>
          <w:rFonts w:ascii="Times New Roman" w:hAnsi="Times New Roman" w:cs="Times New Roman" w:eastAsia="Times New Roman" w:hint="default"/>
          <w:spacing w:val="-2"/>
        </w:rPr>
        <w:t> </w:t>
      </w:r>
      <w:r>
        <w:rPr/>
        <w:t>万元，实际投入</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万元，该项目的市场环境发生变化，暂停投入</w:t>
      </w:r>
      <w:r>
        <w:rPr>
          <w:spacing w:val="-4"/>
        </w:rPr>
        <w:t> </w:t>
      </w:r>
      <w:r>
        <w:rPr/>
        <w:t>。</w:t>
      </w:r>
    </w:p>
    <w:p>
      <w:pPr>
        <w:pStyle w:val="BodyText"/>
        <w:spacing w:line="240" w:lineRule="auto" w:before="21"/>
        <w:ind w:left="118" w:right="777"/>
        <w:jc w:val="left"/>
      </w:pPr>
      <w:r>
        <w:rPr>
          <w:rFonts w:ascii="Times New Roman" w:hAnsi="Times New Roman" w:cs="Times New Roman" w:eastAsia="Times New Roman" w:hint="default"/>
        </w:rPr>
        <w:t>8)</w:t>
      </w:r>
      <w:r>
        <w:rPr/>
        <w:t>、创新研究技术中心技项目改</w:t>
      </w:r>
    </w:p>
    <w:p>
      <w:pPr>
        <w:pStyle w:val="BodyText"/>
        <w:spacing w:line="240" w:lineRule="auto" w:before="21"/>
        <w:ind w:left="329" w:right="777"/>
        <w:jc w:val="left"/>
      </w:pPr>
      <w:r>
        <w:rPr/>
        <w:t>项目拟投入</w:t>
      </w:r>
      <w:r>
        <w:rPr>
          <w:spacing w:val="-56"/>
        </w:rPr>
        <w:t> </w:t>
      </w:r>
      <w:r>
        <w:rPr>
          <w:rFonts w:ascii="Times New Roman" w:hAnsi="Times New Roman" w:cs="Times New Roman" w:eastAsia="Times New Roman" w:hint="default"/>
        </w:rPr>
        <w:t>2,540</w:t>
      </w:r>
      <w:r>
        <w:rPr>
          <w:rFonts w:ascii="Times New Roman" w:hAnsi="Times New Roman" w:cs="Times New Roman" w:eastAsia="Times New Roman" w:hint="default"/>
          <w:spacing w:val="-3"/>
        </w:rPr>
        <w:t> </w:t>
      </w:r>
      <w:r>
        <w:rPr/>
        <w:t>万元，实际投入</w:t>
      </w:r>
      <w:r>
        <w:rPr>
          <w:spacing w:val="-56"/>
        </w:rPr>
        <w:t> </w:t>
      </w:r>
      <w:r>
        <w:rPr>
          <w:rFonts w:ascii="Times New Roman" w:hAnsi="Times New Roman" w:cs="Times New Roman" w:eastAsia="Times New Roman" w:hint="default"/>
        </w:rPr>
        <w:t>2,457.44</w:t>
      </w:r>
      <w:r>
        <w:rPr>
          <w:rFonts w:ascii="Times New Roman" w:hAnsi="Times New Roman" w:cs="Times New Roman" w:eastAsia="Times New Roman" w:hint="default"/>
          <w:spacing w:val="-2"/>
        </w:rPr>
        <w:t> </w:t>
      </w:r>
      <w:r>
        <w:rPr/>
        <w:t>万元</w:t>
      </w:r>
    </w:p>
    <w:p>
      <w:pPr>
        <w:pStyle w:val="BodyText"/>
        <w:spacing w:line="240" w:lineRule="auto" w:before="21"/>
        <w:ind w:left="118" w:right="777"/>
        <w:jc w:val="left"/>
      </w:pPr>
      <w:r>
        <w:rPr>
          <w:rFonts w:ascii="Times New Roman" w:hAnsi="Times New Roman" w:cs="Times New Roman" w:eastAsia="Times New Roman" w:hint="default"/>
        </w:rPr>
        <w:t>9)</w:t>
      </w:r>
      <w:r>
        <w:rPr/>
        <w:t>、客户服务中心</w:t>
      </w:r>
    </w:p>
    <w:p>
      <w:pPr>
        <w:pStyle w:val="BodyText"/>
        <w:spacing w:line="240" w:lineRule="auto" w:before="21"/>
        <w:ind w:left="329" w:right="777"/>
        <w:jc w:val="left"/>
      </w:pPr>
      <w:r>
        <w:rPr/>
        <w:t>项目拟投入</w:t>
      </w:r>
      <w:r>
        <w:rPr>
          <w:spacing w:val="-5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万元，实际投入</w:t>
      </w:r>
      <w:r>
        <w:rPr>
          <w:spacing w:val="-56"/>
        </w:rPr>
        <w:t> </w:t>
      </w:r>
      <w:r>
        <w:rPr>
          <w:rFonts w:ascii="Times New Roman" w:hAnsi="Times New Roman" w:cs="Times New Roman" w:eastAsia="Times New Roman" w:hint="default"/>
        </w:rPr>
        <w:t>2,034.70</w:t>
      </w:r>
      <w:r>
        <w:rPr>
          <w:rFonts w:ascii="Times New Roman" w:hAnsi="Times New Roman" w:cs="Times New Roman" w:eastAsia="Times New Roman" w:hint="default"/>
          <w:spacing w:val="-2"/>
        </w:rPr>
        <w:t> </w:t>
      </w:r>
      <w:r>
        <w:rPr/>
        <w:t>万元</w:t>
      </w:r>
    </w:p>
    <w:p>
      <w:pPr>
        <w:spacing w:line="240" w:lineRule="auto" w:before="6"/>
        <w:rPr>
          <w:rFonts w:ascii="宋体" w:hAnsi="宋体" w:cs="宋体" w:eastAsia="宋体" w:hint="default"/>
          <w:sz w:val="25"/>
          <w:szCs w:val="25"/>
        </w:rPr>
      </w:pPr>
    </w:p>
    <w:p>
      <w:pPr>
        <w:pStyle w:val="BodyText"/>
        <w:spacing w:line="256" w:lineRule="auto" w:before="0"/>
        <w:ind w:left="329" w:right="3157"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公司会计政策、会计估计变更或重大会计差错更正的原因及影响</w:t>
      </w:r>
      <w:r>
        <w:rPr>
          <w:w w:val="99"/>
        </w:rPr>
        <w:t> </w:t>
      </w:r>
      <w:r>
        <w:rPr/>
        <w:t>报告期内，公司无会计政策、会计估计变更或重大会计差错。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56" w:lineRule="auto" w:before="0"/>
        <w:ind w:right="655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董事会日常工作情况</w:t>
      </w:r>
      <w:r>
        <w:rPr>
          <w:w w:val="99"/>
        </w:rPr>
        <w:t> </w:t>
      </w:r>
      <w:r>
        <w:rPr>
          <w:rFonts w:ascii="Times New Roman" w:hAnsi="Times New Roman" w:cs="Times New Roman" w:eastAsia="Times New Roman" w:hint="default"/>
        </w:rPr>
        <w:t>1</w:t>
      </w:r>
      <w:r>
        <w:rPr/>
        <w:t>、董事会会议情况及决议内容</w:t>
      </w:r>
    </w:p>
    <w:p>
      <w:pPr>
        <w:pStyle w:val="BodyText"/>
        <w:spacing w:line="240" w:lineRule="auto" w:before="5"/>
        <w:ind w:right="777"/>
        <w:jc w:val="left"/>
      </w:pPr>
      <w:r>
        <w:rPr/>
        <w:t>（</w:t>
      </w:r>
      <w:r>
        <w:rPr>
          <w:rFonts w:ascii="Times New Roman" w:hAnsi="Times New Roman" w:cs="Times New Roman" w:eastAsia="Times New Roman" w:hint="default"/>
        </w:rPr>
        <w:t>1</w:t>
      </w:r>
      <w:r>
        <w:rPr>
          <w:spacing w:val="-105"/>
        </w:rPr>
        <w:t>）</w:t>
      </w:r>
      <w:r>
        <w:rPr/>
        <w:t>、公</w:t>
      </w:r>
      <w:r>
        <w:rPr>
          <w:spacing w:val="-2"/>
        </w:rPr>
        <w:t>司</w:t>
      </w:r>
      <w:r>
        <w:rPr/>
        <w:t>于</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日召</w:t>
      </w:r>
      <w:r>
        <w:rPr>
          <w:spacing w:val="-2"/>
        </w:rPr>
        <w:t>开</w:t>
      </w:r>
      <w:r>
        <w:rPr/>
        <w:t>二届二十五次董事会会议，决议公告刊登在</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p>
    <w:p>
      <w:pPr>
        <w:pStyle w:val="BodyText"/>
        <w:spacing w:line="240" w:lineRule="auto" w:before="21"/>
        <w:ind w:right="777"/>
        <w:jc w:val="left"/>
      </w:pPr>
      <w:r>
        <w:rPr>
          <w:rFonts w:ascii="Times New Roman" w:hAnsi="Times New Roman" w:cs="Times New Roman" w:eastAsia="Times New Roman" w:hint="default"/>
        </w:rPr>
        <w:t>1 </w:t>
      </w:r>
      <w:r>
        <w:rPr/>
        <w:t>日的《上</w:t>
      </w:r>
      <w:r>
        <w:rPr>
          <w:spacing w:val="-2"/>
        </w:rPr>
        <w:t>海</w:t>
      </w:r>
      <w:r>
        <w:rPr/>
        <w:t>证券报</w:t>
      </w:r>
      <w:r>
        <w:rPr>
          <w:spacing w:val="-105"/>
        </w:rPr>
        <w:t>》</w:t>
      </w:r>
      <w:r>
        <w:rPr/>
        <w:t>。</w:t>
      </w:r>
    </w:p>
    <w:p>
      <w:pPr>
        <w:pStyle w:val="BodyText"/>
        <w:spacing w:line="256" w:lineRule="auto" w:before="21"/>
        <w:ind w:right="852"/>
        <w:jc w:val="left"/>
      </w:pPr>
      <w:r>
        <w:rPr/>
        <w:t>（</w:t>
      </w:r>
      <w:r>
        <w:rPr>
          <w:rFonts w:ascii="Times New Roman" w:hAnsi="Times New Roman" w:cs="Times New Roman" w:eastAsia="Times New Roman" w:hint="default"/>
        </w:rPr>
        <w:t>2</w:t>
      </w:r>
      <w:r>
        <w:rPr>
          <w:spacing w:val="-105"/>
        </w:rPr>
        <w:t>）</w:t>
      </w:r>
      <w:r>
        <w:rPr>
          <w:spacing w:val="-30"/>
        </w:rPr>
        <w:t>、</w:t>
      </w:r>
      <w:r>
        <w:rPr/>
        <w:t>公</w:t>
      </w:r>
      <w:r>
        <w:rPr>
          <w:spacing w:val="-2"/>
        </w:rPr>
        <w:t>司</w:t>
      </w:r>
      <w:r>
        <w:rPr/>
        <w:t>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t>日召</w:t>
      </w:r>
      <w:r>
        <w:rPr>
          <w:spacing w:val="-2"/>
        </w:rPr>
        <w:t>开</w:t>
      </w:r>
      <w:r>
        <w:rPr/>
        <w:t>三届一次董事会会议</w:t>
      </w:r>
      <w:r>
        <w:rPr>
          <w:spacing w:val="-31"/>
        </w:rPr>
        <w:t>，</w:t>
      </w:r>
      <w:r>
        <w:rPr/>
        <w:t>决议公告刊登在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 的《上海证券报</w:t>
      </w:r>
      <w:r>
        <w:rPr>
          <w:spacing w:val="-105"/>
        </w:rPr>
        <w:t>》</w:t>
      </w:r>
      <w:r>
        <w:rPr/>
        <w:t>。</w:t>
      </w:r>
    </w:p>
    <w:p>
      <w:pPr>
        <w:pStyle w:val="BodyText"/>
        <w:spacing w:line="256" w:lineRule="auto" w:before="22"/>
        <w:ind w:right="852"/>
        <w:jc w:val="left"/>
      </w:pPr>
      <w:r>
        <w:rPr/>
        <w:t>（</w:t>
      </w:r>
      <w:r>
        <w:rPr>
          <w:rFonts w:ascii="Times New Roman" w:hAnsi="Times New Roman" w:cs="Times New Roman" w:eastAsia="Times New Roman" w:hint="default"/>
        </w:rPr>
        <w:t>3</w:t>
      </w:r>
      <w:r>
        <w:rPr>
          <w:spacing w:val="-105"/>
        </w:rPr>
        <w:t>）</w:t>
      </w:r>
      <w:r>
        <w:rPr>
          <w:spacing w:val="-30"/>
        </w:rPr>
        <w:t>、</w:t>
      </w:r>
      <w:r>
        <w:rPr/>
        <w:t>公</w:t>
      </w:r>
      <w:r>
        <w:rPr>
          <w:spacing w:val="-2"/>
        </w:rPr>
        <w:t>司</w:t>
      </w:r>
      <w:r>
        <w:rPr/>
        <w:t>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t>日召</w:t>
      </w:r>
      <w:r>
        <w:rPr>
          <w:spacing w:val="-2"/>
        </w:rPr>
        <w:t>开</w:t>
      </w:r>
      <w:r>
        <w:rPr/>
        <w:t>三届二次董事会会议</w:t>
      </w:r>
      <w:r>
        <w:rPr>
          <w:spacing w:val="-31"/>
        </w:rPr>
        <w:t>，</w:t>
      </w:r>
      <w:r>
        <w:rPr/>
        <w:t>决议公告刊登在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 的《上海证券报</w:t>
      </w:r>
      <w:r>
        <w:rPr>
          <w:spacing w:val="-105"/>
        </w:rPr>
        <w:t>》</w:t>
      </w:r>
      <w:r>
        <w:rPr/>
        <w:t>。</w:t>
      </w:r>
    </w:p>
    <w:p>
      <w:pPr>
        <w:pStyle w:val="BodyText"/>
        <w:spacing w:line="256" w:lineRule="auto" w:before="22"/>
        <w:ind w:right="852"/>
        <w:jc w:val="left"/>
      </w:pPr>
      <w:r>
        <w:rPr/>
        <w:t>（</w:t>
      </w:r>
      <w:r>
        <w:rPr>
          <w:rFonts w:ascii="Times New Roman" w:hAnsi="Times New Roman" w:cs="Times New Roman" w:eastAsia="Times New Roman" w:hint="default"/>
        </w:rPr>
        <w:t>4</w:t>
      </w:r>
      <w:r>
        <w:rPr>
          <w:spacing w:val="-105"/>
        </w:rPr>
        <w:t>）</w:t>
      </w:r>
      <w:r>
        <w:rPr>
          <w:spacing w:val="-30"/>
        </w:rPr>
        <w:t>、</w:t>
      </w:r>
      <w:r>
        <w:rPr/>
        <w:t>公</w:t>
      </w:r>
      <w:r>
        <w:rPr>
          <w:spacing w:val="-2"/>
        </w:rPr>
        <w:t>司</w:t>
      </w:r>
      <w:r>
        <w:rPr/>
        <w:t>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 </w:t>
      </w:r>
      <w:r>
        <w:rPr/>
        <w:t>日召</w:t>
      </w:r>
      <w:r>
        <w:rPr>
          <w:spacing w:val="-2"/>
        </w:rPr>
        <w:t>开</w:t>
      </w:r>
      <w:r>
        <w:rPr/>
        <w:t>三届三次董事会会议</w:t>
      </w:r>
      <w:r>
        <w:rPr>
          <w:spacing w:val="-31"/>
        </w:rPr>
        <w:t>，</w:t>
      </w:r>
      <w:r>
        <w:rPr/>
        <w:t>决议公告刊登在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 的《上海证券报</w:t>
      </w:r>
      <w:r>
        <w:rPr>
          <w:spacing w:val="-105"/>
        </w:rPr>
        <w:t>》</w:t>
      </w:r>
      <w:r>
        <w:rPr/>
        <w:t>。</w:t>
      </w:r>
    </w:p>
    <w:p>
      <w:pPr>
        <w:pStyle w:val="BodyText"/>
        <w:spacing w:line="256" w:lineRule="auto" w:before="22"/>
        <w:ind w:right="847" w:hanging="1"/>
        <w:jc w:val="left"/>
      </w:pPr>
      <w:r>
        <w:rPr/>
        <w:t>（</w:t>
      </w:r>
      <w:r>
        <w:rPr>
          <w:rFonts w:ascii="Times New Roman" w:hAnsi="Times New Roman" w:cs="Times New Roman" w:eastAsia="Times New Roman" w:hint="default"/>
        </w:rPr>
        <w:t>5</w:t>
      </w:r>
      <w:r>
        <w:rPr>
          <w:spacing w:val="-105"/>
        </w:rPr>
        <w:t>）</w:t>
      </w:r>
      <w:r>
        <w:rPr/>
        <w:t>、公</w:t>
      </w:r>
      <w:r>
        <w:rPr>
          <w:spacing w:val="-2"/>
        </w:rPr>
        <w:t>司</w:t>
      </w:r>
      <w:r>
        <w:rPr/>
        <w:t>于</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日召</w:t>
      </w:r>
      <w:r>
        <w:rPr>
          <w:spacing w:val="-2"/>
        </w:rPr>
        <w:t>开</w:t>
      </w:r>
      <w:r>
        <w:rPr/>
        <w:t>三届四次董事会会议，决议公告刊登在</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 的《上海证券报</w:t>
      </w:r>
      <w:r>
        <w:rPr>
          <w:spacing w:val="-105"/>
        </w:rPr>
        <w:t>》</w:t>
      </w:r>
      <w:r>
        <w:rPr/>
        <w:t>。</w:t>
      </w:r>
    </w:p>
    <w:p>
      <w:pPr>
        <w:spacing w:after="0" w:line="256" w:lineRule="auto"/>
        <w:jc w:val="left"/>
        <w:sectPr>
          <w:pgSz w:w="11910" w:h="16840"/>
          <w:pgMar w:header="0" w:footer="1243" w:top="1360" w:bottom="1440" w:left="1680" w:right="700"/>
        </w:sectPr>
      </w:pPr>
    </w:p>
    <w:p>
      <w:pPr>
        <w:pStyle w:val="BodyText"/>
        <w:spacing w:line="256" w:lineRule="auto" w:before="25"/>
        <w:ind w:right="212"/>
        <w:jc w:val="left"/>
      </w:pPr>
      <w:r>
        <w:rPr/>
        <w:t>（</w:t>
      </w:r>
      <w:r>
        <w:rPr>
          <w:rFonts w:ascii="Times New Roman" w:hAnsi="Times New Roman" w:cs="Times New Roman" w:eastAsia="Times New Roman" w:hint="default"/>
        </w:rPr>
        <w:t>6</w:t>
      </w:r>
      <w:r>
        <w:rPr>
          <w:spacing w:val="-105"/>
        </w:rPr>
        <w:t>）</w:t>
      </w:r>
      <w:r>
        <w:rPr>
          <w:spacing w:val="-30"/>
        </w:rPr>
        <w:t>、</w:t>
      </w:r>
      <w:r>
        <w:rPr/>
        <w:t>公</w:t>
      </w:r>
      <w:r>
        <w:rPr>
          <w:spacing w:val="-2"/>
        </w:rPr>
        <w:t>司</w:t>
      </w:r>
      <w:r>
        <w:rPr/>
        <w:t>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t>日召</w:t>
      </w:r>
      <w:r>
        <w:rPr>
          <w:spacing w:val="-2"/>
        </w:rPr>
        <w:t>开</w:t>
      </w:r>
      <w:r>
        <w:rPr/>
        <w:t>三届五次董事会会议</w:t>
      </w:r>
      <w:r>
        <w:rPr>
          <w:spacing w:val="-31"/>
        </w:rPr>
        <w:t>，</w:t>
      </w:r>
      <w:r>
        <w:rPr/>
        <w:t>决议公告刊登在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 的《上海证券报</w:t>
      </w:r>
      <w:r>
        <w:rPr>
          <w:spacing w:val="-105"/>
        </w:rPr>
        <w:t>》</w:t>
      </w:r>
      <w:r>
        <w:rPr/>
        <w:t>。</w:t>
      </w:r>
    </w:p>
    <w:p>
      <w:pPr>
        <w:pStyle w:val="BodyText"/>
        <w:spacing w:line="256" w:lineRule="auto" w:before="22"/>
        <w:ind w:right="212"/>
        <w:jc w:val="left"/>
      </w:pPr>
      <w:r>
        <w:rPr/>
        <w:t>（</w:t>
      </w:r>
      <w:r>
        <w:rPr>
          <w:rFonts w:ascii="Times New Roman" w:hAnsi="Times New Roman" w:cs="Times New Roman" w:eastAsia="Times New Roman" w:hint="default"/>
        </w:rPr>
        <w:t>7</w:t>
      </w:r>
      <w:r>
        <w:rPr>
          <w:spacing w:val="-105"/>
        </w:rPr>
        <w:t>）</w:t>
      </w:r>
      <w:r>
        <w:rPr>
          <w:spacing w:val="-30"/>
        </w:rPr>
        <w:t>、</w:t>
      </w:r>
      <w:r>
        <w:rPr/>
        <w:t>公</w:t>
      </w:r>
      <w:r>
        <w:rPr>
          <w:spacing w:val="-2"/>
        </w:rPr>
        <w:t>司</w:t>
      </w:r>
      <w:r>
        <w:rPr/>
        <w:t>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9 </w:t>
      </w:r>
      <w:r>
        <w:rPr/>
        <w:t>日召</w:t>
      </w:r>
      <w:r>
        <w:rPr>
          <w:spacing w:val="-2"/>
        </w:rPr>
        <w:t>开</w:t>
      </w:r>
      <w:r>
        <w:rPr/>
        <w:t>三届六次董事会会议</w:t>
      </w:r>
      <w:r>
        <w:rPr>
          <w:spacing w:val="-31"/>
        </w:rPr>
        <w:t>，</w:t>
      </w:r>
      <w:r>
        <w:rPr/>
        <w:t>决议公告刊登在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 的《上海证券报</w:t>
      </w:r>
      <w:r>
        <w:rPr>
          <w:spacing w:val="-105"/>
        </w:rPr>
        <w:t>》</w:t>
      </w:r>
      <w:r>
        <w:rPr/>
        <w:t>。</w:t>
      </w:r>
    </w:p>
    <w:p>
      <w:pPr>
        <w:pStyle w:val="BodyText"/>
        <w:spacing w:line="256" w:lineRule="auto" w:before="22"/>
        <w:ind w:right="212"/>
        <w:jc w:val="left"/>
      </w:pPr>
      <w:r>
        <w:rPr/>
        <w:t>（</w:t>
      </w:r>
      <w:r>
        <w:rPr>
          <w:rFonts w:ascii="Times New Roman" w:hAnsi="Times New Roman" w:cs="Times New Roman" w:eastAsia="Times New Roman" w:hint="default"/>
        </w:rPr>
        <w:t>8</w:t>
      </w:r>
      <w:r>
        <w:rPr>
          <w:spacing w:val="-105"/>
        </w:rPr>
        <w:t>）</w:t>
      </w:r>
      <w:r>
        <w:rPr>
          <w:spacing w:val="-30"/>
        </w:rPr>
        <w:t>、</w:t>
      </w:r>
      <w:r>
        <w:rPr/>
        <w:t>公</w:t>
      </w:r>
      <w:r>
        <w:rPr>
          <w:spacing w:val="-2"/>
        </w:rPr>
        <w:t>司</w:t>
      </w:r>
      <w:r>
        <w:rPr/>
        <w:t>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t>日召</w:t>
      </w:r>
      <w:r>
        <w:rPr>
          <w:spacing w:val="-2"/>
        </w:rPr>
        <w:t>开</w:t>
      </w:r>
      <w:r>
        <w:rPr/>
        <w:t>三届七次董事会会议</w:t>
      </w:r>
      <w:r>
        <w:rPr>
          <w:spacing w:val="-31"/>
        </w:rPr>
        <w:t>，</w:t>
      </w:r>
      <w:r>
        <w:rPr/>
        <w:t>决议公告刊登在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 的《上海证券报</w:t>
      </w:r>
      <w:r>
        <w:rPr>
          <w:spacing w:val="-105"/>
        </w:rPr>
        <w:t>》</w:t>
      </w:r>
      <w:r>
        <w:rPr/>
        <w:t>。</w:t>
      </w:r>
    </w:p>
    <w:p>
      <w:pPr>
        <w:pStyle w:val="BodyText"/>
        <w:spacing w:line="240" w:lineRule="auto" w:before="22"/>
        <w:ind w:right="95"/>
        <w:jc w:val="left"/>
        <w:rPr>
          <w:rFonts w:ascii="Times New Roman" w:hAnsi="Times New Roman" w:cs="Times New Roman" w:eastAsia="Times New Roman" w:hint="default"/>
        </w:rPr>
      </w:pPr>
      <w:r>
        <w:rPr/>
        <w:t>（</w:t>
      </w:r>
      <w:r>
        <w:rPr>
          <w:rFonts w:ascii="Times New Roman" w:hAnsi="Times New Roman" w:cs="Times New Roman" w:eastAsia="Times New Roman" w:hint="default"/>
        </w:rPr>
        <w:t>9</w:t>
      </w:r>
      <w:r>
        <w:rPr>
          <w:spacing w:val="-105"/>
        </w:rPr>
        <w:t>）</w:t>
      </w:r>
      <w:r>
        <w:rPr>
          <w:spacing w:val="-4"/>
        </w:rPr>
        <w:t>、</w:t>
      </w:r>
      <w:r>
        <w:rPr>
          <w:spacing w:val="-1"/>
        </w:rPr>
        <w:t>公</w:t>
      </w:r>
      <w:r>
        <w:rPr>
          <w:spacing w:val="-2"/>
        </w:rPr>
        <w:t>司</w:t>
      </w:r>
      <w:r>
        <w:rPr/>
        <w:t>于</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54"/>
        </w:rPr>
        <w:t> </w:t>
      </w:r>
      <w:r>
        <w:rPr>
          <w:rFonts w:ascii="Times New Roman" w:hAnsi="Times New Roman" w:cs="Times New Roman" w:eastAsia="Times New Roman" w:hint="default"/>
        </w:rPr>
        <w:t>26 </w:t>
      </w:r>
      <w:r>
        <w:rPr/>
        <w:t>日</w:t>
      </w:r>
      <w:r>
        <w:rPr>
          <w:spacing w:val="-2"/>
        </w:rPr>
        <w:t>召</w:t>
      </w:r>
      <w:r>
        <w:rPr/>
        <w:t>开三届八次董事会会议</w:t>
      </w:r>
      <w:r>
        <w:rPr>
          <w:spacing w:val="-4"/>
        </w:rPr>
        <w:t>，</w:t>
      </w:r>
      <w:r>
        <w:rPr/>
        <w:t>决议公告刊登在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53"/>
        </w:rPr>
        <w:t> </w:t>
      </w:r>
      <w:r>
        <w:rPr>
          <w:rFonts w:ascii="Times New Roman" w:hAnsi="Times New Roman" w:cs="Times New Roman" w:eastAsia="Times New Roman" w:hint="default"/>
          <w:spacing w:val="-1"/>
        </w:rPr>
        <w:t>27</w:t>
      </w:r>
      <w:r>
        <w:rPr>
          <w:rFonts w:ascii="Times New Roman" w:hAnsi="Times New Roman" w:cs="Times New Roman" w:eastAsia="Times New Roman" w:hint="default"/>
        </w:rPr>
      </w:r>
    </w:p>
    <w:p>
      <w:pPr>
        <w:pStyle w:val="BodyText"/>
        <w:spacing w:line="240" w:lineRule="auto" w:before="21"/>
        <w:ind w:right="95"/>
        <w:jc w:val="left"/>
      </w:pPr>
      <w:r>
        <w:rPr/>
        <w:t>日的《上海证券报</w:t>
      </w:r>
      <w:r>
        <w:rPr>
          <w:spacing w:val="-105"/>
        </w:rPr>
        <w:t>》</w:t>
      </w:r>
      <w:r>
        <w:rPr/>
        <w:t>。</w:t>
      </w:r>
    </w:p>
    <w:p>
      <w:pPr>
        <w:pStyle w:val="BodyText"/>
        <w:spacing w:line="240" w:lineRule="auto" w:before="37"/>
        <w:ind w:right="95"/>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05"/>
        </w:rPr>
        <w:t>）</w:t>
      </w:r>
      <w:r>
        <w:rPr/>
        <w:t>、公</w:t>
      </w:r>
      <w:r>
        <w:rPr>
          <w:spacing w:val="-2"/>
        </w:rPr>
        <w:t>司</w:t>
      </w:r>
      <w:r>
        <w:rPr/>
        <w:t>于</w:t>
      </w:r>
      <w:r>
        <w:rPr>
          <w:spacing w:val="-3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28</w:t>
      </w:r>
      <w:r>
        <w:rPr>
          <w:rFonts w:ascii="Times New Roman" w:hAnsi="Times New Roman" w:cs="Times New Roman" w:eastAsia="Times New Roman" w:hint="default"/>
          <w:spacing w:val="15"/>
        </w:rPr>
        <w:t> </w:t>
      </w:r>
      <w:r>
        <w:rPr/>
        <w:t>日</w:t>
      </w:r>
      <w:r>
        <w:rPr>
          <w:spacing w:val="-2"/>
        </w:rPr>
        <w:t>召</w:t>
      </w:r>
      <w:r>
        <w:rPr/>
        <w:t>开三届九次董事会会议，决议公告刊登在</w:t>
      </w:r>
      <w:r>
        <w:rPr>
          <w:spacing w:val="-3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p>
    <w:p>
      <w:pPr>
        <w:pStyle w:val="BodyText"/>
        <w:spacing w:line="240" w:lineRule="auto" w:before="21"/>
        <w:ind w:right="95"/>
        <w:jc w:val="left"/>
      </w:pPr>
      <w:r>
        <w:rPr>
          <w:rFonts w:ascii="Times New Roman" w:hAnsi="Times New Roman" w:cs="Times New Roman" w:eastAsia="Times New Roman" w:hint="default"/>
        </w:rPr>
        <w:t>29 </w:t>
      </w:r>
      <w:r>
        <w:rPr/>
        <w:t>日的《</w:t>
      </w:r>
      <w:r>
        <w:rPr>
          <w:spacing w:val="-2"/>
        </w:rPr>
        <w:t>上</w:t>
      </w:r>
      <w:r>
        <w:rPr/>
        <w:t>海证券报</w:t>
      </w:r>
      <w:r>
        <w:rPr>
          <w:spacing w:val="-105"/>
        </w:rPr>
        <w:t>》</w:t>
      </w:r>
      <w:r>
        <w:rPr/>
        <w:t>。</w:t>
      </w:r>
    </w:p>
    <w:p>
      <w:pPr>
        <w:spacing w:line="240" w:lineRule="auto" w:before="6"/>
        <w:rPr>
          <w:rFonts w:ascii="宋体" w:hAnsi="宋体" w:cs="宋体" w:eastAsia="宋体" w:hint="default"/>
          <w:sz w:val="25"/>
          <w:szCs w:val="25"/>
        </w:rPr>
      </w:pPr>
    </w:p>
    <w:p>
      <w:pPr>
        <w:pStyle w:val="BodyText"/>
        <w:spacing w:line="256" w:lineRule="auto" w:before="0"/>
        <w:ind w:right="4127"/>
        <w:jc w:val="left"/>
      </w:pPr>
      <w:r>
        <w:rPr>
          <w:rFonts w:ascii="Times New Roman" w:hAnsi="Times New Roman" w:cs="Times New Roman" w:eastAsia="Times New Roman" w:hint="default"/>
        </w:rPr>
        <w:t>2</w:t>
      </w:r>
      <w:r>
        <w:rPr/>
        <w:t>、董事会对股东大会决议的执行情况 报告期内董事会有效执行了股东大会的各项决议。</w:t>
      </w:r>
    </w:p>
    <w:p>
      <w:pPr>
        <w:spacing w:line="240" w:lineRule="auto" w:before="7"/>
        <w:rPr>
          <w:rFonts w:ascii="宋体" w:hAnsi="宋体" w:cs="宋体" w:eastAsia="宋体" w:hint="default"/>
          <w:sz w:val="25"/>
          <w:szCs w:val="25"/>
        </w:rPr>
      </w:pPr>
    </w:p>
    <w:p>
      <w:pPr>
        <w:pStyle w:val="BodyText"/>
        <w:spacing w:line="256" w:lineRule="auto" w:before="0"/>
        <w:ind w:left="223" w:right="203" w:hanging="107"/>
        <w:jc w:val="left"/>
      </w:pPr>
      <w:r>
        <w:rPr>
          <w:rFonts w:ascii="Times New Roman" w:hAnsi="Times New Roman" w:cs="Times New Roman" w:eastAsia="Times New Roman" w:hint="default"/>
        </w:rPr>
        <w:t>3</w:t>
      </w:r>
      <w:r>
        <w:rPr/>
        <w:t>、董事会下设的审计委员会的履职情况汇总报告 报告期间，公司董事会审计委员会审核了公司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 </w:t>
      </w:r>
      <w:r>
        <w:rPr/>
        <w:t>季度报告及摘要、</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年中期报告</w:t>
      </w:r>
    </w:p>
    <w:p>
      <w:pPr>
        <w:pStyle w:val="BodyText"/>
        <w:spacing w:line="264" w:lineRule="auto" w:before="5"/>
        <w:ind w:right="213"/>
        <w:jc w:val="both"/>
      </w:pPr>
      <w:r>
        <w:rPr/>
        <w:t>及摘要和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年第三季度报告及摘要，认为该报告内容和格式符合中国证监会和上海证券交 </w:t>
      </w:r>
      <w:r>
        <w:rPr>
          <w:spacing w:val="-2"/>
        </w:rPr>
        <w:t>易所的各项规定，所包含的信息从各个方面真实地反映出公司的财务状况及经营成果和现金流</w:t>
      </w:r>
      <w:r>
        <w:rPr>
          <w:spacing w:val="-82"/>
        </w:rPr>
        <w:t> </w:t>
      </w:r>
      <w:r>
        <w:rPr>
          <w:spacing w:val="-82"/>
        </w:rPr>
      </w:r>
      <w:r>
        <w:rPr/>
        <w:t>量，并提请董事会对相关报告进行审议。</w:t>
      </w:r>
    </w:p>
    <w:p>
      <w:pPr>
        <w:pStyle w:val="BodyText"/>
        <w:spacing w:line="256" w:lineRule="auto" w:before="16"/>
        <w:ind w:left="328" w:right="95"/>
        <w:jc w:val="left"/>
      </w:pPr>
      <w:r>
        <w:rPr/>
        <w:t>审计委员会</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年年度报告编制工作中的履职情况： </w:t>
      </w:r>
      <w:r>
        <w:rPr>
          <w:spacing w:val="-2"/>
        </w:rPr>
        <w:t>根据证监会和交易所的有关规定，公司审计委员会与会计师事务所协商确定了本年度财务报</w:t>
      </w:r>
    </w:p>
    <w:p>
      <w:pPr>
        <w:pStyle w:val="BodyText"/>
        <w:spacing w:line="271" w:lineRule="auto" w:before="22"/>
        <w:ind w:right="95"/>
        <w:jc w:val="left"/>
      </w:pPr>
      <w:r>
        <w:rPr/>
        <w:t>告审计工作的时间安排；在年审注册会计师进场前审阅了公司编制的财务会计报表，认为该报 表内容和格式符合中国证监会和上海证券交易所的各项规定；在审计过程中，审计委员会在年 报审计工作期间督促会计师事务所在约定时限内提交审计报告；年审注册会计师出具初步审计 意见后，审计委员会再一次审阅了公司财务会计报表，认为该报表内容和格式符合中国证监会 和上海证券交易所的各项规定。年审注册会计师出具最终审计意见后，审计委员会对年度财务 会计报进行了表决，审计委员会全体成员保证公司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年财务报告所载资料不存在任何虚假 </w:t>
      </w:r>
      <w:r>
        <w:rPr>
          <w:spacing w:val="-4"/>
        </w:rPr>
        <w:t>记载、误导性陈述或者重大遗漏，并对其内容的真实性、准确性和完整性承担个别及连带责任；</w:t>
      </w:r>
      <w:r>
        <w:rPr/>
        <w:t> 形成决议后提交公司董事会审核；同时，公司董事会审计委员会认为浙江天健会计师事务所已 </w:t>
      </w:r>
      <w:r>
        <w:rPr>
          <w:spacing w:val="3"/>
        </w:rPr>
        <w:t>按有关规定完成了公司 </w:t>
      </w:r>
      <w:r>
        <w:rPr>
          <w:rFonts w:ascii="Times New Roman" w:hAnsi="Times New Roman" w:cs="Times New Roman" w:eastAsia="Times New Roman" w:hint="default"/>
        </w:rPr>
        <w:t>2007 </w:t>
      </w:r>
      <w:r>
        <w:rPr>
          <w:rFonts w:ascii="Times New Roman" w:hAnsi="Times New Roman" w:cs="Times New Roman" w:eastAsia="Times New Roman" w:hint="default"/>
          <w:spacing w:val="11"/>
        </w:rPr>
        <w:t> </w:t>
      </w:r>
      <w:r>
        <w:rPr>
          <w:spacing w:val="3"/>
        </w:rPr>
        <w:t>年度的审计工作，决定继续聘任浙江天健会计师事务所为公司</w:t>
      </w:r>
      <w:r>
        <w:rPr/>
      </w:r>
    </w:p>
    <w:p>
      <w:pPr>
        <w:pStyle w:val="BodyText"/>
        <w:spacing w:line="282" w:lineRule="exact" w:before="0"/>
        <w:ind w:right="95"/>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年度财务报告审计机构。</w:t>
      </w:r>
    </w:p>
    <w:p>
      <w:pPr>
        <w:spacing w:line="240" w:lineRule="auto" w:before="1"/>
        <w:rPr>
          <w:rFonts w:ascii="宋体" w:hAnsi="宋体" w:cs="宋体" w:eastAsia="宋体" w:hint="default"/>
          <w:sz w:val="31"/>
          <w:szCs w:val="31"/>
        </w:rPr>
      </w:pPr>
    </w:p>
    <w:p>
      <w:pPr>
        <w:pStyle w:val="BodyText"/>
        <w:spacing w:line="530" w:lineRule="atLeast" w:before="0"/>
        <w:ind w:left="537" w:right="95" w:hanging="420"/>
        <w:jc w:val="left"/>
      </w:pPr>
      <w:r>
        <w:rPr>
          <w:rFonts w:ascii="Times New Roman" w:hAnsi="Times New Roman" w:cs="Times New Roman" w:eastAsia="Times New Roman" w:hint="default"/>
        </w:rPr>
        <w:t>4</w:t>
      </w:r>
      <w:r>
        <w:rPr/>
        <w:t>、董事会下设的薪酬委员会的履职情况汇总报告 </w:t>
      </w:r>
      <w:r>
        <w:rPr>
          <w:spacing w:val="-2"/>
        </w:rPr>
        <w:t>报告期内，董事会薪酬委员会根据《公司章程》和公司董事会《薪酬委员会组织和工作办</w:t>
      </w:r>
    </w:p>
    <w:p>
      <w:pPr>
        <w:pStyle w:val="BodyText"/>
        <w:spacing w:line="240" w:lineRule="auto" w:before="37"/>
        <w:ind w:right="95"/>
        <w:jc w:val="left"/>
      </w:pPr>
      <w:r>
        <w:rPr/>
        <w:t>法》赋予的职责积极开展工作，圆满完成相应的工作任务。</w:t>
      </w:r>
    </w:p>
    <w:p>
      <w:pPr>
        <w:pStyle w:val="BodyText"/>
        <w:spacing w:line="240" w:lineRule="auto" w:before="37"/>
        <w:ind w:left="537" w:right="95"/>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月，薪酬委员会依据上届薪酬委员会制定的工作目标对</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年的薪酬工作做了</w:t>
      </w:r>
    </w:p>
    <w:p>
      <w:pPr>
        <w:pStyle w:val="BodyText"/>
        <w:spacing w:line="256" w:lineRule="auto" w:before="21"/>
        <w:ind w:right="199"/>
        <w:jc w:val="left"/>
      </w:pPr>
      <w:r>
        <w:rPr/>
        <w:t>总结和肯定，并结合公司的实际情况，依照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年的各项制度和办法对公司高管各项薪酬和 业绩指标进行了考核。</w:t>
      </w:r>
    </w:p>
    <w:p>
      <w:pPr>
        <w:spacing w:line="240" w:lineRule="auto" w:before="1"/>
        <w:rPr>
          <w:rFonts w:ascii="宋体" w:hAnsi="宋体" w:cs="宋体" w:eastAsia="宋体" w:hint="default"/>
          <w:sz w:val="20"/>
          <w:szCs w:val="20"/>
        </w:rPr>
      </w:pPr>
    </w:p>
    <w:p>
      <w:pPr>
        <w:pStyle w:val="BodyText"/>
        <w:spacing w:line="266" w:lineRule="auto" w:before="0"/>
        <w:ind w:right="212" w:firstLine="420"/>
        <w:jc w:val="both"/>
      </w:pPr>
      <w:r>
        <w:rPr/>
        <w:t>为进一步完善和优化公司的薪酬和激励机制，委员会对公司同城企业和同类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企业的薪 </w:t>
      </w:r>
      <w:r>
        <w:rPr>
          <w:spacing w:val="-2"/>
        </w:rPr>
        <w:t>酬和激励环境进行了考察和交流探讨，同时参考了公司人力资源部门收集的相关薪酬报告与状</w:t>
      </w:r>
      <w:r>
        <w:rPr>
          <w:spacing w:val="-82"/>
        </w:rPr>
        <w:t> </w:t>
      </w:r>
      <w:r>
        <w:rPr>
          <w:spacing w:val="-82"/>
        </w:rPr>
      </w:r>
      <w:r>
        <w:rPr>
          <w:spacing w:val="-2"/>
        </w:rPr>
        <w:t>况分析，对公司的薪酬和激励政策提供了有益的意见和建议。同时，薪酬委员会根据公司的行</w:t>
      </w:r>
      <w:r>
        <w:rPr>
          <w:spacing w:val="-85"/>
        </w:rPr>
        <w:t> </w:t>
      </w:r>
      <w:r>
        <w:rPr>
          <w:spacing w:val="-85"/>
        </w:rPr>
      </w:r>
      <w:r>
        <w:rPr/>
        <w:t>业发展背景和实际情况，经与经营层探讨并充分交流后共同制定了《</w:t>
      </w:r>
      <w:r>
        <w:rPr>
          <w:rFonts w:ascii="Times New Roman" w:hAnsi="Times New Roman" w:cs="Times New Roman" w:eastAsia="Times New Roman" w:hint="default"/>
        </w:rPr>
        <w:t>2007 </w:t>
      </w:r>
      <w:r>
        <w:rPr>
          <w:rFonts w:ascii="Times New Roman" w:hAnsi="Times New Roman" w:cs="Times New Roman" w:eastAsia="Times New Roman" w:hint="default"/>
          <w:spacing w:val="36"/>
        </w:rPr>
        <w:t> </w:t>
      </w:r>
      <w:r>
        <w:rPr/>
        <w:t>年度总经理及核心</w:t>
      </w:r>
    </w:p>
    <w:p>
      <w:pPr>
        <w:spacing w:after="0" w:line="266" w:lineRule="auto"/>
        <w:jc w:val="both"/>
        <w:sectPr>
          <w:pgSz w:w="11910" w:h="16840"/>
          <w:pgMar w:header="0" w:footer="1243" w:top="1400" w:bottom="1440" w:left="1680" w:right="1340"/>
        </w:sectPr>
      </w:pPr>
    </w:p>
    <w:p>
      <w:pPr>
        <w:pStyle w:val="BodyText"/>
        <w:spacing w:line="273" w:lineRule="auto" w:before="25"/>
        <w:ind w:left="538" w:right="95" w:hanging="422"/>
        <w:jc w:val="left"/>
      </w:pPr>
      <w:r>
        <w:rPr>
          <w:spacing w:val="-4"/>
        </w:rPr>
        <w:t>管理团队成员年度考核办法》，递交三届七次董事会审议通过。</w:t>
      </w:r>
      <w:r>
        <w:rPr>
          <w:spacing w:val="-100"/>
        </w:rPr>
        <w:t> </w:t>
      </w:r>
      <w:r>
        <w:rPr>
          <w:spacing w:val="-100"/>
        </w:rPr>
      </w:r>
      <w:r>
        <w:rPr>
          <w:spacing w:val="-2"/>
        </w:rPr>
        <w:t>薪酬委员会同时根据公司投资部门的反馈，与投资部门共同探讨，为进一步发挥公司投资</w:t>
      </w:r>
    </w:p>
    <w:p>
      <w:pPr>
        <w:pStyle w:val="BodyText"/>
        <w:spacing w:line="273" w:lineRule="auto" w:before="8"/>
        <w:ind w:right="95"/>
        <w:jc w:val="left"/>
      </w:pPr>
      <w:r>
        <w:rPr>
          <w:spacing w:val="-2"/>
        </w:rPr>
        <w:t>团队的凝聚力，进一步激励公司投资创收，在本年度对公司投资考核办法和理财考核办法进行</w:t>
      </w:r>
      <w:r>
        <w:rPr>
          <w:spacing w:val="-85"/>
        </w:rPr>
        <w:t> </w:t>
      </w:r>
      <w:r>
        <w:rPr>
          <w:spacing w:val="-85"/>
        </w:rPr>
      </w:r>
      <w:r>
        <w:rPr/>
        <w:t>了相应的修订。</w:t>
      </w:r>
    </w:p>
    <w:p>
      <w:pPr>
        <w:spacing w:line="240" w:lineRule="auto" w:before="12"/>
        <w:rPr>
          <w:rFonts w:ascii="宋体" w:hAnsi="宋体" w:cs="宋体" w:eastAsia="宋体" w:hint="default"/>
          <w:sz w:val="18"/>
          <w:szCs w:val="18"/>
        </w:rPr>
      </w:pPr>
    </w:p>
    <w:p>
      <w:pPr>
        <w:pStyle w:val="BodyText"/>
        <w:spacing w:line="256" w:lineRule="auto" w:before="0"/>
        <w:ind w:right="212" w:firstLine="420"/>
        <w:jc w:val="both"/>
      </w:pPr>
      <w:r>
        <w:rPr/>
        <w:t>薪酬委员会根据</w:t>
      </w:r>
      <w:r>
        <w:rPr>
          <w:spacing w:val="-6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年的相关制度和考核办法对恒生电子</w:t>
      </w:r>
      <w:r>
        <w:rPr>
          <w:spacing w:val="-6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年度薪酬和业绩考核进行 了审核。薪酬委员会认为董事、监事、高级管理人员</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年度的考核结果符合公司《</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 度总经理及核心管理团队成员年度考核办法》及其他相关考核制度的规定。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0"/>
        <w:ind w:right="95"/>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利润分配或资本公积金转增预案</w:t>
      </w:r>
    </w:p>
    <w:p>
      <w:pPr>
        <w:pStyle w:val="BodyText"/>
        <w:spacing w:line="240" w:lineRule="auto" w:before="149"/>
        <w:ind w:left="537" w:right="95"/>
        <w:jc w:val="left"/>
        <w:rPr>
          <w:rFonts w:ascii="Times New Roman" w:hAnsi="Times New Roman" w:cs="Times New Roman" w:eastAsia="Times New Roman" w:hint="default"/>
        </w:rPr>
      </w:pPr>
      <w:r>
        <w:rPr/>
        <w:t>根据</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日公司董事会三届十次会议通过的</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年度利润分配方案，按</w:t>
      </w:r>
      <w:r>
        <w:rPr>
          <w:spacing w:val="-55"/>
        </w:rPr>
        <w:t> </w:t>
      </w:r>
      <w:r>
        <w:rPr>
          <w:rFonts w:ascii="Times New Roman" w:hAnsi="Times New Roman" w:cs="Times New Roman" w:eastAsia="Times New Roman" w:hint="default"/>
        </w:rPr>
        <w:t>2007</w:t>
      </w:r>
    </w:p>
    <w:p>
      <w:pPr>
        <w:pStyle w:val="BodyText"/>
        <w:spacing w:line="240" w:lineRule="auto" w:before="129"/>
        <w:ind w:right="95"/>
        <w:jc w:val="left"/>
        <w:rPr>
          <w:rFonts w:ascii="Times New Roman" w:hAnsi="Times New Roman" w:cs="Times New Roman" w:eastAsia="Times New Roman" w:hint="default"/>
        </w:rPr>
      </w:pPr>
      <w:r>
        <w:rPr/>
        <w:t>年度实现净利润提取</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t>的法定盈余公积</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68</w:t>
      </w:r>
      <w:r>
        <w:rPr>
          <w:rFonts w:ascii="Times New Roman" w:hAnsi="Times New Roman" w:cs="Times New Roman" w:eastAsia="Times New Roman" w:hint="default"/>
          <w:spacing w:val="-1"/>
        </w:rPr>
        <w:t>.</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spacing w:val="-2"/>
        </w:rPr>
        <w:t>元</w:t>
      </w:r>
      <w:r>
        <w:rPr>
          <w:spacing w:val="-105"/>
        </w:rPr>
        <w:t>，</w:t>
      </w:r>
      <w:r>
        <w:rPr/>
        <w:t>以</w:t>
      </w:r>
      <w:r>
        <w:rPr>
          <w:spacing w:val="-6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日总股本</w:t>
      </w:r>
      <w:r>
        <w:rPr>
          <w:spacing w:val="-6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,5</w:t>
      </w:r>
      <w:r>
        <w:rPr>
          <w:rFonts w:ascii="Times New Roman" w:hAnsi="Times New Roman" w:cs="Times New Roman" w:eastAsia="Times New Roman" w:hint="default"/>
        </w:rPr>
        <w:t>64</w:t>
      </w:r>
    </w:p>
    <w:p>
      <w:pPr>
        <w:pStyle w:val="BodyText"/>
        <w:spacing w:line="240" w:lineRule="auto" w:before="129"/>
        <w:ind w:left="118" w:right="95"/>
        <w:jc w:val="left"/>
      </w:pPr>
      <w:r>
        <w:rPr/>
        <w:t>万股为基数，向全体股东按每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股派发红股</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股并派发现金股利</w:t>
      </w:r>
      <w:r>
        <w:rPr>
          <w:spacing w:val="-43"/>
        </w:rPr>
        <w:t> </w:t>
      </w:r>
      <w:r>
        <w:rPr>
          <w:rFonts w:ascii="Times New Roman" w:hAnsi="Times New Roman" w:cs="Times New Roman" w:eastAsia="Times New Roman" w:hint="default"/>
        </w:rPr>
        <w:t>0.70</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，共计派送红</w:t>
      </w:r>
    </w:p>
    <w:p>
      <w:pPr>
        <w:pStyle w:val="BodyText"/>
        <w:spacing w:line="240" w:lineRule="auto" w:before="129"/>
        <w:ind w:left="118" w:right="0"/>
        <w:jc w:val="left"/>
      </w:pPr>
      <w:r>
        <w:rPr/>
        <w:t>股</w:t>
      </w:r>
      <w:r>
        <w:rPr>
          <w:spacing w:val="-53"/>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8</w:t>
      </w:r>
      <w:r>
        <w:rPr>
          <w:rFonts w:ascii="Times New Roman" w:hAnsi="Times New Roman" w:cs="Times New Roman" w:eastAsia="Times New Roman" w:hint="default"/>
        </w:rPr>
        <w:t>4</w:t>
      </w:r>
      <w:r>
        <w:rPr>
          <w:rFonts w:ascii="Times New Roman" w:hAnsi="Times New Roman" w:cs="Times New Roman" w:eastAsia="Times New Roman" w:hint="default"/>
          <w:spacing w:val="-1"/>
        </w:rPr>
        <w:t>,00</w:t>
      </w:r>
      <w:r>
        <w:rPr>
          <w:rFonts w:ascii="Times New Roman" w:hAnsi="Times New Roman" w:cs="Times New Roman" w:eastAsia="Times New Roman" w:hint="default"/>
        </w:rPr>
        <w:t>0 </w:t>
      </w:r>
      <w:r>
        <w:rPr/>
        <w:t>股及现金</w:t>
      </w:r>
      <w:r>
        <w:rPr>
          <w:spacing w:val="-2"/>
        </w:rPr>
        <w:t>股</w:t>
      </w:r>
      <w:r>
        <w:rPr/>
        <w:t>利</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94</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00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元</w:t>
      </w:r>
      <w:r>
        <w:rPr>
          <w:spacing w:val="-96"/>
        </w:rPr>
        <w:t>。</w:t>
      </w:r>
      <w:r>
        <w:rPr/>
        <w:t>上述利润分配方案尚待公司股东大会审议通过。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1"/>
        <w:spacing w:line="240" w:lineRule="auto" w:before="181"/>
        <w:ind w:left="118" w:right="95"/>
        <w:jc w:val="left"/>
        <w:rPr>
          <w:rFonts w:ascii="宋体" w:hAnsi="宋体" w:cs="宋体" w:eastAsia="宋体" w:hint="default"/>
          <w:b w:val="0"/>
          <w:bCs w:val="0"/>
        </w:rPr>
      </w:pPr>
      <w:bookmarkStart w:name="_TOC_250003" w:id="9"/>
      <w:r>
        <w:rPr>
          <w:rFonts w:ascii="宋体" w:hAnsi="宋体" w:cs="宋体" w:eastAsia="宋体" w:hint="default"/>
        </w:rPr>
        <w:t>九、监事会报告</w:t>
      </w:r>
      <w:bookmarkEnd w:id="9"/>
      <w:r>
        <w:rPr>
          <w:rFonts w:ascii="宋体" w:hAnsi="宋体" w:cs="宋体" w:eastAsia="宋体" w:hint="default"/>
          <w:b w:val="0"/>
          <w:bCs w:val="0"/>
        </w:rPr>
      </w:r>
    </w:p>
    <w:p>
      <w:pPr>
        <w:pStyle w:val="BodyText"/>
        <w:spacing w:line="240" w:lineRule="auto" w:before="37"/>
        <w:ind w:left="118" w:right="9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监事会的工作情况</w:t>
      </w:r>
    </w:p>
    <w:p>
      <w:pPr>
        <w:pStyle w:val="BodyText"/>
        <w:spacing w:line="256" w:lineRule="auto" w:before="21"/>
        <w:ind w:right="210"/>
        <w:jc w:val="left"/>
      </w:pPr>
      <w:r>
        <w:rPr>
          <w:rFonts w:ascii="Times New Roman" w:hAnsi="Times New Roman" w:cs="Times New Roman" w:eastAsia="Times New Roman" w:hint="default"/>
        </w:rPr>
        <w:t>1</w:t>
      </w:r>
      <w:r>
        <w:rPr/>
        <w:t>、三届一次监事会</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日在公司会议室召开</w:t>
      </w:r>
      <w:r>
        <w:rPr>
          <w:rFonts w:ascii="Times New Roman" w:hAnsi="Times New Roman" w:cs="Times New Roman" w:eastAsia="Times New Roman" w:hint="default"/>
        </w:rPr>
        <w:t>,</w:t>
      </w:r>
      <w:r>
        <w:rPr/>
        <w:t>选举彭小益为公司监事会主席，任期 三年。</w:t>
      </w:r>
    </w:p>
    <w:p>
      <w:pPr>
        <w:pStyle w:val="BodyText"/>
        <w:spacing w:line="240" w:lineRule="auto" w:before="22"/>
        <w:ind w:right="0"/>
        <w:jc w:val="left"/>
      </w:pPr>
      <w:r>
        <w:rPr>
          <w:rFonts w:ascii="Times New Roman" w:hAnsi="Times New Roman" w:cs="Times New Roman" w:eastAsia="Times New Roman" w:hint="default"/>
        </w:rPr>
        <w:t>2</w:t>
      </w:r>
      <w:r>
        <w:rPr>
          <w:spacing w:val="-31"/>
        </w:rPr>
        <w:t>、</w:t>
      </w:r>
      <w:r>
        <w:rPr/>
        <w:t>三届二次监事会</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spacing w:val="-2"/>
        </w:rPr>
        <w:t>日</w:t>
      </w:r>
      <w:r>
        <w:rPr/>
        <w:t>在公司会议室召开</w:t>
      </w:r>
      <w:r>
        <w:rPr>
          <w:rFonts w:ascii="Times New Roman" w:hAnsi="Times New Roman" w:cs="Times New Roman" w:eastAsia="Times New Roman" w:hint="default"/>
        </w:rPr>
        <w:t>,</w:t>
      </w:r>
      <w:r>
        <w:rPr/>
        <w:t>审议通</w:t>
      </w:r>
      <w:r>
        <w:rPr>
          <w:spacing w:val="-31"/>
        </w:rPr>
        <w:t>过</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年监事会工作报告</w:t>
      </w:r>
      <w:r>
        <w:rPr>
          <w:spacing w:val="-105"/>
        </w:rPr>
        <w:t>》</w:t>
      </w:r>
      <w:r>
        <w:rPr/>
        <w:t>、</w:t>
      </w:r>
    </w:p>
    <w:p>
      <w:pPr>
        <w:pStyle w:val="BodyText"/>
        <w:spacing w:line="256" w:lineRule="auto" w:before="20"/>
        <w:ind w:right="205"/>
        <w:jc w:val="left"/>
      </w:pP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 </w:t>
      </w:r>
      <w:r>
        <w:rPr/>
        <w:t>年</w:t>
      </w:r>
      <w:r>
        <w:rPr>
          <w:spacing w:val="-2"/>
        </w:rPr>
        <w:t>公</w:t>
      </w:r>
      <w:r>
        <w:rPr/>
        <w:t>司年报及摘要</w:t>
      </w:r>
      <w:r>
        <w:rPr>
          <w:spacing w:val="-105"/>
        </w:rPr>
        <w:t>》</w:t>
      </w:r>
      <w:r>
        <w:rPr>
          <w:spacing w:val="-107"/>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年度决算报告</w:t>
      </w:r>
      <w:r>
        <w:rPr>
          <w:spacing w:val="-105"/>
        </w:rPr>
        <w:t>》</w:t>
      </w:r>
      <w:r>
        <w:rPr>
          <w:spacing w:val="-107"/>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年度公司利润分配预案</w:t>
      </w:r>
      <w:r>
        <w:rPr>
          <w:spacing w:val="-106"/>
        </w:rPr>
        <w:t>》</w:t>
      </w:r>
      <w:r>
        <w:rPr>
          <w:spacing w:val="-107"/>
        </w:rPr>
        <w:t>、</w:t>
      </w:r>
      <w:r>
        <w:rPr/>
        <w:t>《关于续</w:t>
      </w:r>
      <w:r>
        <w:rPr/>
        <w:t> 聘会计师事务所的议案</w:t>
      </w:r>
      <w:r>
        <w:rPr>
          <w:spacing w:val="-106"/>
        </w:rPr>
        <w:t>》</w:t>
      </w:r>
      <w:r>
        <w:rPr/>
        <w:t>。</w:t>
      </w:r>
    </w:p>
    <w:p>
      <w:pPr>
        <w:pStyle w:val="BodyText"/>
        <w:spacing w:line="256" w:lineRule="auto" w:before="22"/>
        <w:ind w:right="208"/>
        <w:jc w:val="left"/>
      </w:pPr>
      <w:r>
        <w:rPr>
          <w:rFonts w:ascii="Times New Roman" w:hAnsi="Times New Roman" w:cs="Times New Roman" w:eastAsia="Times New Roman" w:hint="default"/>
        </w:rPr>
        <w:t>3</w:t>
      </w:r>
      <w:r>
        <w:rPr>
          <w:spacing w:val="-73"/>
        </w:rPr>
        <w:t>、</w:t>
      </w:r>
      <w:r>
        <w:rPr/>
        <w:t>三届三</w:t>
      </w:r>
      <w:r>
        <w:rPr>
          <w:spacing w:val="-2"/>
        </w:rPr>
        <w:t>次</w:t>
      </w:r>
      <w:r>
        <w:rPr/>
        <w:t>监事会</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9 </w:t>
      </w:r>
      <w:r>
        <w:rPr>
          <w:spacing w:val="-2"/>
        </w:rPr>
        <w:t>日</w:t>
      </w:r>
      <w:r>
        <w:rPr/>
        <w:t>在公司会议室召开</w:t>
      </w:r>
      <w:r>
        <w:rPr>
          <w:rFonts w:ascii="Times New Roman" w:hAnsi="Times New Roman" w:cs="Times New Roman" w:eastAsia="Times New Roman" w:hint="default"/>
        </w:rPr>
        <w:t>,</w:t>
      </w:r>
      <w:r>
        <w:rPr/>
        <w:t>审议通</w:t>
      </w:r>
      <w:r>
        <w:rPr>
          <w:spacing w:val="-73"/>
        </w:rPr>
        <w:t>过</w:t>
      </w:r>
      <w:r>
        <w:rPr/>
        <w:t>《公司监事会议事规则</w:t>
      </w:r>
      <w:r>
        <w:rPr>
          <w:spacing w:val="-105"/>
        </w:rPr>
        <w:t>》</w:t>
      </w:r>
      <w:r>
        <w:rPr>
          <w:spacing w:val="-177"/>
        </w:rPr>
        <w:t>、</w:t>
      </w:r>
      <w:r>
        <w:rPr/>
        <w:t>《公</w:t>
      </w:r>
      <w:r>
        <w:rPr/>
        <w:t> 司募集资金管理办法</w:t>
      </w:r>
      <w:r>
        <w:rPr>
          <w:spacing w:val="-105"/>
        </w:rPr>
        <w:t>》</w:t>
      </w:r>
      <w:r>
        <w:rPr/>
        <w:t>。</w:t>
      </w:r>
    </w:p>
    <w:p>
      <w:pPr>
        <w:pStyle w:val="BodyText"/>
        <w:spacing w:line="240" w:lineRule="auto" w:before="22"/>
        <w:ind w:right="95"/>
        <w:jc w:val="left"/>
      </w:pPr>
      <w:r>
        <w:rPr>
          <w:rFonts w:ascii="Times New Roman" w:hAnsi="Times New Roman" w:cs="Times New Roman" w:eastAsia="Times New Roman" w:hint="default"/>
        </w:rPr>
        <w:t>4</w:t>
      </w:r>
      <w:r>
        <w:rPr/>
        <w:t>、三届四</w:t>
      </w:r>
      <w:r>
        <w:rPr>
          <w:spacing w:val="-2"/>
        </w:rPr>
        <w:t>次</w:t>
      </w:r>
      <w:r>
        <w:rPr/>
        <w:t>监事会</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spacing w:val="-2"/>
        </w:rPr>
        <w:t>日</w:t>
      </w:r>
      <w:r>
        <w:rPr/>
        <w:t>在公司会议室召开</w:t>
      </w:r>
      <w:r>
        <w:rPr>
          <w:rFonts w:ascii="Times New Roman" w:hAnsi="Times New Roman" w:cs="Times New Roman" w:eastAsia="Times New Roman" w:hint="default"/>
        </w:rPr>
        <w:t>,</w:t>
      </w:r>
      <w:r>
        <w:rPr/>
        <w:t>审议通过《公司</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年中期</w:t>
      </w:r>
      <w:r>
        <w:rPr>
          <w:spacing w:val="-2"/>
        </w:rPr>
        <w:t>报</w:t>
      </w:r>
      <w:r>
        <w:rPr/>
        <w:t>告</w:t>
      </w:r>
      <w:r>
        <w:rPr>
          <w:spacing w:val="-104"/>
        </w:rPr>
        <w:t>》</w:t>
      </w:r>
      <w:r>
        <w:rPr/>
        <w:t>、</w:t>
      </w:r>
    </w:p>
    <w:p>
      <w:pPr>
        <w:pStyle w:val="BodyText"/>
        <w:spacing w:line="240" w:lineRule="auto" w:before="21"/>
        <w:ind w:left="116" w:right="95"/>
        <w:jc w:val="left"/>
      </w:pPr>
      <w:r>
        <w:rPr/>
        <w:t>《关于向无锡公司增资的议案</w:t>
      </w:r>
      <w:r>
        <w:rPr>
          <w:spacing w:val="-105"/>
        </w:rPr>
        <w:t>》</w:t>
      </w:r>
      <w:r>
        <w:rPr/>
        <w:t>。</w:t>
      </w:r>
    </w:p>
    <w:p>
      <w:pPr>
        <w:spacing w:line="240" w:lineRule="auto" w:before="2"/>
        <w:rPr>
          <w:rFonts w:ascii="宋体" w:hAnsi="宋体" w:cs="宋体" w:eastAsia="宋体" w:hint="default"/>
          <w:sz w:val="21"/>
          <w:szCs w:val="21"/>
        </w:rPr>
      </w:pPr>
    </w:p>
    <w:p>
      <w:pPr>
        <w:pStyle w:val="BodyText"/>
        <w:spacing w:line="273" w:lineRule="auto" w:before="0"/>
        <w:ind w:left="116" w:right="95" w:firstLine="420"/>
        <w:jc w:val="left"/>
      </w:pPr>
      <w:r>
        <w:rPr>
          <w:spacing w:val="-5"/>
        </w:rPr>
        <w:t>报告期内，公司监事会全体成员按照《中华人民共和国公司法》及有关法规和《公司章程》</w:t>
      </w:r>
      <w:r>
        <w:rPr/>
        <w:t> 要求，从切实维护公司利益和广大股东权益出发，谨慎、诚实地履行了自己的职责；公司监事 列席了年度内各次董事会会议和股东大会会议，对公司长期发展规划、重大发展项目、公司的 生产经营活动、财务状况和公司董事、高级管理人员的履行职责情况进行了监督，促进了公司 规范运作、健康发展。报告期内，公司召开了四次监事会会议。</w:t>
      </w:r>
    </w:p>
    <w:p>
      <w:pPr>
        <w:spacing w:line="240" w:lineRule="auto" w:before="6"/>
        <w:rPr>
          <w:rFonts w:ascii="宋体" w:hAnsi="宋体" w:cs="宋体" w:eastAsia="宋体" w:hint="default"/>
          <w:sz w:val="24"/>
          <w:szCs w:val="24"/>
        </w:rPr>
      </w:pPr>
    </w:p>
    <w:p>
      <w:pPr>
        <w:pStyle w:val="BodyText"/>
        <w:spacing w:line="256" w:lineRule="auto" w:before="0"/>
        <w:ind w:left="536" w:right="95"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监事会对公司依法运作情况的独立意见</w:t>
      </w:r>
      <w:r>
        <w:rPr>
          <w:w w:val="99"/>
        </w:rPr>
        <w:t> </w:t>
      </w:r>
      <w:r>
        <w:rPr>
          <w:spacing w:val="-11"/>
          <w:w w:val="99"/>
        </w:rPr>
        <w:t>公司监事会根据《公司法》、《证券法》、《公司章程》及其他相关法律、法规赋予的职权，</w:t>
      </w:r>
      <w:r>
        <w:rPr>
          <w:spacing w:val="-11"/>
        </w:rPr>
      </w:r>
    </w:p>
    <w:p>
      <w:pPr>
        <w:pStyle w:val="BodyText"/>
        <w:spacing w:line="273" w:lineRule="auto" w:before="22"/>
        <w:ind w:left="116" w:right="110"/>
        <w:jc w:val="both"/>
      </w:pPr>
      <w:r>
        <w:rPr/>
        <w:t>对公司股东大会、董事会的召开程序、决议事项、董事会对股东大会决议的执行情况，公司董 事、高级管理人员执行职务情况等进行了监督、检查，认为公司能够严格依法规范运作，经营 决策科学合理，重大决策依照《公司章程》有关规定，履行了必要的决策程序。监事会未发现 </w:t>
      </w:r>
      <w:r>
        <w:rPr>
          <w:spacing w:val="-4"/>
        </w:rPr>
        <w:t>公司董事、高级管理人员在执行公司职务有违反法律、法规、公司章程和损害公司利益的行为。</w:t>
      </w:r>
    </w:p>
    <w:p>
      <w:pPr>
        <w:spacing w:after="0" w:line="273" w:lineRule="auto"/>
        <w:jc w:val="both"/>
        <w:sectPr>
          <w:pgSz w:w="11910" w:h="16840"/>
          <w:pgMar w:header="0" w:footer="1243" w:top="1400" w:bottom="1440" w:left="1680" w:right="1340"/>
        </w:sectPr>
      </w:pPr>
    </w:p>
    <w:p>
      <w:pPr>
        <w:pStyle w:val="BodyText"/>
        <w:spacing w:line="256" w:lineRule="auto" w:before="25"/>
        <w:ind w:left="537" w:right="839" w:hanging="42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监事会对检查公司财务情况的独立意见</w:t>
      </w:r>
      <w:r>
        <w:rPr>
          <w:w w:val="99"/>
        </w:rPr>
        <w:t> </w:t>
      </w:r>
      <w:r>
        <w:rPr/>
        <w:t>公司监事会对公司财务结构和财务状况进行了认真、细致的检查，认为公司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年度财</w:t>
      </w:r>
    </w:p>
    <w:p>
      <w:pPr>
        <w:pStyle w:val="BodyText"/>
        <w:spacing w:line="264" w:lineRule="auto" w:before="5"/>
        <w:ind w:right="853"/>
        <w:jc w:val="both"/>
      </w:pPr>
      <w:r>
        <w:rPr>
          <w:spacing w:val="-2"/>
        </w:rPr>
        <w:t>务结构合理，财务状况良好。浙江天健会计师事务所出具的标准无保留意见审计报告和对所涉</w:t>
      </w:r>
      <w:r>
        <w:rPr>
          <w:spacing w:val="-85"/>
        </w:rPr>
        <w:t> </w:t>
      </w:r>
      <w:r>
        <w:rPr>
          <w:spacing w:val="-85"/>
        </w:rPr>
      </w:r>
      <w:r>
        <w:rPr/>
        <w:t>及事项作出的评价是客观公正的，公司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年度财务报告能够真实反映公司的财务状况和经 营成果。</w:t>
      </w:r>
    </w:p>
    <w:p>
      <w:pPr>
        <w:spacing w:line="240" w:lineRule="auto" w:before="1"/>
        <w:rPr>
          <w:rFonts w:ascii="宋体" w:hAnsi="宋体" w:cs="宋体" w:eastAsia="宋体" w:hint="default"/>
          <w:sz w:val="25"/>
          <w:szCs w:val="25"/>
        </w:rPr>
      </w:pPr>
    </w:p>
    <w:p>
      <w:pPr>
        <w:pStyle w:val="BodyText"/>
        <w:spacing w:line="240" w:lineRule="auto" w:before="0"/>
        <w:ind w:right="77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监事会对公司最近一次募集资金实际投入情况的独立意见</w:t>
      </w:r>
    </w:p>
    <w:p>
      <w:pPr>
        <w:pStyle w:val="BodyText"/>
        <w:spacing w:line="240" w:lineRule="auto" w:before="21"/>
        <w:ind w:left="537" w:right="777"/>
        <w:jc w:val="left"/>
      </w:pPr>
      <w:r>
        <w:rPr/>
        <w:t>公司于</w:t>
      </w:r>
      <w:r>
        <w:rPr>
          <w:spacing w:val="-55"/>
        </w:rPr>
        <w:t> </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日向社会公开发行人民币股普通股</w:t>
      </w:r>
      <w:r>
        <w:rPr>
          <w:spacing w:val="-55"/>
        </w:rPr>
        <w:t> </w:t>
      </w:r>
      <w:r>
        <w:rPr>
          <w:rFonts w:ascii="Times New Roman" w:hAnsi="Times New Roman" w:cs="Times New Roman" w:eastAsia="Times New Roman" w:hint="default"/>
        </w:rPr>
        <w:t>1700</w:t>
      </w:r>
      <w:r>
        <w:rPr>
          <w:rFonts w:ascii="Times New Roman" w:hAnsi="Times New Roman" w:cs="Times New Roman" w:eastAsia="Times New Roman" w:hint="default"/>
          <w:spacing w:val="-2"/>
        </w:rPr>
        <w:t> </w:t>
      </w:r>
      <w:r>
        <w:rPr/>
        <w:t>万股，共募集资金</w:t>
      </w:r>
      <w:r>
        <w:rPr>
          <w:spacing w:val="-55"/>
        </w:rPr>
        <w:t> </w:t>
      </w:r>
      <w:r>
        <w:rPr>
          <w:rFonts w:ascii="Times New Roman" w:hAnsi="Times New Roman" w:cs="Times New Roman" w:eastAsia="Times New Roman" w:hint="default"/>
        </w:rPr>
        <w:t>2.44</w:t>
      </w:r>
      <w:r>
        <w:rPr>
          <w:rFonts w:ascii="Times New Roman" w:hAnsi="Times New Roman" w:cs="Times New Roman" w:eastAsia="Times New Roman" w:hint="default"/>
          <w:spacing w:val="-3"/>
        </w:rPr>
        <w:t> </w:t>
      </w:r>
      <w:r>
        <w:rPr/>
        <w:t>亿</w:t>
      </w:r>
    </w:p>
    <w:p>
      <w:pPr>
        <w:pStyle w:val="BodyText"/>
        <w:spacing w:line="261" w:lineRule="auto" w:before="21"/>
        <w:ind w:left="116" w:right="735"/>
        <w:jc w:val="left"/>
      </w:pPr>
      <w:r>
        <w:rPr/>
        <w:t>元</w:t>
      </w:r>
      <w:r>
        <w:rPr>
          <w:rFonts w:ascii="Times New Roman" w:hAnsi="Times New Roman" w:cs="Times New Roman" w:eastAsia="Times New Roman" w:hint="default"/>
        </w:rPr>
        <w:t>(</w:t>
      </w:r>
      <w:r>
        <w:rPr/>
        <w:t>扣除发行费用</w:t>
      </w:r>
      <w:r>
        <w:rPr>
          <w:rFonts w:ascii="Times New Roman" w:hAnsi="Times New Roman" w:cs="Times New Roman" w:eastAsia="Times New Roman" w:hint="default"/>
        </w:rPr>
        <w:t>)</w:t>
      </w:r>
      <w:r>
        <w:rPr/>
        <w:t>，已使用募集资金</w:t>
      </w:r>
      <w:r>
        <w:rPr>
          <w:spacing w:val="-57"/>
        </w:rPr>
        <w:t> </w:t>
      </w:r>
      <w:r>
        <w:rPr>
          <w:rFonts w:ascii="Times New Roman" w:hAnsi="Times New Roman" w:cs="Times New Roman" w:eastAsia="Times New Roman" w:hint="default"/>
        </w:rPr>
        <w:t>22,354.71</w:t>
      </w:r>
      <w:r>
        <w:rPr>
          <w:rFonts w:ascii="Times New Roman" w:hAnsi="Times New Roman" w:cs="Times New Roman" w:eastAsia="Times New Roman" w:hint="default"/>
          <w:spacing w:val="-4"/>
        </w:rPr>
        <w:t> </w:t>
      </w:r>
      <w:r>
        <w:rPr>
          <w:spacing w:val="-4"/>
        </w:rPr>
        <w:t>万元，尚余</w:t>
      </w:r>
      <w:r>
        <w:rPr>
          <w:spacing w:val="-57"/>
        </w:rPr>
        <w:t> </w:t>
      </w:r>
      <w:r>
        <w:rPr>
          <w:rFonts w:ascii="Times New Roman" w:hAnsi="Times New Roman" w:cs="Times New Roman" w:eastAsia="Times New Roman" w:hint="default"/>
        </w:rPr>
        <w:t>2,059.45</w:t>
      </w:r>
      <w:r>
        <w:rPr>
          <w:rFonts w:ascii="Times New Roman" w:hAnsi="Times New Roman" w:cs="Times New Roman" w:eastAsia="Times New Roman" w:hint="default"/>
          <w:spacing w:val="-3"/>
        </w:rPr>
        <w:t> </w:t>
      </w:r>
      <w:r>
        <w:rPr>
          <w:spacing w:val="-3"/>
        </w:rPr>
        <w:t>万元。</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4"/>
        </w:rPr>
        <w:t> </w:t>
      </w:r>
      <w:r>
        <w:rPr/>
        <w:t>年下半年以来， 中国金融市场逐步走上稳健发展的道路，各种金融创新带来了金融产品的丰富，优化金融服务 的</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需求以及金融风险控制和管理的</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需求也逐步增加，投资活动日渐活跃，都带来国内金 融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产品和服务的需求持续增长，公司前期投入的募集资金研发产品得到市场良好的反响， 因此，大部分募集项目取得了较好的收益。</w:t>
      </w:r>
    </w:p>
    <w:p>
      <w:pPr>
        <w:spacing w:line="240" w:lineRule="auto" w:before="3"/>
        <w:rPr>
          <w:rFonts w:ascii="宋体" w:hAnsi="宋体" w:cs="宋体" w:eastAsia="宋体" w:hint="default"/>
          <w:sz w:val="25"/>
          <w:szCs w:val="25"/>
        </w:rPr>
      </w:pPr>
    </w:p>
    <w:p>
      <w:pPr>
        <w:pStyle w:val="BodyText"/>
        <w:spacing w:line="256" w:lineRule="auto" w:before="0"/>
        <w:ind w:left="536" w:right="777" w:hanging="4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监事会对公司收购出售资产情况的独立意见</w:t>
      </w:r>
      <w:r>
        <w:rPr>
          <w:w w:val="99"/>
        </w:rPr>
        <w:t> </w:t>
      </w:r>
      <w:r>
        <w:rPr>
          <w:spacing w:val="-2"/>
        </w:rPr>
        <w:t>报告期内，公司收购、出售资产交易价格合理，无内幕交易及损害部分股东的权益或造成</w:t>
      </w:r>
    </w:p>
    <w:p>
      <w:pPr>
        <w:pStyle w:val="BodyText"/>
        <w:spacing w:line="240" w:lineRule="auto" w:before="22"/>
        <w:ind w:left="116" w:right="777"/>
        <w:jc w:val="left"/>
      </w:pPr>
      <w:r>
        <w:rPr/>
        <w:t>公司资产流失的情况发生。</w:t>
      </w:r>
    </w:p>
    <w:p>
      <w:pPr>
        <w:spacing w:line="240" w:lineRule="auto" w:before="9"/>
        <w:rPr>
          <w:rFonts w:ascii="宋体" w:hAnsi="宋体" w:cs="宋体" w:eastAsia="宋体" w:hint="default"/>
          <w:sz w:val="26"/>
          <w:szCs w:val="26"/>
        </w:rPr>
      </w:pPr>
    </w:p>
    <w:p>
      <w:pPr>
        <w:pStyle w:val="BodyText"/>
        <w:spacing w:line="256" w:lineRule="auto" w:before="0"/>
        <w:ind w:left="537" w:right="735" w:hanging="422"/>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监事会对公司关联交易情况的独立意见</w:t>
      </w:r>
      <w:r>
        <w:rPr>
          <w:w w:val="99"/>
        </w:rPr>
        <w:t> </w:t>
      </w:r>
      <w:r>
        <w:rPr>
          <w:spacing w:val="-10"/>
          <w:w w:val="99"/>
        </w:rPr>
        <w:t>报告期内，公司关联交易事项符合《公司法》、《证券法》等有关法律、法规和公司《章程》</w:t>
      </w:r>
      <w:r>
        <w:rPr>
          <w:spacing w:val="-10"/>
        </w:rPr>
      </w:r>
    </w:p>
    <w:p>
      <w:pPr>
        <w:pStyle w:val="BodyText"/>
        <w:spacing w:line="240" w:lineRule="auto" w:before="22"/>
        <w:ind w:left="115" w:right="777"/>
        <w:jc w:val="left"/>
      </w:pPr>
      <w:r>
        <w:rPr/>
        <w:t>的规定。关联交易的定价合理，不存在损害公司及其他股东特别是中小股东利益的情况。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spacing w:line="240" w:lineRule="auto"/>
        <w:ind w:left="115" w:right="777"/>
        <w:jc w:val="left"/>
        <w:rPr>
          <w:rFonts w:ascii="宋体" w:hAnsi="宋体" w:cs="宋体" w:eastAsia="宋体" w:hint="default"/>
          <w:b w:val="0"/>
          <w:bCs w:val="0"/>
        </w:rPr>
      </w:pPr>
      <w:bookmarkStart w:name="_TOC_250002" w:id="10"/>
      <w:r>
        <w:rPr>
          <w:rFonts w:ascii="宋体" w:hAnsi="宋体" w:cs="宋体" w:eastAsia="宋体" w:hint="default"/>
        </w:rPr>
        <w:t>十、重要事项</w:t>
      </w:r>
      <w:bookmarkEnd w:id="10"/>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56" w:lineRule="auto" w:before="0"/>
        <w:ind w:left="326" w:right="5818" w:hanging="21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重大诉讼仲裁事项</w:t>
      </w:r>
      <w:r>
        <w:rPr>
          <w:w w:val="99"/>
        </w:rPr>
        <w:t> </w:t>
      </w:r>
      <w:r>
        <w:rPr/>
        <w:t>本年度公司无重大诉讼、仲裁事项。</w:t>
      </w:r>
    </w:p>
    <w:p>
      <w:pPr>
        <w:pStyle w:val="BodyText"/>
        <w:spacing w:line="256" w:lineRule="auto" w:before="178"/>
        <w:ind w:left="326" w:right="4768" w:hanging="21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报告期内公司收购及出售资产、吸收合并事项</w:t>
      </w:r>
      <w:r>
        <w:rPr>
          <w:w w:val="99"/>
        </w:rPr>
        <w:t> </w:t>
      </w:r>
      <w:r>
        <w:rPr/>
        <w:t>本年度公司无收购及出售资产、吸收合并事项。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243" w:top="1400" w:bottom="1440" w:left="1680" w:right="700"/>
        </w:sectPr>
      </w:pPr>
    </w:p>
    <w:p>
      <w:pPr>
        <w:pStyle w:val="BodyText"/>
        <w:spacing w:line="256" w:lineRule="auto" w:before="35"/>
        <w:ind w:left="115" w:right="68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报告期内公司重大关联交易事项</w:t>
      </w:r>
      <w:r>
        <w:rPr>
          <w:w w:val="99"/>
        </w:rPr>
        <w:t> </w:t>
      </w:r>
      <w:r>
        <w:rPr>
          <w:rFonts w:ascii="Times New Roman" w:hAnsi="Times New Roman" w:cs="Times New Roman" w:eastAsia="Times New Roman" w:hint="default"/>
        </w:rPr>
        <w:t>1</w:t>
      </w:r>
      <w:r>
        <w:rPr/>
        <w:t>、与日常经营相关的关联交易</w:t>
      </w:r>
    </w:p>
    <w:p>
      <w:pPr>
        <w:pStyle w:val="BodyText"/>
        <w:spacing w:line="240" w:lineRule="auto" w:before="5"/>
        <w:ind w:left="115" w:right="-18"/>
        <w:jc w:val="left"/>
      </w:pPr>
      <w:r>
        <w:rPr/>
        <w:t>（</w:t>
      </w:r>
      <w:r>
        <w:rPr>
          <w:rFonts w:ascii="Times New Roman" w:hAnsi="Times New Roman" w:cs="Times New Roman" w:eastAsia="Times New Roman" w:hint="default"/>
        </w:rPr>
        <w:t>1</w:t>
      </w:r>
      <w:r>
        <w:rPr>
          <w:spacing w:val="-105"/>
        </w:rPr>
        <w:t>）</w:t>
      </w:r>
      <w:r>
        <w:rPr/>
        <w:t>、购</w:t>
      </w:r>
      <w:r>
        <w:rPr>
          <w:spacing w:val="-2"/>
        </w:rPr>
        <w:t>买</w:t>
      </w:r>
      <w:r>
        <w:rPr/>
        <w:t>商品、接受劳务的重大关联交易</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0"/>
          <w:szCs w:val="30"/>
        </w:rPr>
      </w:pPr>
    </w:p>
    <w:p>
      <w:pPr>
        <w:pStyle w:val="BodyText"/>
        <w:spacing w:line="240" w:lineRule="auto" w:before="0"/>
        <w:ind w:left="11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500" w:bottom="900" w:left="1680" w:right="700"/>
          <w:cols w:num="2" w:equalWidth="0">
            <w:col w:w="4106" w:space="2546"/>
            <w:col w:w="2878"/>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114"/>
        <w:gridCol w:w="672"/>
        <w:gridCol w:w="782"/>
        <w:gridCol w:w="1580"/>
        <w:gridCol w:w="1674"/>
        <w:gridCol w:w="1132"/>
        <w:gridCol w:w="781"/>
        <w:gridCol w:w="563"/>
        <w:gridCol w:w="1002"/>
      </w:tblGrid>
      <w:tr>
        <w:trPr>
          <w:trHeight w:val="475" w:hRule="exact"/>
        </w:trPr>
        <w:tc>
          <w:tcPr>
            <w:tcW w:w="1114" w:type="dxa"/>
            <w:tcBorders>
              <w:top w:val="single" w:sz="6" w:space="0" w:color="101010"/>
              <w:left w:val="single" w:sz="6" w:space="0" w:color="101010"/>
              <w:bottom w:val="nil" w:sz="6" w:space="0" w:color="auto"/>
              <w:right w:val="single" w:sz="6" w:space="0" w:color="101010"/>
            </w:tcBorders>
          </w:tcPr>
          <w:p>
            <w:pPr/>
          </w:p>
        </w:tc>
        <w:tc>
          <w:tcPr>
            <w:tcW w:w="672"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w:t>
            </w:r>
          </w:p>
        </w:tc>
        <w:tc>
          <w:tcPr>
            <w:tcW w:w="782"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w:t>
            </w:r>
          </w:p>
        </w:tc>
        <w:tc>
          <w:tcPr>
            <w:tcW w:w="1580" w:type="dxa"/>
            <w:tcBorders>
              <w:top w:val="single" w:sz="6" w:space="0" w:color="101010"/>
              <w:left w:val="single" w:sz="6" w:space="0" w:color="101010"/>
              <w:bottom w:val="nil" w:sz="6" w:space="0" w:color="auto"/>
              <w:right w:val="single" w:sz="6" w:space="0" w:color="101010"/>
            </w:tcBorders>
          </w:tcPr>
          <w:p>
            <w:pPr/>
          </w:p>
        </w:tc>
        <w:tc>
          <w:tcPr>
            <w:tcW w:w="1674" w:type="dxa"/>
            <w:tcBorders>
              <w:top w:val="single" w:sz="6" w:space="0" w:color="101010"/>
              <w:left w:val="single" w:sz="6" w:space="0" w:color="101010"/>
              <w:bottom w:val="nil" w:sz="6" w:space="0" w:color="auto"/>
              <w:right w:val="single" w:sz="6" w:space="0" w:color="101010"/>
            </w:tcBorders>
          </w:tcPr>
          <w:p>
            <w:pPr/>
          </w:p>
        </w:tc>
        <w:tc>
          <w:tcPr>
            <w:tcW w:w="1132"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占同类交易</w:t>
            </w:r>
          </w:p>
        </w:tc>
        <w:tc>
          <w:tcPr>
            <w:tcW w:w="781"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关联交</w:t>
            </w:r>
          </w:p>
        </w:tc>
        <w:tc>
          <w:tcPr>
            <w:tcW w:w="563" w:type="dxa"/>
            <w:vMerge w:val="restart"/>
            <w:tcBorders>
              <w:top w:val="single" w:sz="6" w:space="0" w:color="101010"/>
              <w:left w:val="single" w:sz="6" w:space="0" w:color="101010"/>
              <w:right w:val="single" w:sz="6" w:space="0" w:color="101010"/>
            </w:tcBorders>
          </w:tcPr>
          <w:p>
            <w:pPr>
              <w:pStyle w:val="TableParagraph"/>
              <w:spacing w:line="316" w:lineRule="auto" w:before="11"/>
              <w:ind w:left="183" w:right="182"/>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1002"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关联交易</w:t>
            </w:r>
          </w:p>
        </w:tc>
      </w:tr>
      <w:tr>
        <w:trPr>
          <w:trHeight w:val="312" w:hRule="exact"/>
        </w:trPr>
        <w:tc>
          <w:tcPr>
            <w:tcW w:w="1114"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27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67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交易</w:t>
            </w:r>
          </w:p>
        </w:tc>
        <w:tc>
          <w:tcPr>
            <w:tcW w:w="78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易定价</w:t>
            </w:r>
          </w:p>
        </w:tc>
        <w:tc>
          <w:tcPr>
            <w:tcW w:w="1580"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242" w:right="0"/>
              <w:jc w:val="left"/>
              <w:rPr>
                <w:rFonts w:ascii="宋体" w:hAnsi="宋体" w:cs="宋体" w:eastAsia="宋体" w:hint="default"/>
                <w:sz w:val="18"/>
                <w:szCs w:val="18"/>
              </w:rPr>
            </w:pPr>
            <w:r>
              <w:rPr>
                <w:rFonts w:ascii="宋体" w:hAnsi="宋体" w:cs="宋体" w:eastAsia="宋体" w:hint="default"/>
                <w:sz w:val="18"/>
                <w:szCs w:val="18"/>
              </w:rPr>
              <w:t>关联交易价格</w:t>
            </w:r>
          </w:p>
        </w:tc>
        <w:tc>
          <w:tcPr>
            <w:tcW w:w="1674"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289"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113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金额的比例</w:t>
            </w:r>
          </w:p>
        </w:tc>
        <w:tc>
          <w:tcPr>
            <w:tcW w:w="781"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易结算</w:t>
            </w:r>
          </w:p>
        </w:tc>
        <w:tc>
          <w:tcPr>
            <w:tcW w:w="563" w:type="dxa"/>
            <w:vMerge/>
            <w:tcBorders>
              <w:left w:val="single" w:sz="6" w:space="0" w:color="101010"/>
              <w:right w:val="single" w:sz="6" w:space="0" w:color="101010"/>
            </w:tcBorders>
          </w:tcPr>
          <w:p>
            <w:pPr/>
          </w:p>
        </w:tc>
        <w:tc>
          <w:tcPr>
            <w:tcW w:w="100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对公司利</w:t>
            </w:r>
          </w:p>
        </w:tc>
      </w:tr>
      <w:tr>
        <w:trPr>
          <w:trHeight w:val="475" w:hRule="exact"/>
        </w:trPr>
        <w:tc>
          <w:tcPr>
            <w:tcW w:w="1114" w:type="dxa"/>
            <w:tcBorders>
              <w:top w:val="nil" w:sz="6" w:space="0" w:color="auto"/>
              <w:left w:val="single" w:sz="6" w:space="0" w:color="101010"/>
              <w:bottom w:val="single" w:sz="6" w:space="0" w:color="101010"/>
              <w:right w:val="single" w:sz="6" w:space="0" w:color="101010"/>
            </w:tcBorders>
          </w:tcPr>
          <w:p>
            <w:pPr/>
          </w:p>
        </w:tc>
        <w:tc>
          <w:tcPr>
            <w:tcW w:w="672"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782"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原则</w:t>
            </w:r>
          </w:p>
        </w:tc>
        <w:tc>
          <w:tcPr>
            <w:tcW w:w="1580" w:type="dxa"/>
            <w:tcBorders>
              <w:top w:val="nil" w:sz="6" w:space="0" w:color="auto"/>
              <w:left w:val="single" w:sz="6" w:space="0" w:color="101010"/>
              <w:bottom w:val="single" w:sz="6" w:space="0" w:color="101010"/>
              <w:right w:val="single" w:sz="6" w:space="0" w:color="101010"/>
            </w:tcBorders>
          </w:tcPr>
          <w:p>
            <w:pPr/>
          </w:p>
        </w:tc>
        <w:tc>
          <w:tcPr>
            <w:tcW w:w="1674" w:type="dxa"/>
            <w:tcBorders>
              <w:top w:val="nil" w:sz="6" w:space="0" w:color="auto"/>
              <w:left w:val="single" w:sz="6" w:space="0" w:color="101010"/>
              <w:bottom w:val="single" w:sz="6" w:space="0" w:color="101010"/>
              <w:right w:val="single" w:sz="6" w:space="0" w:color="101010"/>
            </w:tcBorders>
          </w:tcPr>
          <w:p>
            <w:pPr/>
          </w:p>
        </w:tc>
        <w:tc>
          <w:tcPr>
            <w:tcW w:w="1132"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方式</w:t>
            </w:r>
          </w:p>
        </w:tc>
        <w:tc>
          <w:tcPr>
            <w:tcW w:w="563" w:type="dxa"/>
            <w:vMerge/>
            <w:tcBorders>
              <w:left w:val="single" w:sz="6" w:space="0" w:color="101010"/>
              <w:bottom w:val="single" w:sz="6" w:space="0" w:color="101010"/>
              <w:right w:val="single" w:sz="6" w:space="0" w:color="101010"/>
            </w:tcBorders>
          </w:tcPr>
          <w:p>
            <w:pPr/>
          </w:p>
        </w:tc>
        <w:tc>
          <w:tcPr>
            <w:tcW w:w="1002"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润的影响</w:t>
            </w:r>
          </w:p>
        </w:tc>
      </w:tr>
      <w:tr>
        <w:trPr>
          <w:trHeight w:val="952" w:hRule="exact"/>
        </w:trPr>
        <w:tc>
          <w:tcPr>
            <w:tcW w:w="1114"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41"/>
              <w:jc w:val="both"/>
              <w:rPr>
                <w:rFonts w:ascii="宋体" w:hAnsi="宋体" w:cs="宋体" w:eastAsia="宋体" w:hint="default"/>
                <w:sz w:val="18"/>
                <w:szCs w:val="18"/>
              </w:rPr>
            </w:pPr>
            <w:r>
              <w:rPr>
                <w:rFonts w:ascii="宋体" w:hAnsi="宋体" w:cs="宋体" w:eastAsia="宋体" w:hint="default"/>
                <w:spacing w:val="43"/>
                <w:sz w:val="18"/>
                <w:szCs w:val="18"/>
              </w:rPr>
              <w:t>杭州恒生</w:t>
            </w:r>
            <w:r>
              <w:rPr>
                <w:rFonts w:ascii="宋体" w:hAnsi="宋体" w:cs="宋体" w:eastAsia="宋体" w:hint="default"/>
                <w:spacing w:val="-32"/>
                <w:sz w:val="18"/>
                <w:szCs w:val="18"/>
              </w:rPr>
              <w:t> </w:t>
            </w:r>
            <w:r>
              <w:rPr>
                <w:rFonts w:ascii="宋体" w:hAnsi="宋体" w:cs="宋体" w:eastAsia="宋体" w:hint="default"/>
                <w:spacing w:val="43"/>
                <w:sz w:val="18"/>
                <w:szCs w:val="18"/>
              </w:rPr>
              <w:t>科技有限</w:t>
            </w:r>
            <w:r>
              <w:rPr>
                <w:rFonts w:ascii="宋体" w:hAnsi="宋体" w:cs="宋体" w:eastAsia="宋体" w:hint="default"/>
                <w:spacing w:val="-32"/>
                <w:sz w:val="18"/>
                <w:szCs w:val="18"/>
              </w:rPr>
              <w:t> </w:t>
            </w:r>
            <w:r>
              <w:rPr>
                <w:rFonts w:ascii="宋体" w:hAnsi="宋体" w:cs="宋体" w:eastAsia="宋体" w:hint="default"/>
                <w:sz w:val="18"/>
                <w:szCs w:val="18"/>
              </w:rPr>
              <w:t>公司</w:t>
            </w:r>
          </w:p>
        </w:tc>
        <w:tc>
          <w:tcPr>
            <w:tcW w:w="6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
              <w:jc w:val="left"/>
              <w:rPr>
                <w:rFonts w:ascii="宋体" w:hAnsi="宋体" w:cs="宋体" w:eastAsia="宋体" w:hint="default"/>
                <w:sz w:val="18"/>
                <w:szCs w:val="18"/>
              </w:rPr>
            </w:pPr>
            <w:r>
              <w:rPr>
                <w:rFonts w:ascii="宋体" w:hAnsi="宋体" w:cs="宋体" w:eastAsia="宋体" w:hint="default"/>
                <w:spacing w:val="6"/>
                <w:sz w:val="18"/>
                <w:szCs w:val="18"/>
              </w:rPr>
              <w:t>采</w:t>
            </w:r>
            <w:r>
              <w:rPr>
                <w:rFonts w:ascii="宋体" w:hAnsi="宋体" w:cs="宋体" w:eastAsia="宋体" w:hint="default"/>
                <w:sz w:val="18"/>
                <w:szCs w:val="18"/>
              </w:rPr>
              <w:t> 购</w:t>
            </w:r>
            <w:r>
              <w:rPr>
                <w:rFonts w:ascii="宋体" w:hAnsi="宋体" w:cs="宋体" w:eastAsia="宋体" w:hint="default"/>
                <w:spacing w:val="6"/>
                <w:sz w:val="18"/>
                <w:szCs w:val="18"/>
              </w:rPr>
              <w:t> </w:t>
            </w:r>
            <w:r>
              <w:rPr>
                <w:rFonts w:ascii="宋体" w:hAnsi="宋体" w:cs="宋体" w:eastAsia="宋体" w:hint="default"/>
                <w:sz w:val="18"/>
                <w:szCs w:val="18"/>
              </w:rPr>
              <w:t>货物</w:t>
            </w:r>
          </w:p>
        </w:tc>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3"/>
                <w:sz w:val="18"/>
                <w:szCs w:val="18"/>
              </w:rPr>
              <w:t>市场定 </w:t>
            </w:r>
            <w:r>
              <w:rPr>
                <w:rFonts w:ascii="宋体" w:hAnsi="宋体" w:cs="宋体" w:eastAsia="宋体" w:hint="default"/>
                <w:sz w:val="18"/>
                <w:szCs w:val="18"/>
              </w:rPr>
              <w:t>价</w:t>
            </w:r>
          </w:p>
        </w:tc>
        <w:tc>
          <w:tcPr>
            <w:tcW w:w="1580"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10,237,500.03</w:t>
            </w:r>
          </w:p>
        </w:tc>
        <w:tc>
          <w:tcPr>
            <w:tcW w:w="11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24.83</w:t>
            </w:r>
          </w:p>
        </w:tc>
        <w:tc>
          <w:tcPr>
            <w:tcW w:w="781"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1114"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41"/>
              <w:jc w:val="left"/>
              <w:rPr>
                <w:rFonts w:ascii="宋体" w:hAnsi="宋体" w:cs="宋体" w:eastAsia="宋体" w:hint="default"/>
                <w:sz w:val="18"/>
                <w:szCs w:val="18"/>
              </w:rPr>
            </w:pPr>
            <w:r>
              <w:rPr>
                <w:rFonts w:ascii="宋体" w:hAnsi="宋体" w:cs="宋体" w:eastAsia="宋体" w:hint="default"/>
                <w:spacing w:val="43"/>
                <w:sz w:val="18"/>
                <w:szCs w:val="18"/>
              </w:rPr>
              <w:t>杭州恒生</w:t>
            </w:r>
            <w:r>
              <w:rPr>
                <w:rFonts w:ascii="宋体" w:hAnsi="宋体" w:cs="宋体" w:eastAsia="宋体" w:hint="default"/>
                <w:spacing w:val="-32"/>
                <w:sz w:val="18"/>
                <w:szCs w:val="18"/>
              </w:rPr>
              <w:t> </w:t>
            </w:r>
            <w:r>
              <w:rPr>
                <w:rFonts w:ascii="宋体" w:hAnsi="宋体" w:cs="宋体" w:eastAsia="宋体" w:hint="default"/>
                <w:spacing w:val="43"/>
                <w:sz w:val="18"/>
                <w:szCs w:val="18"/>
              </w:rPr>
              <w:t>信息技术</w:t>
            </w:r>
            <w:r>
              <w:rPr>
                <w:rFonts w:ascii="宋体" w:hAnsi="宋体" w:cs="宋体" w:eastAsia="宋体" w:hint="default"/>
                <w:spacing w:val="-32"/>
                <w:sz w:val="18"/>
                <w:szCs w:val="18"/>
              </w:rPr>
              <w:t> </w:t>
            </w:r>
            <w:r>
              <w:rPr>
                <w:rFonts w:ascii="宋体" w:hAnsi="宋体" w:cs="宋体" w:eastAsia="宋体" w:hint="default"/>
                <w:sz w:val="18"/>
                <w:szCs w:val="18"/>
              </w:rPr>
            </w:r>
          </w:p>
        </w:tc>
        <w:tc>
          <w:tcPr>
            <w:tcW w:w="67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2"/>
              <w:jc w:val="left"/>
              <w:rPr>
                <w:rFonts w:ascii="宋体" w:hAnsi="宋体" w:cs="宋体" w:eastAsia="宋体" w:hint="default"/>
                <w:sz w:val="18"/>
                <w:szCs w:val="18"/>
              </w:rPr>
            </w:pPr>
            <w:r>
              <w:rPr>
                <w:rFonts w:ascii="宋体" w:hAnsi="宋体" w:cs="宋体" w:eastAsia="宋体" w:hint="default"/>
                <w:spacing w:val="6"/>
                <w:sz w:val="18"/>
                <w:szCs w:val="18"/>
              </w:rPr>
              <w:t>采</w:t>
            </w:r>
            <w:r>
              <w:rPr>
                <w:rFonts w:ascii="宋体" w:hAnsi="宋体" w:cs="宋体" w:eastAsia="宋体" w:hint="default"/>
                <w:sz w:val="18"/>
                <w:szCs w:val="18"/>
              </w:rPr>
              <w:t> 购</w:t>
            </w:r>
            <w:r>
              <w:rPr>
                <w:rFonts w:ascii="宋体" w:hAnsi="宋体" w:cs="宋体" w:eastAsia="宋体" w:hint="default"/>
                <w:spacing w:val="6"/>
                <w:sz w:val="18"/>
                <w:szCs w:val="18"/>
              </w:rPr>
              <w:t> </w:t>
            </w:r>
            <w:r>
              <w:rPr>
                <w:rFonts w:ascii="宋体" w:hAnsi="宋体" w:cs="宋体" w:eastAsia="宋体" w:hint="default"/>
                <w:sz w:val="18"/>
                <w:szCs w:val="18"/>
              </w:rPr>
              <w:t>货物</w:t>
            </w:r>
          </w:p>
        </w:tc>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5"/>
              <w:jc w:val="left"/>
              <w:rPr>
                <w:rFonts w:ascii="宋体" w:hAnsi="宋体" w:cs="宋体" w:eastAsia="宋体" w:hint="default"/>
                <w:sz w:val="18"/>
                <w:szCs w:val="18"/>
              </w:rPr>
            </w:pPr>
            <w:r>
              <w:rPr>
                <w:rFonts w:ascii="宋体" w:hAnsi="宋体" w:cs="宋体" w:eastAsia="宋体" w:hint="default"/>
                <w:spacing w:val="13"/>
                <w:sz w:val="18"/>
                <w:szCs w:val="18"/>
              </w:rPr>
              <w:t>市场定 </w:t>
            </w:r>
            <w:r>
              <w:rPr>
                <w:rFonts w:ascii="宋体" w:hAnsi="宋体" w:cs="宋体" w:eastAsia="宋体" w:hint="default"/>
                <w:sz w:val="18"/>
                <w:szCs w:val="18"/>
              </w:rPr>
              <w:t>价</w:t>
            </w:r>
          </w:p>
        </w:tc>
        <w:tc>
          <w:tcPr>
            <w:tcW w:w="1580"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598,717.95</w:t>
            </w:r>
          </w:p>
        </w:tc>
        <w:tc>
          <w:tcPr>
            <w:tcW w:w="11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1.45</w:t>
            </w:r>
          </w:p>
        </w:tc>
        <w:tc>
          <w:tcPr>
            <w:tcW w:w="781"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1910" w:h="16840"/>
          <w:pgMar w:top="1500" w:bottom="900" w:left="168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114"/>
        <w:gridCol w:w="672"/>
        <w:gridCol w:w="782"/>
        <w:gridCol w:w="1580"/>
        <w:gridCol w:w="1674"/>
        <w:gridCol w:w="1132"/>
        <w:gridCol w:w="781"/>
        <w:gridCol w:w="563"/>
        <w:gridCol w:w="1002"/>
      </w:tblGrid>
      <w:tr>
        <w:trPr>
          <w:trHeight w:val="326" w:hRule="exact"/>
        </w:trPr>
        <w:tc>
          <w:tcPr>
            <w:tcW w:w="11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2" w:type="dxa"/>
            <w:tcBorders>
              <w:top w:val="single" w:sz="6" w:space="0" w:color="101010"/>
              <w:left w:val="single" w:sz="6" w:space="0" w:color="101010"/>
              <w:bottom w:val="single" w:sz="6" w:space="0" w:color="101010"/>
              <w:right w:val="single" w:sz="6" w:space="0" w:color="101010"/>
            </w:tcBorders>
          </w:tcPr>
          <w:p>
            <w:pPr/>
          </w:p>
        </w:tc>
        <w:tc>
          <w:tcPr>
            <w:tcW w:w="782"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
        </w:tc>
        <w:tc>
          <w:tcPr>
            <w:tcW w:w="1132" w:type="dxa"/>
            <w:tcBorders>
              <w:top w:val="single" w:sz="6" w:space="0" w:color="101010"/>
              <w:left w:val="single" w:sz="6" w:space="0" w:color="101010"/>
              <w:bottom w:val="single" w:sz="6" w:space="0" w:color="101010"/>
              <w:right w:val="single" w:sz="6" w:space="0" w:color="101010"/>
            </w:tcBorders>
          </w:tcPr>
          <w:p>
            <w:pPr/>
          </w:p>
        </w:tc>
        <w:tc>
          <w:tcPr>
            <w:tcW w:w="781"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r>
      <w:tr>
        <w:trPr>
          <w:trHeight w:val="320" w:hRule="exact"/>
        </w:trPr>
        <w:tc>
          <w:tcPr>
            <w:tcW w:w="1114"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43"/>
                <w:sz w:val="18"/>
                <w:szCs w:val="18"/>
              </w:rPr>
              <w:t>杭州恒生</w:t>
            </w:r>
            <w:r>
              <w:rPr>
                <w:rFonts w:ascii="宋体" w:hAnsi="宋体" w:cs="宋体" w:eastAsia="宋体" w:hint="default"/>
                <w:spacing w:val="-32"/>
                <w:sz w:val="18"/>
                <w:szCs w:val="18"/>
              </w:rPr>
              <w:t> </w:t>
            </w:r>
            <w:r>
              <w:rPr>
                <w:rFonts w:ascii="宋体" w:hAnsi="宋体" w:cs="宋体" w:eastAsia="宋体" w:hint="default"/>
                <w:sz w:val="18"/>
                <w:szCs w:val="18"/>
              </w:rPr>
            </w:r>
          </w:p>
        </w:tc>
        <w:tc>
          <w:tcPr>
            <w:tcW w:w="672" w:type="dxa"/>
            <w:tcBorders>
              <w:top w:val="single" w:sz="6" w:space="0" w:color="101010"/>
              <w:left w:val="single" w:sz="6" w:space="0" w:color="101010"/>
              <w:bottom w:val="nil" w:sz="6" w:space="0" w:color="auto"/>
              <w:right w:val="single" w:sz="6" w:space="0" w:color="101010"/>
            </w:tcBorders>
          </w:tcPr>
          <w:p>
            <w:pPr/>
          </w:p>
        </w:tc>
        <w:tc>
          <w:tcPr>
            <w:tcW w:w="782" w:type="dxa"/>
            <w:tcBorders>
              <w:top w:val="single" w:sz="6" w:space="0" w:color="101010"/>
              <w:left w:val="single" w:sz="6" w:space="0" w:color="101010"/>
              <w:bottom w:val="nil" w:sz="6" w:space="0" w:color="auto"/>
              <w:right w:val="single" w:sz="6" w:space="0" w:color="101010"/>
            </w:tcBorders>
          </w:tcPr>
          <w:p>
            <w:pPr/>
          </w:p>
        </w:tc>
        <w:tc>
          <w:tcPr>
            <w:tcW w:w="1580" w:type="dxa"/>
            <w:vMerge w:val="restart"/>
            <w:tcBorders>
              <w:top w:val="single" w:sz="6" w:space="0" w:color="101010"/>
              <w:left w:val="single" w:sz="6" w:space="0" w:color="101010"/>
              <w:right w:val="single" w:sz="6" w:space="0" w:color="101010"/>
            </w:tcBorders>
          </w:tcPr>
          <w:p>
            <w:pPr/>
          </w:p>
        </w:tc>
        <w:tc>
          <w:tcPr>
            <w:tcW w:w="1674" w:type="dxa"/>
            <w:tcBorders>
              <w:top w:val="single" w:sz="6" w:space="0" w:color="101010"/>
              <w:left w:val="single" w:sz="6" w:space="0" w:color="101010"/>
              <w:bottom w:val="nil" w:sz="6" w:space="0" w:color="auto"/>
              <w:right w:val="single" w:sz="6" w:space="0" w:color="101010"/>
            </w:tcBorders>
          </w:tcPr>
          <w:p>
            <w:pPr/>
          </w:p>
        </w:tc>
        <w:tc>
          <w:tcPr>
            <w:tcW w:w="1132" w:type="dxa"/>
            <w:tcBorders>
              <w:top w:val="single" w:sz="6" w:space="0" w:color="101010"/>
              <w:left w:val="single" w:sz="6" w:space="0" w:color="101010"/>
              <w:bottom w:val="nil" w:sz="6" w:space="0" w:color="auto"/>
              <w:right w:val="single" w:sz="6" w:space="0" w:color="101010"/>
            </w:tcBorders>
          </w:tcPr>
          <w:p>
            <w:pPr/>
          </w:p>
        </w:tc>
        <w:tc>
          <w:tcPr>
            <w:tcW w:w="781" w:type="dxa"/>
            <w:vMerge w:val="restart"/>
            <w:tcBorders>
              <w:top w:val="single" w:sz="6" w:space="0" w:color="101010"/>
              <w:left w:val="single" w:sz="6" w:space="0" w:color="101010"/>
              <w:right w:val="single" w:sz="6" w:space="0" w:color="101010"/>
            </w:tcBorders>
          </w:tcPr>
          <w:p>
            <w:pPr/>
          </w:p>
        </w:tc>
        <w:tc>
          <w:tcPr>
            <w:tcW w:w="563" w:type="dxa"/>
            <w:vMerge w:val="restart"/>
            <w:tcBorders>
              <w:top w:val="single" w:sz="6" w:space="0" w:color="101010"/>
              <w:left w:val="single" w:sz="6" w:space="0" w:color="101010"/>
              <w:right w:val="single" w:sz="6" w:space="0" w:color="101010"/>
            </w:tcBorders>
          </w:tcPr>
          <w:p>
            <w:pPr/>
          </w:p>
        </w:tc>
        <w:tc>
          <w:tcPr>
            <w:tcW w:w="1002" w:type="dxa"/>
            <w:vMerge w:val="restart"/>
            <w:tcBorders>
              <w:top w:val="single" w:sz="6" w:space="0" w:color="101010"/>
              <w:left w:val="single" w:sz="6" w:space="0" w:color="101010"/>
              <w:right w:val="single" w:sz="6" w:space="0" w:color="101010"/>
            </w:tcBorders>
          </w:tcPr>
          <w:p>
            <w:pPr/>
          </w:p>
        </w:tc>
      </w:tr>
      <w:tr>
        <w:trPr>
          <w:trHeight w:val="624" w:hRule="exact"/>
        </w:trPr>
        <w:tc>
          <w:tcPr>
            <w:tcW w:w="1114" w:type="dxa"/>
            <w:tcBorders>
              <w:top w:val="nil" w:sz="6" w:space="0" w:color="auto"/>
              <w:left w:val="single" w:sz="6" w:space="0" w:color="101010"/>
              <w:bottom w:val="nil" w:sz="6" w:space="0" w:color="auto"/>
              <w:right w:val="single" w:sz="6" w:space="0" w:color="101010"/>
            </w:tcBorders>
          </w:tcPr>
          <w:p>
            <w:pPr>
              <w:pStyle w:val="TableParagraph"/>
              <w:spacing w:line="316" w:lineRule="auto" w:before="11"/>
              <w:ind w:left="100" w:right="41"/>
              <w:jc w:val="left"/>
              <w:rPr>
                <w:rFonts w:ascii="宋体" w:hAnsi="宋体" w:cs="宋体" w:eastAsia="宋体" w:hint="default"/>
                <w:sz w:val="18"/>
                <w:szCs w:val="18"/>
              </w:rPr>
            </w:pPr>
            <w:r>
              <w:rPr>
                <w:rFonts w:ascii="宋体" w:hAnsi="宋体" w:cs="宋体" w:eastAsia="宋体" w:hint="default"/>
                <w:spacing w:val="43"/>
                <w:sz w:val="18"/>
                <w:szCs w:val="18"/>
              </w:rPr>
              <w:t>数字设备</w:t>
            </w:r>
            <w:r>
              <w:rPr>
                <w:rFonts w:ascii="宋体" w:hAnsi="宋体" w:cs="宋体" w:eastAsia="宋体" w:hint="default"/>
                <w:spacing w:val="-32"/>
                <w:sz w:val="18"/>
                <w:szCs w:val="18"/>
              </w:rPr>
              <w:t> </w:t>
            </w:r>
            <w:r>
              <w:rPr>
                <w:rFonts w:ascii="宋体" w:hAnsi="宋体" w:cs="宋体" w:eastAsia="宋体" w:hint="default"/>
                <w:spacing w:val="43"/>
                <w:sz w:val="18"/>
                <w:szCs w:val="18"/>
              </w:rPr>
              <w:t>科技有限</w:t>
            </w:r>
            <w:r>
              <w:rPr>
                <w:rFonts w:ascii="宋体" w:hAnsi="宋体" w:cs="宋体" w:eastAsia="宋体" w:hint="default"/>
                <w:spacing w:val="-32"/>
                <w:sz w:val="18"/>
                <w:szCs w:val="18"/>
              </w:rPr>
              <w:t> </w:t>
            </w:r>
            <w:r>
              <w:rPr>
                <w:rFonts w:ascii="宋体" w:hAnsi="宋体" w:cs="宋体" w:eastAsia="宋体" w:hint="default"/>
                <w:sz w:val="18"/>
                <w:szCs w:val="18"/>
              </w:rPr>
            </w:r>
          </w:p>
        </w:tc>
        <w:tc>
          <w:tcPr>
            <w:tcW w:w="672"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2"/>
              <w:jc w:val="left"/>
              <w:rPr>
                <w:rFonts w:ascii="宋体" w:hAnsi="宋体" w:cs="宋体" w:eastAsia="宋体" w:hint="default"/>
                <w:sz w:val="18"/>
                <w:szCs w:val="18"/>
              </w:rPr>
            </w:pPr>
            <w:r>
              <w:rPr>
                <w:rFonts w:ascii="宋体" w:hAnsi="宋体" w:cs="宋体" w:eastAsia="宋体" w:hint="default"/>
                <w:spacing w:val="6"/>
                <w:sz w:val="18"/>
                <w:szCs w:val="18"/>
              </w:rPr>
              <w:t>采</w:t>
            </w:r>
            <w:r>
              <w:rPr>
                <w:rFonts w:ascii="宋体" w:hAnsi="宋体" w:cs="宋体" w:eastAsia="宋体" w:hint="default"/>
                <w:sz w:val="18"/>
                <w:szCs w:val="18"/>
              </w:rPr>
              <w:t> 购</w:t>
            </w:r>
            <w:r>
              <w:rPr>
                <w:rFonts w:ascii="宋体" w:hAnsi="宋体" w:cs="宋体" w:eastAsia="宋体" w:hint="default"/>
                <w:spacing w:val="6"/>
                <w:sz w:val="18"/>
                <w:szCs w:val="18"/>
              </w:rPr>
              <w:t> </w:t>
            </w:r>
            <w:r>
              <w:rPr>
                <w:rFonts w:ascii="宋体" w:hAnsi="宋体" w:cs="宋体" w:eastAsia="宋体" w:hint="default"/>
                <w:sz w:val="18"/>
                <w:szCs w:val="18"/>
              </w:rPr>
              <w:t>货物</w:t>
            </w:r>
          </w:p>
        </w:tc>
        <w:tc>
          <w:tcPr>
            <w:tcW w:w="782"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85"/>
              <w:jc w:val="left"/>
              <w:rPr>
                <w:rFonts w:ascii="宋体" w:hAnsi="宋体" w:cs="宋体" w:eastAsia="宋体" w:hint="default"/>
                <w:sz w:val="18"/>
                <w:szCs w:val="18"/>
              </w:rPr>
            </w:pPr>
            <w:r>
              <w:rPr>
                <w:rFonts w:ascii="宋体" w:hAnsi="宋体" w:cs="宋体" w:eastAsia="宋体" w:hint="default"/>
                <w:spacing w:val="13"/>
                <w:sz w:val="18"/>
                <w:szCs w:val="18"/>
              </w:rPr>
              <w:t>市场定 </w:t>
            </w:r>
            <w:r>
              <w:rPr>
                <w:rFonts w:ascii="宋体" w:hAnsi="宋体" w:cs="宋体" w:eastAsia="宋体" w:hint="default"/>
                <w:sz w:val="18"/>
                <w:szCs w:val="18"/>
              </w:rPr>
              <w:t>价</w:t>
            </w:r>
          </w:p>
        </w:tc>
        <w:tc>
          <w:tcPr>
            <w:tcW w:w="1580" w:type="dxa"/>
            <w:vMerge/>
            <w:tcBorders>
              <w:left w:val="single" w:sz="6" w:space="0" w:color="101010"/>
              <w:right w:val="single" w:sz="6" w:space="0" w:color="101010"/>
            </w:tcBorders>
          </w:tcPr>
          <w:p>
            <w:pPr/>
          </w:p>
        </w:tc>
        <w:tc>
          <w:tcPr>
            <w:tcW w:w="1674"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387,200.00</w:t>
            </w:r>
          </w:p>
        </w:tc>
        <w:tc>
          <w:tcPr>
            <w:tcW w:w="1132"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w:t>
            </w:r>
          </w:p>
        </w:tc>
        <w:tc>
          <w:tcPr>
            <w:tcW w:w="781" w:type="dxa"/>
            <w:vMerge/>
            <w:tcBorders>
              <w:left w:val="single" w:sz="6" w:space="0" w:color="101010"/>
              <w:right w:val="single" w:sz="6" w:space="0" w:color="101010"/>
            </w:tcBorders>
          </w:tcPr>
          <w:p>
            <w:pPr/>
          </w:p>
        </w:tc>
        <w:tc>
          <w:tcPr>
            <w:tcW w:w="563" w:type="dxa"/>
            <w:vMerge/>
            <w:tcBorders>
              <w:left w:val="single" w:sz="6" w:space="0" w:color="101010"/>
              <w:right w:val="single" w:sz="6" w:space="0" w:color="101010"/>
            </w:tcBorders>
          </w:tcPr>
          <w:p>
            <w:pPr/>
          </w:p>
        </w:tc>
        <w:tc>
          <w:tcPr>
            <w:tcW w:w="1002" w:type="dxa"/>
            <w:vMerge/>
            <w:tcBorders>
              <w:left w:val="single" w:sz="6" w:space="0" w:color="101010"/>
              <w:right w:val="single" w:sz="6" w:space="0" w:color="101010"/>
            </w:tcBorders>
          </w:tcPr>
          <w:p>
            <w:pPr/>
          </w:p>
        </w:tc>
      </w:tr>
      <w:tr>
        <w:trPr>
          <w:trHeight w:val="319" w:hRule="exact"/>
        </w:trPr>
        <w:tc>
          <w:tcPr>
            <w:tcW w:w="1114"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2" w:type="dxa"/>
            <w:tcBorders>
              <w:top w:val="nil" w:sz="6" w:space="0" w:color="auto"/>
              <w:left w:val="single" w:sz="6" w:space="0" w:color="101010"/>
              <w:bottom w:val="single" w:sz="6" w:space="0" w:color="101010"/>
              <w:right w:val="single" w:sz="6" w:space="0" w:color="101010"/>
            </w:tcBorders>
          </w:tcPr>
          <w:p>
            <w:pPr/>
          </w:p>
        </w:tc>
        <w:tc>
          <w:tcPr>
            <w:tcW w:w="782" w:type="dxa"/>
            <w:tcBorders>
              <w:top w:val="nil" w:sz="6" w:space="0" w:color="auto"/>
              <w:left w:val="single" w:sz="6" w:space="0" w:color="101010"/>
              <w:bottom w:val="single" w:sz="6" w:space="0" w:color="101010"/>
              <w:right w:val="single" w:sz="6" w:space="0" w:color="101010"/>
            </w:tcBorders>
          </w:tcPr>
          <w:p>
            <w:pPr/>
          </w:p>
        </w:tc>
        <w:tc>
          <w:tcPr>
            <w:tcW w:w="1580" w:type="dxa"/>
            <w:vMerge/>
            <w:tcBorders>
              <w:left w:val="single" w:sz="6" w:space="0" w:color="101010"/>
              <w:bottom w:val="single" w:sz="6" w:space="0" w:color="101010"/>
              <w:right w:val="single" w:sz="6" w:space="0" w:color="101010"/>
            </w:tcBorders>
          </w:tcPr>
          <w:p>
            <w:pPr/>
          </w:p>
        </w:tc>
        <w:tc>
          <w:tcPr>
            <w:tcW w:w="1674" w:type="dxa"/>
            <w:tcBorders>
              <w:top w:val="nil" w:sz="6" w:space="0" w:color="auto"/>
              <w:left w:val="single" w:sz="6" w:space="0" w:color="101010"/>
              <w:bottom w:val="single" w:sz="6" w:space="0" w:color="101010"/>
              <w:right w:val="single" w:sz="6" w:space="0" w:color="101010"/>
            </w:tcBorders>
          </w:tcPr>
          <w:p>
            <w:pPr/>
          </w:p>
        </w:tc>
        <w:tc>
          <w:tcPr>
            <w:tcW w:w="1132" w:type="dxa"/>
            <w:tcBorders>
              <w:top w:val="nil" w:sz="6" w:space="0" w:color="auto"/>
              <w:left w:val="single" w:sz="6" w:space="0" w:color="101010"/>
              <w:bottom w:val="single" w:sz="6" w:space="0" w:color="101010"/>
              <w:right w:val="single" w:sz="6" w:space="0" w:color="101010"/>
            </w:tcBorders>
          </w:tcPr>
          <w:p>
            <w:pPr/>
          </w:p>
        </w:tc>
        <w:tc>
          <w:tcPr>
            <w:tcW w:w="781" w:type="dxa"/>
            <w:vMerge/>
            <w:tcBorders>
              <w:left w:val="single" w:sz="6" w:space="0" w:color="101010"/>
              <w:bottom w:val="single" w:sz="6" w:space="0" w:color="101010"/>
              <w:right w:val="single" w:sz="6" w:space="0" w:color="101010"/>
            </w:tcBorders>
          </w:tcPr>
          <w:p>
            <w:pPr/>
          </w:p>
        </w:tc>
        <w:tc>
          <w:tcPr>
            <w:tcW w:w="563" w:type="dxa"/>
            <w:vMerge/>
            <w:tcBorders>
              <w:left w:val="single" w:sz="6" w:space="0" w:color="101010"/>
              <w:bottom w:val="single" w:sz="6" w:space="0" w:color="101010"/>
              <w:right w:val="single" w:sz="6" w:space="0" w:color="101010"/>
            </w:tcBorders>
          </w:tcPr>
          <w:p>
            <w:pPr/>
          </w:p>
        </w:tc>
        <w:tc>
          <w:tcPr>
            <w:tcW w:w="1002" w:type="dxa"/>
            <w:vMerge/>
            <w:tcBorders>
              <w:left w:val="single" w:sz="6" w:space="0" w:color="101010"/>
              <w:bottom w:val="single" w:sz="6" w:space="0" w:color="101010"/>
              <w:right w:val="single" w:sz="6" w:space="0" w:color="101010"/>
            </w:tcBorders>
          </w:tcPr>
          <w:p>
            <w:pPr/>
          </w:p>
        </w:tc>
      </w:tr>
      <w:tr>
        <w:trPr>
          <w:trHeight w:val="952" w:hRule="exact"/>
        </w:trPr>
        <w:tc>
          <w:tcPr>
            <w:tcW w:w="1114"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41"/>
              <w:jc w:val="both"/>
              <w:rPr>
                <w:rFonts w:ascii="宋体" w:hAnsi="宋体" w:cs="宋体" w:eastAsia="宋体" w:hint="default"/>
                <w:sz w:val="18"/>
                <w:szCs w:val="18"/>
              </w:rPr>
            </w:pPr>
            <w:r>
              <w:rPr>
                <w:rFonts w:ascii="宋体" w:hAnsi="宋体" w:cs="宋体" w:eastAsia="宋体" w:hint="default"/>
                <w:spacing w:val="43"/>
                <w:sz w:val="18"/>
                <w:szCs w:val="18"/>
              </w:rPr>
              <w:t>上海诚丰</w:t>
            </w:r>
            <w:r>
              <w:rPr>
                <w:rFonts w:ascii="宋体" w:hAnsi="宋体" w:cs="宋体" w:eastAsia="宋体" w:hint="default"/>
                <w:spacing w:val="-32"/>
                <w:sz w:val="18"/>
                <w:szCs w:val="18"/>
              </w:rPr>
              <w:t> </w:t>
            </w:r>
            <w:r>
              <w:rPr>
                <w:rFonts w:ascii="宋体" w:hAnsi="宋体" w:cs="宋体" w:eastAsia="宋体" w:hint="default"/>
                <w:spacing w:val="43"/>
                <w:sz w:val="18"/>
                <w:szCs w:val="18"/>
              </w:rPr>
              <w:t>数码科技</w:t>
            </w:r>
            <w:r>
              <w:rPr>
                <w:rFonts w:ascii="宋体" w:hAnsi="宋体" w:cs="宋体" w:eastAsia="宋体" w:hint="default"/>
                <w:spacing w:val="-32"/>
                <w:sz w:val="18"/>
                <w:szCs w:val="18"/>
              </w:rPr>
              <w:t> </w:t>
            </w:r>
            <w:r>
              <w:rPr>
                <w:rFonts w:ascii="宋体" w:hAnsi="宋体" w:cs="宋体" w:eastAsia="宋体" w:hint="default"/>
                <w:sz w:val="18"/>
                <w:szCs w:val="18"/>
              </w:rPr>
              <w:t>有限公司</w:t>
            </w:r>
          </w:p>
        </w:tc>
        <w:tc>
          <w:tcPr>
            <w:tcW w:w="6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
              <w:jc w:val="left"/>
              <w:rPr>
                <w:rFonts w:ascii="宋体" w:hAnsi="宋体" w:cs="宋体" w:eastAsia="宋体" w:hint="default"/>
                <w:sz w:val="18"/>
                <w:szCs w:val="18"/>
              </w:rPr>
            </w:pPr>
            <w:r>
              <w:rPr>
                <w:rFonts w:ascii="宋体" w:hAnsi="宋体" w:cs="宋体" w:eastAsia="宋体" w:hint="default"/>
                <w:spacing w:val="6"/>
                <w:sz w:val="18"/>
                <w:szCs w:val="18"/>
              </w:rPr>
              <w:t>采</w:t>
            </w:r>
            <w:r>
              <w:rPr>
                <w:rFonts w:ascii="宋体" w:hAnsi="宋体" w:cs="宋体" w:eastAsia="宋体" w:hint="default"/>
                <w:sz w:val="18"/>
                <w:szCs w:val="18"/>
              </w:rPr>
              <w:t> 购</w:t>
            </w:r>
            <w:r>
              <w:rPr>
                <w:rFonts w:ascii="宋体" w:hAnsi="宋体" w:cs="宋体" w:eastAsia="宋体" w:hint="default"/>
                <w:spacing w:val="6"/>
                <w:sz w:val="18"/>
                <w:szCs w:val="18"/>
              </w:rPr>
              <w:t> </w:t>
            </w:r>
            <w:r>
              <w:rPr>
                <w:rFonts w:ascii="宋体" w:hAnsi="宋体" w:cs="宋体" w:eastAsia="宋体" w:hint="default"/>
                <w:sz w:val="18"/>
                <w:szCs w:val="18"/>
              </w:rPr>
              <w:t>货物</w:t>
            </w:r>
          </w:p>
        </w:tc>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5"/>
              <w:jc w:val="left"/>
              <w:rPr>
                <w:rFonts w:ascii="宋体" w:hAnsi="宋体" w:cs="宋体" w:eastAsia="宋体" w:hint="default"/>
                <w:sz w:val="18"/>
                <w:szCs w:val="18"/>
              </w:rPr>
            </w:pPr>
            <w:r>
              <w:rPr>
                <w:rFonts w:ascii="宋体" w:hAnsi="宋体" w:cs="宋体" w:eastAsia="宋体" w:hint="default"/>
                <w:spacing w:val="13"/>
                <w:sz w:val="18"/>
                <w:szCs w:val="18"/>
              </w:rPr>
              <w:t>市场定 </w:t>
            </w:r>
            <w:r>
              <w:rPr>
                <w:rFonts w:ascii="宋体" w:hAnsi="宋体" w:cs="宋体" w:eastAsia="宋体" w:hint="default"/>
                <w:sz w:val="18"/>
                <w:szCs w:val="18"/>
              </w:rPr>
              <w:t>价</w:t>
            </w:r>
          </w:p>
        </w:tc>
        <w:tc>
          <w:tcPr>
            <w:tcW w:w="1580"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11,794.87</w:t>
            </w:r>
          </w:p>
        </w:tc>
        <w:tc>
          <w:tcPr>
            <w:tcW w:w="11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0.89</w:t>
            </w:r>
          </w:p>
        </w:tc>
        <w:tc>
          <w:tcPr>
            <w:tcW w:w="781"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76" w:lineRule="exact" w:before="0"/>
        <w:ind w:right="777"/>
        <w:jc w:val="left"/>
      </w:pPr>
      <w:r>
        <w:rPr>
          <w:rFonts w:ascii="Times New Roman" w:hAnsi="Times New Roman" w:cs="Times New Roman" w:eastAsia="Times New Roman" w:hint="default"/>
        </w:rPr>
        <w:t>1)</w:t>
      </w:r>
      <w:r>
        <w:rPr/>
        <w:t>、本公司向控股子公司杭州恒生科技有限公司采购货物。</w:t>
      </w:r>
    </w:p>
    <w:p>
      <w:pPr>
        <w:pStyle w:val="BodyText"/>
        <w:spacing w:line="240" w:lineRule="auto" w:before="21"/>
        <w:ind w:right="777"/>
        <w:jc w:val="left"/>
      </w:pPr>
      <w:r>
        <w:rPr>
          <w:rFonts w:ascii="Times New Roman" w:hAnsi="Times New Roman" w:cs="Times New Roman" w:eastAsia="Times New Roman" w:hint="default"/>
        </w:rPr>
        <w:t>2)</w:t>
      </w:r>
      <w:r>
        <w:rPr/>
        <w:t>、本公司向控股子公司杭州恒生信息技术有限公司采购货物。</w:t>
      </w:r>
    </w:p>
    <w:p>
      <w:pPr>
        <w:pStyle w:val="BodyText"/>
        <w:spacing w:line="240" w:lineRule="auto" w:before="21"/>
        <w:ind w:right="777"/>
        <w:jc w:val="left"/>
      </w:pPr>
      <w:r>
        <w:rPr>
          <w:rFonts w:ascii="Times New Roman" w:hAnsi="Times New Roman" w:cs="Times New Roman" w:eastAsia="Times New Roman" w:hint="default"/>
        </w:rPr>
        <w:t>3)</w:t>
      </w:r>
      <w:r>
        <w:rPr/>
        <w:t>、本公司向股东的子公司杭州恒生数字设备科技有限公司采购货物。</w:t>
      </w:r>
    </w:p>
    <w:p>
      <w:pPr>
        <w:pStyle w:val="BodyText"/>
        <w:spacing w:line="240" w:lineRule="auto" w:before="21"/>
        <w:ind w:right="777"/>
        <w:jc w:val="left"/>
      </w:pPr>
      <w:r>
        <w:rPr>
          <w:rFonts w:ascii="Times New Roman" w:hAnsi="Times New Roman" w:cs="Times New Roman" w:eastAsia="Times New Roman" w:hint="default"/>
        </w:rPr>
        <w:t>4)</w:t>
      </w:r>
      <w:r>
        <w:rPr/>
        <w:t>、本公司向其他关联人上海诚丰数码科技有限公司采购货物。</w:t>
      </w:r>
    </w:p>
    <w:p>
      <w:pPr>
        <w:spacing w:line="240" w:lineRule="auto" w:before="10"/>
        <w:rPr>
          <w:rFonts w:ascii="宋体" w:hAnsi="宋体" w:cs="宋体" w:eastAsia="宋体" w:hint="default"/>
          <w:sz w:val="22"/>
          <w:szCs w:val="22"/>
        </w:rPr>
      </w:pPr>
    </w:p>
    <w:p>
      <w:pPr>
        <w:pStyle w:val="BodyText"/>
        <w:spacing w:line="240" w:lineRule="auto" w:before="35"/>
        <w:ind w:right="777"/>
        <w:jc w:val="left"/>
      </w:pPr>
      <w:r>
        <w:rPr/>
        <w:t>（</w:t>
      </w:r>
      <w:r>
        <w:rPr>
          <w:rFonts w:ascii="Times New Roman" w:hAnsi="Times New Roman" w:cs="Times New Roman" w:eastAsia="Times New Roman" w:hint="default"/>
        </w:rPr>
        <w:t>2</w:t>
      </w:r>
      <w:r>
        <w:rPr>
          <w:spacing w:val="-105"/>
        </w:rPr>
        <w:t>）</w:t>
      </w:r>
      <w:r>
        <w:rPr/>
        <w:t>、销</w:t>
      </w:r>
      <w:r>
        <w:rPr>
          <w:spacing w:val="-2"/>
        </w:rPr>
        <w:t>售</w:t>
      </w:r>
      <w:r>
        <w:rPr/>
        <w:t>商品、提供劳务的重大关联交易</w:t>
      </w:r>
    </w:p>
    <w:p>
      <w:pPr>
        <w:pStyle w:val="BodyText"/>
        <w:spacing w:line="240" w:lineRule="auto" w:before="21"/>
        <w:ind w:left="0" w:right="85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128"/>
        <w:gridCol w:w="678"/>
        <w:gridCol w:w="790"/>
        <w:gridCol w:w="1580"/>
        <w:gridCol w:w="1674"/>
        <w:gridCol w:w="1080"/>
        <w:gridCol w:w="791"/>
        <w:gridCol w:w="565"/>
        <w:gridCol w:w="1014"/>
      </w:tblGrid>
      <w:tr>
        <w:trPr>
          <w:trHeight w:val="1262" w:hRule="exact"/>
        </w:trPr>
        <w:tc>
          <w:tcPr>
            <w:tcW w:w="11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9" w:right="151"/>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7" w:right="11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关联交易价格</w:t>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2"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7" w:right="116"/>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84" w:right="185"/>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10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0" w:right="137"/>
              <w:jc w:val="both"/>
              <w:rPr>
                <w:rFonts w:ascii="宋体" w:hAnsi="宋体" w:cs="宋体" w:eastAsia="宋体" w:hint="default"/>
                <w:sz w:val="18"/>
                <w:szCs w:val="18"/>
              </w:rPr>
            </w:pPr>
            <w:r>
              <w:rPr>
                <w:rFonts w:ascii="宋体" w:hAnsi="宋体" w:cs="宋体" w:eastAsia="宋体" w:hint="default"/>
                <w:sz w:val="18"/>
                <w:szCs w:val="18"/>
              </w:rPr>
              <w:t>关联交易 对公司利 润的影响</w:t>
            </w:r>
          </w:p>
        </w:tc>
      </w:tr>
      <w:tr>
        <w:trPr>
          <w:trHeight w:val="952" w:hRule="exact"/>
        </w:trPr>
        <w:tc>
          <w:tcPr>
            <w:tcW w:w="1128"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6"/>
              <w:jc w:val="both"/>
              <w:rPr>
                <w:rFonts w:ascii="宋体" w:hAnsi="宋体" w:cs="宋体" w:eastAsia="宋体" w:hint="default"/>
                <w:sz w:val="18"/>
                <w:szCs w:val="18"/>
              </w:rPr>
            </w:pPr>
            <w:r>
              <w:rPr>
                <w:rFonts w:ascii="宋体" w:hAnsi="宋体" w:cs="宋体" w:eastAsia="宋体" w:hint="default"/>
                <w:spacing w:val="2"/>
                <w:sz w:val="18"/>
                <w:szCs w:val="18"/>
              </w:rPr>
              <w:t>杭州恒生数 据安全技术 </w:t>
            </w:r>
            <w:r>
              <w:rPr>
                <w:rFonts w:ascii="宋体" w:hAnsi="宋体" w:cs="宋体" w:eastAsia="宋体" w:hint="default"/>
                <w:sz w:val="18"/>
                <w:szCs w:val="18"/>
              </w:rPr>
              <w:t>有限公司</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9" w:right="101"/>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pacing w:val="10"/>
                <w:sz w:val="18"/>
                <w:szCs w:val="18"/>
              </w:rPr>
              <w:t> </w:t>
            </w:r>
            <w:r>
              <w:rPr>
                <w:rFonts w:ascii="宋体" w:hAnsi="宋体" w:cs="宋体" w:eastAsia="宋体" w:hint="default"/>
                <w:sz w:val="18"/>
                <w:szCs w:val="18"/>
              </w:rPr>
              <w:t>售</w:t>
            </w:r>
            <w:r>
              <w:rPr>
                <w:rFonts w:ascii="宋体" w:hAnsi="宋体" w:cs="宋体" w:eastAsia="宋体" w:hint="default"/>
                <w:sz w:val="18"/>
                <w:szCs w:val="18"/>
              </w:rPr>
              <w:t> 货物</w:t>
            </w:r>
          </w:p>
        </w:tc>
        <w:tc>
          <w:tcPr>
            <w:tcW w:w="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2"/>
              <w:jc w:val="left"/>
              <w:rPr>
                <w:rFonts w:ascii="宋体" w:hAnsi="宋体" w:cs="宋体" w:eastAsia="宋体" w:hint="default"/>
                <w:sz w:val="18"/>
                <w:szCs w:val="18"/>
              </w:rPr>
            </w:pPr>
            <w:r>
              <w:rPr>
                <w:rFonts w:ascii="宋体" w:hAnsi="宋体" w:cs="宋体" w:eastAsia="宋体" w:hint="default"/>
                <w:spacing w:val="10"/>
                <w:sz w:val="18"/>
                <w:szCs w:val="18"/>
              </w:rPr>
              <w:t>市场定</w:t>
            </w:r>
            <w:r>
              <w:rPr>
                <w:rFonts w:ascii="宋体" w:hAnsi="宋体" w:cs="宋体" w:eastAsia="宋体" w:hint="default"/>
                <w:spacing w:val="-74"/>
                <w:sz w:val="18"/>
                <w:szCs w:val="18"/>
              </w:rPr>
              <w:t> </w:t>
            </w:r>
            <w:r>
              <w:rPr>
                <w:rFonts w:ascii="宋体" w:hAnsi="宋体" w:cs="宋体" w:eastAsia="宋体" w:hint="default"/>
                <w:sz w:val="18"/>
                <w:szCs w:val="18"/>
              </w:rPr>
              <w:t>价</w:t>
            </w:r>
          </w:p>
        </w:tc>
        <w:tc>
          <w:tcPr>
            <w:tcW w:w="1580"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13" w:right="0"/>
              <w:jc w:val="left"/>
              <w:rPr>
                <w:rFonts w:ascii="Times New Roman" w:hAnsi="Times New Roman" w:cs="Times New Roman" w:eastAsia="Times New Roman" w:hint="default"/>
                <w:sz w:val="18"/>
                <w:szCs w:val="18"/>
              </w:rPr>
            </w:pPr>
            <w:r>
              <w:rPr>
                <w:rFonts w:ascii="Times New Roman"/>
                <w:sz w:val="18"/>
              </w:rPr>
              <w:t>1,750,000.00</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49" w:right="0"/>
              <w:jc w:val="left"/>
              <w:rPr>
                <w:rFonts w:ascii="Times New Roman" w:hAnsi="Times New Roman" w:cs="Times New Roman" w:eastAsia="Times New Roman" w:hint="default"/>
                <w:sz w:val="18"/>
                <w:szCs w:val="18"/>
              </w:rPr>
            </w:pPr>
            <w:r>
              <w:rPr>
                <w:rFonts w:ascii="Times New Roman"/>
                <w:sz w:val="18"/>
              </w:rPr>
              <w:t>2.78</w:t>
            </w:r>
          </w:p>
        </w:tc>
        <w:tc>
          <w:tcPr>
            <w:tcW w:w="791" w:type="dxa"/>
            <w:tcBorders>
              <w:top w:val="single" w:sz="6" w:space="0" w:color="101010"/>
              <w:left w:val="single" w:sz="6" w:space="0" w:color="101010"/>
              <w:bottom w:val="single" w:sz="6" w:space="0" w:color="101010"/>
              <w:right w:val="single" w:sz="6" w:space="0" w:color="101010"/>
            </w:tcBorders>
          </w:tcPr>
          <w:p>
            <w:pPr/>
          </w:p>
        </w:tc>
        <w:tc>
          <w:tcPr>
            <w:tcW w:w="565" w:type="dxa"/>
            <w:tcBorders>
              <w:top w:val="single" w:sz="6" w:space="0" w:color="101010"/>
              <w:left w:val="single" w:sz="6" w:space="0" w:color="101010"/>
              <w:bottom w:val="single" w:sz="6" w:space="0" w:color="101010"/>
              <w:right w:val="single" w:sz="6" w:space="0" w:color="101010"/>
            </w:tcBorders>
          </w:tcPr>
          <w:p>
            <w:pPr/>
          </w:p>
        </w:tc>
        <w:tc>
          <w:tcPr>
            <w:tcW w:w="1014"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right="777"/>
        <w:jc w:val="left"/>
      </w:pPr>
      <w:r>
        <w:rPr>
          <w:rFonts w:ascii="Times New Roman" w:hAnsi="Times New Roman" w:cs="Times New Roman" w:eastAsia="Times New Roman" w:hint="default"/>
        </w:rPr>
        <w:t>2</w:t>
      </w:r>
      <w:r>
        <w:rPr/>
        <w:t>、共同对外投资的重大关联交易</w:t>
      </w:r>
    </w:p>
    <w:p>
      <w:pPr>
        <w:pStyle w:val="BodyText"/>
        <w:spacing w:line="264" w:lineRule="auto" w:before="21"/>
        <w:ind w:right="853" w:firstLine="209"/>
        <w:jc w:val="both"/>
      </w:pPr>
      <w:r>
        <w:rPr>
          <w:rFonts w:ascii="Times New Roman" w:hAnsi="Times New Roman" w:cs="Times New Roman" w:eastAsia="Times New Roman" w:hint="default"/>
        </w:rPr>
        <w:t>1)</w:t>
      </w:r>
      <w:r>
        <w:rPr/>
        <w:t>、本公司出资 </w:t>
      </w:r>
      <w:r>
        <w:rPr>
          <w:rFonts w:ascii="Times New Roman" w:hAnsi="Times New Roman" w:cs="Times New Roman" w:eastAsia="Times New Roman" w:hint="default"/>
        </w:rPr>
        <w:t>1,540</w:t>
      </w:r>
      <w:r>
        <w:rPr>
          <w:rFonts w:ascii="Times New Roman" w:hAnsi="Times New Roman" w:cs="Times New Roman" w:eastAsia="Times New Roman" w:hint="default"/>
          <w:spacing w:val="-27"/>
        </w:rPr>
        <w:t> </w:t>
      </w:r>
      <w:r>
        <w:rPr/>
        <w:t>万元与公司控股股东杭州恒生电子集团有限公司、参股子公司杭州恒</w:t>
      </w:r>
      <w:r>
        <w:rPr>
          <w:w w:val="99"/>
        </w:rPr>
        <w:t> </w:t>
      </w:r>
      <w:r>
        <w:rPr>
          <w:spacing w:val="-2"/>
        </w:rPr>
        <w:t>生世纪实业有限公司共同投资无锡恒华科技发展有限公司。该企业的主营业务是无锡恒华科技</w:t>
      </w:r>
      <w:r>
        <w:rPr>
          <w:spacing w:val="-83"/>
        </w:rPr>
        <w:t> </w:t>
      </w:r>
      <w:r>
        <w:rPr>
          <w:spacing w:val="-83"/>
        </w:rPr>
      </w:r>
      <w:r>
        <w:rPr/>
        <w:t>园的建设与运营，注册资本为</w:t>
      </w:r>
      <w:r>
        <w:rPr>
          <w:spacing w:val="-5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7"/>
        </w:rPr>
        <w:t> </w:t>
      </w:r>
      <w:r>
        <w:rPr/>
        <w:t>万元，无锡恒华科技园一期工程已基本竣工。该事项已于</w:t>
      </w:r>
    </w:p>
    <w:p>
      <w:pPr>
        <w:pStyle w:val="BodyText"/>
        <w:spacing w:line="256" w:lineRule="auto" w:before="0"/>
        <w:ind w:left="433" w:right="777" w:hanging="316"/>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日刊登在《上海证券报》上。 为推动无锡恒华公司的进一步发展，公司与上述两家关联公司一起同比例向无锡恒华公司</w:t>
      </w:r>
    </w:p>
    <w:p>
      <w:pPr>
        <w:pStyle w:val="BodyText"/>
        <w:spacing w:line="240" w:lineRule="auto" w:before="22"/>
        <w:ind w:right="777"/>
        <w:jc w:val="left"/>
      </w:pPr>
      <w:r>
        <w:rPr/>
        <w:t>进行增资，其中公司增资</w:t>
      </w:r>
      <w:r>
        <w:rPr>
          <w:spacing w:val="-43"/>
        </w:rPr>
        <w:t> </w:t>
      </w:r>
      <w:r>
        <w:rPr>
          <w:rFonts w:ascii="Times New Roman" w:hAnsi="Times New Roman" w:cs="Times New Roman" w:eastAsia="Times New Roman" w:hint="default"/>
        </w:rPr>
        <w:t>1540</w:t>
      </w:r>
      <w:r>
        <w:rPr>
          <w:rFonts w:ascii="Times New Roman" w:hAnsi="Times New Roman" w:cs="Times New Roman" w:eastAsia="Times New Roman" w:hint="default"/>
          <w:spacing w:val="10"/>
        </w:rPr>
        <w:t> </w:t>
      </w:r>
      <w:r>
        <w:rPr/>
        <w:t>万元，杭州恒生电子集团有限公司增资</w:t>
      </w:r>
      <w:r>
        <w:rPr>
          <w:spacing w:val="-43"/>
        </w:rPr>
        <w:t> </w:t>
      </w:r>
      <w:r>
        <w:rPr>
          <w:rFonts w:ascii="Times New Roman" w:hAnsi="Times New Roman" w:cs="Times New Roman" w:eastAsia="Times New Roman" w:hint="default"/>
        </w:rPr>
        <w:t>420</w:t>
      </w:r>
      <w:r>
        <w:rPr>
          <w:rFonts w:ascii="Times New Roman" w:hAnsi="Times New Roman" w:cs="Times New Roman" w:eastAsia="Times New Roman" w:hint="default"/>
          <w:spacing w:val="10"/>
        </w:rPr>
        <w:t> </w:t>
      </w:r>
      <w:r>
        <w:rPr/>
        <w:t>万元，杭州恒生世</w:t>
      </w:r>
    </w:p>
    <w:p>
      <w:pPr>
        <w:pStyle w:val="BodyText"/>
        <w:spacing w:line="256" w:lineRule="auto" w:before="21"/>
        <w:ind w:right="843"/>
        <w:jc w:val="left"/>
      </w:pPr>
      <w:r>
        <w:rPr/>
        <w:t>纪实业有限公司增资</w:t>
      </w:r>
      <w:r>
        <w:rPr>
          <w:spacing w:val="-43"/>
        </w:rPr>
        <w:t> </w:t>
      </w:r>
      <w:r>
        <w:rPr>
          <w:rFonts w:ascii="Times New Roman" w:hAnsi="Times New Roman" w:cs="Times New Roman" w:eastAsia="Times New Roman" w:hint="default"/>
        </w:rPr>
        <w:t>560</w:t>
      </w:r>
      <w:r>
        <w:rPr>
          <w:rFonts w:ascii="Times New Roman" w:hAnsi="Times New Roman" w:cs="Times New Roman" w:eastAsia="Times New Roman" w:hint="default"/>
          <w:spacing w:val="10"/>
        </w:rPr>
        <w:t> </w:t>
      </w:r>
      <w:r>
        <w:rPr/>
        <w:t>万元。增资后，无锡恒华公司的注册资金将达到</w:t>
      </w:r>
      <w:r>
        <w:rPr>
          <w:spacing w:val="-4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t>万元，我公司 仍然持有无锡恒华公司 </w:t>
      </w:r>
      <w:r>
        <w:rPr>
          <w:rFonts w:ascii="Times New Roman" w:hAnsi="Times New Roman" w:cs="Times New Roman" w:eastAsia="Times New Roman" w:hint="default"/>
        </w:rPr>
        <w:t>55%</w:t>
      </w:r>
      <w:r>
        <w:rPr/>
        <w:t>的股权</w:t>
      </w:r>
      <w:r>
        <w:rPr>
          <w:spacing w:val="-56"/>
        </w:rPr>
        <w:t> </w:t>
      </w:r>
      <w:r>
        <w:rPr/>
        <w:t>。以上共同投资构成关联交易</w:t>
      </w:r>
    </w:p>
    <w:p>
      <w:pPr>
        <w:spacing w:line="240" w:lineRule="auto" w:before="0"/>
        <w:rPr>
          <w:rFonts w:ascii="宋体" w:hAnsi="宋体" w:cs="宋体" w:eastAsia="宋体" w:hint="default"/>
          <w:sz w:val="22"/>
          <w:szCs w:val="22"/>
        </w:rPr>
      </w:pPr>
    </w:p>
    <w:p>
      <w:pPr>
        <w:pStyle w:val="BodyText"/>
        <w:spacing w:line="256" w:lineRule="auto" w:before="185"/>
        <w:ind w:left="328" w:right="6866"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托管情况</w:t>
      </w:r>
      <w:r>
        <w:rPr>
          <w:w w:val="99"/>
        </w:rPr>
        <w:t> </w:t>
      </w:r>
      <w:r>
        <w:rPr/>
        <w:t>本年度公司无托管事项。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56" w:lineRule="auto" w:before="0"/>
        <w:ind w:left="327" w:right="6867" w:hanging="21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承包情况</w:t>
      </w:r>
      <w:r>
        <w:rPr>
          <w:w w:val="99"/>
        </w:rPr>
        <w:t> </w:t>
      </w:r>
      <w:r>
        <w:rPr/>
        <w:t>本年度公司无承包事项。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56" w:lineRule="auto" w:before="0"/>
        <w:ind w:left="327" w:right="6867" w:hanging="212"/>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租赁情况</w:t>
      </w:r>
      <w:r>
        <w:rPr>
          <w:w w:val="99"/>
        </w:rPr>
        <w:t> </w:t>
      </w:r>
      <w:r>
        <w:rPr/>
        <w:t>本年度公司无租赁事项。</w:t>
      </w:r>
    </w:p>
    <w:p>
      <w:pPr>
        <w:spacing w:after="0" w:line="256" w:lineRule="auto"/>
        <w:jc w:val="left"/>
        <w:sectPr>
          <w:pgSz w:w="11910" w:h="16840"/>
          <w:pgMar w:header="0" w:footer="1243" w:top="1360" w:bottom="1440" w:left="1680" w:right="700"/>
        </w:sectPr>
      </w:pPr>
    </w:p>
    <w:p>
      <w:pPr>
        <w:spacing w:line="240" w:lineRule="auto" w:before="9"/>
        <w:rPr>
          <w:rFonts w:ascii="宋体" w:hAnsi="宋体" w:cs="宋体" w:eastAsia="宋体" w:hint="default"/>
          <w:sz w:val="19"/>
          <w:szCs w:val="19"/>
        </w:rPr>
      </w:pPr>
    </w:p>
    <w:p>
      <w:pPr>
        <w:pStyle w:val="BodyText"/>
        <w:spacing w:line="240" w:lineRule="auto" w:before="35"/>
        <w:ind w:right="3876"/>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担保情况</w:t>
      </w:r>
    </w:p>
    <w:p>
      <w:pPr>
        <w:pStyle w:val="BodyText"/>
        <w:spacing w:line="240" w:lineRule="auto" w:before="21"/>
        <w:ind w:left="0" w:right="101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73"/>
        <w:gridCol w:w="966"/>
        <w:gridCol w:w="2387"/>
        <w:gridCol w:w="624"/>
        <w:gridCol w:w="2700"/>
        <w:gridCol w:w="750"/>
        <w:gridCol w:w="750"/>
      </w:tblGrid>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5"/>
              <w:ind w:left="261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264" w:hRule="exact"/>
        </w:trPr>
        <w:tc>
          <w:tcPr>
            <w:tcW w:w="12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担保对象</w:t>
            </w:r>
          </w:p>
        </w:tc>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发生日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p>
            <w:pPr>
              <w:pStyle w:val="TableParagraph"/>
              <w:spacing w:line="273" w:lineRule="auto" w:before="37"/>
              <w:ind w:left="99" w:right="9" w:hanging="90"/>
              <w:jc w:val="center"/>
              <w:rPr>
                <w:rFonts w:ascii="宋体" w:hAnsi="宋体" w:cs="宋体" w:eastAsia="宋体" w:hint="default"/>
                <w:sz w:val="21"/>
                <w:szCs w:val="21"/>
              </w:rPr>
            </w:pPr>
            <w:r>
              <w:rPr>
                <w:rFonts w:ascii="宋体" w:hAnsi="宋体" w:cs="宋体" w:eastAsia="宋体" w:hint="default"/>
                <w:sz w:val="21"/>
                <w:szCs w:val="21"/>
              </w:rPr>
              <w:t>（协议 签署日）</w:t>
            </w:r>
          </w:p>
        </w:tc>
        <w:tc>
          <w:tcPr>
            <w:tcW w:w="23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6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62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99"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3" w:lineRule="auto" w:before="37"/>
              <w:ind w:left="199" w:right="198"/>
              <w:jc w:val="both"/>
              <w:rPr>
                <w:rFonts w:ascii="宋体" w:hAnsi="宋体" w:cs="宋体" w:eastAsia="宋体" w:hint="default"/>
                <w:sz w:val="21"/>
                <w:szCs w:val="21"/>
              </w:rPr>
            </w:pPr>
            <w:r>
              <w:rPr>
                <w:rFonts w:ascii="宋体" w:hAnsi="宋体" w:cs="宋体" w:eastAsia="宋体" w:hint="default"/>
                <w:sz w:val="21"/>
                <w:szCs w:val="21"/>
              </w:rPr>
              <w:t>保 类 型</w:t>
            </w:r>
          </w:p>
        </w:tc>
        <w:tc>
          <w:tcPr>
            <w:tcW w:w="2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57" w:right="156"/>
              <w:jc w:val="both"/>
              <w:rPr>
                <w:rFonts w:ascii="宋体" w:hAnsi="宋体" w:cs="宋体" w:eastAsia="宋体" w:hint="default"/>
                <w:sz w:val="21"/>
                <w:szCs w:val="21"/>
              </w:rPr>
            </w:pPr>
            <w:r>
              <w:rPr>
                <w:rFonts w:ascii="宋体" w:hAnsi="宋体" w:cs="宋体" w:eastAsia="宋体" w:hint="default"/>
                <w:sz w:val="21"/>
                <w:szCs w:val="21"/>
              </w:rPr>
              <w:t>是否 履行 完毕</w:t>
            </w:r>
          </w:p>
        </w:tc>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62" w:lineRule="exact"/>
              <w:ind w:left="157"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57" w:right="156"/>
              <w:jc w:val="both"/>
              <w:rPr>
                <w:rFonts w:ascii="宋体" w:hAnsi="宋体" w:cs="宋体" w:eastAsia="宋体" w:hint="default"/>
                <w:sz w:val="21"/>
                <w:szCs w:val="21"/>
              </w:rPr>
            </w:pPr>
            <w:r>
              <w:rPr>
                <w:rFonts w:ascii="宋体" w:hAnsi="宋体" w:cs="宋体" w:eastAsia="宋体" w:hint="default"/>
                <w:sz w:val="21"/>
                <w:szCs w:val="21"/>
              </w:rPr>
              <w:t>为关 联方 担保</w:t>
            </w:r>
          </w:p>
        </w:tc>
      </w:tr>
      <w:tr>
        <w:trPr>
          <w:trHeight w:val="326"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4200" w:type="dxa"/>
            <w:gridSpan w:val="3"/>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4200" w:type="dxa"/>
            <w:gridSpan w:val="3"/>
            <w:tcBorders>
              <w:top w:val="single" w:sz="6" w:space="0" w:color="101010"/>
              <w:left w:val="single" w:sz="6" w:space="0" w:color="101010"/>
              <w:bottom w:val="single" w:sz="6" w:space="0" w:color="101010"/>
              <w:right w:val="single" w:sz="6" w:space="0" w:color="101010"/>
            </w:tcBorders>
          </w:tcPr>
          <w:p>
            <w:pPr/>
          </w:p>
        </w:tc>
      </w:tr>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90"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2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3,800</w:t>
            </w:r>
          </w:p>
        </w:tc>
      </w:tr>
      <w:tr>
        <w:trPr>
          <w:trHeight w:val="389"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42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3,800</w:t>
            </w:r>
          </w:p>
        </w:tc>
      </w:tr>
      <w:tr>
        <w:trPr>
          <w:trHeight w:val="466"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7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34"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42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3,800</w:t>
            </w:r>
          </w:p>
        </w:tc>
      </w:tr>
      <w:tr>
        <w:trPr>
          <w:trHeight w:val="390"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2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6.46</w:t>
            </w:r>
          </w:p>
        </w:tc>
      </w:tr>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90"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42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0</w:t>
            </w:r>
          </w:p>
        </w:tc>
      </w:tr>
      <w:tr>
        <w:trPr>
          <w:trHeight w:val="1020"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56" w:lineRule="auto" w:before="176"/>
              <w:ind w:left="100" w:right="92"/>
              <w:jc w:val="left"/>
              <w:rPr>
                <w:rFonts w:ascii="宋体" w:hAnsi="宋体" w:cs="宋体" w:eastAsia="宋体" w:hint="default"/>
                <w:sz w:val="21"/>
                <w:szCs w:val="21"/>
              </w:rPr>
            </w:pPr>
            <w:r>
              <w:rPr>
                <w:rFonts w:ascii="宋体" w:hAnsi="宋体" w:cs="宋体" w:eastAsia="宋体" w:hint="default"/>
                <w:spacing w:val="3"/>
                <w:sz w:val="21"/>
                <w:szCs w:val="21"/>
              </w:rPr>
              <w:t>直接或间接为资产负债率超过</w:t>
            </w:r>
            <w:r>
              <w:rPr>
                <w:rFonts w:ascii="宋体" w:hAnsi="宋体" w:cs="宋体" w:eastAsia="宋体" w:hint="default"/>
                <w:spacing w:val="12"/>
                <w:sz w:val="21"/>
                <w:szCs w:val="21"/>
              </w:rPr>
              <w:t> </w:t>
            </w:r>
            <w:r>
              <w:rPr>
                <w:rFonts w:ascii="Times New Roman" w:hAnsi="Times New Roman" w:cs="Times New Roman" w:eastAsia="Times New Roman" w:hint="default"/>
                <w:spacing w:val="3"/>
                <w:sz w:val="21"/>
                <w:szCs w:val="21"/>
              </w:rPr>
              <w:t>70</w:t>
            </w:r>
            <w:r>
              <w:rPr>
                <w:rFonts w:ascii="宋体" w:hAnsi="宋体" w:cs="宋体" w:eastAsia="宋体" w:hint="default"/>
                <w:spacing w:val="3"/>
                <w:sz w:val="21"/>
                <w:szCs w:val="21"/>
              </w:rPr>
              <w:t>％的被担保对象提供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的债务担保金额</w:t>
            </w:r>
          </w:p>
        </w:tc>
        <w:tc>
          <w:tcPr>
            <w:tcW w:w="42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r>
      <w:tr>
        <w:trPr>
          <w:trHeight w:val="389"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p>
        </w:tc>
        <w:tc>
          <w:tcPr>
            <w:tcW w:w="42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0</w:t>
            </w:r>
          </w:p>
        </w:tc>
      </w:tr>
      <w:tr>
        <w:trPr>
          <w:trHeight w:val="436" w:hRule="exact"/>
        </w:trPr>
        <w:tc>
          <w:tcPr>
            <w:tcW w:w="525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42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56" w:lineRule="auto" w:before="35"/>
        <w:ind w:left="328" w:right="6606" w:hanging="212"/>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委托理财情况</w:t>
      </w:r>
      <w:r>
        <w:rPr>
          <w:w w:val="99"/>
        </w:rPr>
        <w:t> </w:t>
      </w:r>
      <w:r>
        <w:rPr/>
        <w:t>本年度公司无委托理财事项。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56" w:lineRule="auto" w:before="0"/>
        <w:ind w:left="328" w:right="6606"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t>其他重大合同</w:t>
      </w:r>
      <w:r>
        <w:rPr>
          <w:w w:val="99"/>
        </w:rPr>
        <w:t> </w:t>
      </w:r>
      <w:r>
        <w:rPr/>
        <w:t>本年度公司无其他重大合同。</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0"/>
        <w:ind w:right="3876"/>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承诺事项履行情况</w:t>
      </w:r>
    </w:p>
    <w:p>
      <w:pPr>
        <w:pStyle w:val="BodyText"/>
        <w:spacing w:line="256" w:lineRule="auto" w:before="21"/>
        <w:ind w:left="116" w:right="3235"/>
        <w:jc w:val="left"/>
      </w:pPr>
      <w:r>
        <w:rPr>
          <w:rFonts w:ascii="Times New Roman" w:hAnsi="Times New Roman" w:cs="Times New Roman" w:eastAsia="Times New Roman" w:hint="default"/>
        </w:rPr>
        <w:t>1</w:t>
      </w:r>
      <w:r>
        <w:rPr/>
        <w:t>、公司或持股</w:t>
      </w:r>
      <w:r>
        <w:rPr>
          <w:spacing w:val="-57"/>
        </w:rPr>
        <w:t> </w:t>
      </w:r>
      <w:r>
        <w:rPr>
          <w:rFonts w:ascii="Times New Roman" w:hAnsi="Times New Roman" w:cs="Times New Roman" w:eastAsia="Times New Roman" w:hint="default"/>
        </w:rPr>
        <w:t>5%</w:t>
      </w:r>
      <w:r>
        <w:rPr/>
        <w:t>以上股东在报告期内或持续到报告期内的承诺事项 股改承诺及履行情况：</w:t>
      </w:r>
    </w:p>
    <w:p>
      <w:pPr>
        <w:pStyle w:val="BodyText"/>
        <w:spacing w:line="261" w:lineRule="auto" w:before="22"/>
        <w:ind w:left="116" w:right="994"/>
        <w:jc w:val="left"/>
      </w:pPr>
      <w:r>
        <w:rPr>
          <w:rFonts w:ascii="Times New Roman" w:hAnsi="Times New Roman" w:cs="Times New Roman" w:eastAsia="Times New Roman" w:hint="default"/>
        </w:rPr>
        <w:t>1</w:t>
      </w:r>
      <w:r>
        <w:rPr/>
        <w:t>、自非流通股获得上市流通权之日起，至少在</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个月内不上市交易或者转让，并在遵守前项 承诺的前提下，通过交易所挂牌交易出售的股份数量达到公司股份总数的</w:t>
      </w:r>
      <w:r>
        <w:rPr>
          <w:spacing w:val="-26"/>
        </w:rPr>
        <w:t> </w:t>
      </w:r>
      <w:r>
        <w:rPr>
          <w:rFonts w:ascii="Times New Roman" w:hAnsi="Times New Roman" w:cs="Times New Roman" w:eastAsia="Times New Roman" w:hint="default"/>
        </w:rPr>
        <w:t>1%</w:t>
      </w:r>
      <w:r>
        <w:rPr/>
        <w:t>的，自该事实发 生之日起两个工作日内作出公告。 </w:t>
      </w:r>
      <w:r>
        <w:rPr>
          <w:rFonts w:ascii="Times New Roman" w:hAnsi="Times New Roman" w:cs="Times New Roman" w:eastAsia="Times New Roman" w:hint="default"/>
        </w:rPr>
        <w:t>2</w:t>
      </w:r>
      <w:r>
        <w:rPr/>
        <w:t>、持有公司股份总数百分之五以上的非流通股股东在遵循前述所有承诺以外，还分别承诺：</w:t>
      </w:r>
    </w:p>
    <w:p>
      <w:pPr>
        <w:spacing w:after="0" w:line="261" w:lineRule="auto"/>
        <w:jc w:val="left"/>
        <w:sectPr>
          <w:pgSz w:w="11910" w:h="16840"/>
          <w:pgMar w:header="0" w:footer="1243" w:top="1600" w:bottom="1440" w:left="1680" w:right="540"/>
        </w:sectPr>
      </w:pPr>
    </w:p>
    <w:p>
      <w:pPr>
        <w:pStyle w:val="BodyText"/>
        <w:spacing w:line="240" w:lineRule="auto" w:before="25"/>
        <w:ind w:right="777"/>
        <w:jc w:val="left"/>
      </w:pPr>
      <w:r>
        <w:rPr/>
        <w:t>所持股份获得上市流通权之日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个月内不上市交易或转让的承诺期期满后，通过证券交易所</w:t>
      </w:r>
    </w:p>
    <w:p>
      <w:pPr>
        <w:pStyle w:val="BodyText"/>
        <w:spacing w:line="256" w:lineRule="auto" w:before="21"/>
        <w:ind w:right="839"/>
        <w:jc w:val="left"/>
      </w:pPr>
      <w:r>
        <w:rPr/>
        <w:t>挂牌交易出售股份，出售数量占公司股份总数的比例在</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个月内不超过</w:t>
      </w:r>
      <w:r>
        <w:rPr>
          <w:spacing w:val="-48"/>
        </w:rPr>
        <w:t> </w:t>
      </w:r>
      <w:r>
        <w:rPr>
          <w:rFonts w:ascii="Times New Roman" w:hAnsi="Times New Roman" w:cs="Times New Roman" w:eastAsia="Times New Roman" w:hint="default"/>
        </w:rPr>
        <w:t>5%</w:t>
      </w:r>
      <w:r>
        <w:rPr/>
        <w:t>，在</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个月内不 超过</w:t>
      </w:r>
      <w:r>
        <w:rPr>
          <w:spacing w:val="-53"/>
        </w:rPr>
        <w:t> </w:t>
      </w:r>
      <w:r>
        <w:rPr>
          <w:rFonts w:ascii="Times New Roman" w:hAnsi="Times New Roman" w:cs="Times New Roman" w:eastAsia="Times New Roman" w:hint="default"/>
        </w:rPr>
        <w:t>10%</w:t>
      </w:r>
      <w:r>
        <w:rPr/>
        <w:t>。 </w:t>
      </w:r>
      <w:r>
        <w:rPr>
          <w:rFonts w:ascii="Times New Roman" w:hAnsi="Times New Roman" w:cs="Times New Roman" w:eastAsia="Times New Roman" w:hint="default"/>
        </w:rPr>
        <w:t>3</w:t>
      </w:r>
      <w:r>
        <w:rPr/>
        <w:t>、杭州恒生电子集团有限公司承诺在股权分置改革方案实施后，以其持有的恒生电子 </w:t>
      </w:r>
      <w:r>
        <w:rPr>
          <w:rFonts w:ascii="Times New Roman" w:hAnsi="Times New Roman" w:cs="Times New Roman" w:eastAsia="Times New Roman" w:hint="default"/>
        </w:rPr>
        <w:t>400</w:t>
      </w:r>
      <w:r>
        <w:rPr>
          <w:rFonts w:ascii="Times New Roman" w:hAnsi="Times New Roman" w:cs="Times New Roman" w:eastAsia="Times New Roman" w:hint="default"/>
          <w:spacing w:val="-10"/>
        </w:rPr>
        <w:t> </w:t>
      </w:r>
      <w:r>
        <w:rPr/>
        <w:t>万 股股份用作对恒生电子员工实施期权激励计划使用。</w:t>
      </w:r>
    </w:p>
    <w:p>
      <w:pPr>
        <w:pStyle w:val="BodyText"/>
        <w:spacing w:line="273" w:lineRule="auto" w:before="22"/>
        <w:ind w:right="839" w:firstLine="421"/>
        <w:jc w:val="left"/>
      </w:pPr>
      <w:r>
        <w:rPr>
          <w:spacing w:val="-2"/>
        </w:rPr>
        <w:t>经核查，截至本核查报告签署之日，恒生电子限售股份持有人均严格履行了其在公司股权</w:t>
      </w:r>
      <w:r>
        <w:rPr/>
        <w:t> 分置改革方案中做出的各项承诺。由于公司实施了 </w:t>
      </w:r>
      <w:r>
        <w:rPr>
          <w:rFonts w:ascii="Times New Roman" w:hAnsi="Times New Roman" w:cs="Times New Roman" w:eastAsia="Times New Roman" w:hint="default"/>
        </w:rPr>
        <w:t>2005</w:t>
      </w:r>
      <w:r>
        <w:rPr>
          <w:rFonts w:ascii="Times New Roman" w:hAnsi="Times New Roman" w:cs="Times New Roman" w:eastAsia="Times New Roman" w:hint="default"/>
          <w:spacing w:val="-10"/>
        </w:rPr>
        <w:t> </w:t>
      </w:r>
      <w:r>
        <w:rPr/>
        <w:t>年度利润分配和资本公积金转增股本</w:t>
      </w:r>
    </w:p>
    <w:p>
      <w:pPr>
        <w:pStyle w:val="BodyText"/>
        <w:spacing w:line="280" w:lineRule="exact" w:before="0"/>
        <w:ind w:right="777"/>
        <w:jc w:val="left"/>
      </w:pPr>
      <w:r>
        <w:rPr/>
        <w:t>方案，公司的总股本由股权分置改革完成时的</w:t>
      </w:r>
      <w:r>
        <w:rPr>
          <w:spacing w:val="-60"/>
        </w:rPr>
        <w:t> </w:t>
      </w:r>
      <w:r>
        <w:rPr>
          <w:rFonts w:ascii="Times New Roman" w:hAnsi="Times New Roman" w:cs="Times New Roman" w:eastAsia="Times New Roman" w:hint="default"/>
        </w:rPr>
        <w:t>10200</w:t>
      </w:r>
      <w:r>
        <w:rPr>
          <w:rFonts w:ascii="Times New Roman" w:hAnsi="Times New Roman" w:cs="Times New Roman" w:eastAsia="Times New Roman" w:hint="default"/>
          <w:spacing w:val="-8"/>
        </w:rPr>
        <w:t> </w:t>
      </w:r>
      <w:r>
        <w:rPr/>
        <w:t>万股变更为</w:t>
      </w:r>
      <w:r>
        <w:rPr>
          <w:spacing w:val="-60"/>
        </w:rPr>
        <w:t> </w:t>
      </w:r>
      <w:r>
        <w:rPr>
          <w:rFonts w:ascii="Times New Roman" w:hAnsi="Times New Roman" w:cs="Times New Roman" w:eastAsia="Times New Roman" w:hint="default"/>
        </w:rPr>
        <w:t>14280</w:t>
      </w:r>
      <w:r>
        <w:rPr>
          <w:rFonts w:ascii="Times New Roman" w:hAnsi="Times New Roman" w:cs="Times New Roman" w:eastAsia="Times New Roman" w:hint="default"/>
          <w:spacing w:val="-8"/>
        </w:rPr>
        <w:t> </w:t>
      </w:r>
      <w:r>
        <w:rPr>
          <w:spacing w:val="-4"/>
        </w:rPr>
        <w:t>万股。因此集团公司用</w:t>
      </w:r>
    </w:p>
    <w:p>
      <w:pPr>
        <w:pStyle w:val="BodyText"/>
        <w:spacing w:line="240" w:lineRule="auto" w:before="21"/>
        <w:ind w:right="735"/>
        <w:jc w:val="left"/>
      </w:pPr>
      <w:r>
        <w:rPr/>
        <w:t>于激励的股票数额相应由</w:t>
      </w:r>
      <w:r>
        <w:rPr>
          <w:spacing w:val="-54"/>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万股变更为</w:t>
      </w:r>
      <w:r>
        <w:rPr>
          <w:spacing w:val="-54"/>
        </w:rPr>
        <w:t> </w:t>
      </w:r>
      <w:r>
        <w:rPr>
          <w:rFonts w:ascii="Times New Roman" w:hAnsi="Times New Roman" w:cs="Times New Roman" w:eastAsia="Times New Roman" w:hint="default"/>
        </w:rPr>
        <w:t>560</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月董事会审议同意将其中的</w:t>
      </w:r>
      <w:r>
        <w:rPr>
          <w:spacing w:val="-54"/>
        </w:rPr>
        <w:t> </w:t>
      </w:r>
      <w:r>
        <w:rPr>
          <w:rFonts w:ascii="Times New Roman" w:hAnsi="Times New Roman" w:cs="Times New Roman" w:eastAsia="Times New Roman" w:hint="default"/>
        </w:rPr>
        <w:t>4</w:t>
      </w:r>
      <w:r>
        <w:rPr/>
        <w:t>，</w:t>
      </w:r>
    </w:p>
    <w:p>
      <w:pPr>
        <w:pStyle w:val="BodyText"/>
        <w:spacing w:line="240" w:lineRule="auto" w:before="21"/>
        <w:ind w:right="777"/>
        <w:jc w:val="left"/>
      </w:pPr>
      <w:r>
        <w:rPr>
          <w:rFonts w:ascii="Times New Roman" w:hAnsi="Times New Roman" w:cs="Times New Roman" w:eastAsia="Times New Roman" w:hint="default"/>
        </w:rPr>
        <w:t>238</w:t>
      </w:r>
      <w:r>
        <w:rPr/>
        <w:t>，</w:t>
      </w:r>
      <w:r>
        <w:rPr>
          <w:rFonts w:ascii="Times New Roman" w:hAnsi="Times New Roman" w:cs="Times New Roman" w:eastAsia="Times New Roman" w:hint="default"/>
        </w:rPr>
        <w:t>915</w:t>
      </w:r>
      <w:r>
        <w:rPr>
          <w:rFonts w:ascii="Times New Roman" w:hAnsi="Times New Roman" w:cs="Times New Roman" w:eastAsia="Times New Roman" w:hint="default"/>
          <w:spacing w:val="-2"/>
        </w:rPr>
        <w:t> </w:t>
      </w:r>
      <w:r>
        <w:rPr/>
        <w:t>股转让给公司部分员工，上述事项于</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月办理完毕。</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0"/>
          <w:szCs w:val="20"/>
        </w:rPr>
      </w:pPr>
    </w:p>
    <w:p>
      <w:pPr>
        <w:pStyle w:val="BodyText"/>
        <w:spacing w:line="256" w:lineRule="auto" w:before="0"/>
        <w:ind w:left="538" w:right="854" w:hanging="422"/>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聘任、解聘会计师事务所情况</w:t>
      </w:r>
      <w:r>
        <w:rPr>
          <w:w w:val="99"/>
        </w:rPr>
        <w:t> </w:t>
      </w:r>
      <w:r>
        <w:rPr>
          <w:spacing w:val="-2"/>
        </w:rPr>
        <w:t>报告期内，公司未改聘会计师事务所，公司现聘任浙江天健会计师事务所为公司的境内审</w:t>
      </w:r>
    </w:p>
    <w:p>
      <w:pPr>
        <w:pStyle w:val="BodyText"/>
        <w:spacing w:line="240" w:lineRule="auto" w:before="22"/>
        <w:ind w:left="116" w:right="777"/>
        <w:jc w:val="left"/>
      </w:pPr>
      <w:r>
        <w:rPr/>
        <w:t>计机构，拟支付其年度审计工作的酬金共约</w:t>
      </w:r>
      <w:r>
        <w:rPr>
          <w:spacing w:val="-54"/>
        </w:rPr>
        <w:t> </w:t>
      </w:r>
      <w:r>
        <w:rPr>
          <w:rFonts w:ascii="Times New Roman" w:hAnsi="Times New Roman" w:cs="Times New Roman" w:eastAsia="Times New Roman" w:hint="default"/>
        </w:rPr>
        <w:t>73</w:t>
      </w:r>
      <w:r>
        <w:rPr>
          <w:rFonts w:ascii="Times New Roman" w:hAnsi="Times New Roman" w:cs="Times New Roman" w:eastAsia="Times New Roman" w:hint="default"/>
          <w:spacing w:val="-2"/>
        </w:rPr>
        <w:t> </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7"/>
          <w:szCs w:val="17"/>
        </w:rPr>
      </w:pPr>
    </w:p>
    <w:p>
      <w:pPr>
        <w:pStyle w:val="BodyText"/>
        <w:spacing w:line="256" w:lineRule="auto" w:before="0"/>
        <w:ind w:left="536" w:right="777" w:hanging="420"/>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t>上市公司及其董事、监事、高级管理人员、公司股东、实际控制人处罚及整改情况</w:t>
      </w:r>
      <w:r>
        <w:rPr>
          <w:w w:val="99"/>
        </w:rPr>
        <w:t> </w:t>
      </w:r>
      <w:r>
        <w:rPr>
          <w:spacing w:val="-2"/>
        </w:rPr>
        <w:t>报告期内公司及其董事、监事、高级管理人员、公司股东、实际控制人均未受中国证监会</w:t>
      </w:r>
    </w:p>
    <w:p>
      <w:pPr>
        <w:pStyle w:val="BodyText"/>
        <w:spacing w:line="240" w:lineRule="auto" w:before="22"/>
        <w:ind w:left="116" w:right="777"/>
        <w:jc w:val="left"/>
      </w:pPr>
      <w:r>
        <w:rPr/>
        <w:t>的稽查、行政处罚、通报批评及证券交易所的公开谴责。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56" w:lineRule="auto" w:before="138"/>
        <w:ind w:left="116" w:right="4628"/>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其它重大事项及其影响和解决方案的分析说明</w:t>
      </w:r>
      <w:r>
        <w:rPr>
          <w:w w:val="99"/>
        </w:rPr>
        <w:t> </w:t>
      </w:r>
      <w:r>
        <w:rPr>
          <w:rFonts w:ascii="Times New Roman" w:hAnsi="Times New Roman" w:cs="Times New Roman" w:eastAsia="Times New Roman" w:hint="default"/>
        </w:rPr>
        <w:t>1</w:t>
      </w:r>
      <w:r>
        <w:rPr/>
        <w:t>、证券投资情况</w:t>
      </w:r>
    </w:p>
    <w:tbl>
      <w:tblPr>
        <w:tblW w:w="0" w:type="auto"/>
        <w:jc w:val="left"/>
        <w:tblInd w:w="101" w:type="dxa"/>
        <w:tblLayout w:type="fixed"/>
        <w:tblCellMar>
          <w:top w:w="0" w:type="dxa"/>
          <w:left w:w="0" w:type="dxa"/>
          <w:bottom w:w="0" w:type="dxa"/>
          <w:right w:w="0" w:type="dxa"/>
        </w:tblCellMar>
        <w:tblLook w:val="01E0"/>
      </w:tblPr>
      <w:tblGrid>
        <w:gridCol w:w="445"/>
        <w:gridCol w:w="505"/>
        <w:gridCol w:w="866"/>
        <w:gridCol w:w="565"/>
        <w:gridCol w:w="1488"/>
        <w:gridCol w:w="1448"/>
        <w:gridCol w:w="1469"/>
        <w:gridCol w:w="1044"/>
        <w:gridCol w:w="1469"/>
      </w:tblGrid>
      <w:tr>
        <w:trPr>
          <w:trHeight w:val="1262"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109" w:right="109"/>
              <w:jc w:val="left"/>
              <w:rPr>
                <w:rFonts w:ascii="宋体" w:hAnsi="宋体" w:cs="宋体" w:eastAsia="宋体" w:hint="default"/>
                <w:sz w:val="21"/>
                <w:szCs w:val="21"/>
              </w:rPr>
            </w:pPr>
            <w:r>
              <w:rPr>
                <w:rFonts w:ascii="宋体" w:hAnsi="宋体" w:cs="宋体" w:eastAsia="宋体" w:hint="default"/>
                <w:sz w:val="21"/>
                <w:szCs w:val="21"/>
              </w:rPr>
              <w:t>序 号</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139" w:right="139"/>
              <w:jc w:val="both"/>
              <w:rPr>
                <w:rFonts w:ascii="宋体" w:hAnsi="宋体" w:cs="宋体" w:eastAsia="宋体" w:hint="default"/>
                <w:sz w:val="21"/>
                <w:szCs w:val="21"/>
              </w:rPr>
            </w:pPr>
            <w:r>
              <w:rPr>
                <w:rFonts w:ascii="宋体" w:hAnsi="宋体" w:cs="宋体" w:eastAsia="宋体" w:hint="default"/>
                <w:sz w:val="21"/>
                <w:szCs w:val="21"/>
              </w:rPr>
              <w:t>证 券 品 种</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319" w:right="110"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169" w:right="169"/>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86" w:firstLine="97"/>
              <w:jc w:val="both"/>
              <w:rPr>
                <w:rFonts w:ascii="宋体" w:hAnsi="宋体" w:cs="宋体" w:eastAsia="宋体" w:hint="default"/>
                <w:sz w:val="21"/>
                <w:szCs w:val="21"/>
              </w:rPr>
            </w:pPr>
            <w:r>
              <w:rPr>
                <w:rFonts w:ascii="宋体" w:hAnsi="宋体" w:cs="宋体" w:eastAsia="宋体" w:hint="default"/>
                <w:sz w:val="21"/>
                <w:szCs w:val="21"/>
              </w:rPr>
              <w:t>占期末 证券总 投资比 例（％）</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1888"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79"/>
              <w:jc w:val="both"/>
              <w:rPr>
                <w:rFonts w:ascii="宋体" w:hAnsi="宋体" w:cs="宋体" w:eastAsia="宋体" w:hint="default"/>
                <w:sz w:val="21"/>
                <w:szCs w:val="21"/>
              </w:rPr>
            </w:pPr>
            <w:r>
              <w:rPr>
                <w:rFonts w:ascii="宋体" w:hAnsi="宋体" w:cs="宋体" w:eastAsia="宋体" w:hint="default"/>
                <w:sz w:val="21"/>
                <w:szCs w:val="21"/>
              </w:rPr>
              <w:t>开 放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z w:val="21"/>
              </w:rPr>
              <w:t>217008</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招</w:t>
            </w:r>
          </w:p>
          <w:p>
            <w:pPr>
              <w:pStyle w:val="TableParagraph"/>
              <w:spacing w:line="273" w:lineRule="auto" w:before="37"/>
              <w:ind w:left="100" w:right="237"/>
              <w:jc w:val="both"/>
              <w:rPr>
                <w:rFonts w:ascii="宋体" w:hAnsi="宋体" w:cs="宋体" w:eastAsia="宋体" w:hint="default"/>
                <w:sz w:val="21"/>
                <w:szCs w:val="21"/>
              </w:rPr>
            </w:pPr>
            <w:r>
              <w:rPr>
                <w:rFonts w:ascii="宋体" w:hAnsi="宋体" w:cs="宋体" w:eastAsia="宋体" w:hint="default"/>
                <w:sz w:val="21"/>
                <w:szCs w:val="21"/>
              </w:rPr>
              <w:t>商 安 本 增 利</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21,528,778.26</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18,900,575.14</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22,860,245.63</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23.56</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1,331,467.37</w:t>
            </w:r>
          </w:p>
        </w:tc>
      </w:tr>
      <w:tr>
        <w:trPr>
          <w:trHeight w:val="1886"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79"/>
              <w:jc w:val="both"/>
              <w:rPr>
                <w:rFonts w:ascii="宋体" w:hAnsi="宋体" w:cs="宋体" w:eastAsia="宋体" w:hint="default"/>
                <w:sz w:val="21"/>
                <w:szCs w:val="21"/>
              </w:rPr>
            </w:pPr>
            <w:r>
              <w:rPr>
                <w:rFonts w:ascii="宋体" w:hAnsi="宋体" w:cs="宋体" w:eastAsia="宋体" w:hint="default"/>
                <w:sz w:val="21"/>
                <w:szCs w:val="21"/>
              </w:rPr>
              <w:t>开 放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z w:val="21"/>
              </w:rPr>
              <w:t>070005</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嘉</w:t>
            </w:r>
          </w:p>
          <w:p>
            <w:pPr>
              <w:pStyle w:val="TableParagraph"/>
              <w:spacing w:line="273" w:lineRule="auto" w:before="37"/>
              <w:ind w:left="100" w:right="237"/>
              <w:jc w:val="both"/>
              <w:rPr>
                <w:rFonts w:ascii="宋体" w:hAnsi="宋体" w:cs="宋体" w:eastAsia="宋体" w:hint="default"/>
                <w:sz w:val="21"/>
                <w:szCs w:val="21"/>
              </w:rPr>
            </w:pPr>
            <w:r>
              <w:rPr>
                <w:rFonts w:ascii="宋体" w:hAnsi="宋体" w:cs="宋体" w:eastAsia="宋体" w:hint="default"/>
                <w:sz w:val="21"/>
                <w:szCs w:val="21"/>
              </w:rPr>
              <w:t>实 债 券 基 金</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8,540,185.73</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10,453,187.33</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10.77</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453,187.33</w:t>
            </w:r>
          </w:p>
        </w:tc>
      </w:tr>
      <w:tr>
        <w:trPr>
          <w:trHeight w:val="390"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封</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17"/>
              <w:jc w:val="center"/>
              <w:rPr>
                <w:rFonts w:ascii="Times New Roman" w:hAnsi="Times New Roman" w:cs="Times New Roman" w:eastAsia="Times New Roman" w:hint="default"/>
                <w:sz w:val="21"/>
                <w:szCs w:val="21"/>
              </w:rPr>
            </w:pPr>
            <w:r>
              <w:rPr>
                <w:rFonts w:ascii="Times New Roman"/>
                <w:sz w:val="21"/>
              </w:rPr>
              <w:t>184721</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基</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6,071,895.97</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2,900,200</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7"/>
              <w:jc w:val="right"/>
              <w:rPr>
                <w:rFonts w:ascii="Times New Roman" w:hAnsi="Times New Roman" w:cs="Times New Roman" w:eastAsia="Times New Roman" w:hint="default"/>
                <w:sz w:val="21"/>
                <w:szCs w:val="21"/>
              </w:rPr>
            </w:pPr>
            <w:r>
              <w:rPr>
                <w:rFonts w:ascii="Times New Roman"/>
                <w:spacing w:val="-1"/>
                <w:sz w:val="21"/>
              </w:rPr>
              <w:t>7,154,793.40</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7.37</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1,082,897.43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243" w:top="1400" w:bottom="1440" w:left="1680" w:right="70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45"/>
        <w:gridCol w:w="505"/>
        <w:gridCol w:w="866"/>
        <w:gridCol w:w="565"/>
        <w:gridCol w:w="1488"/>
        <w:gridCol w:w="1448"/>
        <w:gridCol w:w="1469"/>
        <w:gridCol w:w="1044"/>
        <w:gridCol w:w="1469"/>
      </w:tblGrid>
      <w:tr>
        <w:trPr>
          <w:trHeight w:val="1262" w:hRule="exact"/>
        </w:trPr>
        <w:tc>
          <w:tcPr>
            <w:tcW w:w="445" w:type="dxa"/>
            <w:tcBorders>
              <w:top w:val="single" w:sz="6" w:space="0" w:color="101010"/>
              <w:left w:val="single" w:sz="6" w:space="0" w:color="101010"/>
              <w:bottom w:val="single" w:sz="6" w:space="0" w:color="101010"/>
              <w:right w:val="single" w:sz="6" w:space="0" w:color="101010"/>
            </w:tcBorders>
          </w:tcPr>
          <w:p>
            <w:pP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闭</w:t>
            </w:r>
          </w:p>
          <w:p>
            <w:pPr>
              <w:pStyle w:val="TableParagraph"/>
              <w:spacing w:line="273" w:lineRule="auto" w:before="37"/>
              <w:ind w:left="100" w:right="179"/>
              <w:jc w:val="both"/>
              <w:rPr>
                <w:rFonts w:ascii="宋体" w:hAnsi="宋体" w:cs="宋体" w:eastAsia="宋体" w:hint="default"/>
                <w:sz w:val="21"/>
                <w:szCs w:val="21"/>
              </w:rPr>
            </w:pPr>
            <w:r>
              <w:rPr>
                <w:rFonts w:ascii="宋体" w:hAnsi="宋体" w:cs="宋体" w:eastAsia="宋体" w:hint="default"/>
                <w:sz w:val="21"/>
                <w:szCs w:val="21"/>
              </w:rPr>
              <w:t>式 基 金</w:t>
            </w:r>
          </w:p>
        </w:tc>
        <w:tc>
          <w:tcPr>
            <w:tcW w:w="866" w:type="dxa"/>
            <w:tcBorders>
              <w:top w:val="single" w:sz="6" w:space="0" w:color="101010"/>
              <w:left w:val="single" w:sz="6" w:space="0" w:color="101010"/>
              <w:bottom w:val="single" w:sz="6" w:space="0" w:color="101010"/>
              <w:right w:val="single" w:sz="6" w:space="0" w:color="101010"/>
            </w:tcBorders>
          </w:tcPr>
          <w:p>
            <w:pP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3" w:lineRule="auto" w:before="37"/>
              <w:ind w:left="100" w:right="238"/>
              <w:jc w:val="left"/>
              <w:rPr>
                <w:rFonts w:ascii="宋体" w:hAnsi="宋体" w:cs="宋体" w:eastAsia="宋体" w:hint="default"/>
                <w:sz w:val="21"/>
                <w:szCs w:val="21"/>
              </w:rPr>
            </w:pPr>
            <w:r>
              <w:rPr>
                <w:rFonts w:ascii="宋体" w:hAnsi="宋体" w:cs="宋体" w:eastAsia="宋体" w:hint="default"/>
                <w:sz w:val="21"/>
                <w:szCs w:val="21"/>
              </w:rPr>
              <w:t>丰 和</w:t>
            </w:r>
          </w:p>
        </w:tc>
        <w:tc>
          <w:tcPr>
            <w:tcW w:w="1488" w:type="dxa"/>
            <w:tcBorders>
              <w:top w:val="single" w:sz="6" w:space="0" w:color="101010"/>
              <w:left w:val="single" w:sz="6" w:space="0" w:color="101010"/>
              <w:bottom w:val="single" w:sz="6" w:space="0" w:color="101010"/>
              <w:right w:val="single" w:sz="6" w:space="0" w:color="101010"/>
            </w:tcBorders>
          </w:tcPr>
          <w:p>
            <w:pPr/>
          </w:p>
        </w:tc>
        <w:tc>
          <w:tcPr>
            <w:tcW w:w="1448" w:type="dxa"/>
            <w:tcBorders>
              <w:top w:val="single" w:sz="6" w:space="0" w:color="101010"/>
              <w:left w:val="single" w:sz="6" w:space="0" w:color="101010"/>
              <w:bottom w:val="single" w:sz="6" w:space="0" w:color="101010"/>
              <w:right w:val="single" w:sz="6" w:space="0" w:color="101010"/>
            </w:tcBorders>
          </w:tcPr>
          <w:p>
            <w:pPr/>
          </w:p>
        </w:tc>
        <w:tc>
          <w:tcPr>
            <w:tcW w:w="14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469" w:type="dxa"/>
            <w:tcBorders>
              <w:top w:val="single" w:sz="6" w:space="0" w:color="101010"/>
              <w:left w:val="single" w:sz="6" w:space="0" w:color="101010"/>
              <w:bottom w:val="single" w:sz="6" w:space="0" w:color="101010"/>
              <w:right w:val="single" w:sz="6" w:space="0" w:color="101010"/>
            </w:tcBorders>
          </w:tcPr>
          <w:p>
            <w:pPr/>
          </w:p>
        </w:tc>
      </w:tr>
      <w:tr>
        <w:trPr>
          <w:trHeight w:val="1576"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3" w:lineRule="auto" w:before="37"/>
              <w:ind w:left="100" w:right="179"/>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z w:val="21"/>
              </w:rPr>
              <w:t>375010</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37"/>
              <w:jc w:val="both"/>
              <w:rPr>
                <w:rFonts w:ascii="宋体" w:hAnsi="宋体" w:cs="宋体" w:eastAsia="宋体" w:hint="default"/>
                <w:sz w:val="21"/>
                <w:szCs w:val="21"/>
              </w:rPr>
            </w:pPr>
            <w:r>
              <w:rPr>
                <w:rFonts w:ascii="宋体" w:hAnsi="宋体" w:cs="宋体" w:eastAsia="宋体" w:hint="default"/>
                <w:sz w:val="21"/>
                <w:szCs w:val="21"/>
              </w:rPr>
              <w:t>中 国 优 势</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4,000,000.00</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1,204,741.26</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6,893,409.02</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7.1</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2,893,409.02</w:t>
            </w:r>
          </w:p>
        </w:tc>
      </w:tr>
      <w:tr>
        <w:trPr>
          <w:trHeight w:val="1574"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3" w:lineRule="auto" w:before="37"/>
              <w:ind w:left="100" w:right="179"/>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z w:val="21"/>
              </w:rPr>
              <w:t>377010</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3" w:lineRule="auto" w:before="37"/>
              <w:ind w:left="100" w:right="237"/>
              <w:jc w:val="both"/>
              <w:rPr>
                <w:rFonts w:ascii="宋体" w:hAnsi="宋体" w:cs="宋体" w:eastAsia="宋体" w:hint="default"/>
                <w:sz w:val="21"/>
                <w:szCs w:val="21"/>
              </w:rPr>
            </w:pPr>
            <w:r>
              <w:rPr>
                <w:rFonts w:ascii="宋体" w:hAnsi="宋体" w:cs="宋体" w:eastAsia="宋体" w:hint="default"/>
                <w:sz w:val="21"/>
                <w:szCs w:val="21"/>
              </w:rPr>
              <w:t>投 阿 尔 法</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950,400.00</w:t>
            </w:r>
            <w:r>
              <w:rPr>
                <w:rFonts w:ascii="Times New Roman"/>
                <w:sz w:val="21"/>
              </w:rPr>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990,000.00</w:t>
            </w:r>
            <w:r>
              <w:rPr>
                <w:rFonts w:ascii="Times New Roman"/>
                <w:sz w:val="21"/>
              </w:rPr>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6,415,299.00</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6.61</w:t>
            </w:r>
            <w:r>
              <w:rPr>
                <w:rFonts w:ascii="Times New Roman"/>
                <w:sz w:val="21"/>
              </w:rPr>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5,464,899.00</w:t>
            </w:r>
          </w:p>
        </w:tc>
      </w:tr>
      <w:tr>
        <w:trPr>
          <w:trHeight w:val="2512"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179"/>
              <w:jc w:val="both"/>
              <w:rPr>
                <w:rFonts w:ascii="宋体" w:hAnsi="宋体" w:cs="宋体" w:eastAsia="宋体" w:hint="default"/>
                <w:sz w:val="21"/>
                <w:szCs w:val="21"/>
              </w:rPr>
            </w:pPr>
            <w:r>
              <w:rPr>
                <w:rFonts w:ascii="宋体" w:hAnsi="宋体" w:cs="宋体" w:eastAsia="宋体" w:hint="default"/>
                <w:sz w:val="21"/>
                <w:szCs w:val="21"/>
              </w:rPr>
              <w:t>开 放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z w:val="21"/>
              </w:rPr>
              <w:t>202801</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南</w:t>
            </w:r>
          </w:p>
          <w:p>
            <w:pPr>
              <w:pStyle w:val="TableParagraph"/>
              <w:spacing w:line="273" w:lineRule="auto" w:before="37"/>
              <w:ind w:left="100" w:right="237"/>
              <w:jc w:val="both"/>
              <w:rPr>
                <w:rFonts w:ascii="宋体" w:hAnsi="宋体" w:cs="宋体" w:eastAsia="宋体" w:hint="default"/>
                <w:sz w:val="21"/>
                <w:szCs w:val="21"/>
              </w:rPr>
            </w:pPr>
            <w:r>
              <w:rPr>
                <w:rFonts w:ascii="宋体" w:hAnsi="宋体" w:cs="宋体" w:eastAsia="宋体" w:hint="default"/>
                <w:sz w:val="21"/>
                <w:szCs w:val="21"/>
              </w:rPr>
              <w:t>方 全 球 精 选 基 金</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6,196,858.50</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6,179,423.53</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5,821,016.97</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-375,841.53</w:t>
            </w:r>
          </w:p>
        </w:tc>
      </w:tr>
      <w:tr>
        <w:trPr>
          <w:trHeight w:val="1886"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00" w:right="0"/>
              <w:jc w:val="left"/>
              <w:rPr>
                <w:rFonts w:ascii="Times New Roman" w:hAnsi="Times New Roman" w:cs="Times New Roman" w:eastAsia="Times New Roman" w:hint="default"/>
                <w:sz w:val="21"/>
                <w:szCs w:val="21"/>
              </w:rPr>
            </w:pPr>
            <w:r>
              <w:rPr>
                <w:rFonts w:ascii="Times New Roman"/>
                <w:sz w:val="21"/>
              </w:rPr>
              <w:t>7</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179"/>
              <w:jc w:val="both"/>
              <w:rPr>
                <w:rFonts w:ascii="宋体" w:hAnsi="宋体" w:cs="宋体" w:eastAsia="宋体" w:hint="default"/>
                <w:sz w:val="21"/>
                <w:szCs w:val="21"/>
              </w:rPr>
            </w:pPr>
            <w:r>
              <w:rPr>
                <w:rFonts w:ascii="宋体" w:hAnsi="宋体" w:cs="宋体" w:eastAsia="宋体" w:hint="default"/>
                <w:sz w:val="21"/>
                <w:szCs w:val="21"/>
              </w:rPr>
              <w:t>开 放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7"/>
              <w:jc w:val="center"/>
              <w:rPr>
                <w:rFonts w:ascii="Times New Roman" w:hAnsi="Times New Roman" w:cs="Times New Roman" w:eastAsia="Times New Roman" w:hint="default"/>
                <w:sz w:val="21"/>
                <w:szCs w:val="21"/>
              </w:rPr>
            </w:pPr>
            <w:r>
              <w:rPr>
                <w:rFonts w:ascii="Times New Roman"/>
                <w:sz w:val="21"/>
              </w:rPr>
              <w:t>377016</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3" w:lineRule="auto" w:before="37"/>
              <w:ind w:left="100" w:right="237"/>
              <w:jc w:val="both"/>
              <w:rPr>
                <w:rFonts w:ascii="宋体" w:hAnsi="宋体" w:cs="宋体" w:eastAsia="宋体" w:hint="default"/>
                <w:sz w:val="21"/>
                <w:szCs w:val="21"/>
              </w:rPr>
            </w:pPr>
            <w:r>
              <w:rPr>
                <w:rFonts w:ascii="宋体" w:hAnsi="宋体" w:cs="宋体" w:eastAsia="宋体" w:hint="default"/>
                <w:sz w:val="21"/>
                <w:szCs w:val="21"/>
              </w:rPr>
              <w:t>投 亚 太 优 势</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6,167,144.29</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6,149,355.45</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5,479,075.71</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spacing w:val="-1"/>
                <w:sz w:val="21"/>
              </w:rPr>
              <w:t>5.65</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-688,068.58</w:t>
            </w:r>
          </w:p>
        </w:tc>
      </w:tr>
      <w:tr>
        <w:trPr>
          <w:trHeight w:val="1576"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3" w:lineRule="auto" w:before="37"/>
              <w:ind w:left="100" w:right="179"/>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z w:val="21"/>
              </w:rPr>
              <w:t>070012</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37"/>
              <w:jc w:val="both"/>
              <w:rPr>
                <w:rFonts w:ascii="宋体" w:hAnsi="宋体" w:cs="宋体" w:eastAsia="宋体" w:hint="default"/>
                <w:sz w:val="21"/>
                <w:szCs w:val="21"/>
              </w:rPr>
            </w:pPr>
            <w:r>
              <w:rPr>
                <w:rFonts w:ascii="宋体" w:hAnsi="宋体" w:cs="宋体" w:eastAsia="宋体" w:hint="default"/>
                <w:sz w:val="21"/>
                <w:szCs w:val="21"/>
              </w:rPr>
              <w:t>嘉 实 海 外</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6,117,665.10</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6,116,665.10</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5,315,381.97</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5.48</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-802,283.13</w:t>
            </w:r>
          </w:p>
        </w:tc>
      </w:tr>
      <w:tr>
        <w:trPr>
          <w:trHeight w:val="1574"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封</w:t>
            </w:r>
          </w:p>
          <w:p>
            <w:pPr>
              <w:pStyle w:val="TableParagraph"/>
              <w:spacing w:line="273" w:lineRule="auto" w:before="37"/>
              <w:ind w:left="100" w:right="179"/>
              <w:jc w:val="both"/>
              <w:rPr>
                <w:rFonts w:ascii="宋体" w:hAnsi="宋体" w:cs="宋体" w:eastAsia="宋体" w:hint="default"/>
                <w:sz w:val="21"/>
                <w:szCs w:val="21"/>
              </w:rPr>
            </w:pPr>
            <w:r>
              <w:rPr>
                <w:rFonts w:ascii="宋体" w:hAnsi="宋体" w:cs="宋体" w:eastAsia="宋体" w:hint="default"/>
                <w:sz w:val="21"/>
                <w:szCs w:val="21"/>
              </w:rPr>
              <w:t>闭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z w:val="21"/>
              </w:rPr>
              <w:t>184693</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37"/>
              <w:jc w:val="both"/>
              <w:rPr>
                <w:rFonts w:ascii="宋体" w:hAnsi="宋体" w:cs="宋体" w:eastAsia="宋体" w:hint="default"/>
                <w:sz w:val="21"/>
                <w:szCs w:val="21"/>
              </w:rPr>
            </w:pPr>
            <w:r>
              <w:rPr>
                <w:rFonts w:ascii="宋体" w:hAnsi="宋体" w:cs="宋体" w:eastAsia="宋体" w:hint="default"/>
                <w:sz w:val="21"/>
                <w:szCs w:val="21"/>
              </w:rPr>
              <w:t>基 金 普 丰</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3,254,535.83</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2,043,000</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4,954,275.00</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1,699,739.17</w:t>
            </w:r>
          </w:p>
        </w:tc>
      </w:tr>
      <w:tr>
        <w:trPr>
          <w:trHeight w:val="1576" w:hRule="exact"/>
        </w:trPr>
        <w:tc>
          <w:tcPr>
            <w:tcW w:w="4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w:t>
            </w:r>
          </w:p>
        </w:tc>
        <w:tc>
          <w:tcPr>
            <w:tcW w:w="50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封</w:t>
            </w:r>
          </w:p>
          <w:p>
            <w:pPr>
              <w:pStyle w:val="TableParagraph"/>
              <w:spacing w:line="273" w:lineRule="auto" w:before="37"/>
              <w:ind w:left="100" w:right="179"/>
              <w:jc w:val="both"/>
              <w:rPr>
                <w:rFonts w:ascii="宋体" w:hAnsi="宋体" w:cs="宋体" w:eastAsia="宋体" w:hint="default"/>
                <w:sz w:val="21"/>
                <w:szCs w:val="21"/>
              </w:rPr>
            </w:pPr>
            <w:r>
              <w:rPr>
                <w:rFonts w:ascii="宋体" w:hAnsi="宋体" w:cs="宋体" w:eastAsia="宋体" w:hint="default"/>
                <w:sz w:val="21"/>
                <w:szCs w:val="21"/>
              </w:rPr>
              <w:t>闭 式 基 金</w:t>
            </w:r>
          </w:p>
        </w:tc>
        <w:tc>
          <w:tcPr>
            <w:tcW w:w="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z w:val="21"/>
              </w:rPr>
              <w:t>184712</w:t>
            </w:r>
          </w:p>
        </w:tc>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before="141"/>
              <w:ind w:left="100" w:right="237"/>
              <w:jc w:val="both"/>
              <w:rPr>
                <w:rFonts w:ascii="宋体" w:hAnsi="宋体" w:cs="宋体" w:eastAsia="宋体" w:hint="default"/>
                <w:sz w:val="21"/>
                <w:szCs w:val="21"/>
              </w:rPr>
            </w:pPr>
            <w:r>
              <w:rPr>
                <w:rFonts w:ascii="宋体" w:hAnsi="宋体" w:cs="宋体" w:eastAsia="宋体" w:hint="default"/>
                <w:sz w:val="21"/>
                <w:szCs w:val="21"/>
              </w:rPr>
              <w:t>基 金 科 汇</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2,009,024.08</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921,847</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4,129,874.56</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4.26</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2,120,850.48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243" w:top="1360" w:bottom="1440" w:left="1680" w:right="70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382"/>
        <w:gridCol w:w="1488"/>
        <w:gridCol w:w="1448"/>
        <w:gridCol w:w="1469"/>
        <w:gridCol w:w="1044"/>
        <w:gridCol w:w="1469"/>
      </w:tblGrid>
      <w:tr>
        <w:trPr>
          <w:trHeight w:val="638" w:hRule="exact"/>
        </w:trPr>
        <w:tc>
          <w:tcPr>
            <w:tcW w:w="23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期末持有的其他证券投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5" w:right="0"/>
              <w:jc w:val="center"/>
              <w:rPr>
                <w:rFonts w:ascii="Times New Roman" w:hAnsi="Times New Roman" w:cs="Times New Roman" w:eastAsia="Times New Roman" w:hint="default"/>
                <w:sz w:val="21"/>
                <w:szCs w:val="21"/>
              </w:rPr>
            </w:pPr>
            <w:r>
              <w:rPr>
                <w:rFonts w:ascii="Times New Roman"/>
                <w:sz w:val="21"/>
              </w:rPr>
              <w:t>12,908,336.74</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8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7" w:right="0"/>
              <w:jc w:val="center"/>
              <w:rPr>
                <w:rFonts w:ascii="Times New Roman" w:hAnsi="Times New Roman" w:cs="Times New Roman" w:eastAsia="Times New Roman" w:hint="default"/>
                <w:sz w:val="21"/>
                <w:szCs w:val="21"/>
              </w:rPr>
            </w:pPr>
            <w:r>
              <w:rPr>
                <w:rFonts w:ascii="Times New Roman"/>
                <w:sz w:val="21"/>
              </w:rPr>
              <w:t>17,567,789.14</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61" w:right="0"/>
              <w:jc w:val="left"/>
              <w:rPr>
                <w:rFonts w:ascii="Times New Roman" w:hAnsi="Times New Roman" w:cs="Times New Roman" w:eastAsia="Times New Roman" w:hint="default"/>
                <w:sz w:val="21"/>
                <w:szCs w:val="21"/>
              </w:rPr>
            </w:pPr>
            <w:r>
              <w:rPr>
                <w:rFonts w:ascii="Times New Roman"/>
                <w:sz w:val="21"/>
              </w:rPr>
              <w:t>18.1</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4,659,452.4</w:t>
            </w:r>
          </w:p>
        </w:tc>
      </w:tr>
      <w:tr>
        <w:trPr>
          <w:trHeight w:val="640" w:hRule="exact"/>
        </w:trPr>
        <w:tc>
          <w:tcPr>
            <w:tcW w:w="238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报告期已出售证券投资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8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48,691,974.19</w:t>
            </w:r>
          </w:p>
        </w:tc>
      </w:tr>
      <w:tr>
        <w:trPr>
          <w:trHeight w:val="390" w:hRule="exact"/>
        </w:trPr>
        <w:tc>
          <w:tcPr>
            <w:tcW w:w="2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left="65" w:right="0"/>
              <w:jc w:val="center"/>
              <w:rPr>
                <w:rFonts w:ascii="Times New Roman" w:hAnsi="Times New Roman" w:cs="Times New Roman" w:eastAsia="Times New Roman" w:hint="default"/>
                <w:sz w:val="21"/>
                <w:szCs w:val="21"/>
              </w:rPr>
            </w:pPr>
            <w:r>
              <w:rPr>
                <w:rFonts w:ascii="Times New Roman"/>
                <w:sz w:val="21"/>
              </w:rPr>
              <w:t>79,204,638.77</w:t>
            </w:r>
          </w:p>
        </w:tc>
        <w:tc>
          <w:tcPr>
            <w:tcW w:w="14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left="68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left="46" w:right="0"/>
              <w:jc w:val="center"/>
              <w:rPr>
                <w:rFonts w:ascii="Times New Roman" w:hAnsi="Times New Roman" w:cs="Times New Roman" w:eastAsia="Times New Roman" w:hint="default"/>
                <w:sz w:val="21"/>
                <w:szCs w:val="21"/>
              </w:rPr>
            </w:pPr>
            <w:r>
              <w:rPr>
                <w:rFonts w:ascii="Times New Roman"/>
                <w:sz w:val="21"/>
              </w:rPr>
              <w:t>97,044,347.73</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left="268" w:right="0"/>
              <w:jc w:val="left"/>
              <w:rPr>
                <w:rFonts w:ascii="Times New Roman" w:hAnsi="Times New Roman" w:cs="Times New Roman" w:eastAsia="Times New Roman" w:hint="default"/>
                <w:sz w:val="21"/>
                <w:szCs w:val="21"/>
              </w:rPr>
            </w:pPr>
            <w:r>
              <w:rPr>
                <w:rFonts w:ascii="Times New Roman"/>
                <w:sz w:val="21"/>
              </w:rPr>
              <w:t>100%</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53,351,426.59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BodyText"/>
        <w:spacing w:line="240" w:lineRule="auto" w:before="35"/>
        <w:ind w:right="3876"/>
        <w:jc w:val="left"/>
      </w:pPr>
      <w:r>
        <w:rPr>
          <w:rFonts w:ascii="Times New Roman" w:hAnsi="Times New Roman" w:cs="Times New Roman" w:eastAsia="Times New Roman" w:hint="default"/>
        </w:rPr>
        <w:t>2</w:t>
      </w:r>
      <w:r>
        <w:rPr/>
        <w:t>、持有其他上市公司股权情况</w:t>
      </w:r>
    </w:p>
    <w:p>
      <w:pPr>
        <w:pStyle w:val="BodyText"/>
        <w:spacing w:line="240" w:lineRule="auto" w:before="21"/>
        <w:ind w:left="0" w:right="1013"/>
        <w:jc w:val="right"/>
      </w:pPr>
      <w:r>
        <w:rPr/>
        <w:t>单位</w:t>
      </w:r>
      <w:r>
        <w:rPr>
          <w:rFonts w:ascii="Times New Roman" w:hAnsi="Times New Roman" w:cs="Times New Roman" w:eastAsia="Times New Roman" w:hint="default"/>
        </w:rPr>
        <w:t>:</w:t>
      </w:r>
      <w:r>
        <w:rPr/>
        <w:t>万元</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868"/>
        <w:gridCol w:w="490"/>
        <w:gridCol w:w="1193"/>
        <w:gridCol w:w="1018"/>
        <w:gridCol w:w="1529"/>
        <w:gridCol w:w="1529"/>
        <w:gridCol w:w="1609"/>
        <w:gridCol w:w="576"/>
        <w:gridCol w:w="490"/>
      </w:tblGrid>
      <w:tr>
        <w:trPr>
          <w:trHeight w:val="1886" w:hRule="exact"/>
        </w:trPr>
        <w:tc>
          <w:tcPr>
            <w:tcW w:w="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21" w:right="109"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2" w:right="131"/>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1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379" w:right="166" w:hanging="210"/>
              <w:jc w:val="left"/>
              <w:rPr>
                <w:rFonts w:ascii="宋体" w:hAnsi="宋体" w:cs="宋体" w:eastAsia="宋体" w:hint="default"/>
                <w:sz w:val="21"/>
                <w:szCs w:val="21"/>
              </w:rPr>
            </w:pPr>
            <w:r>
              <w:rPr>
                <w:rFonts w:ascii="宋体" w:hAnsi="宋体" w:cs="宋体" w:eastAsia="宋体" w:hint="default"/>
                <w:sz w:val="21"/>
                <w:szCs w:val="21"/>
              </w:rPr>
              <w:t>初始投资 金额</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86" w:right="184"/>
              <w:jc w:val="both"/>
              <w:rPr>
                <w:rFonts w:ascii="宋体" w:hAnsi="宋体" w:cs="宋体" w:eastAsia="宋体" w:hint="default"/>
                <w:sz w:val="21"/>
                <w:szCs w:val="21"/>
              </w:rPr>
            </w:pPr>
            <w:r>
              <w:rPr>
                <w:rFonts w:ascii="宋体" w:hAnsi="宋体" w:cs="宋体" w:eastAsia="宋体" w:hint="default"/>
                <w:sz w:val="21"/>
                <w:szCs w:val="21"/>
              </w:rPr>
              <w:t>占该公 司股权 比例</w:t>
            </w:r>
          </w:p>
          <w:p>
            <w:pPr>
              <w:pStyle w:val="TableParagraph"/>
              <w:spacing w:line="240" w:lineRule="auto" w:before="8"/>
              <w:ind w:left="186" w:right="0"/>
              <w:jc w:val="both"/>
              <w:rPr>
                <w:rFonts w:ascii="宋体" w:hAnsi="宋体" w:cs="宋体" w:eastAsia="宋体" w:hint="default"/>
                <w:sz w:val="21"/>
                <w:szCs w:val="21"/>
              </w:rPr>
            </w:pPr>
            <w:r>
              <w:rPr>
                <w:rFonts w:ascii="宋体" w:hAnsi="宋体" w:cs="宋体" w:eastAsia="宋体" w:hint="default"/>
                <w:sz w:val="21"/>
                <w:szCs w:val="21"/>
              </w:rPr>
              <w:t>（％）</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16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376" w:right="165" w:hanging="210"/>
              <w:jc w:val="left"/>
              <w:rPr>
                <w:rFonts w:ascii="宋体" w:hAnsi="宋体" w:cs="宋体" w:eastAsia="宋体" w:hint="default"/>
                <w:sz w:val="21"/>
                <w:szCs w:val="21"/>
              </w:rPr>
            </w:pPr>
            <w:r>
              <w:rPr>
                <w:rFonts w:ascii="宋体" w:hAnsi="宋体" w:cs="宋体" w:eastAsia="宋体" w:hint="default"/>
                <w:sz w:val="21"/>
                <w:szCs w:val="21"/>
              </w:rPr>
              <w:t>报告期所有者 权益变动</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175" w:right="174"/>
              <w:jc w:val="both"/>
              <w:rPr>
                <w:rFonts w:ascii="宋体" w:hAnsi="宋体" w:cs="宋体" w:eastAsia="宋体" w:hint="default"/>
                <w:sz w:val="21"/>
                <w:szCs w:val="21"/>
              </w:rPr>
            </w:pPr>
            <w:r>
              <w:rPr>
                <w:rFonts w:ascii="宋体" w:hAnsi="宋体" w:cs="宋体" w:eastAsia="宋体" w:hint="default"/>
                <w:sz w:val="21"/>
                <w:szCs w:val="21"/>
              </w:rPr>
              <w:t>会 计 核 算 科 目</w:t>
            </w:r>
          </w:p>
        </w:tc>
        <w:tc>
          <w:tcPr>
            <w:tcW w:w="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132" w:right="131"/>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2512" w:hRule="exact"/>
        </w:trPr>
        <w:tc>
          <w:tcPr>
            <w:tcW w:w="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000783</w:t>
            </w:r>
          </w:p>
        </w:tc>
        <w:tc>
          <w:tcPr>
            <w:tcW w:w="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162"/>
              <w:jc w:val="both"/>
              <w:rPr>
                <w:rFonts w:ascii="宋体" w:hAnsi="宋体" w:cs="宋体" w:eastAsia="宋体" w:hint="default"/>
                <w:sz w:val="21"/>
                <w:szCs w:val="21"/>
              </w:rPr>
            </w:pPr>
            <w:r>
              <w:rPr>
                <w:rFonts w:ascii="宋体" w:hAnsi="宋体" w:cs="宋体" w:eastAsia="宋体" w:hint="default"/>
                <w:sz w:val="21"/>
                <w:szCs w:val="21"/>
              </w:rPr>
              <w:t>长 江 证 券</w:t>
            </w:r>
          </w:p>
        </w:tc>
        <w:tc>
          <w:tcPr>
            <w:tcW w:w="11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24,000,000</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0.2</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128,346,307.32</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105,546,307.32</w:t>
            </w:r>
          </w:p>
        </w:tc>
        <w:tc>
          <w:tcPr>
            <w:tcW w:w="16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104,346,307.32</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73" w:lineRule="auto" w:before="37"/>
              <w:ind w:left="100" w:right="248"/>
              <w:jc w:val="both"/>
              <w:rPr>
                <w:rFonts w:ascii="宋体" w:hAnsi="宋体" w:cs="宋体" w:eastAsia="宋体" w:hint="default"/>
                <w:sz w:val="21"/>
                <w:szCs w:val="21"/>
              </w:rPr>
            </w:pPr>
            <w:r>
              <w:rPr>
                <w:rFonts w:ascii="宋体" w:hAnsi="宋体" w:cs="宋体" w:eastAsia="宋体" w:hint="default"/>
                <w:sz w:val="21"/>
                <w:szCs w:val="21"/>
              </w:rPr>
              <w:t>供 出 售 金 融 资 产</w:t>
            </w:r>
          </w:p>
        </w:tc>
        <w:tc>
          <w:tcPr>
            <w:tcW w:w="490"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3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24,000,000</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128,346,307.32</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
              <w:jc w:val="center"/>
              <w:rPr>
                <w:rFonts w:ascii="Times New Roman" w:hAnsi="Times New Roman" w:cs="Times New Roman" w:eastAsia="Times New Roman" w:hint="default"/>
                <w:sz w:val="21"/>
                <w:szCs w:val="21"/>
              </w:rPr>
            </w:pPr>
            <w:r>
              <w:rPr>
                <w:rFonts w:ascii="Times New Roman"/>
                <w:sz w:val="21"/>
              </w:rPr>
              <w:t>105,546,307.32</w:t>
            </w:r>
          </w:p>
        </w:tc>
        <w:tc>
          <w:tcPr>
            <w:tcW w:w="16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spacing w:val="-1"/>
                <w:sz w:val="21"/>
              </w:rPr>
              <w:t>104,346,307.32</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191"/>
        <w:ind w:right="3876"/>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信息披露索引</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212"/>
        <w:gridCol w:w="1444"/>
        <w:gridCol w:w="1270"/>
        <w:gridCol w:w="2525"/>
      </w:tblGrid>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刊载的报刊</w:t>
            </w:r>
          </w:p>
          <w:p>
            <w:pPr>
              <w:pStyle w:val="TableParagraph"/>
              <w:spacing w:line="240" w:lineRule="auto" w:before="37"/>
              <w:ind w:left="189" w:right="0"/>
              <w:jc w:val="left"/>
              <w:rPr>
                <w:rFonts w:ascii="宋体" w:hAnsi="宋体" w:cs="宋体" w:eastAsia="宋体" w:hint="default"/>
                <w:sz w:val="21"/>
                <w:szCs w:val="21"/>
              </w:rPr>
            </w:pPr>
            <w:r>
              <w:rPr>
                <w:rFonts w:ascii="宋体" w:hAnsi="宋体" w:cs="宋体" w:eastAsia="宋体" w:hint="default"/>
                <w:sz w:val="21"/>
                <w:szCs w:val="21"/>
              </w:rPr>
              <w:t>名称及版面</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索路径</w:t>
            </w:r>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年第一次临时股东大会决议公告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年度业绩预增公告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公司董事会决议公告</w:t>
            </w:r>
            <w:r>
              <w:rPr>
                <w:rFonts w:ascii="宋体" w:hAnsi="宋体" w:cs="宋体" w:eastAsia="宋体" w:hint="default"/>
                <w:spacing w:val="-100"/>
                <w:sz w:val="21"/>
                <w:szCs w:val="21"/>
              </w:rPr>
              <w:t>、</w:t>
            </w:r>
            <w:r>
              <w:rPr>
                <w:rFonts w:ascii="宋体" w:hAnsi="宋体" w:cs="宋体" w:eastAsia="宋体" w:hint="default"/>
                <w:sz w:val="21"/>
                <w:szCs w:val="21"/>
              </w:rPr>
              <w:t>独立董事候选人声明、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独立董事提名人声明、监事会决议公告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年第二次临时股东大会决议公告、</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董事会决议公告、监事会决议公告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公司董事会决议公告、监事会决议公告、股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东减持公告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年度股东大会决议公告、</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第一季度业绩预增公告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32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2006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年度分红派息及资本公积金转增</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bl>
    <w:p>
      <w:pPr>
        <w:spacing w:after="0" w:line="240" w:lineRule="auto"/>
        <w:jc w:val="left"/>
        <w:rPr>
          <w:rFonts w:ascii="Times New Roman" w:hAnsi="Times New Roman" w:cs="Times New Roman" w:eastAsia="Times New Roman" w:hint="default"/>
          <w:sz w:val="21"/>
          <w:szCs w:val="21"/>
        </w:rPr>
        <w:sectPr>
          <w:pgSz w:w="11910" w:h="16840"/>
          <w:pgMar w:header="0" w:footer="1243" w:top="1360" w:bottom="1440" w:left="1680" w:right="54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212"/>
        <w:gridCol w:w="1444"/>
        <w:gridCol w:w="1270"/>
        <w:gridCol w:w="2525"/>
      </w:tblGrid>
      <w:tr>
        <w:trPr>
          <w:trHeight w:val="326"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股本实施公告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公司高管人员辞职公告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公司董事会决议公告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公司董事会决议公告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公司董事会决议公告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公司董事会决议公告、治理专项整改计划、</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监事会决议公告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年半年度业绩预增公告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公司关于股东股权质押的公告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公司有限售条件的流通股上市流通的公告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公司关联交易公告、董事会决议公告、监事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公司提示性公告、股票交易异常波动公告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38"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年第三季度业绩预增公告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公司董事会决议公告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r>
        <w:trPr>
          <w:trHeight w:val="640" w:hRule="exact"/>
        </w:trPr>
        <w:tc>
          <w:tcPr>
            <w:tcW w:w="4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公司董事会决议公告</w:t>
            </w:r>
          </w:p>
        </w:tc>
        <w:tc>
          <w:tcPr>
            <w:tcW w:w="1444"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上海证券报</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 </w:t>
            </w:r>
            <w:r>
              <w:rPr>
                <w:rFonts w:ascii="宋体" w:hAnsi="宋体" w:cs="宋体" w:eastAsia="宋体" w:hint="default"/>
                <w:sz w:val="21"/>
                <w:szCs w:val="21"/>
              </w:rPr>
              <w:t>版</w:t>
            </w:r>
          </w:p>
        </w:tc>
        <w:tc>
          <w:tcPr>
            <w:tcW w:w="127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r>
            <w:hyperlink r:id="rId10">
              <w:r>
                <w:rPr>
                  <w:rFonts w:ascii="Times New Roman"/>
                  <w:sz w:val="21"/>
                  <w:u w:val="single" w:color="000000"/>
                </w:rPr>
                <w:t>http://www.sse.com.cn</w:t>
              </w:r>
              <w:r>
                <w:rPr>
                  <w:rFonts w:ascii="Times New Roman"/>
                  <w:sz w:val="21"/>
                </w:rPr>
              </w:r>
            </w:hyperlink>
          </w:p>
        </w:tc>
      </w:tr>
    </w:tbl>
    <w:p>
      <w:pPr>
        <w:spacing w:after="0" w:line="240" w:lineRule="auto"/>
        <w:jc w:val="left"/>
        <w:rPr>
          <w:rFonts w:ascii="Times New Roman" w:hAnsi="Times New Roman" w:cs="Times New Roman" w:eastAsia="Times New Roman" w:hint="default"/>
          <w:sz w:val="21"/>
          <w:szCs w:val="21"/>
        </w:rPr>
        <w:sectPr>
          <w:pgSz w:w="11910" w:h="16840"/>
          <w:pgMar w:header="0" w:footer="1243" w:top="1360" w:bottom="1440" w:left="1680" w:right="540"/>
        </w:sectPr>
      </w:pPr>
    </w:p>
    <w:p>
      <w:pPr>
        <w:pStyle w:val="Heading1"/>
        <w:spacing w:line="240" w:lineRule="auto" w:before="23"/>
        <w:ind w:right="97"/>
        <w:jc w:val="left"/>
        <w:rPr>
          <w:rFonts w:ascii="宋体" w:hAnsi="宋体" w:cs="宋体" w:eastAsia="宋体" w:hint="default"/>
          <w:b w:val="0"/>
          <w:bCs w:val="0"/>
        </w:rPr>
      </w:pPr>
      <w:bookmarkStart w:name="_TOC_250001" w:id="11"/>
      <w:r>
        <w:rPr>
          <w:rFonts w:ascii="宋体" w:hAnsi="宋体" w:cs="宋体" w:eastAsia="宋体" w:hint="default"/>
        </w:rPr>
        <w:t>十一、财务报告</w:t>
      </w:r>
      <w:bookmarkEnd w:id="11"/>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tabs>
          <w:tab w:pos="1171" w:val="left" w:leader="none"/>
          <w:tab w:pos="1593" w:val="left" w:leader="none"/>
          <w:tab w:pos="2014" w:val="left" w:leader="none"/>
        </w:tabs>
        <w:spacing w:before="0"/>
        <w:ind w:left="117" w:right="97" w:firstLine="0"/>
        <w:jc w:val="left"/>
        <w:rPr>
          <w:rFonts w:ascii="宋体" w:hAnsi="宋体" w:cs="宋体" w:eastAsia="宋体" w:hint="default"/>
          <w:sz w:val="21"/>
          <w:szCs w:val="21"/>
        </w:rPr>
      </w:pPr>
      <w:r>
        <w:rPr>
          <w:rFonts w:ascii="宋体" w:hAnsi="宋体" w:cs="宋体" w:eastAsia="宋体" w:hint="default"/>
          <w:b/>
          <w:bCs/>
          <w:w w:val="95"/>
          <w:sz w:val="21"/>
          <w:szCs w:val="21"/>
        </w:rPr>
        <w:t>（一）审</w:t>
        <w:tab/>
        <w:t>计</w:t>
        <w:tab/>
        <w:t>报</w:t>
        <w:tab/>
      </w:r>
      <w:r>
        <w:rPr>
          <w:rFonts w:ascii="宋体" w:hAnsi="宋体" w:cs="宋体" w:eastAsia="宋体" w:hint="default"/>
          <w:b/>
          <w:bCs/>
          <w:sz w:val="21"/>
          <w:szCs w:val="21"/>
        </w:rPr>
        <w:t>告</w:t>
      </w:r>
      <w:r>
        <w:rPr>
          <w:rFonts w:ascii="宋体" w:hAnsi="宋体" w:cs="宋体" w:eastAsia="宋体" w:hint="default"/>
          <w:sz w:val="21"/>
          <w:szCs w:val="21"/>
        </w:rPr>
      </w:r>
    </w:p>
    <w:p>
      <w:pPr>
        <w:spacing w:line="240" w:lineRule="auto" w:before="4"/>
        <w:rPr>
          <w:rFonts w:ascii="宋体" w:hAnsi="宋体" w:cs="宋体" w:eastAsia="宋体" w:hint="default"/>
          <w:b/>
          <w:bCs/>
          <w:sz w:val="13"/>
          <w:szCs w:val="13"/>
        </w:rPr>
      </w:pPr>
    </w:p>
    <w:p>
      <w:pPr>
        <w:spacing w:before="44"/>
        <w:ind w:left="0" w:right="481" w:firstLine="0"/>
        <w:jc w:val="right"/>
        <w:rPr>
          <w:rFonts w:ascii="黑体" w:hAnsi="黑体" w:cs="黑体" w:eastAsia="黑体" w:hint="default"/>
          <w:sz w:val="18"/>
          <w:szCs w:val="18"/>
        </w:rPr>
      </w:pPr>
      <w:r>
        <w:rPr>
          <w:rFonts w:ascii="黑体" w:hAnsi="黑体" w:cs="黑体" w:eastAsia="黑体" w:hint="default"/>
          <w:sz w:val="18"/>
          <w:szCs w:val="18"/>
        </w:rPr>
        <w:t>浙天会审〔2008〕968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13"/>
          <w:szCs w:val="13"/>
        </w:rPr>
      </w:pPr>
    </w:p>
    <w:p>
      <w:pPr>
        <w:spacing w:line="357" w:lineRule="auto" w:before="0"/>
        <w:ind w:left="597" w:right="97" w:hanging="480"/>
        <w:jc w:val="left"/>
        <w:rPr>
          <w:rFonts w:ascii="宋体" w:hAnsi="宋体" w:cs="宋体" w:eastAsia="宋体" w:hint="default"/>
          <w:sz w:val="24"/>
          <w:szCs w:val="24"/>
        </w:rPr>
      </w:pPr>
      <w:r>
        <w:rPr>
          <w:rFonts w:ascii="宋体" w:hAnsi="宋体" w:cs="宋体" w:eastAsia="宋体" w:hint="default"/>
          <w:sz w:val="24"/>
          <w:szCs w:val="24"/>
        </w:rPr>
        <w:t>恒生电子股份有限公司全体股东： </w:t>
      </w:r>
      <w:r>
        <w:rPr>
          <w:rFonts w:ascii="宋体" w:hAnsi="宋体" w:cs="宋体" w:eastAsia="宋体" w:hint="default"/>
          <w:spacing w:val="-6"/>
          <w:sz w:val="24"/>
          <w:szCs w:val="24"/>
        </w:rPr>
        <w:t>我们审计了后附的恒生电子股份有限公司（以下简称恒生电子公司）财务报表，</w:t>
      </w:r>
    </w:p>
    <w:p>
      <w:pPr>
        <w:spacing w:line="357" w:lineRule="auto" w:before="36"/>
        <w:ind w:left="117" w:right="233" w:firstLine="0"/>
        <w:jc w:val="both"/>
        <w:rPr>
          <w:rFonts w:ascii="宋体" w:hAnsi="宋体" w:cs="宋体" w:eastAsia="宋体" w:hint="default"/>
          <w:sz w:val="24"/>
          <w:szCs w:val="24"/>
        </w:rPr>
      </w:pPr>
      <w:r>
        <w:rPr>
          <w:rFonts w:ascii="宋体" w:hAnsi="宋体" w:cs="宋体" w:eastAsia="宋体" w:hint="default"/>
          <w:sz w:val="24"/>
          <w:szCs w:val="24"/>
        </w:rPr>
        <w:t>包括</w:t>
      </w:r>
      <w:r>
        <w:rPr>
          <w:rFonts w:ascii="宋体" w:hAnsi="宋体" w:cs="宋体" w:eastAsia="宋体" w:hint="default"/>
          <w:spacing w:val="-65"/>
          <w:sz w:val="24"/>
          <w:szCs w:val="24"/>
        </w:rPr>
        <w:t> </w:t>
      </w:r>
      <w:r>
        <w:rPr>
          <w:rFonts w:ascii="宋体" w:hAnsi="宋体" w:cs="宋体" w:eastAsia="宋体" w:hint="default"/>
          <w:sz w:val="24"/>
          <w:szCs w:val="24"/>
        </w:rPr>
        <w:t>2007</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31</w:t>
      </w:r>
      <w:r>
        <w:rPr>
          <w:rFonts w:ascii="宋体" w:hAnsi="宋体" w:cs="宋体" w:eastAsia="宋体" w:hint="default"/>
          <w:spacing w:val="-65"/>
          <w:sz w:val="24"/>
          <w:szCs w:val="24"/>
        </w:rPr>
        <w:t> </w:t>
      </w:r>
      <w:r>
        <w:rPr>
          <w:rFonts w:ascii="宋体" w:hAnsi="宋体" w:cs="宋体" w:eastAsia="宋体" w:hint="default"/>
          <w:sz w:val="24"/>
          <w:szCs w:val="24"/>
        </w:rPr>
        <w:t>日的资产负债表和合并资产负债表，2007</w:t>
      </w:r>
      <w:r>
        <w:rPr>
          <w:rFonts w:ascii="宋体" w:hAnsi="宋体" w:cs="宋体" w:eastAsia="宋体" w:hint="default"/>
          <w:spacing w:val="-65"/>
          <w:sz w:val="24"/>
          <w:szCs w:val="24"/>
        </w:rPr>
        <w:t> </w:t>
      </w:r>
      <w:r>
        <w:rPr>
          <w:rFonts w:ascii="宋体" w:hAnsi="宋体" w:cs="宋体" w:eastAsia="宋体" w:hint="default"/>
          <w:sz w:val="24"/>
          <w:szCs w:val="24"/>
        </w:rPr>
        <w:t>年度的利润表和合</w:t>
      </w:r>
      <w:r>
        <w:rPr>
          <w:rFonts w:ascii="宋体" w:hAnsi="宋体" w:cs="宋体" w:eastAsia="宋体" w:hint="default"/>
          <w:sz w:val="24"/>
          <w:szCs w:val="24"/>
        </w:rPr>
        <w:t> 并利润表，2007 年度的现金流量表和合并现金流量表，2007</w:t>
      </w:r>
      <w:r>
        <w:rPr>
          <w:rFonts w:ascii="宋体" w:hAnsi="宋体" w:cs="宋体" w:eastAsia="宋体" w:hint="default"/>
          <w:spacing w:val="-90"/>
          <w:sz w:val="24"/>
          <w:szCs w:val="24"/>
        </w:rPr>
        <w:t> </w:t>
      </w:r>
      <w:r>
        <w:rPr>
          <w:rFonts w:ascii="宋体" w:hAnsi="宋体" w:cs="宋体" w:eastAsia="宋体" w:hint="default"/>
          <w:sz w:val="24"/>
          <w:szCs w:val="24"/>
        </w:rPr>
        <w:t>年度的股东权益变动</w:t>
      </w:r>
      <w:r>
        <w:rPr>
          <w:rFonts w:ascii="宋体" w:hAnsi="宋体" w:cs="宋体" w:eastAsia="宋体" w:hint="default"/>
          <w:sz w:val="24"/>
          <w:szCs w:val="24"/>
        </w:rPr>
        <w:t> 表和合并股东权益变动表，以及财务报表附注。</w:t>
      </w:r>
    </w:p>
    <w:p>
      <w:pPr>
        <w:spacing w:line="240" w:lineRule="auto" w:before="0"/>
        <w:rPr>
          <w:rFonts w:ascii="宋体" w:hAnsi="宋体" w:cs="宋体" w:eastAsia="宋体" w:hint="default"/>
          <w:sz w:val="24"/>
          <w:szCs w:val="24"/>
        </w:rPr>
      </w:pPr>
    </w:p>
    <w:p>
      <w:pPr>
        <w:spacing w:before="190"/>
        <w:ind w:left="600" w:right="97"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4"/>
        <w:ind w:left="117" w:right="233" w:firstLine="480"/>
        <w:jc w:val="both"/>
        <w:rPr>
          <w:rFonts w:ascii="宋体" w:hAnsi="宋体" w:cs="宋体" w:eastAsia="宋体" w:hint="default"/>
          <w:sz w:val="24"/>
          <w:szCs w:val="24"/>
        </w:rPr>
      </w:pPr>
      <w:r>
        <w:rPr>
          <w:rFonts w:ascii="宋体" w:hAnsi="宋体" w:cs="宋体" w:eastAsia="宋体" w:hint="default"/>
          <w:spacing w:val="-3"/>
          <w:sz w:val="24"/>
          <w:szCs w:val="24"/>
        </w:rPr>
        <w:t>按照企业会计准则的规定编制财务报表是恒生电子公司管理层的责任。这种责</w:t>
      </w:r>
      <w:r>
        <w:rPr>
          <w:rFonts w:ascii="宋体" w:hAnsi="宋体" w:cs="宋体" w:eastAsia="宋体" w:hint="default"/>
          <w:sz w:val="24"/>
          <w:szCs w:val="24"/>
        </w:rPr>
        <w:t> </w:t>
      </w:r>
      <w:r>
        <w:rPr>
          <w:rFonts w:ascii="宋体" w:hAnsi="宋体" w:cs="宋体" w:eastAsia="宋体" w:hint="default"/>
          <w:spacing w:val="-5"/>
          <w:sz w:val="24"/>
          <w:szCs w:val="24"/>
        </w:rPr>
        <w:t>任包括：(1)</w:t>
      </w:r>
      <w:r>
        <w:rPr>
          <w:rFonts w:ascii="宋体" w:hAnsi="宋体" w:cs="宋体" w:eastAsia="宋体" w:hint="default"/>
          <w:spacing w:val="-51"/>
          <w:sz w:val="24"/>
          <w:szCs w:val="24"/>
        </w:rPr>
        <w:t> </w:t>
      </w:r>
      <w:r>
        <w:rPr>
          <w:rFonts w:ascii="宋体" w:hAnsi="宋体" w:cs="宋体" w:eastAsia="宋体" w:hint="default"/>
          <w:sz w:val="24"/>
          <w:szCs w:val="24"/>
        </w:rPr>
        <w:t>设计、实施和维护与财务报表编制相关的内部控制，以使财务报表不</w:t>
      </w:r>
      <w:r>
        <w:rPr>
          <w:rFonts w:ascii="宋体" w:hAnsi="宋体" w:cs="宋体" w:eastAsia="宋体" w:hint="default"/>
          <w:sz w:val="24"/>
          <w:szCs w:val="24"/>
        </w:rPr>
        <w:t> </w:t>
      </w:r>
      <w:r>
        <w:rPr>
          <w:rFonts w:ascii="宋体" w:hAnsi="宋体" w:cs="宋体" w:eastAsia="宋体" w:hint="default"/>
          <w:spacing w:val="-3"/>
          <w:sz w:val="24"/>
          <w:szCs w:val="24"/>
        </w:rPr>
        <w:t>存在由于舞弊或错误而导致的重大错报；(2) 选择和运用恰当的会计政策；(3)</w:t>
      </w:r>
      <w:r>
        <w:rPr>
          <w:rFonts w:ascii="宋体" w:hAnsi="宋体" w:cs="宋体" w:eastAsia="宋体" w:hint="default"/>
          <w:spacing w:val="23"/>
          <w:sz w:val="24"/>
          <w:szCs w:val="24"/>
        </w:rPr>
        <w:t> </w:t>
      </w:r>
      <w:r>
        <w:rPr>
          <w:rFonts w:ascii="宋体" w:hAnsi="宋体" w:cs="宋体" w:eastAsia="宋体" w:hint="default"/>
          <w:sz w:val="24"/>
          <w:szCs w:val="24"/>
        </w:rPr>
        <w:t>作</w:t>
      </w:r>
      <w:r>
        <w:rPr>
          <w:rFonts w:ascii="宋体" w:hAnsi="宋体" w:cs="宋体" w:eastAsia="宋体" w:hint="default"/>
          <w:sz w:val="24"/>
          <w:szCs w:val="24"/>
        </w:rPr>
        <w:t> 出合理的会计估计。</w:t>
      </w:r>
    </w:p>
    <w:p>
      <w:pPr>
        <w:spacing w:line="240" w:lineRule="auto" w:before="0"/>
        <w:rPr>
          <w:rFonts w:ascii="宋体" w:hAnsi="宋体" w:cs="宋体" w:eastAsia="宋体" w:hint="default"/>
          <w:sz w:val="24"/>
          <w:szCs w:val="24"/>
        </w:rPr>
      </w:pPr>
    </w:p>
    <w:p>
      <w:pPr>
        <w:spacing w:before="190"/>
        <w:ind w:left="600" w:right="97"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4"/>
        <w:ind w:left="117" w:right="233" w:firstLine="480"/>
        <w:jc w:val="both"/>
        <w:rPr>
          <w:rFonts w:ascii="宋体" w:hAnsi="宋体" w:cs="宋体" w:eastAsia="宋体" w:hint="default"/>
          <w:sz w:val="24"/>
          <w:szCs w:val="24"/>
        </w:rPr>
      </w:pPr>
      <w:r>
        <w:rPr>
          <w:rFonts w:ascii="宋体" w:hAnsi="宋体" w:cs="宋体" w:eastAsia="宋体" w:hint="default"/>
          <w:spacing w:val="-3"/>
          <w:sz w:val="24"/>
          <w:szCs w:val="24"/>
        </w:rPr>
        <w:t>我们的责任是在实施审计工作的基础上对财务报表发表审计意见。我们按照中</w:t>
      </w:r>
      <w:r>
        <w:rPr>
          <w:rFonts w:ascii="宋体" w:hAnsi="宋体" w:cs="宋体" w:eastAsia="宋体" w:hint="default"/>
          <w:sz w:val="24"/>
          <w:szCs w:val="24"/>
        </w:rPr>
        <w:t> </w:t>
      </w:r>
      <w:r>
        <w:rPr>
          <w:rFonts w:ascii="宋体" w:hAnsi="宋体" w:cs="宋体" w:eastAsia="宋体" w:hint="default"/>
          <w:spacing w:val="-3"/>
          <w:sz w:val="24"/>
          <w:szCs w:val="24"/>
        </w:rPr>
        <w:t>国注册会计师审计准则的规定执行了审计工作。中国注册会计师审计准则要求我们</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3"/>
          <w:sz w:val="24"/>
          <w:szCs w:val="24"/>
        </w:rPr>
        <w:t>遵守职业道德规范，计划和实施审计工作以对财务报表是否不存在重大错报获取合</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理保证。</w:t>
      </w:r>
    </w:p>
    <w:p>
      <w:pPr>
        <w:spacing w:line="357" w:lineRule="auto" w:before="36"/>
        <w:ind w:left="117" w:right="109" w:firstLine="480"/>
        <w:jc w:val="left"/>
        <w:rPr>
          <w:rFonts w:ascii="宋体" w:hAnsi="宋体" w:cs="宋体" w:eastAsia="宋体" w:hint="default"/>
          <w:sz w:val="24"/>
          <w:szCs w:val="24"/>
        </w:rPr>
      </w:pPr>
      <w:r>
        <w:rPr>
          <w:rFonts w:ascii="宋体" w:hAnsi="宋体" w:cs="宋体" w:eastAsia="宋体" w:hint="default"/>
          <w:spacing w:val="-3"/>
          <w:sz w:val="24"/>
          <w:szCs w:val="24"/>
        </w:rPr>
        <w:t>审计工作涉及实施审计程序，以获取有关财务报表金额和披露的审计证据。选</w:t>
      </w:r>
      <w:r>
        <w:rPr>
          <w:rFonts w:ascii="宋体" w:hAnsi="宋体" w:cs="宋体" w:eastAsia="宋体" w:hint="default"/>
          <w:sz w:val="24"/>
          <w:szCs w:val="24"/>
        </w:rPr>
        <w:t> </w:t>
      </w:r>
      <w:r>
        <w:rPr>
          <w:rFonts w:ascii="宋体" w:hAnsi="宋体" w:cs="宋体" w:eastAsia="宋体" w:hint="default"/>
          <w:spacing w:val="-3"/>
          <w:sz w:val="24"/>
          <w:szCs w:val="24"/>
        </w:rPr>
        <w:t>择的审计程序取决于注册会计师的判断，包括对由于舞弊或错误导致的财务报表重</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6"/>
          <w:sz w:val="24"/>
          <w:szCs w:val="24"/>
        </w:rPr>
        <w:t>大错报风险的评估。在进行风险评估时，我们考虑与财务报表编制相关的内部控制，</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以设计恰当的审计程序，但目的并非对内部控制的有效性发表意见。审计工作还包</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括评价管理层选用会计政策的恰当性和作出会计估计的合理性，以及评价财务报表</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的总体列报。</w:t>
      </w:r>
    </w:p>
    <w:p>
      <w:pPr>
        <w:spacing w:before="36"/>
        <w:ind w:left="597" w:right="0" w:firstLine="0"/>
        <w:jc w:val="left"/>
        <w:rPr>
          <w:rFonts w:ascii="宋体" w:hAnsi="宋体" w:cs="宋体" w:eastAsia="宋体" w:hint="default"/>
          <w:sz w:val="24"/>
          <w:szCs w:val="24"/>
        </w:rPr>
      </w:pPr>
      <w:r>
        <w:rPr>
          <w:rFonts w:ascii="宋体" w:hAnsi="宋体" w:cs="宋体" w:eastAsia="宋体" w:hint="default"/>
          <w:spacing w:val="-6"/>
          <w:sz w:val="24"/>
          <w:szCs w:val="24"/>
        </w:rPr>
        <w:t>我们相信，我们获取的审计证据是充分、适当的，为发表审计意见提供了基础。</w:t>
      </w:r>
    </w:p>
    <w:p>
      <w:pPr>
        <w:spacing w:after="0"/>
        <w:jc w:val="left"/>
        <w:rPr>
          <w:rFonts w:ascii="宋体" w:hAnsi="宋体" w:cs="宋体" w:eastAsia="宋体" w:hint="default"/>
          <w:sz w:val="24"/>
          <w:szCs w:val="24"/>
        </w:rPr>
        <w:sectPr>
          <w:pgSz w:w="11910" w:h="16840"/>
          <w:pgMar w:header="0" w:footer="1243" w:top="1480" w:bottom="1440" w:left="1680" w:right="1320"/>
        </w:sectPr>
      </w:pPr>
    </w:p>
    <w:p>
      <w:pPr>
        <w:spacing w:before="0"/>
        <w:ind w:left="600" w:right="804"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line="357" w:lineRule="auto" w:before="154"/>
        <w:ind w:left="117" w:right="113" w:firstLine="480"/>
        <w:jc w:val="both"/>
        <w:rPr>
          <w:rFonts w:ascii="宋体" w:hAnsi="宋体" w:cs="宋体" w:eastAsia="宋体" w:hint="default"/>
          <w:sz w:val="24"/>
          <w:szCs w:val="24"/>
        </w:rPr>
      </w:pPr>
      <w:r>
        <w:rPr>
          <w:rFonts w:ascii="宋体" w:hAnsi="宋体" w:cs="宋体" w:eastAsia="宋体" w:hint="default"/>
          <w:spacing w:val="-3"/>
          <w:sz w:val="24"/>
          <w:szCs w:val="24"/>
        </w:rPr>
        <w:t>我们认为，恒生电子公司财务报表已经按照企业会计准则的规定编制，在所有</w:t>
      </w:r>
      <w:r>
        <w:rPr>
          <w:rFonts w:ascii="宋体" w:hAnsi="宋体" w:cs="宋体" w:eastAsia="宋体" w:hint="default"/>
          <w:sz w:val="24"/>
          <w:szCs w:val="24"/>
        </w:rPr>
        <w:t> 重大方面公允反映了恒生电子公司</w:t>
      </w:r>
      <w:r>
        <w:rPr>
          <w:rFonts w:ascii="宋体" w:hAnsi="宋体" w:cs="宋体" w:eastAsia="宋体" w:hint="default"/>
          <w:spacing w:val="-75"/>
          <w:sz w:val="24"/>
          <w:szCs w:val="24"/>
        </w:rPr>
        <w:t> </w:t>
      </w:r>
      <w:r>
        <w:rPr>
          <w:rFonts w:ascii="宋体" w:hAnsi="宋体" w:cs="宋体" w:eastAsia="宋体" w:hint="default"/>
          <w:sz w:val="24"/>
          <w:szCs w:val="24"/>
        </w:rPr>
        <w:t>2007</w:t>
      </w:r>
      <w:r>
        <w:rPr>
          <w:rFonts w:ascii="宋体" w:hAnsi="宋体" w:cs="宋体" w:eastAsia="宋体" w:hint="default"/>
          <w:spacing w:val="-75"/>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宋体" w:hAnsi="宋体" w:cs="宋体" w:eastAsia="宋体" w:hint="default"/>
          <w:sz w:val="24"/>
          <w:szCs w:val="24"/>
        </w:rPr>
        <w:t>12</w:t>
      </w:r>
      <w:r>
        <w:rPr>
          <w:rFonts w:ascii="宋体" w:hAnsi="宋体" w:cs="宋体" w:eastAsia="宋体" w:hint="default"/>
          <w:spacing w:val="-75"/>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宋体" w:hAnsi="宋体" w:cs="宋体" w:eastAsia="宋体" w:hint="default"/>
          <w:sz w:val="24"/>
          <w:szCs w:val="24"/>
        </w:rPr>
        <w:t>31</w:t>
      </w:r>
      <w:r>
        <w:rPr>
          <w:rFonts w:ascii="宋体" w:hAnsi="宋体" w:cs="宋体" w:eastAsia="宋体" w:hint="default"/>
          <w:spacing w:val="-75"/>
          <w:sz w:val="24"/>
          <w:szCs w:val="24"/>
        </w:rPr>
        <w:t> </w:t>
      </w:r>
      <w:r>
        <w:rPr>
          <w:rFonts w:ascii="宋体" w:hAnsi="宋体" w:cs="宋体" w:eastAsia="宋体" w:hint="default"/>
          <w:sz w:val="24"/>
          <w:szCs w:val="24"/>
        </w:rPr>
        <w:t>日的财务状况以及</w:t>
      </w:r>
      <w:r>
        <w:rPr>
          <w:rFonts w:ascii="宋体" w:hAnsi="宋体" w:cs="宋体" w:eastAsia="宋体" w:hint="default"/>
          <w:spacing w:val="-75"/>
          <w:sz w:val="24"/>
          <w:szCs w:val="24"/>
        </w:rPr>
        <w:t> </w:t>
      </w:r>
      <w:r>
        <w:rPr>
          <w:rFonts w:ascii="宋体" w:hAnsi="宋体" w:cs="宋体" w:eastAsia="宋体" w:hint="default"/>
          <w:sz w:val="24"/>
          <w:szCs w:val="24"/>
        </w:rPr>
        <w:t>2007</w:t>
      </w:r>
      <w:r>
        <w:rPr>
          <w:rFonts w:ascii="宋体" w:hAnsi="宋体" w:cs="宋体" w:eastAsia="宋体" w:hint="default"/>
          <w:spacing w:val="-75"/>
          <w:sz w:val="24"/>
          <w:szCs w:val="24"/>
        </w:rPr>
        <w:t> </w:t>
      </w:r>
      <w:r>
        <w:rPr>
          <w:rFonts w:ascii="宋体" w:hAnsi="宋体" w:cs="宋体" w:eastAsia="宋体" w:hint="default"/>
          <w:sz w:val="24"/>
          <w:szCs w:val="24"/>
        </w:rPr>
        <w:t>年度的</w:t>
      </w:r>
      <w:r>
        <w:rPr>
          <w:rFonts w:ascii="宋体" w:hAnsi="宋体" w:cs="宋体" w:eastAsia="宋体" w:hint="default"/>
          <w:spacing w:val="-1"/>
          <w:sz w:val="24"/>
          <w:szCs w:val="24"/>
        </w:rPr>
        <w:t> </w:t>
      </w:r>
      <w:r>
        <w:rPr>
          <w:rFonts w:ascii="宋体" w:hAnsi="宋体" w:cs="宋体" w:eastAsia="宋体" w:hint="default"/>
          <w:sz w:val="24"/>
          <w:szCs w:val="24"/>
        </w:rPr>
        <w:t>经营成果和现金流量。</w:t>
      </w:r>
    </w:p>
    <w:p>
      <w:pPr>
        <w:spacing w:line="240" w:lineRule="auto" w:before="0"/>
        <w:rPr>
          <w:rFonts w:ascii="宋体" w:hAnsi="宋体" w:cs="宋体" w:eastAsia="宋体" w:hint="default"/>
          <w:sz w:val="24"/>
          <w:szCs w:val="24"/>
        </w:rPr>
      </w:pPr>
    </w:p>
    <w:p>
      <w:pPr>
        <w:tabs>
          <w:tab w:pos="4737" w:val="left" w:leader="none"/>
          <w:tab w:pos="7137" w:val="left" w:leader="none"/>
          <w:tab w:pos="7257" w:val="left" w:leader="none"/>
        </w:tabs>
        <w:spacing w:line="715" w:lineRule="auto" w:before="190"/>
        <w:ind w:left="1693" w:right="804" w:hanging="1128"/>
        <w:jc w:val="left"/>
        <w:rPr>
          <w:rFonts w:ascii="宋体" w:hAnsi="宋体" w:cs="宋体" w:eastAsia="宋体" w:hint="default"/>
          <w:sz w:val="24"/>
          <w:szCs w:val="24"/>
        </w:rPr>
      </w:pPr>
      <w:r>
        <w:rPr>
          <w:rFonts w:ascii="宋体" w:hAnsi="宋体" w:cs="宋体" w:eastAsia="宋体" w:hint="default"/>
          <w:sz w:val="24"/>
          <w:szCs w:val="24"/>
        </w:rPr>
        <w:t>浙江天健会计师事务所有限公司</w:t>
        <w:tab/>
        <w:t>中国注册会计师</w:t>
        <w:tab/>
        <w:t>陈翔 中国·杭州</w:t>
        <w:tab/>
        <w:t>中国注册会计师</w:t>
        <w:tab/>
        <w:tab/>
        <w:t>沃巍勇</w:t>
      </w:r>
    </w:p>
    <w:p>
      <w:pPr>
        <w:spacing w:before="146"/>
        <w:ind w:left="4737" w:right="804" w:firstLine="0"/>
        <w:jc w:val="left"/>
        <w:rPr>
          <w:rFonts w:ascii="宋体" w:hAnsi="宋体" w:cs="宋体" w:eastAsia="宋体" w:hint="default"/>
          <w:sz w:val="24"/>
          <w:szCs w:val="24"/>
        </w:rPr>
      </w:pPr>
      <w:r>
        <w:rPr>
          <w:rFonts w:ascii="宋体" w:hAnsi="宋体" w:cs="宋体" w:eastAsia="宋体" w:hint="default"/>
          <w:spacing w:val="15"/>
          <w:sz w:val="24"/>
          <w:szCs w:val="24"/>
        </w:rPr>
        <w:t>报告日期：2008年4月</w:t>
      </w:r>
      <w:r>
        <w:rPr>
          <w:rFonts w:ascii="宋体" w:hAnsi="宋体" w:cs="宋体" w:eastAsia="宋体" w:hint="default"/>
          <w:spacing w:val="-60"/>
          <w:sz w:val="24"/>
          <w:szCs w:val="24"/>
        </w:rPr>
        <w:t> </w:t>
      </w:r>
      <w:r>
        <w:rPr>
          <w:rFonts w:ascii="宋体" w:hAnsi="宋体" w:cs="宋体" w:eastAsia="宋体" w:hint="default"/>
          <w:spacing w:val="20"/>
          <w:sz w:val="24"/>
          <w:szCs w:val="24"/>
        </w:rPr>
        <w:t>21日</w:t>
      </w:r>
      <w:r>
        <w:rPr>
          <w:rFonts w:ascii="宋体" w:hAnsi="宋体" w:cs="宋体" w:eastAsia="宋体" w:hint="default"/>
          <w:spacing w:val="-60"/>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0" w:footer="1243" w:top="1480" w:bottom="1440" w:left="1680" w:right="1440"/>
        </w:sectPr>
      </w:pPr>
    </w:p>
    <w:p>
      <w:pPr>
        <w:pStyle w:val="BodyText"/>
        <w:spacing w:line="240" w:lineRule="auto" w:before="6"/>
        <w:ind w:right="77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财务报表</w:t>
      </w:r>
    </w:p>
    <w:p>
      <w:pPr>
        <w:spacing w:line="240" w:lineRule="auto" w:before="3"/>
        <w:rPr>
          <w:rFonts w:ascii="宋体" w:hAnsi="宋体" w:cs="宋体" w:eastAsia="宋体" w:hint="default"/>
          <w:sz w:val="29"/>
          <w:szCs w:val="29"/>
        </w:rPr>
      </w:pPr>
    </w:p>
    <w:p>
      <w:pPr>
        <w:spacing w:line="273" w:lineRule="auto" w:before="35"/>
        <w:ind w:left="3526" w:right="4263" w:hanging="1"/>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19"/>
          <w:szCs w:val="19"/>
        </w:rPr>
      </w:pPr>
    </w:p>
    <w:p>
      <w:pPr>
        <w:spacing w:before="35"/>
        <w:ind w:left="117" w:right="77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0"/>
          <w:szCs w:val="20"/>
        </w:rPr>
        <w:t>恒生电子股份有限公司</w:t>
      </w:r>
    </w:p>
    <w:p>
      <w:pPr>
        <w:pStyle w:val="BodyText"/>
        <w:spacing w:line="240" w:lineRule="auto" w:before="21"/>
        <w:ind w:left="0" w:right="853"/>
        <w:jc w:val="right"/>
      </w:pPr>
      <w:r>
        <w:rPr/>
        <w:t>单位</w:t>
      </w:r>
      <w:r>
        <w:rPr>
          <w:rFonts w:ascii="Times New Roman" w:hAnsi="Times New Roman" w:cs="Times New Roman" w:eastAsia="Times New Roman" w:hint="default"/>
        </w:rPr>
        <w:t>:  </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825"/>
        <w:gridCol w:w="726"/>
        <w:gridCol w:w="2875"/>
        <w:gridCol w:w="2874"/>
      </w:tblGrid>
      <w:tr>
        <w:trPr>
          <w:trHeight w:val="43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4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264,685,646.77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222,311,656.91</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127,682,734.59</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51,671,970.50</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41,912,337.47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28,302,307.37</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3,570,230.36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3,139,972.32</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65,627,710.43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19,677,964.22</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17,821,204.46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4,062,294.69</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521,299,864.08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329,166,166.01</w:t>
            </w:r>
          </w:p>
        </w:tc>
      </w:tr>
      <w:tr>
        <w:trPr>
          <w:trHeight w:val="40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131,029,074.78</w:t>
            </w: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59,486,098.96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77,677,862.47</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26,057,903.27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32,286,384.19</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82,299,345.27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77,252,504.10</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58,476,313.50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8,672,747.37</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0" w:footer="1243" w:top="1400" w:bottom="1440" w:left="1680" w:right="70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25"/>
        <w:gridCol w:w="726"/>
        <w:gridCol w:w="2875"/>
        <w:gridCol w:w="2874"/>
      </w:tblGrid>
      <w:tr>
        <w:trPr>
          <w:trHeight w:val="40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34,865,632.78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33,364,668.87</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3,607,432.97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2,850,768.27</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z w:val="18"/>
              </w:rPr>
              <w:t>775,867.46</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395,821,801.53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232,880,802.73</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917,121,665.61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562,046,968.74</w:t>
            </w:r>
          </w:p>
        </w:tc>
      </w:tr>
      <w:tr>
        <w:trPr>
          <w:trHeight w:val="40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51,000,000.00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7,156,046.60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2,259,026.40</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23,407,551.06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21,907,282.90</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62,533,461.90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23,626,011.07</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32,498,344.43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20,289,262.47</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18,282,907.30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13,286,105.65</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183,105.00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z w:val="18"/>
              </w:rPr>
              <w:t>69,600.00</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33,910,931.41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17,497,832.26</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1,502,307.51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2,645,507.51</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230,474,655.21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161,580,628.26</w:t>
            </w:r>
          </w:p>
        </w:tc>
      </w:tr>
      <w:tr>
        <w:trPr>
          <w:trHeight w:val="40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35,000,000.00</w:t>
            </w: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1,200,805.83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z w:val="18"/>
              </w:rPr>
              <w:t>526,658.41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3" w:top="1360" w:bottom="1440" w:left="1680" w:right="700"/>
        </w:sectPr>
      </w:pPr>
    </w:p>
    <w:p>
      <w:pPr>
        <w:spacing w:line="240" w:lineRule="auto" w:before="11"/>
        <w:rPr>
          <w:rFonts w:ascii="Times New Roman" w:hAnsi="Times New Roman" w:cs="Times New Roman" w:eastAsia="Times New Roman"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25"/>
        <w:gridCol w:w="726"/>
        <w:gridCol w:w="2875"/>
        <w:gridCol w:w="2874"/>
      </w:tblGrid>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23,573,820.27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2,446,776.93</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59,774,626.10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2,973,435.34</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290,249,281.31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164,554,063.60</w:t>
            </w:r>
          </w:p>
        </w:tc>
      </w:tr>
      <w:tr>
        <w:trPr>
          <w:trHeight w:val="40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spacing w:val="-1"/>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1"/>
                <w:w w:val="99"/>
                <w:sz w:val="18"/>
                <w:szCs w:val="18"/>
              </w:rPr>
              <w:t>或股</w:t>
            </w:r>
            <w:r>
              <w:rPr>
                <w:rFonts w:ascii="宋体" w:hAnsi="宋体" w:cs="宋体" w:eastAsia="宋体" w:hint="default"/>
                <w:b/>
                <w:bCs/>
                <w:spacing w:val="-1"/>
                <w:w w:val="99"/>
                <w:sz w:val="18"/>
                <w:szCs w:val="18"/>
              </w:rPr>
              <w:t>东</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185,640,000.00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142,800,000.00</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212,000,645.17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157,867,454.54</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37,714,944.11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25,664,775.98</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156,646,254.44</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56,558,319.39</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-754,222.40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z w:val="18"/>
              </w:rPr>
              <w:t>-482,474.53</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591,247,621.32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382,408,075.38</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35,624,762.98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15,084,829.76</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626,872,384.30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397,492,905.14</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917,121,665.61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562,046,968.74</w:t>
            </w:r>
          </w:p>
        </w:tc>
      </w:tr>
    </w:tbl>
    <w:p>
      <w:pPr>
        <w:tabs>
          <w:tab w:pos="2509" w:val="left" w:leader="none"/>
          <w:tab w:pos="5319" w:val="left" w:leader="none"/>
        </w:tabs>
        <w:spacing w:line="276" w:lineRule="exact" w:before="0"/>
        <w:ind w:left="117" w:right="777"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彭政纲</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刘曙峰</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傅美英</w:t>
      </w:r>
    </w:p>
    <w:p>
      <w:pPr>
        <w:spacing w:after="0" w:line="276" w:lineRule="exact"/>
        <w:jc w:val="left"/>
        <w:rPr>
          <w:rFonts w:ascii="宋体" w:hAnsi="宋体" w:cs="宋体" w:eastAsia="宋体" w:hint="default"/>
          <w:sz w:val="20"/>
          <w:szCs w:val="20"/>
        </w:rPr>
        <w:sectPr>
          <w:pgSz w:w="11910" w:h="16840"/>
          <w:pgMar w:header="0" w:footer="1243" w:top="1360" w:bottom="1440" w:left="1680" w:right="700"/>
        </w:sectPr>
      </w:pPr>
    </w:p>
    <w:p>
      <w:pPr>
        <w:spacing w:line="273" w:lineRule="auto" w:before="106"/>
        <w:ind w:left="3526" w:right="4263"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4"/>
        <w:rPr>
          <w:rFonts w:ascii="宋体" w:hAnsi="宋体" w:cs="宋体" w:eastAsia="宋体" w:hint="default"/>
          <w:sz w:val="19"/>
          <w:szCs w:val="19"/>
        </w:rPr>
      </w:pPr>
    </w:p>
    <w:p>
      <w:pPr>
        <w:spacing w:before="35"/>
        <w:ind w:left="117" w:right="77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0"/>
          <w:szCs w:val="20"/>
        </w:rPr>
        <w:t>恒生电子股份有限公司</w:t>
      </w:r>
    </w:p>
    <w:p>
      <w:pPr>
        <w:pStyle w:val="BodyText"/>
        <w:spacing w:line="240" w:lineRule="auto" w:before="21"/>
        <w:ind w:left="0" w:right="853"/>
        <w:jc w:val="right"/>
      </w:pPr>
      <w:r>
        <w:rPr/>
        <w:t>单位</w:t>
      </w:r>
      <w:r>
        <w:rPr>
          <w:rFonts w:ascii="Times New Roman" w:hAnsi="Times New Roman" w:cs="Times New Roman" w:eastAsia="Times New Roman" w:hint="default"/>
        </w:rPr>
        <w:t>:  </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825"/>
        <w:gridCol w:w="726"/>
        <w:gridCol w:w="2875"/>
        <w:gridCol w:w="2874"/>
      </w:tblGrid>
      <w:tr>
        <w:trPr>
          <w:trHeight w:val="43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4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227,563,942.72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208,230,538.29</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97,044,347.73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46,767,528.93</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36,794,734.60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24,681,243.89</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2,387,890.88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3,076,203.70</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65,400,173.49</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21,439,247.44</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15,070,861.61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2,355,584.52</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444,261,951.03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306,550,346.77</w:t>
            </w:r>
          </w:p>
        </w:tc>
      </w:tr>
      <w:tr>
        <w:trPr>
          <w:trHeight w:val="40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131,029,074.78</w:t>
            </w: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122,985,289.01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110,626,059.69</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26,057,903.27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32,286,384.19</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79,248,856.73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75,884,739.27</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406,648.61</w:t>
            </w: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10,575,816.63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11,385,858.87</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3,376,227.06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2,581,804.44</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373,679,816.09</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232,764,846.46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3" w:top="1600" w:bottom="1440" w:left="168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25"/>
        <w:gridCol w:w="726"/>
        <w:gridCol w:w="2875"/>
        <w:gridCol w:w="2874"/>
      </w:tblGrid>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817,941,767.12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539,315,193.23</w:t>
            </w:r>
          </w:p>
        </w:tc>
      </w:tr>
      <w:tr>
        <w:trPr>
          <w:trHeight w:val="40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48,000,000.00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6,896,046.60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2,259,026.40</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14,413,723.32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16,784,866.41</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62,123,414.61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23,572,946.77</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30,516,256.55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17,903,399.41</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15,878,520.29</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12,639,620.10</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95,600.00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z w:val="18"/>
              </w:rPr>
              <w:t>69,600.00</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2"/>
                <w:sz w:val="18"/>
              </w:rPr>
              <w:t>11,081.11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2"/>
                <w:sz w:val="18"/>
              </w:rPr>
              <w:t>11,081.11</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27,238,638.18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15,964,641.28</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1,156,226.40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2,299,426.40</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206,329,507.06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151,504,607.88</w:t>
            </w:r>
          </w:p>
        </w:tc>
      </w:tr>
      <w:tr>
        <w:trPr>
          <w:trHeight w:val="40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1,096,547.53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z w:val="18"/>
              </w:rPr>
              <w:t>495,710.28</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22,116,381.07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2,110,415.58</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23,212,928.60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2,606,125.86</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229,542,435.66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154,110,733.74</w:t>
            </w:r>
          </w:p>
        </w:tc>
      </w:tr>
      <w:tr>
        <w:trPr>
          <w:trHeight w:val="40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spacing w:val="-1"/>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1"/>
                <w:w w:val="99"/>
                <w:sz w:val="18"/>
                <w:szCs w:val="18"/>
              </w:rPr>
              <w:t>或股</w:t>
            </w:r>
            <w:r>
              <w:rPr>
                <w:rFonts w:ascii="宋体" w:hAnsi="宋体" w:cs="宋体" w:eastAsia="宋体" w:hint="default"/>
                <w:b/>
                <w:bCs/>
                <w:spacing w:val="-1"/>
                <w:w w:val="99"/>
                <w:sz w:val="18"/>
                <w:szCs w:val="18"/>
              </w:rPr>
              <w:t>东</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185,640,000.00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142,800,000.00</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212,000,645.17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157,867,454.54</w:t>
            </w:r>
          </w:p>
        </w:tc>
      </w:tr>
      <w:tr>
        <w:trPr>
          <w:trHeight w:val="32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37,714,944.11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25,664,775.98</w:t>
            </w:r>
          </w:p>
        </w:tc>
      </w:tr>
      <w:tr>
        <w:trPr>
          <w:trHeight w:val="389"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153,043,742.18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58,872,228.97</w:t>
            </w:r>
          </w:p>
        </w:tc>
      </w:tr>
      <w:tr>
        <w:trPr>
          <w:trHeight w:val="39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588,399,331.46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6"/>
              <w:jc w:val="right"/>
              <w:rPr>
                <w:rFonts w:ascii="Times New Roman" w:hAnsi="Times New Roman" w:cs="Times New Roman" w:eastAsia="Times New Roman" w:hint="default"/>
                <w:sz w:val="18"/>
                <w:szCs w:val="18"/>
              </w:rPr>
            </w:pPr>
            <w:r>
              <w:rPr>
                <w:rFonts w:ascii="Times New Roman"/>
                <w:spacing w:val="-1"/>
                <w:sz w:val="18"/>
              </w:rPr>
              <w:t>385,204,459.49</w:t>
            </w:r>
          </w:p>
        </w:tc>
      </w:tr>
      <w:tr>
        <w:trPr>
          <w:trHeight w:val="64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
              <w:jc w:val="left"/>
              <w:rPr>
                <w:rFonts w:ascii="宋体" w:hAnsi="宋体" w:cs="宋体" w:eastAsia="宋体" w:hint="default"/>
                <w:sz w:val="18"/>
                <w:szCs w:val="18"/>
              </w:rPr>
            </w:pPr>
            <w:r>
              <w:rPr>
                <w:rFonts w:ascii="宋体" w:hAnsi="宋体" w:cs="宋体" w:eastAsia="宋体" w:hint="default"/>
                <w:sz w:val="18"/>
                <w:szCs w:val="18"/>
              </w:rPr>
              <w:t>负债和所有者权益（或股东权益） 总计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817,941,767.12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539,315,193.23</w:t>
            </w:r>
          </w:p>
        </w:tc>
      </w:tr>
    </w:tbl>
    <w:p>
      <w:pPr>
        <w:tabs>
          <w:tab w:pos="2509" w:val="left" w:leader="none"/>
          <w:tab w:pos="5319" w:val="left" w:leader="none"/>
        </w:tabs>
        <w:spacing w:line="276" w:lineRule="exact" w:before="0"/>
        <w:ind w:left="117" w:right="777"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彭政纲</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刘曙峰</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傅美英</w:t>
      </w:r>
    </w:p>
    <w:p>
      <w:pPr>
        <w:spacing w:after="0" w:line="276" w:lineRule="exact"/>
        <w:jc w:val="left"/>
        <w:rPr>
          <w:rFonts w:ascii="宋体" w:hAnsi="宋体" w:cs="宋体" w:eastAsia="宋体" w:hint="default"/>
          <w:sz w:val="20"/>
          <w:szCs w:val="20"/>
        </w:rPr>
        <w:sectPr>
          <w:pgSz w:w="11910" w:h="16840"/>
          <w:pgMar w:header="0" w:footer="1243" w:top="1360" w:bottom="1440" w:left="1680" w:right="700"/>
        </w:sectPr>
      </w:pPr>
    </w:p>
    <w:p>
      <w:pPr>
        <w:spacing w:line="273" w:lineRule="auto" w:before="6"/>
        <w:ind w:left="3683" w:right="4421" w:firstLine="1"/>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2"/>
        <w:rPr>
          <w:rFonts w:ascii="宋体" w:hAnsi="宋体" w:cs="宋体" w:eastAsia="宋体" w:hint="default"/>
          <w:sz w:val="19"/>
          <w:szCs w:val="19"/>
        </w:rPr>
      </w:pPr>
    </w:p>
    <w:p>
      <w:pPr>
        <w:pStyle w:val="BodyText"/>
        <w:spacing w:line="240" w:lineRule="auto" w:before="35"/>
        <w:ind w:left="0" w:right="853"/>
        <w:jc w:val="right"/>
      </w:pPr>
      <w:r>
        <w:rPr/>
        <w:t>单位</w:t>
      </w:r>
      <w:r>
        <w:rPr>
          <w:rFonts w:ascii="Times New Roman" w:hAnsi="Times New Roman" w:cs="Times New Roman" w:eastAsia="Times New Roman" w:hint="default"/>
        </w:rPr>
        <w:t>:  </w:t>
      </w:r>
      <w:r>
        <w:rPr/>
        <w:t>元</w:t>
      </w:r>
      <w:r>
        <w:rPr>
          <w:spacing w:val="-2"/>
        </w:rPr>
        <w:t> </w:t>
      </w:r>
      <w:r>
        <w:rPr/>
        <w:t>币种</w:t>
      </w:r>
      <w:r>
        <w:rPr>
          <w:rFonts w:ascii="Times New Roman" w:hAnsi="Times New Roman" w:cs="Times New Roman" w:eastAsia="Times New Roman" w:hint="default"/>
        </w:rPr>
        <w:t>:</w:t>
      </w:r>
      <w:r>
        <w:rPr/>
        <w:t>人民币</w:t>
      </w:r>
    </w:p>
    <w:p>
      <w:pPr>
        <w:spacing w:before="21"/>
        <w:ind w:left="117" w:right="77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0"/>
          <w:szCs w:val="20"/>
        </w:rPr>
        <w:t>恒生电子股份有限公司</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220"/>
        <w:gridCol w:w="816"/>
        <w:gridCol w:w="1632"/>
        <w:gridCol w:w="1632"/>
      </w:tblGrid>
      <w:tr>
        <w:trPr>
          <w:trHeight w:val="43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9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38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38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572,428,264.87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345,856,891.05</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572,428,264.87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345,856,891.05</w:t>
            </w:r>
          </w:p>
        </w:tc>
      </w:tr>
      <w:tr>
        <w:trPr>
          <w:trHeight w:val="32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514,980,135.82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340,530,507.71</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257,684,659.80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180,380,143.31</w:t>
            </w:r>
          </w:p>
        </w:tc>
      </w:tr>
      <w:tr>
        <w:trPr>
          <w:trHeight w:val="32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11,762,279.04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5,379,422.20</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91,776,583.97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54,104,706.09</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146,573,984.31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91,978,934.83</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2,441,059.62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w w:val="95"/>
                <w:sz w:val="18"/>
              </w:rPr>
              <w:t>-516,295.59</w:t>
            </w:r>
            <w:r>
              <w:rPr>
                <w:rFonts w:ascii="Times New Roman"/>
                <w:sz w:val="18"/>
              </w:rPr>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4,741,569.08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9,203,596.87</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8,705,551.56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15,277,840.19</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51,450,143.24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27,618,449.18</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-3,054,681.45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2,814,293.64</w:t>
            </w:r>
          </w:p>
        </w:tc>
      </w:tr>
      <w:tr>
        <w:trPr>
          <w:trHeight w:val="32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117,603,823.85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48,222,672.71</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25,770,824.58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14,671,032.67</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1,453,729.34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z w:val="18"/>
              </w:rPr>
              <w:t>707,136.62</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884,008.69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z w:val="18"/>
              </w:rPr>
              <w:t>235,064.55</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141,920,919.09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62,186,568.76</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11,473,050.55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7,456,304.63</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130,447,868.54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54,730,264.13</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126,418,103.18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54,628,706.39</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4,029,765.36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z w:val="18"/>
              </w:rPr>
              <w:t>101,557.74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3" w:top="1420" w:bottom="1440" w:left="168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5220"/>
        <w:gridCol w:w="816"/>
        <w:gridCol w:w="1632"/>
        <w:gridCol w:w="1632"/>
      </w:tblGrid>
      <w:tr>
        <w:trPr>
          <w:trHeight w:val="32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0.68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0.29</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0.68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0.29</w:t>
            </w:r>
          </w:p>
        </w:tc>
      </w:tr>
    </w:tbl>
    <w:p>
      <w:pPr>
        <w:pStyle w:val="BodyText"/>
        <w:spacing w:line="276" w:lineRule="exact" w:before="0"/>
        <w:ind w:right="777"/>
        <w:jc w:val="left"/>
      </w:pPr>
      <w:r>
        <w:rPr/>
        <w:t>本期发生同一控制下企业合并的，被合并方在合并前实现的净利润为：</w:t>
      </w:r>
      <w:r>
        <w:rPr>
          <w:rFonts w:ascii="Times New Roman" w:hAnsi="Times New Roman" w:cs="Times New Roman" w:eastAsia="Times New Roman" w:hint="default"/>
        </w:rPr>
        <w:t>0 </w:t>
      </w:r>
      <w:r>
        <w:rPr/>
        <w:t>元。</w:t>
      </w:r>
    </w:p>
    <w:p>
      <w:pPr>
        <w:tabs>
          <w:tab w:pos="2509" w:val="left" w:leader="none"/>
          <w:tab w:pos="5319" w:val="left" w:leader="none"/>
        </w:tabs>
        <w:spacing w:before="21"/>
        <w:ind w:left="117" w:right="777" w:firstLine="0"/>
        <w:jc w:val="left"/>
        <w:rPr>
          <w:rFonts w:ascii="宋体" w:hAnsi="宋体" w:cs="宋体" w:eastAsia="宋体" w:hint="default"/>
          <w:sz w:val="21"/>
          <w:szCs w:val="21"/>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彭政纲</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刘曙峰</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傅美英</w:t>
      </w:r>
    </w:p>
    <w:p>
      <w:pPr>
        <w:spacing w:line="240" w:lineRule="auto" w:before="1"/>
        <w:rPr>
          <w:rFonts w:ascii="宋体" w:hAnsi="宋体" w:cs="宋体" w:eastAsia="宋体" w:hint="default"/>
          <w:sz w:val="23"/>
          <w:szCs w:val="23"/>
        </w:rPr>
      </w:pPr>
    </w:p>
    <w:p>
      <w:pPr>
        <w:spacing w:line="273" w:lineRule="auto" w:before="0"/>
        <w:ind w:left="3683" w:right="4421" w:firstLine="0"/>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4"/>
        <w:rPr>
          <w:rFonts w:ascii="宋体" w:hAnsi="宋体" w:cs="宋体" w:eastAsia="宋体" w:hint="default"/>
          <w:sz w:val="19"/>
          <w:szCs w:val="19"/>
        </w:rPr>
      </w:pPr>
    </w:p>
    <w:p>
      <w:pPr>
        <w:pStyle w:val="BodyText"/>
        <w:spacing w:line="240" w:lineRule="auto" w:before="35"/>
        <w:ind w:left="0" w:right="853"/>
        <w:jc w:val="right"/>
      </w:pPr>
      <w:r>
        <w:rPr/>
        <w:t>单位</w:t>
      </w:r>
      <w:r>
        <w:rPr>
          <w:rFonts w:ascii="Times New Roman" w:hAnsi="Times New Roman" w:cs="Times New Roman" w:eastAsia="Times New Roman" w:hint="default"/>
        </w:rPr>
        <w:t>:  </w:t>
      </w:r>
      <w:r>
        <w:rPr/>
        <w:t>元</w:t>
      </w:r>
      <w:r>
        <w:rPr>
          <w:spacing w:val="-2"/>
        </w:rPr>
        <w:t> </w:t>
      </w:r>
      <w:r>
        <w:rPr/>
        <w:t>币种</w:t>
      </w:r>
      <w:r>
        <w:rPr>
          <w:rFonts w:ascii="Times New Roman" w:hAnsi="Times New Roman" w:cs="Times New Roman" w:eastAsia="Times New Roman" w:hint="default"/>
        </w:rPr>
        <w:t>:</w:t>
      </w:r>
      <w:r>
        <w:rPr/>
        <w:t>人民币</w:t>
      </w:r>
    </w:p>
    <w:p>
      <w:pPr>
        <w:spacing w:before="21"/>
        <w:ind w:left="117" w:right="77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0"/>
          <w:szCs w:val="20"/>
        </w:rPr>
        <w:t>恒生电子股份有限公司</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220"/>
        <w:gridCol w:w="816"/>
        <w:gridCol w:w="1632"/>
        <w:gridCol w:w="1632"/>
      </w:tblGrid>
      <w:tr>
        <w:trPr>
          <w:trHeight w:val="434"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9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38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38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477,633,945.31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290,873,120.75</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192,932,482.17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137,408,014.32</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10,766,603.53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5,081,920.13</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83,693,839.27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50,482,026.19</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125,977,505.87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82,106,303.40</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2,522,122.78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w w:val="95"/>
                <w:sz w:val="18"/>
              </w:rPr>
              <w:t>-351,505.47</w:t>
            </w:r>
            <w:r>
              <w:rPr>
                <w:rFonts w:ascii="Times New Roman"/>
                <w:sz w:val="18"/>
              </w:rPr>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4,226,759.07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6,417,921.54</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3,770,271.79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14,043,563.18</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45,801,854.20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26,467,725.20</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-2,890,119.99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2,814,293.64</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107,086,758.61</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50,239,729.02</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23,549,402.34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13,904,862.75</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1,335,142.89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z w:val="18"/>
              </w:rPr>
              <w:t>609,061.01</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877,443.09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w w:val="95"/>
                <w:sz w:val="18"/>
              </w:rPr>
              <w:t>-467,014.03</w:t>
            </w:r>
            <w:r>
              <w:rPr>
                <w:rFonts w:ascii="Times New Roman"/>
                <w:sz w:val="18"/>
              </w:rPr>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129,301,018.06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63,535,530.76</w:t>
            </w:r>
          </w:p>
        </w:tc>
      </w:tr>
      <w:tr>
        <w:trPr>
          <w:trHeight w:val="389"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8,799,336.72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6,812,205.98</w:t>
            </w:r>
          </w:p>
        </w:tc>
      </w:tr>
      <w:tr>
        <w:trPr>
          <w:trHeight w:val="39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120,501,681.34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56,723,324.78</w:t>
            </w:r>
          </w:p>
        </w:tc>
      </w:tr>
    </w:tbl>
    <w:p>
      <w:pPr>
        <w:tabs>
          <w:tab w:pos="2509" w:val="left" w:leader="none"/>
          <w:tab w:pos="5319" w:val="left" w:leader="none"/>
        </w:tabs>
        <w:spacing w:line="276" w:lineRule="exact" w:before="0"/>
        <w:ind w:left="117" w:right="777" w:firstLine="0"/>
        <w:jc w:val="left"/>
        <w:rPr>
          <w:rFonts w:ascii="宋体" w:hAnsi="宋体" w:cs="宋体" w:eastAsia="宋体" w:hint="default"/>
          <w:sz w:val="21"/>
          <w:szCs w:val="21"/>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彭政纲</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刘曙峰</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傅美英</w:t>
      </w:r>
    </w:p>
    <w:p>
      <w:pPr>
        <w:spacing w:after="0" w:line="276" w:lineRule="exact"/>
        <w:jc w:val="left"/>
        <w:rPr>
          <w:rFonts w:ascii="宋体" w:hAnsi="宋体" w:cs="宋体" w:eastAsia="宋体" w:hint="default"/>
          <w:sz w:val="21"/>
          <w:szCs w:val="21"/>
        </w:rPr>
        <w:sectPr>
          <w:pgSz w:w="11910" w:h="16840"/>
          <w:pgMar w:header="0" w:footer="1243" w:top="1360" w:bottom="1440" w:left="1680" w:right="700"/>
        </w:sectPr>
      </w:pPr>
    </w:p>
    <w:p>
      <w:pPr>
        <w:spacing w:line="273" w:lineRule="auto" w:before="106"/>
        <w:ind w:left="3526" w:right="4263" w:firstLine="0"/>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4"/>
        <w:rPr>
          <w:rFonts w:ascii="宋体" w:hAnsi="宋体" w:cs="宋体" w:eastAsia="宋体" w:hint="default"/>
          <w:sz w:val="19"/>
          <w:szCs w:val="19"/>
        </w:rPr>
      </w:pPr>
    </w:p>
    <w:p>
      <w:pPr>
        <w:pStyle w:val="BodyText"/>
        <w:spacing w:line="240" w:lineRule="auto" w:before="35"/>
        <w:ind w:left="0" w:right="85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before="21"/>
        <w:ind w:left="117" w:right="77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0"/>
          <w:szCs w:val="20"/>
        </w:rPr>
        <w:t>恒生电子股份有限公司</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876"/>
        <w:gridCol w:w="774"/>
        <w:gridCol w:w="2326"/>
        <w:gridCol w:w="2324"/>
      </w:tblGrid>
      <w:tr>
        <w:trPr>
          <w:trHeight w:val="43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679,436,401.11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401,821,108.24</w:t>
            </w: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22,026,122.32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15,249,877.98</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38,223,957.34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12,332,056.08</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739,686,480.77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429,403,042.30</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310,874,196.83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195,311,315.92</w:t>
            </w: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100,780,773.25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67,436,565.60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57,049,854.69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28,002,183.42</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114,369,267.45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74,020,719.39</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583,074,092.22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364,770,784.33</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156,612,388.55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64,632,257.97</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175,128,070.40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82,974,287.32</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55,647,165.57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25,385,655.98</w:t>
            </w:r>
          </w:p>
        </w:tc>
      </w:tr>
      <w:tr>
        <w:trPr>
          <w:trHeight w:val="63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344,811.56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337,694.11</w:t>
            </w: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0" w:footer="1243" w:top="1600" w:bottom="1440" w:left="168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876"/>
        <w:gridCol w:w="774"/>
        <w:gridCol w:w="2326"/>
        <w:gridCol w:w="2324"/>
      </w:tblGrid>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12,600,000.00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231,120,047.53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121,297,637.41</w:t>
            </w:r>
          </w:p>
        </w:tc>
      </w:tr>
      <w:tr>
        <w:trPr>
          <w:trHeight w:val="63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购建固定资产、无形资产和其他长期资产支付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59,429,287.42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34,760,073.13</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247,231,389.70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98,903,365.93</w:t>
            </w: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56,983,476.25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50,000.00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363,644,153.37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133,713,439.06</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-132,524,105.84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-12,415,801.65</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14,600,000.00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z w:val="18"/>
              </w:rPr>
              <w:t>107,155.50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14,600,000.00</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126,000,000.00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32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23,650,000.00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164,250,000.00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159,607,155.50</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100,000,000.00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19,256,793.08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31,026,218.39</w:t>
            </w: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25,150,000.00</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144,406,793.08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139,026,218.39</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19,843,206.92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20,580,937.11</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-615,421.69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-285,583.85</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43,316,067.94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72,511,809.58</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220,362,115.95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147,850,306.37</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263,678,183.89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220,362,115.95</w:t>
            </w:r>
          </w:p>
        </w:tc>
      </w:tr>
    </w:tbl>
    <w:p>
      <w:pPr>
        <w:tabs>
          <w:tab w:pos="2509" w:val="left" w:leader="none"/>
          <w:tab w:pos="5319" w:val="left" w:leader="none"/>
        </w:tabs>
        <w:spacing w:line="276" w:lineRule="exact" w:before="0"/>
        <w:ind w:left="117" w:right="777"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彭政纲</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刘曙峰</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傅美英</w:t>
      </w:r>
    </w:p>
    <w:p>
      <w:pPr>
        <w:spacing w:after="0" w:line="276" w:lineRule="exact"/>
        <w:jc w:val="left"/>
        <w:rPr>
          <w:rFonts w:ascii="宋体" w:hAnsi="宋体" w:cs="宋体" w:eastAsia="宋体" w:hint="default"/>
          <w:sz w:val="20"/>
          <w:szCs w:val="20"/>
        </w:rPr>
        <w:sectPr>
          <w:pgSz w:w="11910" w:h="16840"/>
          <w:pgMar w:header="0" w:footer="1243" w:top="1360" w:bottom="1440" w:left="1680" w:right="700"/>
        </w:sectPr>
      </w:pPr>
    </w:p>
    <w:p>
      <w:pPr>
        <w:spacing w:line="273" w:lineRule="auto" w:before="106"/>
        <w:ind w:left="3526" w:right="4262"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4"/>
        <w:rPr>
          <w:rFonts w:ascii="宋体" w:hAnsi="宋体" w:cs="宋体" w:eastAsia="宋体" w:hint="default"/>
          <w:sz w:val="19"/>
          <w:szCs w:val="19"/>
        </w:rPr>
      </w:pPr>
    </w:p>
    <w:p>
      <w:pPr>
        <w:pStyle w:val="BodyText"/>
        <w:spacing w:line="240" w:lineRule="auto" w:before="35"/>
        <w:ind w:left="0" w:right="85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before="21"/>
        <w:ind w:left="117" w:right="77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0"/>
          <w:szCs w:val="20"/>
        </w:rPr>
        <w:t>恒生电子股份有限公司</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876"/>
        <w:gridCol w:w="774"/>
        <w:gridCol w:w="2326"/>
        <w:gridCol w:w="2324"/>
      </w:tblGrid>
      <w:tr>
        <w:trPr>
          <w:trHeight w:val="43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571,475,875.21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340,242,485.60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19,826,131.34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14,495,618.86</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484,192,670.32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363,771,430.16</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1,075,494,676.87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718,509,534.62</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236,243,704.75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148,182,998.67</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90,795,123.05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63,246,566.95</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51,994,734.64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26,381,491.47</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546,906,243.65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417,827,165.04</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925,939,806.09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655,638,222.13</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149,554,870.78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62,871,312.49</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159,068,497.54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75,895,719.87</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48,691,974.19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24,340,128.52</w:t>
            </w:r>
          </w:p>
        </w:tc>
      </w:tr>
      <w:tr>
        <w:trPr>
          <w:trHeight w:val="64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334,781.10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207,634.82</w:t>
            </w: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208,095,252.83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112,443,483.21</w:t>
            </w:r>
          </w:p>
        </w:tc>
      </w:tr>
      <w:tr>
        <w:trPr>
          <w:trHeight w:val="64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购建固定资产、无形资产和其他长期资产支付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10,456,738.02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10,249,662.06</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209,741,677.90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90,472,705.93</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31,400,000.00</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56,800,000.00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2,750,000.00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308,398,415.92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103,472,367.99</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-100,303,163.09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8,971,115.22</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88,000,000.00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88,000,000.00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158,000,000.00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3" w:top="1600" w:bottom="1440" w:left="168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876"/>
        <w:gridCol w:w="774"/>
        <w:gridCol w:w="2326"/>
        <w:gridCol w:w="2324"/>
      </w:tblGrid>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100,000,000.00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16,807,944.00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31,026,218.39</w:t>
            </w:r>
          </w:p>
        </w:tc>
      </w:tr>
      <w:tr>
        <w:trPr>
          <w:trHeight w:val="32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116,807,944.00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139,026,218.39</w:t>
            </w:r>
          </w:p>
        </w:tc>
      </w:tr>
      <w:tr>
        <w:trPr>
          <w:trHeight w:val="389"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-28,807,944.00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18,973,781.61</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-218,281.18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w w:val="95"/>
                <w:sz w:val="18"/>
              </w:rPr>
              <w:t>-80,162.94</w:t>
            </w:r>
            <w:r>
              <w:rPr>
                <w:rFonts w:ascii="Times New Roman"/>
                <w:sz w:val="18"/>
              </w:rPr>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20,225,482.51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90,736,046.38</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206,330,997.33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115,594,950.95</w:t>
            </w:r>
          </w:p>
        </w:tc>
      </w:tr>
      <w:tr>
        <w:trPr>
          <w:trHeight w:val="39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226,556,479.84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206,330,997.33</w:t>
            </w:r>
          </w:p>
        </w:tc>
      </w:tr>
    </w:tbl>
    <w:p>
      <w:pPr>
        <w:tabs>
          <w:tab w:pos="2509" w:val="left" w:leader="none"/>
          <w:tab w:pos="5319" w:val="left" w:leader="none"/>
        </w:tabs>
        <w:spacing w:line="276" w:lineRule="exact" w:before="0"/>
        <w:ind w:left="117" w:right="777"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彭政纲</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刘曙峰</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傅美英</w:t>
      </w:r>
    </w:p>
    <w:p>
      <w:pPr>
        <w:spacing w:after="0" w:line="276" w:lineRule="exact"/>
        <w:jc w:val="left"/>
        <w:rPr>
          <w:rFonts w:ascii="宋体" w:hAnsi="宋体" w:cs="宋体" w:eastAsia="宋体" w:hint="default"/>
          <w:sz w:val="20"/>
          <w:szCs w:val="20"/>
        </w:rPr>
        <w:sectPr>
          <w:pgSz w:w="11910" w:h="16840"/>
          <w:pgMar w:header="0" w:footer="1243" w:top="1360" w:bottom="1440" w:left="1680" w:right="700"/>
        </w:sectPr>
      </w:pPr>
    </w:p>
    <w:p>
      <w:pPr>
        <w:spacing w:line="240" w:lineRule="auto" w:before="3"/>
        <w:rPr>
          <w:rFonts w:ascii="宋体" w:hAnsi="宋体" w:cs="宋体" w:eastAsia="宋体" w:hint="default"/>
          <w:sz w:val="29"/>
          <w:szCs w:val="29"/>
        </w:rPr>
      </w:pPr>
    </w:p>
    <w:p>
      <w:pPr>
        <w:spacing w:line="273" w:lineRule="auto" w:before="35"/>
        <w:ind w:left="4652" w:right="4228"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7"/>
          <w:w w:val="95"/>
          <w:sz w:val="21"/>
          <w:szCs w:val="21"/>
        </w:rPr>
        <w:t> </w:t>
      </w:r>
      <w:r>
        <w:rPr>
          <w:rFonts w:ascii="宋体" w:hAnsi="宋体" w:cs="宋体" w:eastAsia="宋体" w:hint="default"/>
          <w:b/>
          <w:bCs/>
          <w:spacing w:val="-7"/>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4"/>
        <w:rPr>
          <w:rFonts w:ascii="宋体" w:hAnsi="宋体" w:cs="宋体" w:eastAsia="宋体" w:hint="default"/>
          <w:sz w:val="19"/>
          <w:szCs w:val="19"/>
        </w:rPr>
      </w:pPr>
    </w:p>
    <w:p>
      <w:pPr>
        <w:pStyle w:val="BodyText"/>
        <w:spacing w:line="240" w:lineRule="auto" w:before="35"/>
        <w:ind w:left="1397" w:right="0"/>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恒生电子股份有限公司</w:t>
      </w:r>
    </w:p>
    <w:p>
      <w:pPr>
        <w:pStyle w:val="BodyText"/>
        <w:spacing w:line="240" w:lineRule="auto" w:before="21"/>
        <w:ind w:left="0" w:right="97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756"/>
        <w:gridCol w:w="1340"/>
        <w:gridCol w:w="1342"/>
        <w:gridCol w:w="576"/>
        <w:gridCol w:w="1250"/>
        <w:gridCol w:w="396"/>
        <w:gridCol w:w="1342"/>
        <w:gridCol w:w="1086"/>
        <w:gridCol w:w="1250"/>
        <w:gridCol w:w="1342"/>
      </w:tblGrid>
      <w:tr>
        <w:trPr>
          <w:trHeight w:val="434" w:hRule="exact"/>
        </w:trPr>
        <w:tc>
          <w:tcPr>
            <w:tcW w:w="75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924" w:type="dxa"/>
            <w:gridSpan w:val="9"/>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36" w:hRule="exact"/>
        </w:trPr>
        <w:tc>
          <w:tcPr>
            <w:tcW w:w="756" w:type="dxa"/>
            <w:vMerge/>
            <w:tcBorders>
              <w:left w:val="single" w:sz="6" w:space="0" w:color="101010"/>
              <w:right w:val="single" w:sz="6" w:space="0" w:color="101010"/>
            </w:tcBorders>
          </w:tcPr>
          <w:p>
            <w:pPr/>
          </w:p>
        </w:tc>
        <w:tc>
          <w:tcPr>
            <w:tcW w:w="7332"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527" w:right="166"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4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573" w:right="12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86" w:hRule="exact"/>
        </w:trPr>
        <w:tc>
          <w:tcPr>
            <w:tcW w:w="756" w:type="dxa"/>
            <w:vMerge/>
            <w:tcBorders>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00" w:lineRule="auto"/>
              <w:ind w:left="453" w:right="180" w:hanging="27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95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一、上 年年末 余额</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142,800,000.00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157,867,454.54</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25,664,775.98</w:t>
            </w: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56,558,319.39</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-482,474.53</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15,084,829.76</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397,492,905.14</w:t>
            </w:r>
          </w:p>
        </w:tc>
      </w:tr>
      <w:tr>
        <w:trPr>
          <w:trHeight w:val="95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加：会 计政策 变更</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前期差 错更正</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95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二、本 年年初 余额</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142,800,000.00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157,867,454.54</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25,664,775.98</w:t>
            </w: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56,558,319.39</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-482,474.53</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15,084,829.76</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397,492,905.14</w:t>
            </w:r>
          </w:p>
        </w:tc>
      </w:tr>
      <w:tr>
        <w:trPr>
          <w:trHeight w:val="251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三、本 年增减 变动金 额（减 少 以 “－” 号 填 列）</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42,840,000.00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54,133,190.63</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12,050,168.13</w:t>
            </w: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100,087,935.05</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-271,747.87</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20,539,933.22</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229,379,479.16</w:t>
            </w:r>
          </w:p>
        </w:tc>
      </w:tr>
      <w:tr>
        <w:trPr>
          <w:trHeight w:val="63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（一） 净利润</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126,418,103.18</w:t>
            </w: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4,029,765.36</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130,447,868.54</w:t>
            </w:r>
          </w:p>
        </w:tc>
      </w:tr>
      <w:tr>
        <w:trPr>
          <w:trHeight w:val="188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（二） 直接计 入所有 者权益 的利得 和损失</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7" w:right="0"/>
              <w:jc w:val="center"/>
              <w:rPr>
                <w:rFonts w:ascii="Times New Roman" w:hAnsi="Times New Roman" w:cs="Times New Roman" w:eastAsia="Times New Roman" w:hint="default"/>
                <w:sz w:val="18"/>
                <w:szCs w:val="18"/>
              </w:rPr>
            </w:pPr>
            <w:r>
              <w:rPr>
                <w:rFonts w:ascii="Times New Roman"/>
                <w:sz w:val="18"/>
              </w:rPr>
              <w:t>96,973,190.63</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 w:right="0"/>
              <w:jc w:val="center"/>
              <w:rPr>
                <w:rFonts w:ascii="Times New Roman" w:hAnsi="Times New Roman" w:cs="Times New Roman" w:eastAsia="Times New Roman" w:hint="default"/>
                <w:sz w:val="18"/>
                <w:szCs w:val="18"/>
              </w:rPr>
            </w:pPr>
            <w:r>
              <w:rPr>
                <w:rFonts w:ascii="Times New Roman"/>
                <w:sz w:val="18"/>
              </w:rPr>
              <w:t>-271,747.87</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1" w:right="0"/>
              <w:jc w:val="center"/>
              <w:rPr>
                <w:rFonts w:ascii="Times New Roman" w:hAnsi="Times New Roman" w:cs="Times New Roman" w:eastAsia="Times New Roman" w:hint="default"/>
                <w:sz w:val="18"/>
                <w:szCs w:val="18"/>
              </w:rPr>
            </w:pPr>
            <w:r>
              <w:rPr>
                <w:rFonts w:ascii="Times New Roman"/>
                <w:sz w:val="18"/>
              </w:rPr>
              <w:t>1,910,167.86</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98,611,610.62</w:t>
            </w:r>
          </w:p>
        </w:tc>
      </w:tr>
      <w:tr>
        <w:trPr>
          <w:trHeight w:val="39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可供</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87" w:right="0"/>
              <w:jc w:val="center"/>
              <w:rPr>
                <w:rFonts w:ascii="Times New Roman" w:hAnsi="Times New Roman" w:cs="Times New Roman" w:eastAsia="Times New Roman" w:hint="default"/>
                <w:sz w:val="18"/>
                <w:szCs w:val="18"/>
              </w:rPr>
            </w:pPr>
            <w:r>
              <w:rPr>
                <w:rFonts w:ascii="Times New Roman"/>
                <w:sz w:val="18"/>
              </w:rPr>
              <w:t>86,123,841.32</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86,123,841.32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3" w:top="1600" w:bottom="1440" w:left="400" w:right="580"/>
        </w:sectPr>
      </w:pPr>
    </w:p>
    <w:p>
      <w:pPr>
        <w:spacing w:line="240" w:lineRule="auto" w:before="11"/>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756"/>
        <w:gridCol w:w="1340"/>
        <w:gridCol w:w="1342"/>
        <w:gridCol w:w="576"/>
        <w:gridCol w:w="1250"/>
        <w:gridCol w:w="396"/>
        <w:gridCol w:w="1342"/>
        <w:gridCol w:w="1086"/>
        <w:gridCol w:w="1250"/>
        <w:gridCol w:w="1342"/>
      </w:tblGrid>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出售金</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公允价</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权益</w:t>
            </w:r>
          </w:p>
        </w:tc>
        <w:tc>
          <w:tcPr>
            <w:tcW w:w="134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法下被</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投资单</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624"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位其他 所有者</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10,849,349.31</w:t>
            </w: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10,849,349.31</w:t>
            </w: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权益变</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动的影</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34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与计</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入所有</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项目相</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关的所</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得税影</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9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left="100" w:right="0"/>
              <w:jc w:val="left"/>
              <w:rPr>
                <w:rFonts w:ascii="Times New Roman" w:hAnsi="Times New Roman" w:cs="Times New Roman" w:eastAsia="Times New Roman" w:hint="default"/>
                <w:sz w:val="18"/>
                <w:szCs w:val="18"/>
              </w:rPr>
            </w:pPr>
            <w:r>
              <w:rPr>
                <w:rFonts w:ascii="Times New Roman"/>
                <w:sz w:val="18"/>
              </w:rPr>
              <w:t>-271,747.87</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91" w:right="0"/>
              <w:jc w:val="center"/>
              <w:rPr>
                <w:rFonts w:ascii="Times New Roman" w:hAnsi="Times New Roman" w:cs="Times New Roman" w:eastAsia="Times New Roman" w:hint="default"/>
                <w:sz w:val="18"/>
                <w:szCs w:val="18"/>
              </w:rPr>
            </w:pPr>
            <w:r>
              <w:rPr>
                <w:rFonts w:ascii="Times New Roman"/>
                <w:sz w:val="18"/>
              </w:rPr>
              <w:t>1,910,167.86</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1,638,419.99</w:t>
            </w: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  述</w:t>
            </w:r>
          </w:p>
        </w:tc>
        <w:tc>
          <w:tcPr>
            <w:tcW w:w="134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1086" w:type="dxa"/>
            <w:tcBorders>
              <w:top w:val="single" w:sz="6" w:space="0" w:color="101010"/>
              <w:left w:val="single" w:sz="6" w:space="0" w:color="101010"/>
              <w:bottom w:val="nil" w:sz="6" w:space="0" w:color="auto"/>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624"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8"/>
              <w:jc w:val="left"/>
              <w:rPr>
                <w:rFonts w:ascii="宋体" w:hAnsi="宋体" w:cs="宋体" w:eastAsia="宋体" w:hint="default"/>
                <w:sz w:val="18"/>
                <w:szCs w:val="18"/>
              </w:rPr>
            </w:pPr>
            <w:r>
              <w:rPr>
                <w:rFonts w:ascii="宋体" w:hAnsi="宋体" w:cs="宋体" w:eastAsia="宋体" w:hint="default"/>
                <w:sz w:val="18"/>
                <w:szCs w:val="18"/>
              </w:rPr>
              <w:t>（一） </w:t>
            </w:r>
            <w:r>
              <w:rPr>
                <w:rFonts w:ascii="宋体" w:hAnsi="宋体" w:cs="宋体" w:eastAsia="宋体" w:hint="default"/>
                <w:spacing w:val="-23"/>
                <w:sz w:val="18"/>
                <w:szCs w:val="18"/>
              </w:rPr>
              <w:t>和（二）</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96,973,190.63</w:t>
            </w: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126,418,103.18</w:t>
            </w:r>
          </w:p>
        </w:tc>
        <w:tc>
          <w:tcPr>
            <w:tcW w:w="108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-271,747.87</w:t>
            </w: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5,939,933.22</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229,059,479.16</w:t>
            </w: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1086" w:type="dxa"/>
            <w:tcBorders>
              <w:top w:val="nil" w:sz="6" w:space="0" w:color="auto"/>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所有者</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投入和</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14,600,000.00</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14,600,000.00</w:t>
            </w:r>
          </w:p>
        </w:tc>
      </w:tr>
      <w:tr>
        <w:trPr>
          <w:trHeight w:val="309"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减少资</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所有</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10"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者投入</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14,600,000.00</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pacing w:val="-1"/>
                <w:sz w:val="18"/>
              </w:rPr>
              <w:t>14,600,000.00</w:t>
            </w:r>
          </w:p>
        </w:tc>
      </w:tr>
      <w:tr>
        <w:trPr>
          <w:trHeight w:val="315"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股份</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支付计</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入所有</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6"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利润分</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12,050,168.13</w:t>
            </w:r>
          </w:p>
        </w:tc>
        <w:tc>
          <w:tcPr>
            <w:tcW w:w="396"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-26,330,168.13</w:t>
            </w: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-14,280,000.00</w:t>
            </w:r>
          </w:p>
        </w:tc>
      </w:tr>
      <w:tr>
        <w:trPr>
          <w:trHeight w:val="316"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9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提取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left="1" w:right="0"/>
              <w:jc w:val="center"/>
              <w:rPr>
                <w:rFonts w:ascii="Times New Roman" w:hAnsi="Times New Roman" w:cs="Times New Roman" w:eastAsia="Times New Roman" w:hint="default"/>
                <w:sz w:val="18"/>
                <w:szCs w:val="18"/>
              </w:rPr>
            </w:pPr>
            <w:r>
              <w:rPr>
                <w:rFonts w:ascii="Times New Roman"/>
                <w:sz w:val="18"/>
              </w:rPr>
              <w:t>12,050,168.13</w:t>
            </w: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-12,050,168.13</w:t>
            </w: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0" w:footer="1243" w:top="1360" w:bottom="1440" w:left="400" w:right="580"/>
        </w:sectPr>
      </w:pPr>
    </w:p>
    <w:p>
      <w:pPr>
        <w:spacing w:line="240" w:lineRule="auto" w:before="11"/>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756"/>
        <w:gridCol w:w="1340"/>
        <w:gridCol w:w="1342"/>
        <w:gridCol w:w="576"/>
        <w:gridCol w:w="1250"/>
        <w:gridCol w:w="396"/>
        <w:gridCol w:w="1342"/>
        <w:gridCol w:w="1086"/>
        <w:gridCol w:w="1250"/>
        <w:gridCol w:w="1342"/>
      </w:tblGrid>
      <w:tr>
        <w:trPr>
          <w:trHeight w:val="63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09" w:lineRule="auto" w:before="11"/>
              <w:ind w:left="100" w:right="98"/>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．提取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一般风 险准备</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对所</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有  者</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-14,280,000.00</w:t>
            </w: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-14,280,000.00</w:t>
            </w:r>
          </w:p>
        </w:tc>
      </w:tr>
      <w:tr>
        <w:trPr>
          <w:trHeight w:val="309"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东）的</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34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624"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所有者 权益内</w:t>
            </w:r>
          </w:p>
        </w:tc>
        <w:tc>
          <w:tcPr>
            <w:tcW w:w="1340"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42,840,000.00</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-42,840,000.00</w:t>
            </w: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34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资本</w:t>
            </w:r>
          </w:p>
        </w:tc>
        <w:tc>
          <w:tcPr>
            <w:tcW w:w="134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340" w:type="dxa"/>
            <w:tcBorders>
              <w:top w:val="nil" w:sz="6" w:space="0" w:color="auto"/>
              <w:left w:val="single" w:sz="6" w:space="0" w:color="101010"/>
              <w:bottom w:val="nil" w:sz="6" w:space="0" w:color="auto"/>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增资本</w:t>
            </w:r>
          </w:p>
        </w:tc>
        <w:tc>
          <w:tcPr>
            <w:tcW w:w="134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42,840,000.00</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29" w:right="0"/>
              <w:jc w:val="center"/>
              <w:rPr>
                <w:rFonts w:ascii="Times New Roman" w:hAnsi="Times New Roman" w:cs="Times New Roman" w:eastAsia="Times New Roman" w:hint="default"/>
                <w:sz w:val="18"/>
                <w:szCs w:val="18"/>
              </w:rPr>
            </w:pPr>
            <w:r>
              <w:rPr>
                <w:rFonts w:ascii="Times New Roman"/>
                <w:sz w:val="18"/>
              </w:rPr>
              <w:t>-42,840,000.00</w:t>
            </w: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09"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340" w:type="dxa"/>
            <w:tcBorders>
              <w:top w:val="nil" w:sz="6" w:space="0" w:color="auto"/>
              <w:left w:val="single" w:sz="6" w:space="0" w:color="101010"/>
              <w:bottom w:val="nil" w:sz="6" w:space="0" w:color="auto"/>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4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盈余</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增资本</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盈余</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公积弥</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6"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四、本</w:t>
            </w:r>
          </w:p>
        </w:tc>
        <w:tc>
          <w:tcPr>
            <w:tcW w:w="134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1086" w:type="dxa"/>
            <w:tcBorders>
              <w:top w:val="single" w:sz="6" w:space="0" w:color="101010"/>
              <w:left w:val="single" w:sz="6" w:space="0" w:color="101010"/>
              <w:bottom w:val="nil" w:sz="6" w:space="0" w:color="auto"/>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期期末</w:t>
            </w:r>
          </w:p>
        </w:tc>
        <w:tc>
          <w:tcPr>
            <w:tcW w:w="134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185,640,000.00</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212,000,645.17</w:t>
            </w:r>
          </w:p>
        </w:tc>
        <w:tc>
          <w:tcPr>
            <w:tcW w:w="57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8" w:right="0"/>
              <w:jc w:val="left"/>
              <w:rPr>
                <w:rFonts w:ascii="Times New Roman" w:hAnsi="Times New Roman" w:cs="Times New Roman" w:eastAsia="Times New Roman" w:hint="default"/>
                <w:sz w:val="18"/>
                <w:szCs w:val="18"/>
              </w:rPr>
            </w:pPr>
            <w:r>
              <w:rPr>
                <w:rFonts w:ascii="Times New Roman"/>
                <w:sz w:val="18"/>
              </w:rPr>
              <w:t>37,714,944.11</w:t>
            </w:r>
          </w:p>
        </w:tc>
        <w:tc>
          <w:tcPr>
            <w:tcW w:w="396"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156,646,254.44</w:t>
            </w:r>
          </w:p>
        </w:tc>
        <w:tc>
          <w:tcPr>
            <w:tcW w:w="1086"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-754,222.40</w:t>
            </w: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35,624,762.98</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626,872,384.30</w:t>
            </w:r>
          </w:p>
        </w:tc>
      </w:tr>
      <w:tr>
        <w:trPr>
          <w:trHeight w:val="316"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4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1086" w:type="dxa"/>
            <w:tcBorders>
              <w:top w:val="nil" w:sz="6" w:space="0" w:color="auto"/>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bl>
    <w:p>
      <w:pPr>
        <w:spacing w:after="0"/>
        <w:sectPr>
          <w:pgSz w:w="11910" w:h="16840"/>
          <w:pgMar w:header="0" w:footer="1243" w:top="1360" w:bottom="1440" w:left="400" w:right="580"/>
        </w:sectPr>
      </w:pPr>
    </w:p>
    <w:p>
      <w:pPr>
        <w:spacing w:line="240" w:lineRule="auto" w:before="10"/>
        <w:rPr>
          <w:rFonts w:ascii="Times New Roman" w:hAnsi="Times New Roman" w:cs="Times New Roman" w:eastAsia="Times New Roman" w:hint="default"/>
          <w:sz w:val="8"/>
          <w:szCs w:val="8"/>
        </w:rPr>
      </w:pPr>
    </w:p>
    <w:p>
      <w:pPr>
        <w:pStyle w:val="BodyText"/>
        <w:spacing w:line="240" w:lineRule="auto" w:before="35"/>
        <w:ind w:left="0" w:right="95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56"/>
        <w:gridCol w:w="1340"/>
        <w:gridCol w:w="1342"/>
        <w:gridCol w:w="576"/>
        <w:gridCol w:w="1250"/>
        <w:gridCol w:w="396"/>
        <w:gridCol w:w="1312"/>
        <w:gridCol w:w="1086"/>
        <w:gridCol w:w="1250"/>
        <w:gridCol w:w="1342"/>
      </w:tblGrid>
      <w:tr>
        <w:trPr>
          <w:trHeight w:val="326" w:hRule="exact"/>
        </w:trPr>
        <w:tc>
          <w:tcPr>
            <w:tcW w:w="75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894" w:type="dxa"/>
            <w:gridSpan w:val="9"/>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328" w:hRule="exact"/>
        </w:trPr>
        <w:tc>
          <w:tcPr>
            <w:tcW w:w="756" w:type="dxa"/>
            <w:vMerge/>
            <w:tcBorders>
              <w:left w:val="single" w:sz="6" w:space="0" w:color="101010"/>
              <w:right w:val="single" w:sz="6" w:space="0" w:color="101010"/>
            </w:tcBorders>
          </w:tcPr>
          <w:p>
            <w:pPr/>
          </w:p>
        </w:tc>
        <w:tc>
          <w:tcPr>
            <w:tcW w:w="7302"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527" w:right="16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4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573" w:right="12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86" w:hRule="exact"/>
        </w:trPr>
        <w:tc>
          <w:tcPr>
            <w:tcW w:w="756" w:type="dxa"/>
            <w:vMerge/>
            <w:tcBorders>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00" w:lineRule="auto"/>
              <w:ind w:left="453" w:right="180" w:hanging="27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99" w:right="101"/>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95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一、上 年年末 余额</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102,000,000.00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200,633,640.90</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20,520,730.27</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 w:right="0"/>
              <w:jc w:val="center"/>
              <w:rPr>
                <w:rFonts w:ascii="Times New Roman" w:hAnsi="Times New Roman" w:cs="Times New Roman" w:eastAsia="Times New Roman" w:hint="default"/>
                <w:sz w:val="18"/>
                <w:szCs w:val="18"/>
              </w:rPr>
            </w:pPr>
            <w:r>
              <w:rPr>
                <w:rFonts w:ascii="Times New Roman"/>
                <w:sz w:val="18"/>
              </w:rPr>
              <w:t>31,404,754.58</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-272,409.61</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14,868,371.42</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369,155,087.56</w:t>
            </w:r>
          </w:p>
        </w:tc>
      </w:tr>
      <w:tr>
        <w:trPr>
          <w:trHeight w:val="95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加：会 计政策 变更</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263,796.71</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9" w:right="0"/>
              <w:jc w:val="center"/>
              <w:rPr>
                <w:rFonts w:ascii="Times New Roman" w:hAnsi="Times New Roman" w:cs="Times New Roman" w:eastAsia="Times New Roman" w:hint="default"/>
                <w:sz w:val="18"/>
                <w:szCs w:val="18"/>
              </w:rPr>
            </w:pPr>
            <w:r>
              <w:rPr>
                <w:rFonts w:ascii="Times New Roman"/>
                <w:sz w:val="18"/>
              </w:rPr>
              <w:t>5,703,419.42</w:t>
            </w: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114,900.60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6,082,116.73</w:t>
            </w:r>
          </w:p>
        </w:tc>
      </w:tr>
      <w:tr>
        <w:trPr>
          <w:trHeight w:val="64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前期差 错更正</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950"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二、本 年年初 余额</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102,000,000.00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200,633,640.90</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20,784,526.98</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 w:right="0"/>
              <w:jc w:val="center"/>
              <w:rPr>
                <w:rFonts w:ascii="Times New Roman" w:hAnsi="Times New Roman" w:cs="Times New Roman" w:eastAsia="Times New Roman" w:hint="default"/>
                <w:sz w:val="18"/>
                <w:szCs w:val="18"/>
              </w:rPr>
            </w:pPr>
            <w:r>
              <w:rPr>
                <w:rFonts w:ascii="Times New Roman"/>
                <w:sz w:val="18"/>
              </w:rPr>
              <w:t>37,108,174.00</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-272,409.61</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14,983,272.02</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375,237,204.29</w:t>
            </w:r>
          </w:p>
        </w:tc>
      </w:tr>
      <w:tr>
        <w:trPr>
          <w:trHeight w:val="251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三、本 年增减 变动金 额（减 少 以 “－” 号 填 列）</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40,800,000.00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-42,766,186.36</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4,880,249.00</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19,450,145.39</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-210,064.92</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101,557.74</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22,255,700.85</w:t>
            </w:r>
          </w:p>
        </w:tc>
      </w:tr>
      <w:tr>
        <w:trPr>
          <w:trHeight w:val="63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（一） 净利润</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54,628,706.39</w:t>
            </w: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101,557.74</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54,730,264.13</w:t>
            </w:r>
          </w:p>
        </w:tc>
      </w:tr>
      <w:tr>
        <w:trPr>
          <w:trHeight w:val="188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（二） 直接计 入所有 者权益 的利得 和损失</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-1,966,186.36</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 w:right="0"/>
              <w:jc w:val="center"/>
              <w:rPr>
                <w:rFonts w:ascii="Times New Roman" w:hAnsi="Times New Roman" w:cs="Times New Roman" w:eastAsia="Times New Roman" w:hint="default"/>
                <w:sz w:val="18"/>
                <w:szCs w:val="18"/>
              </w:rPr>
            </w:pPr>
            <w:r>
              <w:rPr>
                <w:rFonts w:ascii="Times New Roman"/>
                <w:sz w:val="18"/>
              </w:rPr>
              <w:t>-210,064.92</w:t>
            </w: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-2,176,251.28</w:t>
            </w:r>
          </w:p>
        </w:tc>
      </w:tr>
      <w:tr>
        <w:trPr>
          <w:trHeight w:val="188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314" w:lineRule="auto" w:before="11"/>
              <w:ind w:left="100" w:right="98"/>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．可供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出售金 融资产 公允价 值变动 净额</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0" w:footer="1243" w:top="1600" w:bottom="1440" w:left="420" w:right="600"/>
        </w:sectPr>
      </w:pPr>
    </w:p>
    <w:p>
      <w:pPr>
        <w:spacing w:line="240" w:lineRule="auto" w:before="1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756"/>
        <w:gridCol w:w="1340"/>
        <w:gridCol w:w="1342"/>
        <w:gridCol w:w="576"/>
        <w:gridCol w:w="1250"/>
        <w:gridCol w:w="396"/>
        <w:gridCol w:w="1312"/>
        <w:gridCol w:w="1086"/>
        <w:gridCol w:w="1250"/>
        <w:gridCol w:w="1342"/>
      </w:tblGrid>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权益</w:t>
            </w:r>
          </w:p>
        </w:tc>
        <w:tc>
          <w:tcPr>
            <w:tcW w:w="134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法下被</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投资单</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624"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位其他 所有者</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-3,136,186.36</w:t>
            </w: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-3,136,186.36</w:t>
            </w: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权益变</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动的影</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34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与计</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入所有</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项目相</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关的所</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得税影</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89"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1,170,000.00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left="1" w:right="0"/>
              <w:jc w:val="center"/>
              <w:rPr>
                <w:rFonts w:ascii="Times New Roman" w:hAnsi="Times New Roman" w:cs="Times New Roman" w:eastAsia="Times New Roman" w:hint="default"/>
                <w:sz w:val="18"/>
                <w:szCs w:val="18"/>
              </w:rPr>
            </w:pPr>
            <w:r>
              <w:rPr>
                <w:rFonts w:ascii="Times New Roman"/>
                <w:sz w:val="18"/>
              </w:rPr>
              <w:t>-210,064.92</w:t>
            </w: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z w:val="18"/>
              </w:rPr>
              <w:t>959,935.08</w:t>
            </w: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  述</w:t>
            </w:r>
          </w:p>
        </w:tc>
        <w:tc>
          <w:tcPr>
            <w:tcW w:w="134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tcBorders>
              <w:top w:val="single" w:sz="6" w:space="0" w:color="101010"/>
              <w:left w:val="single" w:sz="6" w:space="0" w:color="101010"/>
              <w:bottom w:val="nil" w:sz="6" w:space="0" w:color="auto"/>
              <w:right w:val="single" w:sz="6" w:space="0" w:color="101010"/>
            </w:tcBorders>
          </w:tcPr>
          <w:p>
            <w:pPr/>
          </w:p>
        </w:tc>
        <w:tc>
          <w:tcPr>
            <w:tcW w:w="1086" w:type="dxa"/>
            <w:tcBorders>
              <w:top w:val="single" w:sz="6" w:space="0" w:color="101010"/>
              <w:left w:val="single" w:sz="6" w:space="0" w:color="101010"/>
              <w:bottom w:val="nil" w:sz="6" w:space="0" w:color="auto"/>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624"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8"/>
              <w:jc w:val="left"/>
              <w:rPr>
                <w:rFonts w:ascii="宋体" w:hAnsi="宋体" w:cs="宋体" w:eastAsia="宋体" w:hint="default"/>
                <w:sz w:val="18"/>
                <w:szCs w:val="18"/>
              </w:rPr>
            </w:pPr>
            <w:r>
              <w:rPr>
                <w:rFonts w:ascii="宋体" w:hAnsi="宋体" w:cs="宋体" w:eastAsia="宋体" w:hint="default"/>
                <w:sz w:val="18"/>
                <w:szCs w:val="18"/>
              </w:rPr>
              <w:t>（一） </w:t>
            </w:r>
            <w:r>
              <w:rPr>
                <w:rFonts w:ascii="宋体" w:hAnsi="宋体" w:cs="宋体" w:eastAsia="宋体" w:hint="default"/>
                <w:spacing w:val="-23"/>
                <w:sz w:val="18"/>
                <w:szCs w:val="18"/>
              </w:rPr>
              <w:t>和（二）</w:t>
            </w:r>
          </w:p>
        </w:tc>
        <w:tc>
          <w:tcPr>
            <w:tcW w:w="134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-1,966,186.36</w:t>
            </w: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54,628,706.39</w:t>
            </w:r>
          </w:p>
        </w:tc>
        <w:tc>
          <w:tcPr>
            <w:tcW w:w="108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-210,064.92</w:t>
            </w: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101,557.74</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52,554,012.85</w:t>
            </w: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tcBorders>
              <w:top w:val="nil" w:sz="6" w:space="0" w:color="auto"/>
              <w:left w:val="single" w:sz="6" w:space="0" w:color="101010"/>
              <w:bottom w:val="single" w:sz="6" w:space="0" w:color="101010"/>
              <w:right w:val="single" w:sz="6" w:space="0" w:color="101010"/>
            </w:tcBorders>
          </w:tcPr>
          <w:p>
            <w:pPr/>
          </w:p>
        </w:tc>
        <w:tc>
          <w:tcPr>
            <w:tcW w:w="1086" w:type="dxa"/>
            <w:tcBorders>
              <w:top w:val="nil" w:sz="6" w:space="0" w:color="auto"/>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所有者</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投入和</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减少资</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所有</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者投入</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股份</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支付计</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入所有</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tcBorders>
              <w:top w:val="single" w:sz="6" w:space="0" w:color="101010"/>
              <w:left w:val="single" w:sz="6" w:space="0" w:color="101010"/>
              <w:bottom w:val="nil" w:sz="6" w:space="0" w:color="auto"/>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利润分</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4,880,249.00</w:t>
            </w:r>
          </w:p>
        </w:tc>
        <w:tc>
          <w:tcPr>
            <w:tcW w:w="396" w:type="dxa"/>
            <w:vMerge/>
            <w:tcBorders>
              <w:left w:val="single" w:sz="6" w:space="0" w:color="101010"/>
              <w:right w:val="single" w:sz="6" w:space="0" w:color="101010"/>
            </w:tcBorders>
          </w:tcPr>
          <w:p>
            <w:pPr/>
          </w:p>
        </w:tc>
        <w:tc>
          <w:tcPr>
            <w:tcW w:w="131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sz w:val="18"/>
              </w:rPr>
              <w:t>-35,178,561.00</w:t>
            </w: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-30,298,312.00</w:t>
            </w:r>
          </w:p>
        </w:tc>
      </w:tr>
      <w:tr>
        <w:trPr>
          <w:trHeight w:val="315"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tcBorders>
              <w:top w:val="nil" w:sz="6" w:space="0" w:color="auto"/>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提取</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tcBorders>
              <w:top w:val="single" w:sz="6" w:space="0" w:color="101010"/>
              <w:left w:val="single" w:sz="6" w:space="0" w:color="101010"/>
              <w:bottom w:val="nil" w:sz="6" w:space="0" w:color="auto"/>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10"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right="97"/>
              <w:jc w:val="right"/>
              <w:rPr>
                <w:rFonts w:ascii="Times New Roman" w:hAnsi="Times New Roman" w:cs="Times New Roman" w:eastAsia="Times New Roman" w:hint="default"/>
                <w:sz w:val="18"/>
                <w:szCs w:val="18"/>
              </w:rPr>
            </w:pPr>
            <w:r>
              <w:rPr>
                <w:rFonts w:ascii="Times New Roman"/>
                <w:spacing w:val="-1"/>
                <w:sz w:val="18"/>
              </w:rPr>
              <w:t>4,880,249.00</w:t>
            </w:r>
          </w:p>
        </w:tc>
        <w:tc>
          <w:tcPr>
            <w:tcW w:w="396" w:type="dxa"/>
            <w:vMerge/>
            <w:tcBorders>
              <w:left w:val="single" w:sz="6" w:space="0" w:color="101010"/>
              <w:right w:val="single" w:sz="6" w:space="0" w:color="101010"/>
            </w:tcBorders>
          </w:tcPr>
          <w:p>
            <w:pPr/>
          </w:p>
        </w:tc>
        <w:tc>
          <w:tcPr>
            <w:tcW w:w="1312" w:type="dxa"/>
            <w:tcBorders>
              <w:top w:val="nil" w:sz="6" w:space="0" w:color="auto"/>
              <w:left w:val="single" w:sz="6" w:space="0" w:color="101010"/>
              <w:bottom w:val="nil" w:sz="6" w:space="0" w:color="auto"/>
              <w:right w:val="single" w:sz="6" w:space="0" w:color="101010"/>
            </w:tcBorders>
          </w:tcPr>
          <w:p>
            <w:pPr>
              <w:pStyle w:val="TableParagraph"/>
              <w:spacing w:line="240" w:lineRule="auto" w:before="44"/>
              <w:ind w:left="90" w:right="0"/>
              <w:jc w:val="center"/>
              <w:rPr>
                <w:rFonts w:ascii="Times New Roman" w:hAnsi="Times New Roman" w:cs="Times New Roman" w:eastAsia="Times New Roman" w:hint="default"/>
                <w:sz w:val="18"/>
                <w:szCs w:val="18"/>
              </w:rPr>
            </w:pPr>
            <w:r>
              <w:rPr>
                <w:rFonts w:ascii="Times New Roman"/>
                <w:sz w:val="18"/>
              </w:rPr>
              <w:t>-4,880,249.00</w:t>
            </w: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6"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tcBorders>
              <w:top w:val="nil" w:sz="6" w:space="0" w:color="auto"/>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提取</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bl>
    <w:p>
      <w:pPr>
        <w:spacing w:after="0"/>
        <w:sectPr>
          <w:pgSz w:w="11910" w:h="16840"/>
          <w:pgMar w:header="0" w:footer="1243" w:top="1360" w:bottom="1440" w:left="420" w:right="600"/>
        </w:sectPr>
      </w:pPr>
    </w:p>
    <w:p>
      <w:pPr>
        <w:spacing w:line="240" w:lineRule="auto" w:before="11"/>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756"/>
        <w:gridCol w:w="1340"/>
        <w:gridCol w:w="1342"/>
        <w:gridCol w:w="576"/>
        <w:gridCol w:w="1250"/>
        <w:gridCol w:w="396"/>
        <w:gridCol w:w="1312"/>
        <w:gridCol w:w="1086"/>
        <w:gridCol w:w="1250"/>
        <w:gridCol w:w="1342"/>
      </w:tblGrid>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对所</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tcBorders>
              <w:top w:val="single" w:sz="6" w:space="0" w:color="101010"/>
              <w:left w:val="single" w:sz="6" w:space="0" w:color="101010"/>
              <w:bottom w:val="nil" w:sz="6" w:space="0" w:color="auto"/>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有  者</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tcBorders>
              <w:top w:val="nil" w:sz="6" w:space="0" w:color="auto"/>
              <w:left w:val="single" w:sz="6" w:space="0" w:color="101010"/>
              <w:bottom w:val="nil" w:sz="6" w:space="0" w:color="auto"/>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sz w:val="18"/>
              </w:rPr>
              <w:t>-30,298,312.00</w:t>
            </w: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31" w:right="0"/>
              <w:jc w:val="left"/>
              <w:rPr>
                <w:rFonts w:ascii="Times New Roman" w:hAnsi="Times New Roman" w:cs="Times New Roman" w:eastAsia="Times New Roman" w:hint="default"/>
                <w:sz w:val="18"/>
                <w:szCs w:val="18"/>
              </w:rPr>
            </w:pPr>
            <w:r>
              <w:rPr>
                <w:rFonts w:ascii="Times New Roman"/>
                <w:sz w:val="18"/>
              </w:rPr>
              <w:t>-30,298,312.00</w:t>
            </w:r>
          </w:p>
        </w:tc>
      </w:tr>
      <w:tr>
        <w:trPr>
          <w:trHeight w:val="309"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东）的</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tcBorders>
              <w:top w:val="nil" w:sz="6" w:space="0" w:color="auto"/>
              <w:left w:val="single" w:sz="6" w:space="0" w:color="101010"/>
              <w:bottom w:val="nil" w:sz="6" w:space="0" w:color="auto"/>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tcBorders>
              <w:top w:val="nil" w:sz="6" w:space="0" w:color="auto"/>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r>
        <w:trPr>
          <w:trHeight w:val="328"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34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624"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所有者 权益内</w:t>
            </w:r>
          </w:p>
        </w:tc>
        <w:tc>
          <w:tcPr>
            <w:tcW w:w="1340"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40,800,000.00</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-40,800,000.00</w:t>
            </w: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34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资本</w:t>
            </w:r>
          </w:p>
        </w:tc>
        <w:tc>
          <w:tcPr>
            <w:tcW w:w="134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340" w:type="dxa"/>
            <w:tcBorders>
              <w:top w:val="nil" w:sz="6" w:space="0" w:color="auto"/>
              <w:left w:val="single" w:sz="6" w:space="0" w:color="101010"/>
              <w:bottom w:val="nil" w:sz="6" w:space="0" w:color="auto"/>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增资本</w:t>
            </w:r>
          </w:p>
        </w:tc>
        <w:tc>
          <w:tcPr>
            <w:tcW w:w="134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40,800,000.00</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31" w:right="0"/>
              <w:jc w:val="left"/>
              <w:rPr>
                <w:rFonts w:ascii="Times New Roman" w:hAnsi="Times New Roman" w:cs="Times New Roman" w:eastAsia="Times New Roman" w:hint="default"/>
                <w:sz w:val="18"/>
                <w:szCs w:val="18"/>
              </w:rPr>
            </w:pPr>
            <w:r>
              <w:rPr>
                <w:rFonts w:ascii="Times New Roman"/>
                <w:sz w:val="18"/>
              </w:rPr>
              <w:t>-40,800,000.00</w:t>
            </w: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09"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340" w:type="dxa"/>
            <w:tcBorders>
              <w:top w:val="nil" w:sz="6" w:space="0" w:color="auto"/>
              <w:left w:val="single" w:sz="6" w:space="0" w:color="101010"/>
              <w:bottom w:val="nil" w:sz="6" w:space="0" w:color="auto"/>
              <w:right w:val="single" w:sz="6" w:space="0" w:color="101010"/>
            </w:tcBorders>
          </w:tcPr>
          <w:p>
            <w:pPr/>
          </w:p>
        </w:tc>
        <w:tc>
          <w:tcPr>
            <w:tcW w:w="1342" w:type="dxa"/>
            <w:tcBorders>
              <w:top w:val="nil" w:sz="6" w:space="0" w:color="auto"/>
              <w:left w:val="single" w:sz="6" w:space="0" w:color="101010"/>
              <w:bottom w:val="nil" w:sz="6" w:space="0" w:color="auto"/>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4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盈余</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增资本</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2"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8"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5"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盈余</w:t>
            </w:r>
          </w:p>
        </w:tc>
        <w:tc>
          <w:tcPr>
            <w:tcW w:w="134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vMerge w:val="restart"/>
            <w:tcBorders>
              <w:top w:val="single" w:sz="6" w:space="0" w:color="101010"/>
              <w:left w:val="single" w:sz="6" w:space="0" w:color="101010"/>
              <w:right w:val="single" w:sz="6" w:space="0" w:color="101010"/>
            </w:tcBorders>
          </w:tcPr>
          <w:p>
            <w:pPr/>
          </w:p>
        </w:tc>
        <w:tc>
          <w:tcPr>
            <w:tcW w:w="1086"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1342" w:type="dxa"/>
            <w:vMerge w:val="restart"/>
            <w:tcBorders>
              <w:top w:val="single" w:sz="6" w:space="0" w:color="101010"/>
              <w:left w:val="single" w:sz="6" w:space="0" w:color="101010"/>
              <w:right w:val="single" w:sz="6" w:space="0" w:color="101010"/>
            </w:tcBorders>
          </w:tcPr>
          <w:p>
            <w:pPr/>
          </w:p>
        </w:tc>
      </w:tr>
      <w:tr>
        <w:trPr>
          <w:trHeight w:val="307"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公积弥</w:t>
            </w:r>
          </w:p>
        </w:tc>
        <w:tc>
          <w:tcPr>
            <w:tcW w:w="134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c>
          <w:tcPr>
            <w:tcW w:w="57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396" w:type="dxa"/>
            <w:vMerge/>
            <w:tcBorders>
              <w:left w:val="single" w:sz="6" w:space="0" w:color="101010"/>
              <w:right w:val="single" w:sz="6" w:space="0" w:color="101010"/>
            </w:tcBorders>
          </w:tcPr>
          <w:p>
            <w:pPr/>
          </w:p>
        </w:tc>
        <w:tc>
          <w:tcPr>
            <w:tcW w:w="1312" w:type="dxa"/>
            <w:vMerge/>
            <w:tcBorders>
              <w:left w:val="single" w:sz="6" w:space="0" w:color="101010"/>
              <w:right w:val="single" w:sz="6" w:space="0" w:color="101010"/>
            </w:tcBorders>
          </w:tcPr>
          <w:p>
            <w:pPr/>
          </w:p>
        </w:tc>
        <w:tc>
          <w:tcPr>
            <w:tcW w:w="1086"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1342" w:type="dxa"/>
            <w:vMerge/>
            <w:tcBorders>
              <w:left w:val="single" w:sz="6" w:space="0" w:color="101010"/>
              <w:right w:val="single" w:sz="6" w:space="0" w:color="101010"/>
            </w:tcBorders>
          </w:tcPr>
          <w:p>
            <w:pPr/>
          </w:p>
        </w:tc>
      </w:tr>
      <w:tr>
        <w:trPr>
          <w:trHeight w:val="319"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34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vMerge/>
            <w:tcBorders>
              <w:left w:val="single" w:sz="6" w:space="0" w:color="101010"/>
              <w:bottom w:val="single" w:sz="6" w:space="0" w:color="101010"/>
              <w:right w:val="single" w:sz="6" w:space="0" w:color="101010"/>
            </w:tcBorders>
          </w:tcPr>
          <w:p>
            <w:pPr/>
          </w:p>
        </w:tc>
        <w:tc>
          <w:tcPr>
            <w:tcW w:w="1086"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1342" w:type="dxa"/>
            <w:vMerge/>
            <w:tcBorders>
              <w:left w:val="single" w:sz="6" w:space="0" w:color="101010"/>
              <w:bottom w:val="single" w:sz="6" w:space="0" w:color="101010"/>
              <w:right w:val="single" w:sz="6" w:space="0" w:color="101010"/>
            </w:tcBorders>
          </w:tcPr>
          <w:p>
            <w:pPr/>
          </w:p>
        </w:tc>
      </w:tr>
      <w:tr>
        <w:trPr>
          <w:trHeight w:val="326"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其他</w:t>
            </w:r>
          </w:p>
        </w:tc>
        <w:tc>
          <w:tcPr>
            <w:tcW w:w="134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r>
      <w:tr>
        <w:trPr>
          <w:trHeight w:val="320" w:hRule="exact"/>
        </w:trPr>
        <w:tc>
          <w:tcPr>
            <w:tcW w:w="756"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四、本</w:t>
            </w:r>
          </w:p>
        </w:tc>
        <w:tc>
          <w:tcPr>
            <w:tcW w:w="134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c>
          <w:tcPr>
            <w:tcW w:w="576"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396" w:type="dxa"/>
            <w:vMerge w:val="restart"/>
            <w:tcBorders>
              <w:top w:val="single" w:sz="6" w:space="0" w:color="101010"/>
              <w:left w:val="single" w:sz="6" w:space="0" w:color="101010"/>
              <w:right w:val="single" w:sz="6" w:space="0" w:color="101010"/>
            </w:tcBorders>
          </w:tcPr>
          <w:p>
            <w:pPr/>
          </w:p>
        </w:tc>
        <w:tc>
          <w:tcPr>
            <w:tcW w:w="1312" w:type="dxa"/>
            <w:tcBorders>
              <w:top w:val="single" w:sz="6" w:space="0" w:color="101010"/>
              <w:left w:val="single" w:sz="6" w:space="0" w:color="101010"/>
              <w:bottom w:val="nil" w:sz="6" w:space="0" w:color="auto"/>
              <w:right w:val="single" w:sz="6" w:space="0" w:color="101010"/>
            </w:tcBorders>
          </w:tcPr>
          <w:p>
            <w:pPr/>
          </w:p>
        </w:tc>
        <w:tc>
          <w:tcPr>
            <w:tcW w:w="1086" w:type="dxa"/>
            <w:tcBorders>
              <w:top w:val="single" w:sz="6" w:space="0" w:color="101010"/>
              <w:left w:val="single" w:sz="6" w:space="0" w:color="101010"/>
              <w:bottom w:val="nil" w:sz="6" w:space="0" w:color="auto"/>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1342" w:type="dxa"/>
            <w:tcBorders>
              <w:top w:val="single" w:sz="6" w:space="0" w:color="101010"/>
              <w:left w:val="single" w:sz="6" w:space="0" w:color="101010"/>
              <w:bottom w:val="nil" w:sz="6" w:space="0" w:color="auto"/>
              <w:right w:val="single" w:sz="6" w:space="0" w:color="101010"/>
            </w:tcBorders>
          </w:tcPr>
          <w:p>
            <w:pPr/>
          </w:p>
        </w:tc>
      </w:tr>
      <w:tr>
        <w:trPr>
          <w:trHeight w:val="315" w:hRule="exact"/>
        </w:trPr>
        <w:tc>
          <w:tcPr>
            <w:tcW w:w="756" w:type="dxa"/>
            <w:tcBorders>
              <w:top w:val="nil" w:sz="6" w:space="0" w:color="auto"/>
              <w:left w:val="single" w:sz="6" w:space="0" w:color="101010"/>
              <w:bottom w:val="nil" w:sz="6" w:space="0" w:color="auto"/>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期期末</w:t>
            </w:r>
          </w:p>
        </w:tc>
        <w:tc>
          <w:tcPr>
            <w:tcW w:w="134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sz w:val="18"/>
              </w:rPr>
              <w:t>142,800,000.00</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1" w:right="0"/>
              <w:jc w:val="left"/>
              <w:rPr>
                <w:rFonts w:ascii="Times New Roman" w:hAnsi="Times New Roman" w:cs="Times New Roman" w:eastAsia="Times New Roman" w:hint="default"/>
                <w:sz w:val="18"/>
                <w:szCs w:val="18"/>
              </w:rPr>
            </w:pPr>
            <w:r>
              <w:rPr>
                <w:rFonts w:ascii="Times New Roman"/>
                <w:sz w:val="18"/>
              </w:rPr>
              <w:t>157,867,454.54</w:t>
            </w:r>
          </w:p>
        </w:tc>
        <w:tc>
          <w:tcPr>
            <w:tcW w:w="576"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25,664,775.98</w:t>
            </w:r>
          </w:p>
        </w:tc>
        <w:tc>
          <w:tcPr>
            <w:tcW w:w="396" w:type="dxa"/>
            <w:vMerge/>
            <w:tcBorders>
              <w:left w:val="single" w:sz="6" w:space="0" w:color="101010"/>
              <w:right w:val="single" w:sz="6" w:space="0" w:color="101010"/>
            </w:tcBorders>
          </w:tcPr>
          <w:p>
            <w:pPr/>
          </w:p>
        </w:tc>
        <w:tc>
          <w:tcPr>
            <w:tcW w:w="131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59" w:right="0"/>
              <w:jc w:val="center"/>
              <w:rPr>
                <w:rFonts w:ascii="Times New Roman" w:hAnsi="Times New Roman" w:cs="Times New Roman" w:eastAsia="Times New Roman" w:hint="default"/>
                <w:sz w:val="18"/>
                <w:szCs w:val="18"/>
              </w:rPr>
            </w:pPr>
            <w:r>
              <w:rPr>
                <w:rFonts w:ascii="Times New Roman"/>
                <w:sz w:val="18"/>
              </w:rPr>
              <w:t>56,558,319.39</w:t>
            </w:r>
          </w:p>
        </w:tc>
        <w:tc>
          <w:tcPr>
            <w:tcW w:w="1086"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-482,474.53</w:t>
            </w: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15,084,829.76</w:t>
            </w:r>
          </w:p>
        </w:tc>
        <w:tc>
          <w:tcPr>
            <w:tcW w:w="1342" w:type="dxa"/>
            <w:tcBorders>
              <w:top w:val="nil" w:sz="6" w:space="0" w:color="auto"/>
              <w:left w:val="single" w:sz="6" w:space="0" w:color="101010"/>
              <w:bottom w:val="nil" w:sz="6" w:space="0" w:color="auto"/>
              <w:right w:val="single" w:sz="6" w:space="0" w:color="101010"/>
            </w:tcBorders>
          </w:tcPr>
          <w:p>
            <w:pPr>
              <w:pStyle w:val="TableParagraph"/>
              <w:spacing w:line="240" w:lineRule="auto" w:before="49"/>
              <w:ind w:left="101" w:right="0"/>
              <w:jc w:val="left"/>
              <w:rPr>
                <w:rFonts w:ascii="Times New Roman" w:hAnsi="Times New Roman" w:cs="Times New Roman" w:eastAsia="Times New Roman" w:hint="default"/>
                <w:sz w:val="18"/>
                <w:szCs w:val="18"/>
              </w:rPr>
            </w:pPr>
            <w:r>
              <w:rPr>
                <w:rFonts w:ascii="Times New Roman"/>
                <w:sz w:val="18"/>
              </w:rPr>
              <w:t>397,492,905.14</w:t>
            </w:r>
          </w:p>
        </w:tc>
      </w:tr>
      <w:tr>
        <w:trPr>
          <w:trHeight w:val="316" w:hRule="exact"/>
        </w:trPr>
        <w:tc>
          <w:tcPr>
            <w:tcW w:w="756" w:type="dxa"/>
            <w:tcBorders>
              <w:top w:val="nil" w:sz="6" w:space="0" w:color="auto"/>
              <w:left w:val="single" w:sz="6" w:space="0" w:color="101010"/>
              <w:bottom w:val="single" w:sz="6" w:space="0" w:color="101010"/>
              <w:right w:val="single" w:sz="6" w:space="0" w:color="10101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4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c>
          <w:tcPr>
            <w:tcW w:w="576"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312" w:type="dxa"/>
            <w:tcBorders>
              <w:top w:val="nil" w:sz="6" w:space="0" w:color="auto"/>
              <w:left w:val="single" w:sz="6" w:space="0" w:color="101010"/>
              <w:bottom w:val="single" w:sz="6" w:space="0" w:color="101010"/>
              <w:right w:val="single" w:sz="6" w:space="0" w:color="101010"/>
            </w:tcBorders>
          </w:tcPr>
          <w:p>
            <w:pPr/>
          </w:p>
        </w:tc>
        <w:tc>
          <w:tcPr>
            <w:tcW w:w="1086" w:type="dxa"/>
            <w:tcBorders>
              <w:top w:val="nil" w:sz="6" w:space="0" w:color="auto"/>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1342" w:type="dxa"/>
            <w:tcBorders>
              <w:top w:val="nil" w:sz="6" w:space="0" w:color="auto"/>
              <w:left w:val="single" w:sz="6" w:space="0" w:color="101010"/>
              <w:bottom w:val="single" w:sz="6" w:space="0" w:color="101010"/>
              <w:right w:val="single" w:sz="6" w:space="0" w:color="101010"/>
            </w:tcBorders>
          </w:tcPr>
          <w:p>
            <w:pPr/>
          </w:p>
        </w:tc>
      </w:tr>
    </w:tbl>
    <w:p>
      <w:pPr>
        <w:pStyle w:val="BodyText"/>
        <w:tabs>
          <w:tab w:pos="3799" w:val="left" w:leader="none"/>
          <w:tab w:pos="6640" w:val="left" w:leader="none"/>
        </w:tabs>
        <w:spacing w:line="276" w:lineRule="exact" w:before="0"/>
        <w:ind w:left="1377" w:right="0"/>
        <w:jc w:val="left"/>
        <w:rPr>
          <w:sz w:val="20"/>
          <w:szCs w:val="20"/>
        </w:rPr>
      </w:pPr>
      <w:r>
        <w:rPr/>
        <w:t>公司法定代表人</w:t>
      </w:r>
      <w:r>
        <w:rPr>
          <w:rFonts w:ascii="Times New Roman" w:hAnsi="Times New Roman" w:cs="Times New Roman" w:eastAsia="Times New Roman" w:hint="default"/>
        </w:rPr>
        <w:t>:</w:t>
      </w:r>
      <w:r>
        <w:rPr/>
        <w:t>彭政纲</w:t>
        <w:tab/>
      </w:r>
      <w:r>
        <w:rPr>
          <w:spacing w:val="-1"/>
        </w:rPr>
        <w:t>主管会计工作负责人</w:t>
      </w:r>
      <w:r>
        <w:rPr>
          <w:rFonts w:ascii="Times New Roman" w:hAnsi="Times New Roman" w:cs="Times New Roman" w:eastAsia="Times New Roman" w:hint="default"/>
          <w:spacing w:val="-1"/>
        </w:rPr>
        <w:t>:</w:t>
      </w:r>
      <w:r>
        <w:rPr>
          <w:spacing w:val="-1"/>
        </w:rPr>
        <w:t>刘曙峰</w:t>
        <w:tab/>
        <w:t>会计机构负责人</w:t>
      </w:r>
      <w:r>
        <w:rPr>
          <w:rFonts w:ascii="Times New Roman" w:hAnsi="Times New Roman" w:cs="Times New Roman" w:eastAsia="Times New Roman" w:hint="default"/>
          <w:spacing w:val="-1"/>
        </w:rPr>
        <w:t>:</w:t>
      </w:r>
      <w:r>
        <w:rPr>
          <w:spacing w:val="-1"/>
          <w:sz w:val="20"/>
          <w:szCs w:val="20"/>
        </w:rPr>
        <w:t>傅美英</w:t>
      </w:r>
    </w:p>
    <w:p>
      <w:pPr>
        <w:spacing w:after="0" w:line="276" w:lineRule="exact"/>
        <w:jc w:val="left"/>
        <w:rPr>
          <w:sz w:val="20"/>
          <w:szCs w:val="20"/>
        </w:rPr>
        <w:sectPr>
          <w:pgSz w:w="11910" w:h="16840"/>
          <w:pgMar w:header="0" w:footer="1243" w:top="1360" w:bottom="1440" w:left="420" w:right="600"/>
        </w:sectPr>
      </w:pPr>
    </w:p>
    <w:p>
      <w:pPr>
        <w:spacing w:line="273" w:lineRule="auto" w:before="106"/>
        <w:ind w:left="3272" w:right="4009"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4"/>
        <w:rPr>
          <w:rFonts w:ascii="宋体" w:hAnsi="宋体" w:cs="宋体" w:eastAsia="宋体" w:hint="default"/>
          <w:sz w:val="19"/>
          <w:szCs w:val="19"/>
        </w:rPr>
      </w:pPr>
    </w:p>
    <w:p>
      <w:pPr>
        <w:pStyle w:val="BodyText"/>
        <w:spacing w:line="240" w:lineRule="auto" w:before="35"/>
        <w:ind w:right="777"/>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恒生电子股份有限公司</w:t>
      </w:r>
    </w:p>
    <w:p>
      <w:pPr>
        <w:pStyle w:val="BodyText"/>
        <w:spacing w:line="240" w:lineRule="auto" w:before="21"/>
        <w:ind w:left="0" w:right="85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825"/>
        <w:gridCol w:w="1420"/>
        <w:gridCol w:w="1340"/>
        <w:gridCol w:w="742"/>
        <w:gridCol w:w="1250"/>
        <w:gridCol w:w="1342"/>
        <w:gridCol w:w="1381"/>
      </w:tblGrid>
      <w:tr>
        <w:trPr>
          <w:trHeight w:val="434" w:hRule="exact"/>
        </w:trPr>
        <w:tc>
          <w:tcPr>
            <w:tcW w:w="1825"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475"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640" w:hRule="exact"/>
        </w:trPr>
        <w:tc>
          <w:tcPr>
            <w:tcW w:w="1825" w:type="dxa"/>
            <w:vMerge/>
            <w:tcBorders>
              <w:left w:val="single" w:sz="6" w:space="0" w:color="101010"/>
              <w:bottom w:val="single" w:sz="6" w:space="0" w:color="101010"/>
              <w:right w:val="single" w:sz="6" w:space="0" w:color="101010"/>
            </w:tcBorders>
          </w:tcPr>
          <w:p>
            <w:pP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2"/>
              <w:ind w:left="582" w:right="131" w:hanging="45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 本</w:t>
            </w:r>
            <w:r>
              <w:rPr>
                <w:rFonts w:ascii="Times New Roman" w:hAnsi="Times New Roman" w:cs="Times New Roman" w:eastAsia="Times New Roman" w:hint="default"/>
                <w:sz w:val="18"/>
                <w:szCs w:val="18"/>
              </w:rPr>
              <w:t>)</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2"/>
              <w:ind w:left="183" w:right="98" w:hanging="83"/>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2"/>
              <w:ind w:left="594" w:right="14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89"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142,800,000.00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157,867,454.54</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25,664,775.98</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89" w:right="0"/>
              <w:jc w:val="center"/>
              <w:rPr>
                <w:rFonts w:ascii="Times New Roman" w:hAnsi="Times New Roman" w:cs="Times New Roman" w:eastAsia="Times New Roman" w:hint="default"/>
                <w:sz w:val="18"/>
                <w:szCs w:val="18"/>
              </w:rPr>
            </w:pPr>
            <w:r>
              <w:rPr>
                <w:rFonts w:ascii="Times New Roman"/>
                <w:sz w:val="18"/>
              </w:rPr>
              <w:t>58,872,228.97</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44" w:right="0"/>
              <w:jc w:val="center"/>
              <w:rPr>
                <w:rFonts w:ascii="Times New Roman" w:hAnsi="Times New Roman" w:cs="Times New Roman" w:eastAsia="Times New Roman" w:hint="default"/>
                <w:sz w:val="18"/>
                <w:szCs w:val="18"/>
              </w:rPr>
            </w:pPr>
            <w:r>
              <w:rPr>
                <w:rFonts w:ascii="Times New Roman"/>
                <w:sz w:val="18"/>
              </w:rPr>
              <w:t>385,204,459.49</w:t>
            </w:r>
          </w:p>
        </w:tc>
      </w:tr>
      <w:tr>
        <w:trPr>
          <w:trHeight w:val="328"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142,800,000.00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157,867,454.54</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25,664,775.98</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89" w:right="0"/>
              <w:jc w:val="center"/>
              <w:rPr>
                <w:rFonts w:ascii="Times New Roman" w:hAnsi="Times New Roman" w:cs="Times New Roman" w:eastAsia="Times New Roman" w:hint="default"/>
                <w:sz w:val="18"/>
                <w:szCs w:val="18"/>
              </w:rPr>
            </w:pPr>
            <w:r>
              <w:rPr>
                <w:rFonts w:ascii="Times New Roman"/>
                <w:sz w:val="18"/>
              </w:rPr>
              <w:t>58,872,228.97</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44" w:right="0"/>
              <w:jc w:val="center"/>
              <w:rPr>
                <w:rFonts w:ascii="Times New Roman" w:hAnsi="Times New Roman" w:cs="Times New Roman" w:eastAsia="Times New Roman" w:hint="default"/>
                <w:sz w:val="18"/>
                <w:szCs w:val="18"/>
              </w:rPr>
            </w:pPr>
            <w:r>
              <w:rPr>
                <w:rFonts w:ascii="Times New Roman"/>
                <w:sz w:val="18"/>
              </w:rPr>
              <w:t>385,204,459.49</w:t>
            </w:r>
          </w:p>
        </w:tc>
      </w:tr>
      <w:tr>
        <w:trPr>
          <w:trHeight w:val="95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三、本年增减变动金 额（减少以“－”号 填列）</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42,840,000.00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54,133,190.63</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12,050,168.13</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0" w:right="0"/>
              <w:jc w:val="center"/>
              <w:rPr>
                <w:rFonts w:ascii="Times New Roman" w:hAnsi="Times New Roman" w:cs="Times New Roman" w:eastAsia="Times New Roman" w:hint="default"/>
                <w:sz w:val="18"/>
                <w:szCs w:val="18"/>
              </w:rPr>
            </w:pPr>
            <w:r>
              <w:rPr>
                <w:rFonts w:ascii="Times New Roman"/>
                <w:sz w:val="18"/>
              </w:rPr>
              <w:t>94,171,513.21</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 w:right="0"/>
              <w:jc w:val="center"/>
              <w:rPr>
                <w:rFonts w:ascii="Times New Roman" w:hAnsi="Times New Roman" w:cs="Times New Roman" w:eastAsia="Times New Roman" w:hint="default"/>
                <w:sz w:val="18"/>
                <w:szCs w:val="18"/>
              </w:rPr>
            </w:pPr>
            <w:r>
              <w:rPr>
                <w:rFonts w:ascii="Times New Roman"/>
                <w:sz w:val="18"/>
              </w:rPr>
              <w:t>203,194,871.97</w:t>
            </w:r>
          </w:p>
        </w:tc>
      </w:tr>
      <w:tr>
        <w:trPr>
          <w:trHeight w:val="39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left="2" w:right="0"/>
              <w:jc w:val="center"/>
              <w:rPr>
                <w:rFonts w:ascii="Times New Roman" w:hAnsi="Times New Roman" w:cs="Times New Roman" w:eastAsia="Times New Roman" w:hint="default"/>
                <w:sz w:val="18"/>
                <w:szCs w:val="18"/>
              </w:rPr>
            </w:pPr>
            <w:r>
              <w:rPr>
                <w:rFonts w:ascii="Times New Roman"/>
                <w:sz w:val="18"/>
              </w:rPr>
              <w:t>120,501,681.34</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44" w:right="0"/>
              <w:jc w:val="center"/>
              <w:rPr>
                <w:rFonts w:ascii="Times New Roman" w:hAnsi="Times New Roman" w:cs="Times New Roman" w:eastAsia="Times New Roman" w:hint="default"/>
                <w:sz w:val="18"/>
                <w:szCs w:val="18"/>
              </w:rPr>
            </w:pPr>
            <w:r>
              <w:rPr>
                <w:rFonts w:ascii="Times New Roman"/>
                <w:sz w:val="18"/>
              </w:rPr>
              <w:t>120,501,681.34</w:t>
            </w:r>
          </w:p>
        </w:tc>
      </w:tr>
      <w:tr>
        <w:trPr>
          <w:trHeight w:val="95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74"/>
              <w:jc w:val="both"/>
              <w:rPr>
                <w:rFonts w:ascii="宋体" w:hAnsi="宋体" w:cs="宋体" w:eastAsia="宋体" w:hint="default"/>
                <w:sz w:val="18"/>
                <w:szCs w:val="18"/>
              </w:rPr>
            </w:pPr>
            <w:r>
              <w:rPr>
                <w:rFonts w:ascii="宋体" w:hAnsi="宋体" w:cs="宋体" w:eastAsia="宋体" w:hint="default"/>
                <w:sz w:val="18"/>
                <w:szCs w:val="18"/>
              </w:rPr>
              <w:t>（二）直接计入所有 </w:t>
            </w:r>
            <w:r>
              <w:rPr>
                <w:rFonts w:ascii="宋体" w:hAnsi="宋体" w:cs="宋体" w:eastAsia="宋体" w:hint="default"/>
                <w:spacing w:val="20"/>
                <w:sz w:val="18"/>
                <w:szCs w:val="18"/>
              </w:rPr>
              <w:t>者权益的利得</w:t>
            </w:r>
            <w:r>
              <w:rPr>
                <w:rFonts w:ascii="宋体" w:hAnsi="宋体" w:cs="宋体" w:eastAsia="宋体" w:hint="default"/>
                <w:spacing w:val="-66"/>
                <w:sz w:val="18"/>
                <w:szCs w:val="18"/>
              </w:rPr>
              <w:t> </w:t>
            </w:r>
            <w:r>
              <w:rPr>
                <w:rFonts w:ascii="宋体" w:hAnsi="宋体" w:cs="宋体" w:eastAsia="宋体" w:hint="default"/>
                <w:spacing w:val="12"/>
                <w:sz w:val="18"/>
                <w:szCs w:val="18"/>
              </w:rPr>
              <w:t>和损</w:t>
            </w:r>
            <w:r>
              <w:rPr>
                <w:rFonts w:ascii="宋体" w:hAnsi="宋体" w:cs="宋体" w:eastAsia="宋体" w:hint="default"/>
                <w:spacing w:val="-66"/>
                <w:sz w:val="18"/>
                <w:szCs w:val="18"/>
              </w:rPr>
              <w:t> </w:t>
            </w:r>
            <w:r>
              <w:rPr>
                <w:rFonts w:ascii="宋体" w:hAnsi="宋体" w:cs="宋体" w:eastAsia="宋体" w:hint="default"/>
                <w:sz w:val="18"/>
                <w:szCs w:val="18"/>
              </w:rPr>
              <w:t>失</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96,973,190.63</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center"/>
              <w:rPr>
                <w:rFonts w:ascii="Times New Roman" w:hAnsi="Times New Roman" w:cs="Times New Roman" w:eastAsia="Times New Roman" w:hint="default"/>
                <w:sz w:val="18"/>
                <w:szCs w:val="18"/>
              </w:rPr>
            </w:pPr>
            <w:r>
              <w:rPr>
                <w:rFonts w:ascii="Times New Roman"/>
                <w:sz w:val="18"/>
              </w:rPr>
              <w:t>96,973,190.63</w:t>
            </w:r>
          </w:p>
        </w:tc>
      </w:tr>
      <w:tr>
        <w:trPr>
          <w:trHeight w:val="952"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09" w:lineRule="auto" w:before="11"/>
              <w:ind w:left="100" w:right="74"/>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．可供出售金融资 </w:t>
            </w:r>
            <w:r>
              <w:rPr>
                <w:rFonts w:ascii="宋体" w:hAnsi="宋体" w:cs="宋体" w:eastAsia="宋体" w:hint="default"/>
                <w:spacing w:val="20"/>
                <w:sz w:val="18"/>
                <w:szCs w:val="18"/>
              </w:rPr>
              <w:t>产公允价值变</w:t>
            </w:r>
            <w:r>
              <w:rPr>
                <w:rFonts w:ascii="宋体" w:hAnsi="宋体" w:cs="宋体" w:eastAsia="宋体" w:hint="default"/>
                <w:spacing w:val="-66"/>
                <w:sz w:val="18"/>
                <w:szCs w:val="18"/>
              </w:rPr>
              <w:t> </w:t>
            </w:r>
            <w:r>
              <w:rPr>
                <w:rFonts w:ascii="宋体" w:hAnsi="宋体" w:cs="宋体" w:eastAsia="宋体" w:hint="default"/>
                <w:spacing w:val="12"/>
                <w:sz w:val="18"/>
                <w:szCs w:val="18"/>
              </w:rPr>
              <w:t>动净</w:t>
            </w:r>
            <w:r>
              <w:rPr>
                <w:rFonts w:ascii="宋体" w:hAnsi="宋体" w:cs="宋体" w:eastAsia="宋体" w:hint="default"/>
                <w:spacing w:val="-66"/>
                <w:sz w:val="18"/>
                <w:szCs w:val="18"/>
              </w:rPr>
              <w:t> </w:t>
            </w:r>
            <w:r>
              <w:rPr>
                <w:rFonts w:ascii="宋体" w:hAnsi="宋体" w:cs="宋体" w:eastAsia="宋体" w:hint="default"/>
                <w:sz w:val="18"/>
                <w:szCs w:val="18"/>
              </w:rPr>
              <w:t>额</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86,123,841.32</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center"/>
              <w:rPr>
                <w:rFonts w:ascii="Times New Roman" w:hAnsi="Times New Roman" w:cs="Times New Roman" w:eastAsia="Times New Roman" w:hint="default"/>
                <w:sz w:val="18"/>
                <w:szCs w:val="18"/>
              </w:rPr>
            </w:pPr>
            <w:r>
              <w:rPr>
                <w:rFonts w:ascii="Times New Roman"/>
                <w:sz w:val="18"/>
              </w:rPr>
              <w:t>86,123,841.32</w:t>
            </w:r>
          </w:p>
        </w:tc>
      </w:tr>
      <w:tr>
        <w:trPr>
          <w:trHeight w:val="95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09" w:lineRule="auto" w:before="11"/>
              <w:ind w:left="100" w:right="74"/>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．权益法下被投资 </w:t>
            </w:r>
            <w:r>
              <w:rPr>
                <w:rFonts w:ascii="宋体" w:hAnsi="宋体" w:cs="宋体" w:eastAsia="宋体" w:hint="default"/>
                <w:spacing w:val="20"/>
                <w:sz w:val="18"/>
                <w:szCs w:val="18"/>
              </w:rPr>
              <w:t>单位其他所有</w:t>
            </w:r>
            <w:r>
              <w:rPr>
                <w:rFonts w:ascii="宋体" w:hAnsi="宋体" w:cs="宋体" w:eastAsia="宋体" w:hint="default"/>
                <w:spacing w:val="-66"/>
                <w:sz w:val="18"/>
                <w:szCs w:val="18"/>
              </w:rPr>
              <w:t> </w:t>
            </w:r>
            <w:r>
              <w:rPr>
                <w:rFonts w:ascii="宋体" w:hAnsi="宋体" w:cs="宋体" w:eastAsia="宋体" w:hint="default"/>
                <w:spacing w:val="12"/>
                <w:sz w:val="18"/>
                <w:szCs w:val="18"/>
              </w:rPr>
              <w:t>者权</w:t>
            </w:r>
            <w:r>
              <w:rPr>
                <w:rFonts w:ascii="宋体" w:hAnsi="宋体" w:cs="宋体" w:eastAsia="宋体" w:hint="default"/>
                <w:spacing w:val="-66"/>
                <w:sz w:val="18"/>
                <w:szCs w:val="18"/>
              </w:rPr>
              <w:t> </w:t>
            </w:r>
            <w:r>
              <w:rPr>
                <w:rFonts w:ascii="宋体" w:hAnsi="宋体" w:cs="宋体" w:eastAsia="宋体" w:hint="default"/>
                <w:sz w:val="18"/>
                <w:szCs w:val="18"/>
              </w:rPr>
              <w:t>益变动的影响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10,849,349.31</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center"/>
              <w:rPr>
                <w:rFonts w:ascii="Times New Roman" w:hAnsi="Times New Roman" w:cs="Times New Roman" w:eastAsia="Times New Roman" w:hint="default"/>
                <w:sz w:val="18"/>
                <w:szCs w:val="18"/>
              </w:rPr>
            </w:pPr>
            <w:r>
              <w:rPr>
                <w:rFonts w:ascii="Times New Roman"/>
                <w:sz w:val="18"/>
              </w:rPr>
              <w:t>10,849,349.31</w:t>
            </w:r>
          </w:p>
        </w:tc>
      </w:tr>
      <w:tr>
        <w:trPr>
          <w:trHeight w:val="952"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09" w:lineRule="auto" w:before="11"/>
              <w:ind w:left="100" w:right="74"/>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．与计入所有者权 </w:t>
            </w:r>
            <w:r>
              <w:rPr>
                <w:rFonts w:ascii="宋体" w:hAnsi="宋体" w:cs="宋体" w:eastAsia="宋体" w:hint="default"/>
                <w:spacing w:val="20"/>
                <w:sz w:val="18"/>
                <w:szCs w:val="18"/>
              </w:rPr>
              <w:t>益项目相关的</w:t>
            </w:r>
            <w:r>
              <w:rPr>
                <w:rFonts w:ascii="宋体" w:hAnsi="宋体" w:cs="宋体" w:eastAsia="宋体" w:hint="default"/>
                <w:spacing w:val="-66"/>
                <w:sz w:val="18"/>
                <w:szCs w:val="18"/>
              </w:rPr>
              <w:t> </w:t>
            </w:r>
            <w:r>
              <w:rPr>
                <w:rFonts w:ascii="宋体" w:hAnsi="宋体" w:cs="宋体" w:eastAsia="宋体" w:hint="default"/>
                <w:spacing w:val="12"/>
                <w:sz w:val="18"/>
                <w:szCs w:val="18"/>
              </w:rPr>
              <w:t>所得</w:t>
            </w:r>
            <w:r>
              <w:rPr>
                <w:rFonts w:ascii="宋体" w:hAnsi="宋体" w:cs="宋体" w:eastAsia="宋体" w:hint="default"/>
                <w:spacing w:val="-66"/>
                <w:sz w:val="18"/>
                <w:szCs w:val="18"/>
              </w:rPr>
              <w:t> </w:t>
            </w:r>
            <w:r>
              <w:rPr>
                <w:rFonts w:ascii="宋体" w:hAnsi="宋体" w:cs="宋体" w:eastAsia="宋体" w:hint="default"/>
                <w:sz w:val="18"/>
                <w:szCs w:val="18"/>
              </w:rPr>
              <w:t>税影响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89"/>
              <w:jc w:val="left"/>
              <w:rPr>
                <w:rFonts w:ascii="宋体" w:hAnsi="宋体" w:cs="宋体" w:eastAsia="宋体" w:hint="default"/>
                <w:sz w:val="18"/>
                <w:szCs w:val="18"/>
              </w:rPr>
            </w:pPr>
            <w:r>
              <w:rPr>
                <w:rFonts w:ascii="宋体" w:hAnsi="宋体" w:cs="宋体" w:eastAsia="宋体" w:hint="default"/>
                <w:sz w:val="18"/>
                <w:szCs w:val="18"/>
              </w:rPr>
              <w:t>上述（一）和（二） 小计</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96,973,190.63</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120,501,681.34</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217,474,871.97</w:t>
            </w:r>
          </w:p>
        </w:tc>
      </w:tr>
      <w:tr>
        <w:trPr>
          <w:trHeight w:val="638"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（三）所有者投入和 减少资本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．股份支付计入所 </w:t>
            </w:r>
            <w:r>
              <w:rPr>
                <w:rFonts w:ascii="宋体" w:hAnsi="宋体" w:cs="宋体" w:eastAsia="宋体" w:hint="default"/>
                <w:sz w:val="18"/>
                <w:szCs w:val="18"/>
              </w:rPr>
              <w:t>有者权益的金额</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Times New Roman"/>
                <w:sz w:val="18"/>
              </w:rPr>
              <w:t>12,050,168.13</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left="32" w:right="0"/>
              <w:jc w:val="center"/>
              <w:rPr>
                <w:rFonts w:ascii="Times New Roman" w:hAnsi="Times New Roman" w:cs="Times New Roman" w:eastAsia="Times New Roman" w:hint="default"/>
                <w:sz w:val="18"/>
                <w:szCs w:val="18"/>
              </w:rPr>
            </w:pPr>
            <w:r>
              <w:rPr>
                <w:rFonts w:ascii="Times New Roman"/>
                <w:sz w:val="18"/>
              </w:rPr>
              <w:t>-26,330,168.13</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74" w:right="0"/>
              <w:jc w:val="center"/>
              <w:rPr>
                <w:rFonts w:ascii="Times New Roman" w:hAnsi="Times New Roman" w:cs="Times New Roman" w:eastAsia="Times New Roman" w:hint="default"/>
                <w:sz w:val="18"/>
                <w:szCs w:val="18"/>
              </w:rPr>
            </w:pPr>
            <w:r>
              <w:rPr>
                <w:rFonts w:ascii="Times New Roman"/>
                <w:sz w:val="18"/>
              </w:rPr>
              <w:t>-14,280,000.00</w:t>
            </w:r>
          </w:p>
        </w:tc>
      </w:tr>
      <w:tr>
        <w:trPr>
          <w:trHeight w:val="39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Times New Roman"/>
                <w:sz w:val="18"/>
              </w:rPr>
              <w:t>12,050,168.13</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left="32" w:right="0"/>
              <w:jc w:val="center"/>
              <w:rPr>
                <w:rFonts w:ascii="Times New Roman" w:hAnsi="Times New Roman" w:cs="Times New Roman" w:eastAsia="Times New Roman" w:hint="default"/>
                <w:sz w:val="18"/>
                <w:szCs w:val="18"/>
              </w:rPr>
            </w:pPr>
            <w:r>
              <w:rPr>
                <w:rFonts w:ascii="Times New Roman"/>
                <w:sz w:val="18"/>
              </w:rPr>
              <w:t>-12,050,168.13</w:t>
            </w: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．对所有者（或股 </w:t>
            </w:r>
            <w:r>
              <w:rPr>
                <w:rFonts w:ascii="宋体" w:hAnsi="宋体" w:cs="宋体" w:eastAsia="宋体" w:hint="default"/>
                <w:sz w:val="18"/>
                <w:szCs w:val="18"/>
              </w:rPr>
              <w:t>东）的分配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-14,280,000.00</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-14,280,000.00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43" w:top="1600" w:bottom="1440" w:left="168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825"/>
        <w:gridCol w:w="1420"/>
        <w:gridCol w:w="1340"/>
        <w:gridCol w:w="742"/>
        <w:gridCol w:w="1250"/>
        <w:gridCol w:w="1342"/>
        <w:gridCol w:w="1381"/>
      </w:tblGrid>
      <w:tr>
        <w:trPr>
          <w:trHeight w:val="326"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（五）所有者权益内 部结转</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-42,840,000.00</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 </w:t>
            </w:r>
            <w:r>
              <w:rPr>
                <w:rFonts w:ascii="宋体" w:hAnsi="宋体" w:cs="宋体" w:eastAsia="宋体" w:hint="default"/>
                <w:sz w:val="18"/>
                <w:szCs w:val="18"/>
              </w:rPr>
              <w:t>本（或股本）</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-42,840,000.00</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 </w:t>
            </w:r>
            <w:r>
              <w:rPr>
                <w:rFonts w:ascii="宋体" w:hAnsi="宋体" w:cs="宋体" w:eastAsia="宋体" w:hint="default"/>
                <w:sz w:val="18"/>
                <w:szCs w:val="18"/>
              </w:rPr>
              <w:t>本（或股本）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．盈余公积弥补亏 </w:t>
            </w:r>
            <w:r>
              <w:rPr>
                <w:rFonts w:ascii="宋体" w:hAnsi="宋体" w:cs="宋体" w:eastAsia="宋体" w:hint="default"/>
                <w:sz w:val="18"/>
                <w:szCs w:val="18"/>
              </w:rPr>
              <w:t>损</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1381"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185,640,000.00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101" w:right="0"/>
              <w:jc w:val="left"/>
              <w:rPr>
                <w:rFonts w:ascii="Times New Roman" w:hAnsi="Times New Roman" w:cs="Times New Roman" w:eastAsia="Times New Roman" w:hint="default"/>
                <w:sz w:val="18"/>
                <w:szCs w:val="18"/>
              </w:rPr>
            </w:pPr>
            <w:r>
              <w:rPr>
                <w:rFonts w:ascii="Times New Roman"/>
                <w:sz w:val="18"/>
              </w:rPr>
              <w:t>212,000,645.17</w:t>
            </w:r>
          </w:p>
        </w:tc>
        <w:tc>
          <w:tcPr>
            <w:tcW w:w="74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107" w:right="0"/>
              <w:jc w:val="left"/>
              <w:rPr>
                <w:rFonts w:ascii="Times New Roman" w:hAnsi="Times New Roman" w:cs="Times New Roman" w:eastAsia="Times New Roman" w:hint="default"/>
                <w:sz w:val="18"/>
                <w:szCs w:val="18"/>
              </w:rPr>
            </w:pPr>
            <w:r>
              <w:rPr>
                <w:rFonts w:ascii="Times New Roman"/>
                <w:sz w:val="18"/>
              </w:rPr>
              <w:t>37,714,944.11</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101" w:right="0"/>
              <w:jc w:val="left"/>
              <w:rPr>
                <w:rFonts w:ascii="Times New Roman" w:hAnsi="Times New Roman" w:cs="Times New Roman" w:eastAsia="Times New Roman" w:hint="default"/>
                <w:sz w:val="18"/>
                <w:szCs w:val="18"/>
              </w:rPr>
            </w:pPr>
            <w:r>
              <w:rPr>
                <w:rFonts w:ascii="Times New Roman"/>
                <w:sz w:val="18"/>
              </w:rPr>
              <w:t>153,043,742.18</w:t>
            </w:r>
          </w:p>
        </w:tc>
        <w:tc>
          <w:tcPr>
            <w:tcW w:w="13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142" w:right="0"/>
              <w:jc w:val="left"/>
              <w:rPr>
                <w:rFonts w:ascii="Times New Roman" w:hAnsi="Times New Roman" w:cs="Times New Roman" w:eastAsia="Times New Roman" w:hint="default"/>
                <w:sz w:val="18"/>
                <w:szCs w:val="18"/>
              </w:rPr>
            </w:pPr>
            <w:r>
              <w:rPr>
                <w:rFonts w:ascii="Times New Roman"/>
                <w:sz w:val="18"/>
              </w:rPr>
              <w:t>588,399,331.46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0" w:right="853"/>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850"/>
        <w:gridCol w:w="1420"/>
        <w:gridCol w:w="1342"/>
        <w:gridCol w:w="744"/>
        <w:gridCol w:w="1250"/>
        <w:gridCol w:w="1312"/>
        <w:gridCol w:w="1382"/>
      </w:tblGrid>
      <w:tr>
        <w:trPr>
          <w:trHeight w:val="326" w:hRule="exact"/>
        </w:trPr>
        <w:tc>
          <w:tcPr>
            <w:tcW w:w="1850"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5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640" w:hRule="exact"/>
        </w:trPr>
        <w:tc>
          <w:tcPr>
            <w:tcW w:w="1850" w:type="dxa"/>
            <w:vMerge/>
            <w:tcBorders>
              <w:left w:val="single" w:sz="6" w:space="0" w:color="101010"/>
              <w:bottom w:val="single" w:sz="6" w:space="0" w:color="101010"/>
              <w:right w:val="single" w:sz="6" w:space="0" w:color="101010"/>
            </w:tcBorders>
          </w:tcPr>
          <w:p>
            <w:pP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2"/>
              <w:ind w:left="581" w:right="131" w:hanging="45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 本</w:t>
            </w:r>
            <w:r>
              <w:rPr>
                <w:rFonts w:ascii="Times New Roman" w:hAnsi="Times New Roman" w:cs="Times New Roman" w:eastAsia="Times New Roman" w:hint="default"/>
                <w:sz w:val="18"/>
                <w:szCs w:val="18"/>
              </w:rPr>
              <w:t>)</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44"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2"/>
              <w:ind w:left="184" w:right="98" w:hanging="8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2"/>
              <w:ind w:left="594" w:right="14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89"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102,000,000.00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200,633,640.90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20,520,730.27</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31,204,481.11</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354,358,852.28</w:t>
            </w:r>
          </w:p>
        </w:tc>
      </w:tr>
      <w:tr>
        <w:trPr>
          <w:trHeight w:val="39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z w:val="18"/>
              </w:rPr>
              <w:t>263,796.71</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6,122,984.08</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6,386,780.79</w:t>
            </w:r>
          </w:p>
        </w:tc>
      </w:tr>
      <w:tr>
        <w:trPr>
          <w:trHeight w:val="326"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39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102,000,000.00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200,633,640.90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20,784,526.98</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37,327,465.19</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360,745,633.07</w:t>
            </w:r>
          </w:p>
        </w:tc>
      </w:tr>
      <w:tr>
        <w:trPr>
          <w:trHeight w:val="95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三、本年增减变动金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额（减少以“－”号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填列）</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40,800,000.00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-42,766,186.36</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4,880,249.00</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21,544,763.78</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24,458,826.42</w:t>
            </w:r>
          </w:p>
        </w:tc>
      </w:tr>
      <w:tr>
        <w:trPr>
          <w:trHeight w:val="39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Times New Roman" w:hAnsi="Times New Roman" w:cs="Times New Roman" w:eastAsia="Times New Roman" w:hint="default"/>
                <w:sz w:val="18"/>
                <w:szCs w:val="18"/>
              </w:rPr>
            </w:pPr>
            <w:r>
              <w:rPr>
                <w:rFonts w:ascii="Times New Roman"/>
                <w:spacing w:val="-1"/>
                <w:sz w:val="18"/>
              </w:rPr>
              <w:t>56,723,324.78</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56,723,324.78</w:t>
            </w:r>
          </w:p>
        </w:tc>
      </w:tr>
      <w:tr>
        <w:trPr>
          <w:trHeight w:val="63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（二）直接计入所有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者权益的利得和损失</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-3,136,186.36</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-3,136,186.36</w:t>
            </w:r>
          </w:p>
        </w:tc>
      </w:tr>
      <w:tr>
        <w:trPr>
          <w:trHeight w:val="64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．可供出售金融资产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公允价值变动净额</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95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09" w:lineRule="auto" w:before="11"/>
              <w:ind w:left="100" w:right="98"/>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．权益法下被投资单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位其他所有者权益变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动的影响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-3,136,186.36</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-3,136,186.36</w:t>
            </w:r>
          </w:p>
        </w:tc>
      </w:tr>
      <w:tr>
        <w:trPr>
          <w:trHeight w:val="95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09" w:lineRule="auto" w:before="11"/>
              <w:ind w:left="100" w:right="98"/>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．与计入所有者权益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项目相关的所得税影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326"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64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上述（一）和（二）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小计</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-3,136,186.36</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56,723,324.78</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53,587,138.42</w:t>
            </w:r>
          </w:p>
        </w:tc>
      </w:tr>
      <w:tr>
        <w:trPr>
          <w:trHeight w:val="63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（三）所有者投入和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减少资本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股份支付计入所有</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0" w:footer="1243" w:top="1360" w:bottom="1440" w:left="1680" w:right="70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850"/>
        <w:gridCol w:w="1420"/>
        <w:gridCol w:w="1342"/>
        <w:gridCol w:w="744"/>
        <w:gridCol w:w="1250"/>
        <w:gridCol w:w="1312"/>
        <w:gridCol w:w="1382"/>
      </w:tblGrid>
      <w:tr>
        <w:trPr>
          <w:trHeight w:val="326"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4,880,249.00</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left="2" w:right="0"/>
              <w:jc w:val="center"/>
              <w:rPr>
                <w:rFonts w:ascii="Times New Roman" w:hAnsi="Times New Roman" w:cs="Times New Roman" w:eastAsia="Times New Roman" w:hint="default"/>
                <w:sz w:val="18"/>
                <w:szCs w:val="18"/>
              </w:rPr>
            </w:pPr>
            <w:r>
              <w:rPr>
                <w:rFonts w:ascii="Times New Roman"/>
                <w:sz w:val="18"/>
              </w:rPr>
              <w:t>-35,178,561.00</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-30,298,312.00</w:t>
            </w:r>
          </w:p>
        </w:tc>
      </w:tr>
      <w:tr>
        <w:trPr>
          <w:trHeight w:val="39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4,880,249.00</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left="90" w:right="0"/>
              <w:jc w:val="center"/>
              <w:rPr>
                <w:rFonts w:ascii="Times New Roman" w:hAnsi="Times New Roman" w:cs="Times New Roman" w:eastAsia="Times New Roman" w:hint="default"/>
                <w:sz w:val="18"/>
                <w:szCs w:val="18"/>
              </w:rPr>
            </w:pPr>
            <w:r>
              <w:rPr>
                <w:rFonts w:ascii="Times New Roman"/>
                <w:sz w:val="18"/>
              </w:rPr>
              <w:t>-4,880,249.00</w:t>
            </w: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00" w:lineRule="auto" w:before="11"/>
              <w:ind w:left="100" w:right="8"/>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．对所有者（或股东）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的分配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-30,298,312.00</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-30,298,312.00</w:t>
            </w:r>
          </w:p>
        </w:tc>
      </w:tr>
      <w:tr>
        <w:trPr>
          <w:trHeight w:val="32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（五）所有者权益内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部结转</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40,800,000.00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-39,630,000.00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1,170,000.00</w:t>
            </w:r>
          </w:p>
        </w:tc>
      </w:tr>
      <w:tr>
        <w:trPr>
          <w:trHeight w:val="64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6"/>
                <w:sz w:val="18"/>
                <w:szCs w:val="18"/>
              </w:rPr>
              <w:t>．</w:t>
            </w:r>
            <w:r>
              <w:rPr>
                <w:rFonts w:ascii="宋体" w:hAnsi="宋体" w:cs="宋体" w:eastAsia="宋体" w:hint="default"/>
                <w:sz w:val="18"/>
                <w:szCs w:val="18"/>
              </w:rPr>
              <w:t>资本公积转增资本</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40,800,000.00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-40,800,000.00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63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盈余公积转增资本</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32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76"/>
                <w:sz w:val="18"/>
                <w:szCs w:val="18"/>
              </w:rPr>
              <w:t>．</w:t>
            </w:r>
            <w:r>
              <w:rPr>
                <w:rFonts w:ascii="宋体" w:hAnsi="宋体" w:cs="宋体" w:eastAsia="宋体" w:hint="default"/>
                <w:sz w:val="18"/>
                <w:szCs w:val="18"/>
              </w:rPr>
              <w:t>盈余公积弥补亏损</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389"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Times New Roman" w:hAnsi="Times New Roman" w:cs="Times New Roman" w:eastAsia="Times New Roman" w:hint="default"/>
                <w:sz w:val="18"/>
                <w:szCs w:val="18"/>
              </w:rPr>
            </w:pPr>
            <w:r>
              <w:rPr>
                <w:rFonts w:ascii="Times New Roman"/>
                <w:spacing w:val="-1"/>
                <w:sz w:val="18"/>
              </w:rPr>
              <w:t>1,170,000.00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Times New Roman" w:hAnsi="Times New Roman" w:cs="Times New Roman" w:eastAsia="Times New Roman" w:hint="default"/>
                <w:sz w:val="18"/>
                <w:szCs w:val="18"/>
              </w:rPr>
            </w:pPr>
            <w:r>
              <w:rPr>
                <w:rFonts w:ascii="Times New Roman"/>
                <w:spacing w:val="-1"/>
                <w:sz w:val="18"/>
              </w:rPr>
              <w:t>1,170,000.00</w:t>
            </w:r>
          </w:p>
        </w:tc>
      </w:tr>
      <w:tr>
        <w:trPr>
          <w:trHeight w:val="39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142,800,000.00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157,867,454.54</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spacing w:val="-1"/>
                <w:sz w:val="18"/>
              </w:rPr>
              <w:t>25,664,775.98</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left="59" w:right="0"/>
              <w:jc w:val="center"/>
              <w:rPr>
                <w:rFonts w:ascii="Times New Roman" w:hAnsi="Times New Roman" w:cs="Times New Roman" w:eastAsia="Times New Roman" w:hint="default"/>
                <w:sz w:val="18"/>
                <w:szCs w:val="18"/>
              </w:rPr>
            </w:pPr>
            <w:r>
              <w:rPr>
                <w:rFonts w:ascii="Times New Roman"/>
                <w:sz w:val="18"/>
              </w:rPr>
              <w:t>58,872,228.97</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385,204,459.49</w:t>
            </w:r>
          </w:p>
        </w:tc>
      </w:tr>
    </w:tbl>
    <w:p>
      <w:pPr>
        <w:pStyle w:val="BodyText"/>
        <w:tabs>
          <w:tab w:pos="2539" w:val="left" w:leader="none"/>
          <w:tab w:pos="5380" w:val="left" w:leader="none"/>
        </w:tabs>
        <w:spacing w:line="276" w:lineRule="exact" w:before="0"/>
        <w:ind w:right="777"/>
        <w:jc w:val="left"/>
        <w:rPr>
          <w:sz w:val="20"/>
          <w:szCs w:val="20"/>
        </w:rPr>
      </w:pPr>
      <w:r>
        <w:rPr/>
        <w:t>公司法定代表人</w:t>
      </w:r>
      <w:r>
        <w:rPr>
          <w:rFonts w:ascii="Times New Roman" w:hAnsi="Times New Roman" w:cs="Times New Roman" w:eastAsia="Times New Roman" w:hint="default"/>
        </w:rPr>
        <w:t>:</w:t>
      </w:r>
      <w:r>
        <w:rPr/>
        <w:t>彭政纲</w:t>
        <w:tab/>
      </w:r>
      <w:r>
        <w:rPr>
          <w:spacing w:val="-1"/>
        </w:rPr>
        <w:t>主管会计工作负责人</w:t>
      </w:r>
      <w:r>
        <w:rPr>
          <w:rFonts w:ascii="Times New Roman" w:hAnsi="Times New Roman" w:cs="Times New Roman" w:eastAsia="Times New Roman" w:hint="default"/>
          <w:spacing w:val="-1"/>
        </w:rPr>
        <w:t>:</w:t>
      </w:r>
      <w:r>
        <w:rPr>
          <w:spacing w:val="-1"/>
        </w:rPr>
        <w:t>刘曙峰</w:t>
        <w:tab/>
        <w:t>会计机构负责人</w:t>
      </w:r>
      <w:r>
        <w:rPr>
          <w:rFonts w:ascii="Times New Roman" w:hAnsi="Times New Roman" w:cs="Times New Roman" w:eastAsia="Times New Roman" w:hint="default"/>
          <w:spacing w:val="-1"/>
        </w:rPr>
        <w:t>:</w:t>
      </w:r>
      <w:r>
        <w:rPr>
          <w:spacing w:val="-1"/>
          <w:sz w:val="20"/>
          <w:szCs w:val="20"/>
        </w:rPr>
        <w:t>傅美英</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32"/>
          <w:szCs w:val="32"/>
        </w:rPr>
      </w:pPr>
    </w:p>
    <w:p>
      <w:pPr>
        <w:pStyle w:val="Heading1"/>
        <w:spacing w:line="240" w:lineRule="auto"/>
        <w:ind w:right="777"/>
        <w:jc w:val="left"/>
        <w:rPr>
          <w:rFonts w:ascii="宋体" w:hAnsi="宋体" w:cs="宋体" w:eastAsia="宋体" w:hint="default"/>
          <w:b w:val="0"/>
          <w:bCs w:val="0"/>
        </w:rPr>
      </w:pPr>
      <w:bookmarkStart w:name="_TOC_250000" w:id="12"/>
      <w:r>
        <w:rPr>
          <w:rFonts w:ascii="宋体" w:hAnsi="宋体" w:cs="宋体" w:eastAsia="宋体" w:hint="default"/>
        </w:rPr>
        <w:t>十二、备查文件目录</w:t>
      </w:r>
      <w:bookmarkEnd w:id="12"/>
      <w:r>
        <w:rPr>
          <w:rFonts w:ascii="宋体" w:hAnsi="宋体" w:cs="宋体" w:eastAsia="宋体" w:hint="default"/>
          <w:b w:val="0"/>
          <w:bCs w:val="0"/>
        </w:rPr>
      </w:r>
    </w:p>
    <w:p>
      <w:pPr>
        <w:spacing w:line="240" w:lineRule="auto" w:before="9"/>
        <w:rPr>
          <w:rFonts w:ascii="宋体" w:hAnsi="宋体" w:cs="宋体" w:eastAsia="宋体" w:hint="default"/>
          <w:b/>
          <w:bCs/>
          <w:sz w:val="26"/>
          <w:szCs w:val="26"/>
        </w:rPr>
      </w:pPr>
    </w:p>
    <w:p>
      <w:pPr>
        <w:pStyle w:val="BodyText"/>
        <w:spacing w:line="256" w:lineRule="auto" w:before="0"/>
        <w:ind w:right="777"/>
        <w:jc w:val="left"/>
      </w:pPr>
      <w:r>
        <w:rPr>
          <w:rFonts w:ascii="Times New Roman" w:hAnsi="Times New Roman" w:cs="Times New Roman" w:eastAsia="Times New Roman" w:hint="default"/>
        </w:rPr>
        <w:t>1</w:t>
      </w:r>
      <w:r>
        <w:rPr/>
        <w:t>、载有董事长彭政纲先生、总经理及财务负责人刘曙峰先生、财务总监傅美英女士签名并盖</w:t>
      </w:r>
      <w:r>
        <w:rPr>
          <w:spacing w:val="-67"/>
        </w:rPr>
        <w:t> </w:t>
      </w:r>
      <w:r>
        <w:rPr>
          <w:spacing w:val="-67"/>
        </w:rPr>
      </w:r>
      <w:r>
        <w:rPr/>
        <w:t>章的会计报表。</w:t>
      </w:r>
    </w:p>
    <w:p>
      <w:pPr>
        <w:pStyle w:val="BodyText"/>
        <w:spacing w:line="240" w:lineRule="auto" w:before="22"/>
        <w:ind w:right="777"/>
        <w:jc w:val="left"/>
      </w:pPr>
      <w:r>
        <w:rPr>
          <w:rFonts w:ascii="Times New Roman" w:hAnsi="Times New Roman" w:cs="Times New Roman" w:eastAsia="Times New Roman" w:hint="default"/>
        </w:rPr>
        <w:t>2</w:t>
      </w:r>
      <w:r>
        <w:rPr/>
        <w:t>、载有会计师事务所盖章、注册会计师签名并盖章的本公司</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年度审计报告原件。</w:t>
      </w:r>
    </w:p>
    <w:p>
      <w:pPr>
        <w:pStyle w:val="BodyText"/>
        <w:spacing w:line="264" w:lineRule="auto" w:before="21"/>
        <w:ind w:right="846"/>
        <w:jc w:val="left"/>
      </w:pPr>
      <w:r>
        <w:rPr>
          <w:rFonts w:ascii="Times New Roman" w:hAnsi="Times New Roman" w:cs="Times New Roman" w:eastAsia="Times New Roman" w:hint="default"/>
          <w:spacing w:val="-3"/>
        </w:rPr>
        <w:t>3</w:t>
      </w:r>
      <w:r>
        <w:rPr>
          <w:spacing w:val="-3"/>
        </w:rPr>
        <w:t>、载有会计师事务所盖章、注册会计师签名并盖章的本公司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年度关联方资金占用情况专 项审计说明原件。 </w:t>
      </w:r>
      <w:r>
        <w:rPr>
          <w:rFonts w:ascii="Times New Roman" w:hAnsi="Times New Roman" w:cs="Times New Roman" w:eastAsia="Times New Roman" w:hint="default"/>
        </w:rPr>
        <w:t>4</w:t>
      </w:r>
      <w:r>
        <w:rPr/>
        <w:t>、报告期内在《上海证券报》上公开披露过的所有公司文件的正本及公告原稿。</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3"/>
          <w:szCs w:val="23"/>
        </w:rPr>
      </w:pPr>
    </w:p>
    <w:p>
      <w:pPr>
        <w:pStyle w:val="BodyText"/>
        <w:spacing w:line="273" w:lineRule="auto" w:before="0"/>
        <w:ind w:left="6568" w:right="853" w:firstLine="630"/>
        <w:jc w:val="right"/>
      </w:pPr>
      <w:r>
        <w:rPr/>
        <w:t>董事长：彭政纲 恒生电子股份有限公司 2008</w:t>
      </w:r>
      <w:r>
        <w:rPr>
          <w:spacing w:val="-54"/>
        </w:rPr>
        <w:t> </w:t>
      </w:r>
      <w:r>
        <w:rPr/>
        <w:t>年</w:t>
      </w:r>
      <w:r>
        <w:rPr>
          <w:spacing w:val="-54"/>
        </w:rPr>
        <w:t> </w:t>
      </w:r>
      <w:r>
        <w:rPr/>
        <w:t>4</w:t>
      </w:r>
      <w:r>
        <w:rPr>
          <w:spacing w:val="-54"/>
        </w:rPr>
        <w:t> </w:t>
      </w:r>
      <w:r>
        <w:rPr/>
        <w:t>月</w:t>
      </w:r>
      <w:r>
        <w:rPr>
          <w:spacing w:val="-55"/>
        </w:rPr>
        <w:t> </w:t>
      </w:r>
      <w:r>
        <w:rPr/>
        <w:t>21</w:t>
      </w:r>
      <w:r>
        <w:rPr>
          <w:spacing w:val="-53"/>
        </w:rPr>
        <w:t> </w:t>
      </w:r>
      <w:r>
        <w:rPr/>
        <w:t>日</w:t>
      </w:r>
    </w:p>
    <w:p>
      <w:pPr>
        <w:spacing w:after="0" w:line="273" w:lineRule="auto"/>
        <w:jc w:val="right"/>
        <w:sectPr>
          <w:pgSz w:w="11910" w:h="16840"/>
          <w:pgMar w:header="0" w:footer="1243" w:top="1360" w:bottom="1440" w:left="1680" w:right="7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243" w:top="1600" w:bottom="1440" w:left="1680" w:right="1440"/>
        </w:sectPr>
      </w:pPr>
    </w:p>
    <w:p>
      <w:pPr>
        <w:pStyle w:val="BodyText"/>
        <w:spacing w:line="240" w:lineRule="auto" w:before="35"/>
        <w:ind w:right="-20"/>
        <w:jc w:val="left"/>
      </w:pPr>
      <w:r>
        <w:rPr/>
        <w:t>附录：</w:t>
      </w:r>
    </w:p>
    <w:p>
      <w:pPr>
        <w:spacing w:line="240" w:lineRule="auto" w:before="7"/>
        <w:rPr>
          <w:rFonts w:ascii="宋体" w:hAnsi="宋体" w:cs="宋体" w:eastAsia="宋体" w:hint="default"/>
          <w:sz w:val="32"/>
          <w:szCs w:val="32"/>
        </w:rPr>
      </w:pPr>
      <w:r>
        <w:rPr/>
        <w:br w:type="column"/>
      </w:r>
      <w:r>
        <w:rPr>
          <w:rFonts w:ascii="宋体"/>
          <w:sz w:val="32"/>
        </w:rPr>
      </w:r>
    </w:p>
    <w:p>
      <w:pPr>
        <w:spacing w:line="408" w:lineRule="auto" w:before="0"/>
        <w:ind w:left="168" w:right="3034" w:firstLine="0"/>
        <w:jc w:val="center"/>
        <w:rPr>
          <w:rFonts w:ascii="黑体" w:hAnsi="黑体" w:cs="黑体" w:eastAsia="黑体" w:hint="default"/>
          <w:sz w:val="28"/>
          <w:szCs w:val="28"/>
        </w:rPr>
      </w:pPr>
      <w:r>
        <w:rPr>
          <w:rFonts w:ascii="黑体" w:hAnsi="黑体" w:cs="黑体" w:eastAsia="黑体" w:hint="default"/>
          <w:b/>
          <w:bCs/>
          <w:w w:val="95"/>
          <w:sz w:val="28"/>
          <w:szCs w:val="28"/>
        </w:rPr>
        <w:t>恒生电子股份有限公司</w:t>
      </w:r>
      <w:r>
        <w:rPr>
          <w:rFonts w:ascii="黑体" w:hAnsi="黑体" w:cs="黑体" w:eastAsia="黑体" w:hint="default"/>
          <w:b/>
          <w:bCs/>
          <w:spacing w:val="-6"/>
          <w:w w:val="95"/>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pStyle w:val="BodyText"/>
        <w:spacing w:line="240" w:lineRule="auto" w:before="90"/>
        <w:ind w:left="167" w:right="3034"/>
        <w:jc w:val="center"/>
      </w:pPr>
      <w:r>
        <w:rPr/>
        <w:t>2007</w:t>
      </w:r>
      <w:r>
        <w:rPr>
          <w:spacing w:val="-53"/>
        </w:rPr>
        <w:t> </w:t>
      </w:r>
      <w:r>
        <w:rPr/>
        <w:t>年度</w:t>
      </w:r>
    </w:p>
    <w:p>
      <w:pPr>
        <w:spacing w:after="0" w:line="240" w:lineRule="auto"/>
        <w:jc w:val="center"/>
        <w:sectPr>
          <w:type w:val="continuous"/>
          <w:pgSz w:w="11910" w:h="16840"/>
          <w:pgMar w:top="1500" w:bottom="900" w:left="1680" w:right="1440"/>
          <w:cols w:num="2" w:equalWidth="0">
            <w:col w:w="748" w:space="2122"/>
            <w:col w:w="5920"/>
          </w:cols>
        </w:sectPr>
      </w:pPr>
    </w:p>
    <w:p>
      <w:pPr>
        <w:spacing w:line="240" w:lineRule="auto" w:before="7"/>
        <w:rPr>
          <w:rFonts w:ascii="宋体" w:hAnsi="宋体" w:cs="宋体" w:eastAsia="宋体" w:hint="default"/>
          <w:sz w:val="17"/>
          <w:szCs w:val="17"/>
        </w:rPr>
      </w:pPr>
    </w:p>
    <w:p>
      <w:pPr>
        <w:pStyle w:val="BodyText"/>
        <w:spacing w:line="240" w:lineRule="auto" w:before="35"/>
        <w:ind w:left="6778" w:right="0"/>
        <w:jc w:val="left"/>
      </w:pPr>
      <w:r>
        <w:rPr/>
        <w:t>金额单位：人民币元</w:t>
      </w:r>
    </w:p>
    <w:p>
      <w:pPr>
        <w:spacing w:line="240" w:lineRule="auto" w:before="3"/>
        <w:rPr>
          <w:rFonts w:ascii="宋体" w:hAnsi="宋体" w:cs="宋体" w:eastAsia="宋体" w:hint="default"/>
          <w:sz w:val="20"/>
          <w:szCs w:val="20"/>
        </w:rPr>
      </w:pPr>
    </w:p>
    <w:p>
      <w:pPr>
        <w:pStyle w:val="Heading1"/>
        <w:spacing w:line="240" w:lineRule="auto"/>
        <w:ind w:left="537" w:right="804"/>
        <w:jc w:val="left"/>
        <w:rPr>
          <w:b w:val="0"/>
          <w:bCs w:val="0"/>
        </w:rPr>
      </w:pPr>
      <w:r>
        <w:rPr/>
        <w:t>一、公司基本情况</w:t>
      </w:r>
      <w:r>
        <w:rPr>
          <w:b w:val="0"/>
          <w:bCs w:val="0"/>
        </w:rPr>
      </w:r>
    </w:p>
    <w:p>
      <w:pPr>
        <w:pStyle w:val="BodyText"/>
        <w:spacing w:line="367" w:lineRule="auto"/>
        <w:ind w:right="113" w:firstLine="420"/>
        <w:jc w:val="both"/>
      </w:pPr>
      <w:r>
        <w:rPr>
          <w:spacing w:val="-2"/>
        </w:rPr>
        <w:t>恒生电子股份有限公司（以下简称公司或本公司）系经浙江省人民政府企业上市工作领导</w:t>
      </w:r>
      <w:r>
        <w:rPr/>
        <w:t> 小组浙上市〔2000〕48</w:t>
      </w:r>
      <w:r>
        <w:rPr>
          <w:spacing w:val="30"/>
        </w:rPr>
        <w:t> </w:t>
      </w:r>
      <w:r>
        <w:rPr/>
        <w:t>号文批准，由杭州恒生电子集团有限公司、中国投资担保有限公司和</w:t>
      </w:r>
      <w:r>
        <w:rPr>
          <w:spacing w:val="-100"/>
        </w:rPr>
        <w:t> </w:t>
      </w:r>
      <w:r>
        <w:rPr>
          <w:spacing w:val="-100"/>
        </w:rPr>
      </w:r>
      <w:r>
        <w:rPr/>
        <w:t>自然人黄大成等 15</w:t>
      </w:r>
      <w:r>
        <w:rPr>
          <w:spacing w:val="-61"/>
        </w:rPr>
        <w:t> </w:t>
      </w:r>
      <w:r>
        <w:rPr/>
        <w:t>位自然人股东在原杭州恒生电子有限公司基础上整体变更设立的股份有限</w:t>
      </w:r>
    </w:p>
    <w:p>
      <w:pPr>
        <w:pStyle w:val="BodyText"/>
        <w:spacing w:line="240" w:lineRule="auto" w:before="34"/>
        <w:ind w:right="0"/>
        <w:jc w:val="both"/>
      </w:pPr>
      <w:r>
        <w:rPr/>
        <w:t>公司，于</w:t>
      </w:r>
      <w:r>
        <w:rPr>
          <w:spacing w:val="-39"/>
        </w:rPr>
        <w:t> </w:t>
      </w:r>
      <w:r>
        <w:rPr/>
        <w:t>2000</w:t>
      </w:r>
      <w:r>
        <w:rPr>
          <w:spacing w:val="-39"/>
        </w:rPr>
        <w:t> </w:t>
      </w:r>
      <w:r>
        <w:rPr/>
        <w:t>年</w:t>
      </w:r>
      <w:r>
        <w:rPr>
          <w:spacing w:val="-39"/>
        </w:rPr>
        <w:t> </w:t>
      </w:r>
      <w:r>
        <w:rPr/>
        <w:t>12</w:t>
      </w:r>
      <w:r>
        <w:rPr>
          <w:spacing w:val="-39"/>
        </w:rPr>
        <w:t> </w:t>
      </w:r>
      <w:r>
        <w:rPr/>
        <w:t>月</w:t>
      </w:r>
      <w:r>
        <w:rPr>
          <w:spacing w:val="-39"/>
        </w:rPr>
        <w:t> </w:t>
      </w:r>
      <w:r>
        <w:rPr/>
        <w:t>13</w:t>
      </w:r>
      <w:r>
        <w:rPr>
          <w:spacing w:val="-39"/>
        </w:rPr>
        <w:t> </w:t>
      </w:r>
      <w:r>
        <w:rPr/>
        <w:t>日在浙江省工商行政管理局登记注册，取得注册号</w:t>
      </w:r>
      <w:r>
        <w:rPr>
          <w:spacing w:val="-39"/>
        </w:rPr>
        <w:t> </w:t>
      </w:r>
      <w:r>
        <w:rPr/>
        <w:t>3300002000295</w:t>
      </w:r>
    </w:p>
    <w:p>
      <w:pPr>
        <w:pStyle w:val="BodyText"/>
        <w:spacing w:line="240" w:lineRule="auto"/>
        <w:ind w:right="0"/>
        <w:jc w:val="both"/>
      </w:pPr>
      <w:r>
        <w:rPr/>
        <w:t>《企业法人营业执照</w:t>
      </w:r>
      <w:r>
        <w:rPr>
          <w:spacing w:val="-105"/>
        </w:rPr>
        <w:t>》</w:t>
      </w:r>
      <w:r>
        <w:rPr>
          <w:spacing w:val="-2"/>
        </w:rPr>
        <w:t>。</w:t>
      </w:r>
      <w:r>
        <w:rPr>
          <w:spacing w:val="-1"/>
        </w:rPr>
        <w:t>公司现有注册资</w:t>
      </w:r>
      <w:r>
        <w:rPr/>
        <w:t>本</w:t>
      </w:r>
      <w:r>
        <w:rPr>
          <w:spacing w:val="-48"/>
        </w:rPr>
        <w:t> </w:t>
      </w:r>
      <w:r>
        <w:rPr>
          <w:spacing w:val="-1"/>
        </w:rPr>
        <w:t>18,564.0</w:t>
      </w:r>
      <w:r>
        <w:rPr/>
        <w:t>0</w:t>
      </w:r>
      <w:r>
        <w:rPr>
          <w:spacing w:val="-47"/>
        </w:rPr>
        <w:t> </w:t>
      </w:r>
      <w:r>
        <w:rPr>
          <w:spacing w:val="-1"/>
        </w:rPr>
        <w:t>万元</w:t>
      </w:r>
      <w:r>
        <w:rPr>
          <w:spacing w:val="-2"/>
        </w:rPr>
        <w:t>，</w:t>
      </w:r>
      <w:r>
        <w:rPr>
          <w:spacing w:val="-1"/>
        </w:rPr>
        <w:t>股份总</w:t>
      </w:r>
      <w:r>
        <w:rPr/>
        <w:t>数</w:t>
      </w:r>
      <w:r>
        <w:rPr>
          <w:spacing w:val="-48"/>
        </w:rPr>
        <w:t> </w:t>
      </w:r>
      <w:r>
        <w:rPr>
          <w:spacing w:val="-1"/>
        </w:rPr>
        <w:t>18,56</w:t>
      </w:r>
      <w:r>
        <w:rPr/>
        <w:t>4</w:t>
      </w:r>
      <w:r>
        <w:rPr>
          <w:spacing w:val="-47"/>
        </w:rPr>
        <w:t> </w:t>
      </w:r>
      <w:r>
        <w:rPr>
          <w:spacing w:val="3"/>
        </w:rPr>
        <w:t>万股</w:t>
      </w:r>
      <w:r>
        <w:rPr>
          <w:spacing w:val="2"/>
        </w:rPr>
        <w:t>(</w:t>
      </w:r>
      <w:r>
        <w:rPr>
          <w:spacing w:val="3"/>
        </w:rPr>
        <w:t>每</w:t>
      </w:r>
      <w:r>
        <w:rPr>
          <w:spacing w:val="4"/>
        </w:rPr>
        <w:t>股</w:t>
      </w:r>
      <w:r>
        <w:rPr>
          <w:spacing w:val="3"/>
        </w:rPr>
        <w:t>面</w:t>
      </w:r>
      <w:r>
        <w:rPr/>
        <w:t>值</w:t>
      </w:r>
    </w:p>
    <w:p>
      <w:pPr>
        <w:pStyle w:val="BodyText"/>
        <w:spacing w:line="240" w:lineRule="auto"/>
        <w:ind w:right="0"/>
        <w:jc w:val="both"/>
      </w:pPr>
      <w:r>
        <w:rPr/>
        <w:t>1</w:t>
      </w:r>
      <w:r>
        <w:rPr>
          <w:spacing w:val="-55"/>
        </w:rPr>
        <w:t> </w:t>
      </w:r>
      <w:r>
        <w:rPr/>
        <w:t>元)，其中，有限售条件的流通股份为</w:t>
      </w:r>
      <w:r>
        <w:rPr>
          <w:spacing w:val="-53"/>
        </w:rPr>
        <w:t> </w:t>
      </w:r>
      <w:r>
        <w:rPr/>
        <w:t>2,786.4564</w:t>
      </w:r>
      <w:r>
        <w:rPr>
          <w:spacing w:val="-53"/>
        </w:rPr>
        <w:t> </w:t>
      </w:r>
      <w:r>
        <w:rPr>
          <w:spacing w:val="2"/>
        </w:rPr>
        <w:t>万股,占公司总股本的</w:t>
      </w:r>
      <w:r>
        <w:rPr>
          <w:spacing w:val="-53"/>
        </w:rPr>
        <w:t> </w:t>
      </w:r>
      <w:r>
        <w:rPr/>
        <w:t>15.01%；无限售条</w:t>
      </w:r>
    </w:p>
    <w:p>
      <w:pPr>
        <w:pStyle w:val="BodyText"/>
        <w:spacing w:line="367" w:lineRule="auto"/>
        <w:ind w:right="112"/>
        <w:jc w:val="both"/>
      </w:pPr>
      <w:r>
        <w:rPr/>
        <w:t>件的流通股份为</w:t>
      </w:r>
      <w:r>
        <w:rPr>
          <w:spacing w:val="-57"/>
        </w:rPr>
        <w:t> </w:t>
      </w:r>
      <w:r>
        <w:rPr/>
        <w:t>15,777.5436</w:t>
      </w:r>
      <w:r>
        <w:rPr>
          <w:spacing w:val="-56"/>
        </w:rPr>
        <w:t> </w:t>
      </w:r>
      <w:r>
        <w:rPr/>
        <w:t>万股,</w:t>
      </w:r>
      <w:r>
        <w:rPr>
          <w:spacing w:val="-8"/>
        </w:rPr>
        <w:t> </w:t>
      </w:r>
      <w:r>
        <w:rPr/>
        <w:t>占公司总股本的</w:t>
      </w:r>
      <w:r>
        <w:rPr>
          <w:spacing w:val="-57"/>
        </w:rPr>
        <w:t> </w:t>
      </w:r>
      <w:r>
        <w:rPr/>
        <w:t>84.99%。公司股票于</w:t>
      </w:r>
      <w:r>
        <w:rPr>
          <w:spacing w:val="-57"/>
        </w:rPr>
        <w:t> </w:t>
      </w:r>
      <w:r>
        <w:rPr/>
        <w:t>2003</w:t>
      </w:r>
      <w:r>
        <w:rPr>
          <w:spacing w:val="-56"/>
        </w:rPr>
        <w:t> </w:t>
      </w:r>
      <w:r>
        <w:rPr/>
        <w:t>年</w:t>
      </w:r>
      <w:r>
        <w:rPr>
          <w:spacing w:val="-57"/>
        </w:rPr>
        <w:t> </w:t>
      </w:r>
      <w:r>
        <w:rPr/>
        <w:t>12</w:t>
      </w:r>
      <w:r>
        <w:rPr>
          <w:spacing w:val="-56"/>
        </w:rPr>
        <w:t> </w:t>
      </w:r>
      <w:r>
        <w:rPr/>
        <w:t>月</w:t>
      </w:r>
      <w:r>
        <w:rPr>
          <w:spacing w:val="-58"/>
        </w:rPr>
        <w:t> </w:t>
      </w:r>
      <w:r>
        <w:rPr/>
        <w:t>16</w:t>
      </w:r>
      <w:r>
        <w:rPr>
          <w:spacing w:val="-56"/>
        </w:rPr>
        <w:t> </w:t>
      </w:r>
      <w:r>
        <w:rPr/>
        <w:t>日</w:t>
      </w:r>
      <w:r>
        <w:rPr/>
        <w:t> 在上海证券交易所挂牌交易。</w:t>
      </w:r>
    </w:p>
    <w:p>
      <w:pPr>
        <w:pStyle w:val="BodyText"/>
        <w:spacing w:line="367" w:lineRule="auto" w:before="34"/>
        <w:ind w:right="112" w:firstLine="420"/>
        <w:jc w:val="both"/>
      </w:pPr>
      <w:r>
        <w:rPr>
          <w:spacing w:val="-2"/>
        </w:rPr>
        <w:t>本公司属计算机应用服务行业。公司经营范围：计算机软件的技术开发、咨询、服务、成</w:t>
      </w:r>
      <w:r>
        <w:rPr/>
        <w:t> </w:t>
      </w:r>
      <w:r>
        <w:rPr>
          <w:spacing w:val="-2"/>
        </w:rPr>
        <w:t>果转让；计算机系统集成；自动化控制工程设计、承包、安装；计算机及配件的销售；电子设</w:t>
      </w:r>
      <w:r>
        <w:rPr>
          <w:spacing w:val="-83"/>
        </w:rPr>
        <w:t> </w:t>
      </w:r>
      <w:r>
        <w:rPr>
          <w:spacing w:val="-83"/>
        </w:rPr>
      </w:r>
      <w:r>
        <w:rPr>
          <w:spacing w:val="-2"/>
        </w:rPr>
        <w:t>备、通讯设备、计算机硬件及外部设备的生产、销售，自有房屋的租赁；经营进出口业务（范</w:t>
      </w:r>
      <w:r>
        <w:rPr>
          <w:spacing w:val="-83"/>
        </w:rPr>
        <w:t> </w:t>
      </w:r>
      <w:r>
        <w:rPr>
          <w:spacing w:val="-83"/>
        </w:rPr>
      </w:r>
      <w:r>
        <w:rPr>
          <w:spacing w:val="-7"/>
        </w:rPr>
        <w:t>围详见《中华人民共和国进出口企业资格证书》）。主要产品或提供的劳务：证券、金融、交通</w:t>
      </w:r>
      <w:r>
        <w:rPr>
          <w:spacing w:val="-82"/>
        </w:rPr>
        <w:t> </w:t>
      </w:r>
      <w:r>
        <w:rPr>
          <w:spacing w:val="-82"/>
        </w:rPr>
      </w:r>
      <w:r>
        <w:rPr/>
        <w:t>等行业计算机软件产品和系统集成的开发和销售，计算机及配件的销售等。</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537" w:right="804" w:firstLine="0"/>
        <w:jc w:val="left"/>
        <w:rPr>
          <w:rFonts w:ascii="黑体" w:hAnsi="黑体" w:cs="黑体" w:eastAsia="黑体" w:hint="default"/>
          <w:sz w:val="21"/>
          <w:szCs w:val="21"/>
        </w:rPr>
      </w:pPr>
      <w:r>
        <w:rPr>
          <w:rFonts w:ascii="黑体" w:hAnsi="黑体" w:cs="黑体" w:eastAsia="黑体" w:hint="default"/>
          <w:b/>
          <w:bCs/>
          <w:sz w:val="21"/>
          <w:szCs w:val="21"/>
        </w:rPr>
        <w:t>二、财务报表的编制基准与方法</w:t>
      </w:r>
      <w:r>
        <w:rPr>
          <w:rFonts w:ascii="黑体" w:hAnsi="黑体" w:cs="黑体" w:eastAsia="黑体" w:hint="default"/>
          <w:sz w:val="21"/>
          <w:szCs w:val="21"/>
        </w:rPr>
      </w:r>
    </w:p>
    <w:p>
      <w:pPr>
        <w:pStyle w:val="BodyText"/>
        <w:spacing w:line="240" w:lineRule="auto"/>
        <w:ind w:left="537" w:right="0"/>
        <w:jc w:val="left"/>
      </w:pPr>
      <w:r>
        <w:rPr>
          <w:spacing w:val="-1"/>
        </w:rPr>
        <w:t>本公司</w:t>
      </w:r>
      <w:r>
        <w:rPr/>
        <w:t>自</w:t>
      </w:r>
      <w:r>
        <w:rPr>
          <w:spacing w:val="-48"/>
        </w:rPr>
        <w:t> </w:t>
      </w:r>
      <w:r>
        <w:rPr>
          <w:spacing w:val="-1"/>
        </w:rPr>
        <w:t>200</w:t>
      </w:r>
      <w:r>
        <w:rPr/>
        <w:t>7</w:t>
      </w:r>
      <w:r>
        <w:rPr>
          <w:spacing w:val="-47"/>
        </w:rPr>
        <w:t> </w:t>
      </w:r>
      <w:r>
        <w:rPr/>
        <w:t>年</w:t>
      </w:r>
      <w:r>
        <w:rPr>
          <w:spacing w:val="-49"/>
        </w:rPr>
        <w:t> </w:t>
      </w:r>
      <w:r>
        <w:rPr/>
        <w:t>1</w:t>
      </w:r>
      <w:r>
        <w:rPr>
          <w:spacing w:val="-48"/>
        </w:rPr>
        <w:t> </w:t>
      </w:r>
      <w:r>
        <w:rPr/>
        <w:t>月</w:t>
      </w:r>
      <w:r>
        <w:rPr>
          <w:spacing w:val="-49"/>
        </w:rPr>
        <w:t> </w:t>
      </w:r>
      <w:r>
        <w:rPr/>
        <w:t>1</w:t>
      </w:r>
      <w:r>
        <w:rPr>
          <w:spacing w:val="-48"/>
        </w:rPr>
        <w:t> </w:t>
      </w:r>
      <w:r>
        <w:rPr>
          <w:spacing w:val="-1"/>
        </w:rPr>
        <w:t>日起执行财政</w:t>
      </w:r>
      <w:r>
        <w:rPr/>
        <w:t>部</w:t>
      </w:r>
      <w:r>
        <w:rPr>
          <w:spacing w:val="-48"/>
        </w:rPr>
        <w:t> </w:t>
      </w:r>
      <w:r>
        <w:rPr>
          <w:spacing w:val="-1"/>
        </w:rPr>
        <w:t>200</w:t>
      </w:r>
      <w:r>
        <w:rPr/>
        <w:t>6</w:t>
      </w:r>
      <w:r>
        <w:rPr>
          <w:spacing w:val="-47"/>
        </w:rPr>
        <w:t> </w:t>
      </w:r>
      <w:r>
        <w:rPr/>
        <w:t>年</w:t>
      </w:r>
      <w:r>
        <w:rPr>
          <w:spacing w:val="-49"/>
        </w:rPr>
        <w:t> </w:t>
      </w:r>
      <w:r>
        <w:rPr/>
        <w:t>2</w:t>
      </w:r>
      <w:r>
        <w:rPr>
          <w:spacing w:val="-47"/>
        </w:rPr>
        <w:t> </w:t>
      </w:r>
      <w:r>
        <w:rPr>
          <w:spacing w:val="-1"/>
        </w:rPr>
        <w:t>月公布的</w:t>
      </w:r>
      <w:r>
        <w:rPr>
          <w:spacing w:val="-2"/>
        </w:rPr>
        <w:t>《</w:t>
      </w:r>
      <w:r>
        <w:rPr>
          <w:spacing w:val="-1"/>
        </w:rPr>
        <w:t>企业会计准则</w:t>
      </w:r>
      <w:r>
        <w:rPr>
          <w:spacing w:val="-104"/>
        </w:rPr>
        <w:t>》</w:t>
      </w:r>
      <w:r>
        <w:rPr/>
        <w:t>，即本</w:t>
      </w:r>
      <w:r>
        <w:rPr>
          <w:spacing w:val="-2"/>
        </w:rPr>
        <w:t>报</w:t>
      </w:r>
      <w:r>
        <w:rPr/>
        <w:t>告</w:t>
      </w:r>
    </w:p>
    <w:p>
      <w:pPr>
        <w:pStyle w:val="BodyText"/>
        <w:spacing w:line="367" w:lineRule="auto"/>
        <w:ind w:right="111"/>
        <w:jc w:val="both"/>
      </w:pPr>
      <w:r>
        <w:rPr/>
        <w:t>所载 2007</w:t>
      </w:r>
      <w:r>
        <w:rPr>
          <w:spacing w:val="-61"/>
        </w:rPr>
        <w:t> </w:t>
      </w:r>
      <w:r>
        <w:rPr/>
        <w:t>年度之财务信息按本财务报表附注三“公司采用的重要会计政策和会计估计”所列</w:t>
      </w:r>
      <w:r>
        <w:rPr/>
        <w:t> </w:t>
      </w:r>
      <w:r>
        <w:rPr>
          <w:spacing w:val="-2"/>
        </w:rPr>
        <w:t>各项会计政策和会计估计编制。根据中国证券监督管理委员会《公开发行证券的公司信息披露</w:t>
      </w:r>
      <w:r>
        <w:rPr>
          <w:spacing w:val="-85"/>
        </w:rPr>
        <w:t> </w:t>
      </w:r>
      <w:r>
        <w:rPr>
          <w:spacing w:val="-85"/>
        </w:rPr>
      </w:r>
      <w:r>
        <w:rPr>
          <w:spacing w:val="2"/>
        </w:rPr>
        <w:t>规范问答第</w:t>
      </w:r>
      <w:r>
        <w:rPr/>
        <w:t> 7</w:t>
      </w:r>
      <w:r>
        <w:rPr>
          <w:spacing w:val="13"/>
        </w:rPr>
        <w:t> </w:t>
      </w:r>
      <w:r>
        <w:rPr/>
        <w:t>号——新旧会计准则过渡期间比较财务会计信息的编制和披露》（证监会计字</w:t>
      </w:r>
    </w:p>
    <w:p>
      <w:pPr>
        <w:pStyle w:val="BodyText"/>
        <w:spacing w:line="367" w:lineRule="auto" w:before="34"/>
        <w:ind w:right="112"/>
        <w:jc w:val="both"/>
      </w:pPr>
      <w:r>
        <w:rPr>
          <w:spacing w:val="-1"/>
        </w:rPr>
        <w:t>〔2007〕10</w:t>
      </w:r>
      <w:r>
        <w:rPr/>
        <w:t> </w:t>
      </w:r>
      <w:r>
        <w:rPr>
          <w:spacing w:val="-3"/>
        </w:rPr>
        <w:t>号），本报告所载比较数据系按照中国证券监督管理委员会证监发〔2006〕136</w:t>
      </w:r>
      <w:r>
        <w:rPr>
          <w:spacing w:val="-50"/>
        </w:rPr>
        <w:t> </w:t>
      </w:r>
      <w:r>
        <w:rPr/>
        <w:t>号</w:t>
      </w:r>
      <w:r>
        <w:rPr/>
        <w:t> 文规定的原则确定</w:t>
      </w:r>
      <w:r>
        <w:rPr>
          <w:spacing w:val="-45"/>
        </w:rPr>
        <w:t> </w:t>
      </w:r>
      <w:r>
        <w:rPr/>
        <w:t>2007</w:t>
      </w:r>
      <w:r>
        <w:rPr>
          <w:spacing w:val="-46"/>
        </w:rPr>
        <w:t> </w:t>
      </w:r>
      <w:r>
        <w:rPr/>
        <w:t>年</w:t>
      </w:r>
      <w:r>
        <w:rPr>
          <w:spacing w:val="-45"/>
        </w:rPr>
        <w:t> </w:t>
      </w:r>
      <w:r>
        <w:rPr/>
        <w:t>1</w:t>
      </w:r>
      <w:r>
        <w:rPr>
          <w:spacing w:val="-45"/>
        </w:rPr>
        <w:t> </w:t>
      </w:r>
      <w:r>
        <w:rPr/>
        <w:t>月</w:t>
      </w:r>
      <w:r>
        <w:rPr>
          <w:spacing w:val="-45"/>
        </w:rPr>
        <w:t> </w:t>
      </w:r>
      <w:r>
        <w:rPr/>
        <w:t>1</w:t>
      </w:r>
      <w:r>
        <w:rPr>
          <w:spacing w:val="-45"/>
        </w:rPr>
        <w:t> </w:t>
      </w:r>
      <w:r>
        <w:rPr/>
        <w:t>日的资产负债表期初数，并以此为基础，根据《企业会计准</w:t>
      </w:r>
    </w:p>
    <w:p>
      <w:pPr>
        <w:pStyle w:val="BodyText"/>
        <w:spacing w:line="367" w:lineRule="auto" w:before="34"/>
        <w:ind w:right="131"/>
        <w:jc w:val="both"/>
      </w:pPr>
      <w:r>
        <w:rPr>
          <w:spacing w:val="-1"/>
        </w:rPr>
        <w:t>则第</w:t>
      </w:r>
      <w:r>
        <w:rPr>
          <w:spacing w:val="-47"/>
        </w:rPr>
        <w:t> </w:t>
      </w:r>
      <w:r>
        <w:rPr>
          <w:spacing w:val="-1"/>
        </w:rPr>
        <w:t>38</w:t>
      </w:r>
      <w:r>
        <w:rPr>
          <w:spacing w:val="-46"/>
        </w:rPr>
        <w:t> </w:t>
      </w:r>
      <w:r>
        <w:rPr>
          <w:spacing w:val="-3"/>
        </w:rPr>
        <w:t>号——首次执行企业会计准则》第五条至第十九条和《企业会计准则解释第</w:t>
      </w:r>
      <w:r>
        <w:rPr>
          <w:spacing w:val="-47"/>
        </w:rPr>
        <w:t> </w:t>
      </w:r>
      <w:r>
        <w:rPr/>
        <w:t>1</w:t>
      </w:r>
      <w:r>
        <w:rPr>
          <w:spacing w:val="-46"/>
        </w:rPr>
        <w:t> </w:t>
      </w:r>
      <w:r>
        <w:rPr>
          <w:spacing w:val="-37"/>
        </w:rPr>
        <w:t>号》，按</w:t>
      </w:r>
      <w:r>
        <w:rPr>
          <w:spacing w:val="-100"/>
        </w:rPr>
        <w:t> </w:t>
      </w:r>
      <w:r>
        <w:rPr>
          <w:spacing w:val="-100"/>
        </w:rPr>
      </w:r>
      <w:r>
        <w:rPr/>
        <w:t>照追溯调整的原则，编制可比资产负债表和可比利润表。</w:t>
      </w:r>
    </w:p>
    <w:p>
      <w:pPr>
        <w:spacing w:after="0" w:line="367" w:lineRule="auto"/>
        <w:jc w:val="both"/>
        <w:sectPr>
          <w:type w:val="continuous"/>
          <w:pgSz w:w="11910" w:h="16840"/>
          <w:pgMar w:top="1500" w:bottom="900" w:left="1680" w:right="1440"/>
        </w:sectPr>
      </w:pPr>
    </w:p>
    <w:p>
      <w:pPr>
        <w:spacing w:before="13"/>
        <w:ind w:left="537" w:right="95" w:firstLine="0"/>
        <w:jc w:val="left"/>
        <w:rPr>
          <w:rFonts w:ascii="黑体" w:hAnsi="黑体" w:cs="黑体" w:eastAsia="黑体" w:hint="default"/>
          <w:sz w:val="21"/>
          <w:szCs w:val="21"/>
        </w:rPr>
      </w:pPr>
      <w:r>
        <w:rPr>
          <w:rFonts w:ascii="黑体" w:hAnsi="黑体" w:cs="黑体" w:eastAsia="黑体" w:hint="default"/>
          <w:b/>
          <w:bCs/>
          <w:sz w:val="21"/>
          <w:szCs w:val="21"/>
        </w:rPr>
        <w:t>三、公司采用的重要会计政策和会计估计</w:t>
      </w:r>
      <w:r>
        <w:rPr>
          <w:rFonts w:ascii="黑体" w:hAnsi="黑体" w:cs="黑体" w:eastAsia="黑体" w:hint="default"/>
          <w:sz w:val="21"/>
          <w:szCs w:val="21"/>
        </w:rPr>
      </w:r>
    </w:p>
    <w:p>
      <w:pPr>
        <w:pStyle w:val="BodyText"/>
        <w:spacing w:line="367" w:lineRule="auto"/>
        <w:ind w:left="537" w:right="137"/>
        <w:jc w:val="left"/>
      </w:pPr>
      <w:r>
        <w:rPr/>
        <w:t>(一)</w:t>
      </w:r>
      <w:r>
        <w:rPr>
          <w:spacing w:val="-1"/>
        </w:rPr>
        <w:t> </w:t>
      </w:r>
      <w:r>
        <w:rPr/>
        <w:t>遵循企业会计准则的声明</w:t>
      </w:r>
      <w:r>
        <w:rPr/>
        <w:t> 本公司编制的财务报表符合企业会计准则的要求，真实、完整地反映了企业的财务状况、</w:t>
      </w:r>
    </w:p>
    <w:p>
      <w:pPr>
        <w:pStyle w:val="BodyText"/>
        <w:spacing w:line="367" w:lineRule="auto" w:before="34"/>
        <w:ind w:left="537" w:right="5597" w:hanging="420"/>
        <w:jc w:val="left"/>
      </w:pPr>
      <w:r>
        <w:rPr/>
        <w:t>经营成果和现金流量等有关信息。 (二)</w:t>
      </w:r>
      <w:r>
        <w:rPr>
          <w:spacing w:val="-2"/>
        </w:rPr>
        <w:t> </w:t>
      </w:r>
      <w:r>
        <w:rPr/>
        <w:t>财务报表的编制基础</w:t>
      </w:r>
    </w:p>
    <w:p>
      <w:pPr>
        <w:pStyle w:val="BodyText"/>
        <w:spacing w:line="367" w:lineRule="auto" w:before="34"/>
        <w:ind w:left="537" w:right="4547"/>
        <w:jc w:val="left"/>
      </w:pPr>
      <w:r>
        <w:rPr/>
        <w:t>本公司财务报表以持续经营为编制基础。 (三)</w:t>
      </w:r>
      <w:r>
        <w:rPr>
          <w:spacing w:val="-2"/>
        </w:rPr>
        <w:t> </w:t>
      </w:r>
      <w:r>
        <w:rPr/>
        <w:t>会计期间</w:t>
      </w:r>
    </w:p>
    <w:p>
      <w:pPr>
        <w:pStyle w:val="BodyText"/>
        <w:spacing w:line="367" w:lineRule="auto" w:before="34"/>
        <w:ind w:left="537" w:right="4130"/>
        <w:jc w:val="left"/>
      </w:pPr>
      <w:r>
        <w:rPr/>
        <w:t>会计年度自公历</w:t>
      </w:r>
      <w:r>
        <w:rPr>
          <w:spacing w:val="-53"/>
        </w:rPr>
        <w:t> </w:t>
      </w:r>
      <w:r>
        <w:rPr/>
        <w:t>1</w:t>
      </w:r>
      <w:r>
        <w:rPr>
          <w:spacing w:val="-52"/>
        </w:rPr>
        <w:t> </w:t>
      </w:r>
      <w:r>
        <w:rPr/>
        <w:t>月</w:t>
      </w:r>
      <w:r>
        <w:rPr>
          <w:spacing w:val="-54"/>
        </w:rPr>
        <w:t> </w:t>
      </w:r>
      <w:r>
        <w:rPr/>
        <w:t>1</w:t>
      </w:r>
      <w:r>
        <w:rPr>
          <w:spacing w:val="-53"/>
        </w:rPr>
        <w:t> </w:t>
      </w:r>
      <w:r>
        <w:rPr/>
        <w:t>日起至</w:t>
      </w:r>
      <w:r>
        <w:rPr>
          <w:spacing w:val="-53"/>
        </w:rPr>
        <w:t> </w:t>
      </w:r>
      <w:r>
        <w:rPr/>
        <w:t>12</w:t>
      </w:r>
      <w:r>
        <w:rPr>
          <w:spacing w:val="-52"/>
        </w:rPr>
        <w:t> </w:t>
      </w:r>
      <w:r>
        <w:rPr/>
        <w:t>月</w:t>
      </w:r>
      <w:r>
        <w:rPr>
          <w:spacing w:val="-54"/>
        </w:rPr>
        <w:t> </w:t>
      </w:r>
      <w:r>
        <w:rPr/>
        <w:t>31</w:t>
      </w:r>
      <w:r>
        <w:rPr>
          <w:spacing w:val="-52"/>
        </w:rPr>
        <w:t> </w:t>
      </w:r>
      <w:r>
        <w:rPr/>
        <w:t>日止。</w:t>
      </w:r>
      <w:r>
        <w:rPr/>
        <w:t> (四)</w:t>
      </w:r>
      <w:r>
        <w:rPr>
          <w:spacing w:val="-2"/>
        </w:rPr>
        <w:t> </w:t>
      </w:r>
      <w:r>
        <w:rPr/>
        <w:t>记账本位币</w:t>
      </w:r>
    </w:p>
    <w:p>
      <w:pPr>
        <w:pStyle w:val="BodyText"/>
        <w:spacing w:line="367" w:lineRule="auto" w:before="34"/>
        <w:ind w:left="537" w:right="5807"/>
        <w:jc w:val="left"/>
      </w:pPr>
      <w:r>
        <w:rPr/>
        <w:t>采用人民币为记账本位币。 (五)</w:t>
      </w:r>
      <w:r>
        <w:rPr>
          <w:spacing w:val="-2"/>
        </w:rPr>
        <w:t> </w:t>
      </w:r>
      <w:r>
        <w:rPr/>
        <w:t>会计计量属性</w:t>
      </w:r>
    </w:p>
    <w:p>
      <w:pPr>
        <w:pStyle w:val="BodyText"/>
        <w:spacing w:line="367" w:lineRule="auto" w:before="34"/>
        <w:ind w:right="95" w:firstLine="420"/>
        <w:jc w:val="left"/>
      </w:pPr>
      <w:r>
        <w:rPr/>
        <w:t>财务报表项目以历史成本计量为主。以公允价值计量且其变动记入当期损益的金融资产和 金融负债、可供出售金融资产、衍生金融工具等以公允价值计量；采购时超过正常信用条件延 </w:t>
      </w:r>
      <w:r>
        <w:rPr>
          <w:spacing w:val="-4"/>
        </w:rPr>
        <w:t>期支付的存货、固定资产等，以购买价款的现值计量；发生减值损失的存货以可变现净值计量，</w:t>
      </w:r>
      <w:r>
        <w:rPr/>
        <w:t> 其他减值资产按可收回金额（公允价值与现值孰高）计量；盘盈资产等按重置成本计量。</w:t>
      </w:r>
    </w:p>
    <w:p>
      <w:pPr>
        <w:pStyle w:val="BodyText"/>
        <w:spacing w:line="240" w:lineRule="auto" w:before="34"/>
        <w:ind w:left="537" w:right="95"/>
        <w:jc w:val="left"/>
      </w:pPr>
      <w:r>
        <w:rPr/>
        <w:t>(六)</w:t>
      </w:r>
      <w:r>
        <w:rPr>
          <w:spacing w:val="-2"/>
        </w:rPr>
        <w:t> </w:t>
      </w:r>
      <w:r>
        <w:rPr/>
        <w:t>现金等价物的确定标准</w:t>
      </w:r>
    </w:p>
    <w:p>
      <w:pPr>
        <w:pStyle w:val="BodyText"/>
        <w:spacing w:line="367" w:lineRule="auto"/>
        <w:ind w:right="201" w:firstLine="420"/>
        <w:jc w:val="left"/>
      </w:pPr>
      <w:r>
        <w:rPr/>
        <w:t>现金等价物是指企业持有的期限短（一般是指从购买日起</w:t>
      </w:r>
      <w:r>
        <w:rPr>
          <w:spacing w:val="-59"/>
        </w:rPr>
        <w:t> </w:t>
      </w:r>
      <w:r>
        <w:rPr/>
        <w:t>3</w:t>
      </w:r>
      <w:r>
        <w:rPr>
          <w:spacing w:val="-58"/>
        </w:rPr>
        <w:t> </w:t>
      </w:r>
      <w:r>
        <w:rPr>
          <w:spacing w:val="-4"/>
        </w:rPr>
        <w:t>个月内到期）、流动性强、易</w:t>
      </w:r>
      <w:r>
        <w:rPr/>
        <w:t> 于转换为已知金额现金、价值变动风险很小的投资。</w:t>
      </w:r>
    </w:p>
    <w:p>
      <w:pPr>
        <w:pStyle w:val="BodyText"/>
        <w:spacing w:line="367" w:lineRule="auto" w:before="34"/>
        <w:ind w:left="537" w:right="95"/>
        <w:jc w:val="left"/>
      </w:pPr>
      <w:r>
        <w:rPr/>
        <w:t>(七)</w:t>
      </w:r>
      <w:r>
        <w:rPr>
          <w:spacing w:val="-1"/>
        </w:rPr>
        <w:t> </w:t>
      </w:r>
      <w:r>
        <w:rPr/>
        <w:t>外币折算</w:t>
      </w:r>
      <w:r>
        <w:rPr/>
        <w:t> </w:t>
      </w:r>
      <w:r>
        <w:rPr>
          <w:spacing w:val="-2"/>
        </w:rPr>
        <w:t>对发生的外币业务，采用交易发生日的即期汇率折合人民币记账。对各种外币账户的外币</w:t>
      </w:r>
    </w:p>
    <w:p>
      <w:pPr>
        <w:pStyle w:val="BodyText"/>
        <w:spacing w:line="367" w:lineRule="auto" w:before="34"/>
        <w:ind w:right="212"/>
        <w:jc w:val="both"/>
      </w:pPr>
      <w:r>
        <w:rPr>
          <w:spacing w:val="-2"/>
        </w:rPr>
        <w:t>期末余额，外币货币性项目按资产负债表日即期汇率折算，发生的差额计入当期损益；以历史</w:t>
      </w:r>
      <w:r>
        <w:rPr>
          <w:spacing w:val="-83"/>
        </w:rPr>
        <w:t> </w:t>
      </w:r>
      <w:r>
        <w:rPr>
          <w:spacing w:val="-83"/>
        </w:rPr>
      </w:r>
      <w:r>
        <w:rPr>
          <w:spacing w:val="-2"/>
        </w:rPr>
        <w:t>成本计量的外币非货币性项目仍采用交易发生日的即期汇率折算；以公允价值计量的外币非货</w:t>
      </w:r>
      <w:r>
        <w:rPr>
          <w:spacing w:val="-82"/>
        </w:rPr>
        <w:t> </w:t>
      </w:r>
      <w:r>
        <w:rPr>
          <w:spacing w:val="-82"/>
        </w:rPr>
      </w:r>
      <w:r>
        <w:rPr/>
        <w:t>币性项目，采用公允价值确定日的即期汇率折算，差额作为公允价值变动损益。</w:t>
      </w:r>
    </w:p>
    <w:p>
      <w:pPr>
        <w:pStyle w:val="BodyText"/>
        <w:spacing w:line="367" w:lineRule="auto" w:before="34"/>
        <w:ind w:left="537" w:right="95"/>
        <w:jc w:val="left"/>
      </w:pPr>
      <w:r>
        <w:rPr/>
        <w:t>外币财务报表的折算遵循下列原则： 1．资产负债表中的资产和负债项目，采用资产负债表日的即期汇率折算；所有者权益项</w:t>
      </w:r>
    </w:p>
    <w:p>
      <w:pPr>
        <w:pStyle w:val="BodyText"/>
        <w:spacing w:line="367" w:lineRule="auto" w:before="34"/>
        <w:ind w:left="537" w:right="2132" w:hanging="420"/>
        <w:jc w:val="left"/>
      </w:pPr>
      <w:r>
        <w:rPr/>
        <w:t>目除“未分配利润”项目外，其他项目采用发生时的即期汇率折算； 2．利润表中的收入和费用项目，采用交易发生日的即期汇率折算；</w:t>
      </w:r>
    </w:p>
    <w:p>
      <w:pPr>
        <w:pStyle w:val="BodyText"/>
        <w:spacing w:line="367" w:lineRule="auto" w:before="34"/>
        <w:ind w:right="95" w:firstLine="420"/>
        <w:jc w:val="left"/>
      </w:pPr>
      <w:r>
        <w:rPr/>
        <w:t>3．按照上述折算产生的外币财务报表折算差额，在资产负债表中所有者权益项目下单独</w:t>
      </w:r>
      <w:r>
        <w:rPr>
          <w:spacing w:val="1"/>
        </w:rPr>
        <w:t> </w:t>
      </w:r>
      <w:r>
        <w:rPr/>
        <w:t>列示；</w:t>
      </w:r>
    </w:p>
    <w:p>
      <w:pPr>
        <w:pStyle w:val="BodyText"/>
        <w:spacing w:line="367" w:lineRule="auto" w:before="34"/>
        <w:ind w:right="95" w:firstLine="420"/>
        <w:jc w:val="left"/>
      </w:pPr>
      <w:r>
        <w:rPr/>
        <w:t>4．现金流量表采用现金流量发生日的即期汇率折算。汇率变动对现金的影响额作为调节</w:t>
      </w:r>
      <w:r>
        <w:rPr>
          <w:spacing w:val="1"/>
        </w:rPr>
        <w:t> </w:t>
      </w:r>
      <w:r>
        <w:rPr/>
        <w:t>项目，在现金流量表中单独列示。</w:t>
      </w:r>
    </w:p>
    <w:p>
      <w:pPr>
        <w:pStyle w:val="BodyText"/>
        <w:spacing w:line="367" w:lineRule="auto" w:before="34"/>
        <w:ind w:left="537" w:right="5492"/>
        <w:jc w:val="left"/>
      </w:pPr>
      <w:r>
        <w:rPr/>
        <w:t>(八)</w:t>
      </w:r>
      <w:r>
        <w:rPr>
          <w:spacing w:val="-1"/>
        </w:rPr>
        <w:t> </w:t>
      </w:r>
      <w:r>
        <w:rPr/>
        <w:t>金融工具的确认和计量</w:t>
      </w:r>
      <w:r>
        <w:rPr/>
        <w:t> 1．金融资产和金融负债的分类</w:t>
      </w:r>
    </w:p>
    <w:p>
      <w:pPr>
        <w:spacing w:after="0" w:line="367" w:lineRule="auto"/>
        <w:jc w:val="left"/>
        <w:sectPr>
          <w:pgSz w:w="11910" w:h="16840"/>
          <w:pgMar w:header="0" w:footer="1243" w:top="1540" w:bottom="1440" w:left="1680" w:right="1340"/>
        </w:sectPr>
      </w:pPr>
    </w:p>
    <w:p>
      <w:pPr>
        <w:pStyle w:val="BodyText"/>
        <w:spacing w:line="367" w:lineRule="auto" w:before="13"/>
        <w:ind w:right="112" w:firstLine="420"/>
        <w:jc w:val="both"/>
      </w:pPr>
      <w:r>
        <w:rPr>
          <w:spacing w:val="-2"/>
        </w:rPr>
        <w:t>金融资产在初始确认时划分为以下四类：以公允价值计量且其变动计入当期损益的金融资</w:t>
      </w:r>
      <w:r>
        <w:rPr/>
        <w:t> </w:t>
      </w:r>
      <w:r>
        <w:rPr>
          <w:spacing w:val="-2"/>
        </w:rPr>
        <w:t>产（包括交易性金融资产和指定为以公允价值计量且其变动计入当期损益的金融资产）、持有</w:t>
      </w:r>
      <w:r>
        <w:rPr>
          <w:spacing w:val="-83"/>
        </w:rPr>
        <w:t> </w:t>
      </w:r>
      <w:r>
        <w:rPr>
          <w:spacing w:val="-83"/>
        </w:rPr>
      </w:r>
      <w:r>
        <w:rPr/>
        <w:t>至到期投资、贷款和应收款项、可供出售金融资产。</w:t>
      </w:r>
    </w:p>
    <w:p>
      <w:pPr>
        <w:pStyle w:val="BodyText"/>
        <w:spacing w:line="367" w:lineRule="auto" w:before="34"/>
        <w:ind w:right="112" w:firstLine="420"/>
        <w:jc w:val="both"/>
      </w:pPr>
      <w:r>
        <w:rPr>
          <w:spacing w:val="-2"/>
        </w:rPr>
        <w:t>金融负债在初始确认时划分为以下两类：以公允价值计量且其变动计入当期损益的金融负</w:t>
      </w:r>
      <w:r>
        <w:rPr/>
        <w:t> </w:t>
      </w:r>
      <w:r>
        <w:rPr>
          <w:spacing w:val="-2"/>
        </w:rPr>
        <w:t>债（包括交易性金融负债和指定为以公允价值计量且其变动计入当期损益的金融负债）、其他</w:t>
      </w:r>
      <w:r>
        <w:rPr>
          <w:spacing w:val="-83"/>
        </w:rPr>
        <w:t> </w:t>
      </w:r>
      <w:r>
        <w:rPr>
          <w:spacing w:val="-83"/>
        </w:rPr>
      </w:r>
      <w:r>
        <w:rPr/>
        <w:t>金融负债。</w:t>
      </w:r>
    </w:p>
    <w:p>
      <w:pPr>
        <w:pStyle w:val="BodyText"/>
        <w:spacing w:line="367" w:lineRule="auto" w:before="34"/>
        <w:ind w:left="537" w:right="0"/>
        <w:jc w:val="left"/>
      </w:pPr>
      <w:r>
        <w:rPr/>
        <w:t>2．金融资产和金融负债的确认依据和计量方法 </w:t>
      </w:r>
      <w:r>
        <w:rPr>
          <w:spacing w:val="-2"/>
        </w:rPr>
        <w:t>公司成为金融工具合同的一方时，确认一项金融资产或金融负债。初始确认金融资产或金</w:t>
      </w:r>
    </w:p>
    <w:p>
      <w:pPr>
        <w:pStyle w:val="BodyText"/>
        <w:spacing w:line="367" w:lineRule="auto" w:before="34"/>
        <w:ind w:right="112"/>
        <w:jc w:val="both"/>
      </w:pPr>
      <w:r>
        <w:rPr>
          <w:spacing w:val="-2"/>
        </w:rPr>
        <w:t>融负债时，按照公允价值计量；对于以公允价值计量且其变动计入当期损益的金融资产和金融</w:t>
      </w:r>
      <w:r>
        <w:rPr>
          <w:spacing w:val="-85"/>
        </w:rPr>
        <w:t> </w:t>
      </w:r>
      <w:r>
        <w:rPr>
          <w:spacing w:val="-85"/>
        </w:rPr>
      </w:r>
      <w:r>
        <w:rPr>
          <w:spacing w:val="-2"/>
        </w:rPr>
        <w:t>负债，相关交易费用直接计入当期损益；对于其他类别的金融资产或金融负债，相关交易费用</w:t>
      </w:r>
      <w:r>
        <w:rPr>
          <w:spacing w:val="-83"/>
        </w:rPr>
        <w:t> </w:t>
      </w:r>
      <w:r>
        <w:rPr>
          <w:spacing w:val="-83"/>
        </w:rPr>
      </w:r>
      <w:r>
        <w:rPr/>
        <w:t>计入初始确认金额。</w:t>
      </w:r>
    </w:p>
    <w:p>
      <w:pPr>
        <w:pStyle w:val="BodyText"/>
        <w:spacing w:line="367" w:lineRule="auto" w:before="34"/>
        <w:ind w:right="112" w:firstLine="420"/>
        <w:jc w:val="both"/>
      </w:pPr>
      <w:r>
        <w:rPr>
          <w:spacing w:val="-2"/>
        </w:rPr>
        <w:t>公司按照公允价值对金融资产进行后续计量，且不扣除将来处置该金融资产时可能发生的</w:t>
      </w:r>
      <w:r>
        <w:rPr/>
        <w:t> </w:t>
      </w:r>
      <w:r>
        <w:rPr>
          <w:spacing w:val="-3"/>
        </w:rPr>
        <w:t>交易费用，但下列情况除外：(1)</w:t>
      </w:r>
      <w:r>
        <w:rPr>
          <w:spacing w:val="-11"/>
        </w:rPr>
        <w:t> </w:t>
      </w:r>
      <w:r>
        <w:rPr/>
        <w:t>持有至到期投资以及贷款和应收款项采用实际利率法，按摊</w:t>
      </w:r>
      <w:r>
        <w:rPr/>
        <w:t> </w:t>
      </w:r>
      <w:r>
        <w:rPr>
          <w:spacing w:val="-4"/>
        </w:rPr>
        <w:t>余成本计量；(2)</w:t>
      </w:r>
      <w:r>
        <w:rPr>
          <w:spacing w:val="-24"/>
        </w:rPr>
        <w:t> </w:t>
      </w:r>
      <w:r>
        <w:rPr/>
        <w:t>在活跃市场中没有报价且其公允价值不能可靠计量的权益工具投资，以及与</w:t>
      </w:r>
      <w:r>
        <w:rPr/>
        <w:t> 该权益工具挂钩并须通过交付该权益工具结算的衍生金融资产，按照成本计量。</w:t>
      </w:r>
    </w:p>
    <w:p>
      <w:pPr>
        <w:pStyle w:val="BodyText"/>
        <w:spacing w:line="367" w:lineRule="auto" w:before="34"/>
        <w:ind w:right="112" w:firstLine="420"/>
        <w:jc w:val="both"/>
      </w:pPr>
      <w:r>
        <w:rPr/>
        <w:t>公司采用实际利率法，按摊余成本对金融负债进行后续计量，但下列情况除外：(1)</w:t>
      </w:r>
      <w:r>
        <w:rPr>
          <w:spacing w:val="-55"/>
        </w:rPr>
        <w:t> </w:t>
      </w:r>
      <w:r>
        <w:rPr/>
        <w:t>以公</w:t>
      </w:r>
      <w:r>
        <w:rPr/>
        <w:t> </w:t>
      </w:r>
      <w:r>
        <w:rPr>
          <w:spacing w:val="-2"/>
        </w:rPr>
        <w:t>允价值计量且其变动计入当期损益的金融负债，按照公允价值计量，且不扣除将来结清金融负</w:t>
      </w:r>
      <w:r>
        <w:rPr>
          <w:spacing w:val="-85"/>
        </w:rPr>
        <w:t> </w:t>
      </w:r>
      <w:r>
        <w:rPr>
          <w:spacing w:val="-85"/>
        </w:rPr>
      </w:r>
      <w:r>
        <w:rPr/>
        <w:t>债时可能发生的交易费用；(2)</w:t>
      </w:r>
      <w:r>
        <w:rPr>
          <w:spacing w:val="-56"/>
        </w:rPr>
        <w:t> </w:t>
      </w:r>
      <w:r>
        <w:rPr/>
        <w:t>与在活跃市场中没有报价、公允价值不能可靠计量的权益工具</w:t>
      </w:r>
      <w:r>
        <w:rPr/>
        <w:t> 挂钩并须通过交付该权益工具结算的衍生金融负债，按照成本计量；(3)</w:t>
      </w:r>
      <w:r>
        <w:rPr>
          <w:spacing w:val="-56"/>
        </w:rPr>
        <w:t> </w:t>
      </w:r>
      <w:r>
        <w:rPr/>
        <w:t>不属于指定为以公允</w:t>
      </w:r>
      <w:r>
        <w:rPr/>
        <w:t> </w:t>
      </w:r>
      <w:r>
        <w:rPr>
          <w:spacing w:val="-2"/>
        </w:rPr>
        <w:t>价值计量且其变动计入当期损益的金融负债的财务担保合同，或没有指定为以公允价值计量且</w:t>
      </w:r>
      <w:r>
        <w:rPr>
          <w:spacing w:val="-82"/>
        </w:rPr>
        <w:t> </w:t>
      </w:r>
      <w:r>
        <w:rPr>
          <w:spacing w:val="-82"/>
        </w:rPr>
      </w:r>
      <w:r>
        <w:rPr>
          <w:spacing w:val="-2"/>
        </w:rPr>
        <w:t>其变动计入当期损益并将以低于市场利率贷款的贷款承诺，按照履行相关现时义务所需支出的</w:t>
      </w:r>
      <w:r>
        <w:rPr>
          <w:spacing w:val="-82"/>
        </w:rPr>
        <w:t> </w:t>
      </w:r>
      <w:r>
        <w:rPr>
          <w:spacing w:val="-82"/>
        </w:rPr>
      </w:r>
      <w:r>
        <w:rPr>
          <w:spacing w:val="3"/>
        </w:rPr>
        <w:t>最佳估计数与初始确认金额扣除按照实际利率法摊销的累计摊销额后的余额两项金额之中的</w:t>
      </w:r>
      <w:r>
        <w:rPr>
          <w:spacing w:val="-99"/>
        </w:rPr>
        <w:t> </w:t>
      </w:r>
      <w:r>
        <w:rPr>
          <w:spacing w:val="-99"/>
        </w:rPr>
      </w:r>
      <w:r>
        <w:rPr/>
        <w:t>较高者进行后续计量。</w:t>
      </w:r>
    </w:p>
    <w:p>
      <w:pPr>
        <w:pStyle w:val="BodyText"/>
        <w:spacing w:line="367" w:lineRule="auto" w:before="34"/>
        <w:ind w:left="537" w:right="0"/>
        <w:jc w:val="left"/>
      </w:pPr>
      <w:r>
        <w:rPr/>
        <w:t>3．金融资产转移的确认依据和计量方法 </w:t>
      </w:r>
      <w:r>
        <w:rPr>
          <w:spacing w:val="-2"/>
        </w:rPr>
        <w:t>公司已将金融资产所有权上几乎所有的风险和报酬转移给了转入方的，终止确认该金融资</w:t>
      </w:r>
    </w:p>
    <w:p>
      <w:pPr>
        <w:pStyle w:val="BodyText"/>
        <w:spacing w:line="367" w:lineRule="auto" w:before="34"/>
        <w:ind w:right="112"/>
        <w:jc w:val="both"/>
      </w:pPr>
      <w:r>
        <w:rPr>
          <w:spacing w:val="-2"/>
        </w:rPr>
        <w:t>产；保留了金融资产所有权上几乎所有的风险和报酬的，继续确认所转移的金融资产，并将收</w:t>
      </w:r>
      <w:r>
        <w:rPr>
          <w:spacing w:val="-83"/>
        </w:rPr>
        <w:t> </w:t>
      </w:r>
      <w:r>
        <w:rPr>
          <w:spacing w:val="-83"/>
        </w:rPr>
      </w:r>
      <w:r>
        <w:rPr>
          <w:spacing w:val="-2"/>
        </w:rPr>
        <w:t>到的对价确认为一项金融负债。公司既没有转移也没有保留金融资产所有权上几乎所有的风险</w:t>
      </w:r>
      <w:r>
        <w:rPr>
          <w:spacing w:val="-82"/>
        </w:rPr>
        <w:t> </w:t>
      </w:r>
      <w:r>
        <w:rPr>
          <w:spacing w:val="-82"/>
        </w:rPr>
      </w:r>
      <w:r>
        <w:rPr>
          <w:spacing w:val="-8"/>
        </w:rPr>
        <w:t>和报酬的，分别下列情况处理：(1) </w:t>
      </w:r>
      <w:r>
        <w:rPr>
          <w:spacing w:val="-6"/>
        </w:rPr>
        <w:t>放弃了对该金融资产控制的，终止确认该金融资产；(2)</w:t>
      </w:r>
      <w:r>
        <w:rPr>
          <w:spacing w:val="24"/>
        </w:rPr>
        <w:t> </w:t>
      </w:r>
      <w:r>
        <w:rPr/>
        <w:t>未</w:t>
      </w:r>
      <w:r>
        <w:rPr/>
        <w:t> </w:t>
      </w:r>
      <w:r>
        <w:rPr>
          <w:spacing w:val="-2"/>
        </w:rPr>
        <w:t>放弃对该金融资产控制的，按照继续涉入所转移金融资产的程度确认有关金融资产，并相应确</w:t>
      </w:r>
      <w:r>
        <w:rPr>
          <w:spacing w:val="-85"/>
        </w:rPr>
        <w:t> </w:t>
      </w:r>
      <w:r>
        <w:rPr>
          <w:spacing w:val="-85"/>
        </w:rPr>
      </w:r>
      <w:r>
        <w:rPr/>
        <w:t>认有关负债。</w:t>
      </w:r>
    </w:p>
    <w:p>
      <w:pPr>
        <w:pStyle w:val="BodyText"/>
        <w:spacing w:line="367" w:lineRule="auto" w:before="34"/>
        <w:ind w:right="112" w:firstLine="420"/>
        <w:jc w:val="both"/>
      </w:pPr>
      <w:r>
        <w:rPr/>
        <w:t>金融资产整体转移满足终止确认条件的，将下列两项金额的差额计入当期损益：(1)</w:t>
      </w:r>
      <w:r>
        <w:rPr>
          <w:spacing w:val="-55"/>
        </w:rPr>
        <w:t> </w:t>
      </w:r>
      <w:r>
        <w:rPr/>
        <w:t>所转</w:t>
      </w:r>
      <w:r>
        <w:rPr/>
        <w:t> </w:t>
      </w:r>
      <w:r>
        <w:rPr>
          <w:spacing w:val="-3"/>
        </w:rPr>
        <w:t>移金融资产的账面价值；(2)</w:t>
      </w:r>
      <w:r>
        <w:rPr>
          <w:spacing w:val="-18"/>
        </w:rPr>
        <w:t> </w:t>
      </w:r>
      <w:r>
        <w:rPr/>
        <w:t>因转移而收到的对价，与原直接计入所有者权益的公允价值变动</w:t>
      </w:r>
      <w:r>
        <w:rPr/>
        <w:t> </w:t>
      </w:r>
      <w:r>
        <w:rPr>
          <w:spacing w:val="-2"/>
        </w:rPr>
        <w:t>累计额之和。金融资产部分转移满足终止确认条件的，将所转移金融资产整体的账面价值，在</w:t>
      </w:r>
    </w:p>
    <w:p>
      <w:pPr>
        <w:spacing w:after="0" w:line="367" w:lineRule="auto"/>
        <w:jc w:val="both"/>
        <w:sectPr>
          <w:pgSz w:w="11910" w:h="16840"/>
          <w:pgMar w:header="0" w:footer="1243" w:top="1540" w:bottom="1440" w:left="1680" w:right="1440"/>
        </w:sectPr>
      </w:pPr>
    </w:p>
    <w:p>
      <w:pPr>
        <w:pStyle w:val="BodyText"/>
        <w:spacing w:line="367" w:lineRule="auto" w:before="13"/>
        <w:ind w:right="173"/>
        <w:jc w:val="both"/>
      </w:pPr>
      <w:r>
        <w:rPr>
          <w:spacing w:val="-2"/>
        </w:rPr>
        <w:t>终止确认部分和未终止确认部分之间，按照各自的相对公允价值进行分摊，并将下列两项金额</w:t>
      </w:r>
      <w:r>
        <w:rPr>
          <w:spacing w:val="-85"/>
        </w:rPr>
        <w:t> </w:t>
      </w:r>
      <w:r>
        <w:rPr>
          <w:spacing w:val="-85"/>
        </w:rPr>
      </w:r>
      <w:r>
        <w:rPr/>
        <w:t>的差额计入当期损益：(1) 终止确认部分的账面价值；(2)</w:t>
      </w:r>
      <w:r>
        <w:rPr>
          <w:spacing w:val="-59"/>
        </w:rPr>
        <w:t> </w:t>
      </w:r>
      <w:r>
        <w:rPr/>
        <w:t>终止确认部分的对价，与原直接计</w:t>
      </w:r>
      <w:r>
        <w:rPr/>
        <w:t> 入所有者权益的公允价值变动累计额中对应终止确认部分的金额之和。</w:t>
      </w:r>
    </w:p>
    <w:p>
      <w:pPr>
        <w:pStyle w:val="BodyText"/>
        <w:spacing w:line="367" w:lineRule="auto" w:before="34"/>
        <w:ind w:left="537" w:right="0"/>
        <w:jc w:val="left"/>
      </w:pPr>
      <w:r>
        <w:rPr/>
        <w:t>4．主要金融资产和金融负债的公允价值确定方法 </w:t>
      </w:r>
      <w:r>
        <w:rPr>
          <w:spacing w:val="-2"/>
        </w:rPr>
        <w:t>存在活跃市场的金融资产或金融负债，以活跃市场的报价确定其公允价值；不存在活跃市</w:t>
      </w:r>
    </w:p>
    <w:p>
      <w:pPr>
        <w:pStyle w:val="BodyText"/>
        <w:spacing w:line="367" w:lineRule="auto" w:before="34"/>
        <w:ind w:right="172"/>
        <w:jc w:val="both"/>
      </w:pPr>
      <w:r>
        <w:rPr>
          <w:spacing w:val="-2"/>
        </w:rPr>
        <w:t>场的金融资产或金融负债，采用估值技术（包括参考熟悉情况并自愿交易的各方最近进行的市</w:t>
      </w:r>
      <w:r>
        <w:rPr>
          <w:spacing w:val="-85"/>
        </w:rPr>
        <w:t> </w:t>
      </w:r>
      <w:r>
        <w:rPr>
          <w:spacing w:val="-85"/>
        </w:rPr>
      </w:r>
      <w:r>
        <w:rPr>
          <w:spacing w:val="-2"/>
        </w:rPr>
        <w:t>场交易中使用的价格、参照实质上相同的其他金融工具的当前公允价值、现金流量折现法和期</w:t>
      </w:r>
      <w:r>
        <w:rPr>
          <w:spacing w:val="-85"/>
        </w:rPr>
        <w:t> </w:t>
      </w:r>
      <w:r>
        <w:rPr>
          <w:spacing w:val="-85"/>
        </w:rPr>
      </w:r>
      <w:r>
        <w:rPr>
          <w:spacing w:val="-2"/>
        </w:rPr>
        <w:t>权定价模型等）确定其公允价值；初始取得或源生的金融资产或承担的金融负债，以市场交易</w:t>
      </w:r>
      <w:r>
        <w:rPr>
          <w:spacing w:val="-83"/>
        </w:rPr>
        <w:t> </w:t>
      </w:r>
      <w:r>
        <w:rPr>
          <w:spacing w:val="-83"/>
        </w:rPr>
      </w:r>
      <w:r>
        <w:rPr/>
        <w:t>价格作为确定其公允价值的基础。</w:t>
      </w:r>
    </w:p>
    <w:p>
      <w:pPr>
        <w:pStyle w:val="BodyText"/>
        <w:spacing w:line="367" w:lineRule="auto" w:before="34"/>
        <w:ind w:left="537" w:right="0"/>
        <w:jc w:val="left"/>
      </w:pPr>
      <w:r>
        <w:rPr/>
        <w:t>5．金融资产的减值测试和减值准备计提方法 </w:t>
      </w:r>
      <w:r>
        <w:rPr>
          <w:spacing w:val="3"/>
        </w:rPr>
        <w:t>资产负债表日对以公允价值计量且其变动计入当期损益的金融资产以外的金融资产进行</w:t>
      </w:r>
      <w:r>
        <w:rPr/>
      </w:r>
    </w:p>
    <w:p>
      <w:pPr>
        <w:pStyle w:val="BodyText"/>
        <w:spacing w:line="367" w:lineRule="auto" w:before="34"/>
        <w:ind w:right="172"/>
        <w:jc w:val="both"/>
      </w:pPr>
      <w:r>
        <w:rPr>
          <w:spacing w:val="-2"/>
        </w:rPr>
        <w:t>减值测试。对单项金额重大的金融资产单独进行减值测试；对单项金额不重大的金融资产，包</w:t>
      </w:r>
      <w:r>
        <w:rPr>
          <w:spacing w:val="-83"/>
        </w:rPr>
        <w:t> </w:t>
      </w:r>
      <w:r>
        <w:rPr>
          <w:spacing w:val="-83"/>
        </w:rPr>
      </w:r>
      <w:r>
        <w:rPr>
          <w:spacing w:val="-2"/>
        </w:rPr>
        <w:t>括在具有类似信用风险特征的金融资产组合中进行减值测试；单独测试未发生减值的金融资产</w:t>
      </w:r>
    </w:p>
    <w:p>
      <w:pPr>
        <w:pStyle w:val="BodyText"/>
        <w:spacing w:line="367" w:lineRule="auto" w:before="34"/>
        <w:ind w:right="173"/>
        <w:jc w:val="both"/>
      </w:pPr>
      <w:r>
        <w:rPr>
          <w:spacing w:val="-2"/>
        </w:rPr>
        <w:t>（包括单项金额重大和不重大的金融资产），包括在具有类似信用风险特征的金融资产组合中</w:t>
      </w:r>
      <w:r>
        <w:rPr>
          <w:spacing w:val="-84"/>
        </w:rPr>
        <w:t> </w:t>
      </w:r>
      <w:r>
        <w:rPr>
          <w:spacing w:val="-84"/>
        </w:rPr>
      </w:r>
      <w:r>
        <w:rPr/>
        <w:t>进行减值测试。</w:t>
      </w:r>
    </w:p>
    <w:p>
      <w:pPr>
        <w:pStyle w:val="BodyText"/>
        <w:spacing w:line="367" w:lineRule="auto" w:before="34"/>
        <w:ind w:right="114" w:firstLine="420"/>
        <w:jc w:val="both"/>
      </w:pPr>
      <w:r>
        <w:rPr>
          <w:spacing w:val="-2"/>
        </w:rPr>
        <w:t>按摊余成本计量的金融资产，期末有客观证据表明其发生了减值的，根据其账面价值与预</w:t>
      </w:r>
      <w:r>
        <w:rPr/>
        <w:t> </w:t>
      </w:r>
      <w:r>
        <w:rPr>
          <w:spacing w:val="-2"/>
        </w:rPr>
        <w:t>计未来现金流量现值之间的差额计算确认减值损失，短期应收款项的预计未来现金流量与其现</w:t>
      </w:r>
      <w:r>
        <w:rPr>
          <w:spacing w:val="-82"/>
        </w:rPr>
        <w:t> </w:t>
      </w:r>
      <w:r>
        <w:rPr>
          <w:spacing w:val="-82"/>
        </w:rPr>
      </w:r>
      <w:r>
        <w:rPr>
          <w:spacing w:val="-2"/>
        </w:rPr>
        <w:t>值相差很小的，在确定相关减值损失时，不对其预计未来现金流量进行折现。在活跃市场中没</w:t>
      </w:r>
      <w:r>
        <w:rPr>
          <w:spacing w:val="-83"/>
        </w:rPr>
        <w:t> </w:t>
      </w:r>
      <w:r>
        <w:rPr>
          <w:spacing w:val="-83"/>
        </w:rPr>
      </w:r>
      <w:r>
        <w:rPr>
          <w:spacing w:val="-2"/>
        </w:rPr>
        <w:t>有报价且其公允价值不能可靠计量的权益工具投资，或与该权益工具挂钩并须通过交付该权益</w:t>
      </w:r>
      <w:r>
        <w:rPr>
          <w:spacing w:val="-82"/>
        </w:rPr>
        <w:t> </w:t>
      </w:r>
      <w:r>
        <w:rPr>
          <w:spacing w:val="-82"/>
        </w:rPr>
      </w:r>
      <w:r>
        <w:rPr>
          <w:spacing w:val="-2"/>
        </w:rPr>
        <w:t>工具结算的衍生金融资产发生减值时，将该权益工具投资或衍生金融资产的账面价值，与按照</w:t>
      </w:r>
      <w:r>
        <w:rPr>
          <w:spacing w:val="-85"/>
        </w:rPr>
        <w:t> </w:t>
      </w:r>
      <w:r>
        <w:rPr>
          <w:spacing w:val="-85"/>
        </w:rPr>
      </w:r>
      <w:r>
        <w:rPr/>
        <w:t>类似金融资产当时市场收益率对未来现金流量折现确定的现值之间的差额，确认为减值损失。 </w:t>
      </w:r>
      <w:r>
        <w:rPr>
          <w:spacing w:val="-2"/>
        </w:rPr>
        <w:t>可供出售金融资产的公允价值发生较大幅度下降且预期下降趋势属于非暂时性时，确认其减值</w:t>
      </w:r>
      <w:r>
        <w:rPr>
          <w:spacing w:val="-82"/>
        </w:rPr>
        <w:t> </w:t>
      </w:r>
      <w:r>
        <w:rPr>
          <w:spacing w:val="-82"/>
        </w:rPr>
      </w:r>
      <w:r>
        <w:rPr/>
        <w:t>损失，并将原直接计入所有者权益的公允价值累计损失一并转出计入减值损失。</w:t>
      </w:r>
    </w:p>
    <w:p>
      <w:pPr>
        <w:pStyle w:val="BodyText"/>
        <w:spacing w:line="367" w:lineRule="auto" w:before="34"/>
        <w:ind w:left="537" w:right="0"/>
        <w:jc w:val="left"/>
      </w:pPr>
      <w:r>
        <w:rPr/>
        <w:t>(九)</w:t>
      </w:r>
      <w:r>
        <w:rPr>
          <w:spacing w:val="-1"/>
        </w:rPr>
        <w:t> </w:t>
      </w:r>
      <w:r>
        <w:rPr/>
        <w:t>应收款项坏账准备的计提方法</w:t>
      </w:r>
      <w:r>
        <w:rPr/>
        <w:t> </w:t>
      </w:r>
      <w:r>
        <w:rPr>
          <w:spacing w:val="6"/>
        </w:rPr>
        <w:t>对于单项金额重大且有客观证据表明发生了减值的应收款项(包括应收账款和其他应收</w:t>
      </w:r>
    </w:p>
    <w:p>
      <w:pPr>
        <w:pStyle w:val="BodyText"/>
        <w:spacing w:line="367" w:lineRule="auto" w:before="34"/>
        <w:ind w:right="174"/>
        <w:jc w:val="both"/>
      </w:pPr>
      <w:r>
        <w:rPr/>
        <w:t>款)，以及单项金额不重大但信用风险较大的应收款项，根据其未来现金流量现值低于其账面</w:t>
      </w:r>
      <w:r>
        <w:rPr>
          <w:spacing w:val="-72"/>
        </w:rPr>
        <w:t> </w:t>
      </w:r>
      <w:r>
        <w:rPr>
          <w:spacing w:val="-72"/>
        </w:rPr>
      </w:r>
      <w:r>
        <w:rPr>
          <w:spacing w:val="-2"/>
        </w:rPr>
        <w:t>价值的差额计提坏账准备；对于单项金额非重大以及经单独测试后未减值的单项金额重大的应</w:t>
      </w:r>
      <w:r>
        <w:rPr>
          <w:spacing w:val="-85"/>
        </w:rPr>
        <w:t> </w:t>
      </w:r>
      <w:r>
        <w:rPr>
          <w:spacing w:val="-85"/>
        </w:rPr>
      </w:r>
      <w:r>
        <w:rPr>
          <w:spacing w:val="-2"/>
        </w:rPr>
        <w:t>收款项(包括应收账款和其他应收款)，根据相同账龄应收款项组合的实际损失率为基础，结合</w:t>
      </w:r>
      <w:r>
        <w:rPr>
          <w:spacing w:val="-85"/>
        </w:rPr>
        <w:t> </w:t>
      </w:r>
      <w:r>
        <w:rPr>
          <w:spacing w:val="-85"/>
        </w:rPr>
      </w:r>
      <w:r>
        <w:rPr/>
        <w:t>现时情况确定报告期各项组合计提坏账准备的比例。确定具体提取比例为：账龄</w:t>
      </w:r>
      <w:r>
        <w:rPr>
          <w:spacing w:val="-72"/>
        </w:rPr>
        <w:t> </w:t>
      </w:r>
      <w:r>
        <w:rPr/>
        <w:t>1</w:t>
      </w:r>
      <w:r>
        <w:rPr>
          <w:spacing w:val="-72"/>
        </w:rPr>
        <w:t> </w:t>
      </w:r>
      <w:r>
        <w:rPr>
          <w:spacing w:val="-5"/>
        </w:rPr>
        <w:t>年以内（含</w:t>
      </w:r>
    </w:p>
    <w:p>
      <w:pPr>
        <w:pStyle w:val="BodyText"/>
        <w:spacing w:line="367" w:lineRule="auto" w:before="34"/>
        <w:ind w:right="174"/>
        <w:jc w:val="both"/>
      </w:pPr>
      <w:r>
        <w:rPr/>
        <w:t>1</w:t>
      </w:r>
      <w:r>
        <w:rPr>
          <w:spacing w:val="-58"/>
        </w:rPr>
        <w:t> </w:t>
      </w:r>
      <w:r>
        <w:rPr/>
        <w:t>年，以下类推）的，按其余额的</w:t>
      </w:r>
      <w:r>
        <w:rPr>
          <w:spacing w:val="-59"/>
        </w:rPr>
        <w:t> </w:t>
      </w:r>
      <w:r>
        <w:rPr/>
        <w:t>5%计提；账龄</w:t>
      </w:r>
      <w:r>
        <w:rPr>
          <w:spacing w:val="-59"/>
        </w:rPr>
        <w:t> </w:t>
      </w:r>
      <w:r>
        <w:rPr/>
        <w:t>1-2</w:t>
      </w:r>
      <w:r>
        <w:rPr>
          <w:spacing w:val="-58"/>
        </w:rPr>
        <w:t> </w:t>
      </w:r>
      <w:r>
        <w:rPr/>
        <w:t>年的，按其余额的</w:t>
      </w:r>
      <w:r>
        <w:rPr>
          <w:spacing w:val="-59"/>
        </w:rPr>
        <w:t> </w:t>
      </w:r>
      <w:r>
        <w:rPr/>
        <w:t>10%计提；账龄</w:t>
      </w:r>
      <w:r>
        <w:rPr>
          <w:spacing w:val="-59"/>
        </w:rPr>
        <w:t> </w:t>
      </w:r>
      <w:r>
        <w:rPr/>
        <w:t>2-3</w:t>
      </w:r>
      <w:r>
        <w:rPr>
          <w:spacing w:val="-58"/>
        </w:rPr>
        <w:t> </w:t>
      </w:r>
      <w:r>
        <w:rPr/>
        <w:t>年</w:t>
      </w:r>
      <w:r>
        <w:rPr/>
        <w:t> </w:t>
      </w:r>
      <w:r>
        <w:rPr>
          <w:spacing w:val="-3"/>
        </w:rPr>
        <w:t>的，按其余额的</w:t>
      </w:r>
      <w:r>
        <w:rPr>
          <w:spacing w:val="-59"/>
        </w:rPr>
        <w:t> </w:t>
      </w:r>
      <w:r>
        <w:rPr>
          <w:spacing w:val="-3"/>
        </w:rPr>
        <w:t>30%计提；账龄</w:t>
      </w:r>
      <w:r>
        <w:rPr>
          <w:spacing w:val="-59"/>
        </w:rPr>
        <w:t> </w:t>
      </w:r>
      <w:r>
        <w:rPr/>
        <w:t>3</w:t>
      </w:r>
      <w:r>
        <w:rPr>
          <w:spacing w:val="-58"/>
        </w:rPr>
        <w:t> </w:t>
      </w:r>
      <w:r>
        <w:rPr/>
        <w:t>年以上，按其余额的</w:t>
      </w:r>
      <w:r>
        <w:rPr>
          <w:spacing w:val="-59"/>
        </w:rPr>
        <w:t> </w:t>
      </w:r>
      <w:r>
        <w:rPr/>
        <w:t>100%计提。对有确凿证据表明可收回性</w:t>
      </w:r>
      <w:r>
        <w:rPr/>
        <w:t> 存在明显差异的应收款项，采用个别认定法计提坏账准备。</w:t>
      </w:r>
    </w:p>
    <w:p>
      <w:pPr>
        <w:pStyle w:val="BodyText"/>
        <w:spacing w:line="240" w:lineRule="auto" w:before="34"/>
        <w:ind w:left="537" w:right="0"/>
        <w:jc w:val="left"/>
      </w:pPr>
      <w:r>
        <w:rPr/>
        <w:t>对于其他应收款项(包括应收票据和预付款项等)，经单独测试后根据其未来现金流量现值</w:t>
      </w:r>
    </w:p>
    <w:p>
      <w:pPr>
        <w:spacing w:after="0" w:line="240" w:lineRule="auto"/>
        <w:jc w:val="left"/>
        <w:sectPr>
          <w:footerReference w:type="default" r:id="rId12"/>
          <w:pgSz w:w="11910" w:h="16840"/>
          <w:pgMar w:footer="1263" w:header="0" w:top="1540" w:bottom="1460" w:left="1680" w:right="1380"/>
          <w:pgNumType w:start="58"/>
        </w:sectPr>
      </w:pPr>
    </w:p>
    <w:p>
      <w:pPr>
        <w:pStyle w:val="BodyText"/>
        <w:spacing w:line="367" w:lineRule="auto" w:before="13"/>
        <w:ind w:right="95"/>
        <w:jc w:val="left"/>
      </w:pPr>
      <w:r>
        <w:rPr>
          <w:spacing w:val="-2"/>
        </w:rPr>
        <w:t>低于其账面价值的差额计提坏账准备；对其他应收款中应收出口退税和有证据表明实际未发生</w:t>
      </w:r>
      <w:r>
        <w:rPr>
          <w:spacing w:val="-82"/>
        </w:rPr>
        <w:t> </w:t>
      </w:r>
      <w:r>
        <w:rPr>
          <w:spacing w:val="-82"/>
        </w:rPr>
      </w:r>
      <w:r>
        <w:rPr/>
        <w:t>减值的应收款项等不计提坏账准备。</w:t>
      </w:r>
    </w:p>
    <w:p>
      <w:pPr>
        <w:pStyle w:val="BodyText"/>
        <w:spacing w:line="240" w:lineRule="auto" w:before="34"/>
        <w:ind w:left="537" w:right="95"/>
        <w:jc w:val="left"/>
      </w:pPr>
      <w:r>
        <w:rPr/>
        <w:t>(十)</w:t>
      </w:r>
      <w:r>
        <w:rPr>
          <w:spacing w:val="-2"/>
        </w:rPr>
        <w:t> </w:t>
      </w:r>
      <w:r>
        <w:rPr/>
        <w:t>存货的确认和计量</w:t>
      </w:r>
    </w:p>
    <w:p>
      <w:pPr>
        <w:pStyle w:val="BodyText"/>
        <w:spacing w:line="367" w:lineRule="auto"/>
        <w:ind w:right="214" w:firstLine="420"/>
        <w:jc w:val="both"/>
      </w:pPr>
      <w:r>
        <w:rPr/>
        <w:t>1.</w:t>
      </w:r>
      <w:r>
        <w:rPr>
          <w:spacing w:val="33"/>
        </w:rPr>
        <w:t> </w:t>
      </w:r>
      <w:r>
        <w:rPr/>
        <w:t>存货包括在日常活动中持有以备出售的产成品或商品、处于开发过程中的软件产品或</w:t>
      </w:r>
      <w:r>
        <w:rPr>
          <w:spacing w:val="1"/>
        </w:rPr>
        <w:t> </w:t>
      </w:r>
      <w:r>
        <w:rPr/>
        <w:t>施工过程中的系统集成工程，在生产过程或提供劳务过程中耗用的材料和物料等。</w:t>
      </w:r>
    </w:p>
    <w:p>
      <w:pPr>
        <w:pStyle w:val="BodyText"/>
        <w:spacing w:line="240" w:lineRule="auto" w:before="34"/>
        <w:ind w:left="537" w:right="95"/>
        <w:jc w:val="left"/>
      </w:pPr>
      <w:r>
        <w:rPr/>
        <w:t>2.</w:t>
      </w:r>
      <w:r>
        <w:rPr>
          <w:spacing w:val="-2"/>
        </w:rPr>
        <w:t> </w:t>
      </w:r>
      <w:r>
        <w:rPr/>
        <w:t>发出存货采用个别计价法。</w:t>
      </w:r>
    </w:p>
    <w:p>
      <w:pPr>
        <w:pStyle w:val="BodyText"/>
        <w:spacing w:line="367" w:lineRule="auto"/>
        <w:ind w:right="109" w:firstLine="420"/>
        <w:jc w:val="both"/>
      </w:pPr>
      <w:r>
        <w:rPr/>
        <w:t>3.</w:t>
      </w:r>
      <w:r>
        <w:rPr>
          <w:spacing w:val="18"/>
        </w:rPr>
        <w:t> </w:t>
      </w:r>
      <w:r>
        <w:rPr/>
        <w:t>资产负债表日，存货采用成本与可变现净值孰低计量，按照单个存货成本高于可变现</w:t>
      </w:r>
      <w:r>
        <w:rPr>
          <w:spacing w:val="1"/>
        </w:rPr>
        <w:t> </w:t>
      </w:r>
      <w:r>
        <w:rPr/>
        <w:t>净值的差额计提存货跌价准备。产成品、商品和用于出售的材料等直接用于出售的商品存货，</w:t>
      </w:r>
      <w:r>
        <w:rPr/>
        <w:t> </w:t>
      </w:r>
      <w:r>
        <w:rPr>
          <w:spacing w:val="3"/>
        </w:rPr>
        <w:t>在正常生产经营过程中以该存货的估计售价减去估计的销售费用和相关税费后的金额确定其</w:t>
      </w:r>
      <w:r>
        <w:rPr>
          <w:spacing w:val="-99"/>
        </w:rPr>
        <w:t> </w:t>
      </w:r>
      <w:r>
        <w:rPr>
          <w:spacing w:val="-99"/>
        </w:rPr>
      </w:r>
      <w:r>
        <w:rPr/>
        <w:t>可变现净值；对为开发软件或系统集成工程施工而持有的材料等，如果用其施工的工程预计总</w:t>
      </w:r>
      <w:r>
        <w:rPr/>
        <w:t> 成本低于工程合同总收入，则该材料仍然按成本计量；如果材料价格的下降表明工程总成本超 过工程合同总收入，则该材料按可变现净值计量；资产负债表日，同一项存货中一部分有合同 </w:t>
      </w:r>
      <w:r>
        <w:rPr>
          <w:spacing w:val="-4"/>
        </w:rPr>
        <w:t>价格约定、其他部分不存在合同价格的，分别确定其可变现净值，并与其对应的成本进行比较，</w:t>
      </w:r>
      <w:r>
        <w:rPr/>
        <w:t> 分别确定存货跌价准备的计提或转回的金额。</w:t>
      </w:r>
    </w:p>
    <w:p>
      <w:pPr>
        <w:pStyle w:val="BodyText"/>
        <w:spacing w:line="240" w:lineRule="auto" w:before="34"/>
        <w:ind w:left="537" w:right="95"/>
        <w:jc w:val="left"/>
      </w:pPr>
      <w:r>
        <w:rPr/>
        <w:t>4.</w:t>
      </w:r>
      <w:r>
        <w:rPr>
          <w:spacing w:val="-2"/>
        </w:rPr>
        <w:t> </w:t>
      </w:r>
      <w:r>
        <w:rPr/>
        <w:t>存货的盘存制度为永续盘存制。</w:t>
      </w:r>
    </w:p>
    <w:p>
      <w:pPr>
        <w:pStyle w:val="BodyText"/>
        <w:spacing w:line="367" w:lineRule="auto"/>
        <w:ind w:right="212" w:firstLine="420"/>
        <w:jc w:val="both"/>
      </w:pPr>
      <w:r>
        <w:rPr/>
        <w:t>5．包装物、低值易耗品采用领用时一次转销法进行摊销，其他周转材料采用领用时一次</w:t>
      </w:r>
      <w:r>
        <w:rPr>
          <w:spacing w:val="1"/>
        </w:rPr>
        <w:t> </w:t>
      </w:r>
      <w:r>
        <w:rPr/>
        <w:t>转销法进行摊销。</w:t>
      </w:r>
    </w:p>
    <w:p>
      <w:pPr>
        <w:pStyle w:val="BodyText"/>
        <w:spacing w:line="367" w:lineRule="auto" w:before="34"/>
        <w:ind w:left="537" w:right="4652"/>
        <w:jc w:val="left"/>
      </w:pPr>
      <w:r>
        <w:rPr/>
        <w:t>(十一)</w:t>
      </w:r>
      <w:r>
        <w:rPr>
          <w:spacing w:val="-1"/>
        </w:rPr>
        <w:t> </w:t>
      </w:r>
      <w:r>
        <w:rPr/>
        <w:t>长期股权投资的确认和计量</w:t>
      </w:r>
      <w:r>
        <w:rPr/>
        <w:t> 1．长期股权投资初始投资成本的确定：</w:t>
      </w:r>
    </w:p>
    <w:p>
      <w:pPr>
        <w:pStyle w:val="BodyText"/>
        <w:spacing w:line="367" w:lineRule="auto" w:before="34"/>
        <w:ind w:right="213" w:firstLine="420"/>
        <w:jc w:val="both"/>
      </w:pPr>
      <w:r>
        <w:rPr/>
        <w:t>(1)</w:t>
      </w:r>
      <w:r>
        <w:rPr>
          <w:spacing w:val="-56"/>
        </w:rPr>
        <w:t> </w:t>
      </w:r>
      <w:r>
        <w:rPr/>
        <w:t>同一控制下的企业合并形成的，合并方以支付现金、转让非现金资产、承担债务或发</w:t>
      </w:r>
      <w:r>
        <w:rPr/>
        <w:t> </w:t>
      </w:r>
      <w:r>
        <w:rPr>
          <w:spacing w:val="-2"/>
        </w:rPr>
        <w:t>行权益性证券作为合并对价的，在合并日按照取得被合并方所有者权益账面价值的份额作为其</w:t>
      </w:r>
      <w:r>
        <w:rPr>
          <w:spacing w:val="-82"/>
        </w:rPr>
        <w:t> </w:t>
      </w:r>
      <w:r>
        <w:rPr>
          <w:spacing w:val="-82"/>
        </w:rPr>
      </w:r>
      <w:r>
        <w:rPr>
          <w:spacing w:val="-2"/>
        </w:rPr>
        <w:t>初始投资成本。长期股权投资初始投资成本与支付的合并对价的账面价值或发行股份的面值总</w:t>
      </w:r>
      <w:r>
        <w:rPr>
          <w:spacing w:val="-82"/>
        </w:rPr>
        <w:t> </w:t>
      </w:r>
      <w:r>
        <w:rPr>
          <w:spacing w:val="-82"/>
        </w:rPr>
      </w:r>
      <w:r>
        <w:rPr/>
        <w:t>额之间的差额调整资本公积；资本公积不足冲减的，调整留存收益。</w:t>
      </w:r>
    </w:p>
    <w:p>
      <w:pPr>
        <w:pStyle w:val="BodyText"/>
        <w:spacing w:line="367" w:lineRule="auto" w:before="34"/>
        <w:ind w:right="213" w:firstLine="420"/>
        <w:jc w:val="both"/>
      </w:pPr>
      <w:r>
        <w:rPr/>
        <w:t>(2)</w:t>
      </w:r>
      <w:r>
        <w:rPr>
          <w:spacing w:val="-56"/>
        </w:rPr>
        <w:t> </w:t>
      </w:r>
      <w:r>
        <w:rPr/>
        <w:t>非同一控制下的企业合并形成的，在购买日按照支付的合并对价的公允价值和各项直</w:t>
      </w:r>
      <w:r>
        <w:rPr/>
        <w:t> 接相关费用作为其初始投资成本。</w:t>
      </w:r>
    </w:p>
    <w:p>
      <w:pPr>
        <w:pStyle w:val="BodyText"/>
        <w:spacing w:line="367" w:lineRule="auto" w:before="34"/>
        <w:ind w:right="212" w:firstLine="420"/>
        <w:jc w:val="both"/>
      </w:pPr>
      <w:r>
        <w:rPr/>
        <w:t>(3)</w:t>
      </w:r>
      <w:r>
        <w:rPr>
          <w:spacing w:val="-56"/>
        </w:rPr>
        <w:t> </w:t>
      </w:r>
      <w:r>
        <w:rPr/>
        <w:t>除企业合并形成以外的：以支付现金取得的，按照实际支付的购买价款作为其初始投</w:t>
      </w:r>
      <w:r>
        <w:rPr/>
        <w:t> </w:t>
      </w:r>
      <w:r>
        <w:rPr>
          <w:spacing w:val="-2"/>
        </w:rPr>
        <w:t>资成本；以发行权益性证券取得的，按照发行权益性证券的公允价值作为其初始投资成本；投</w:t>
      </w:r>
      <w:r>
        <w:rPr>
          <w:spacing w:val="-83"/>
        </w:rPr>
        <w:t> </w:t>
      </w:r>
      <w:r>
        <w:rPr>
          <w:spacing w:val="-83"/>
        </w:rPr>
      </w:r>
      <w:r>
        <w:rPr>
          <w:spacing w:val="-2"/>
        </w:rPr>
        <w:t>资者投入的，按照投资合同或协议约定的价值作为其初始投资成本（合同或协议约定价值不公</w:t>
      </w:r>
      <w:r>
        <w:rPr>
          <w:spacing w:val="-85"/>
        </w:rPr>
        <w:t> </w:t>
      </w:r>
      <w:r>
        <w:rPr>
          <w:spacing w:val="-85"/>
        </w:rPr>
      </w:r>
      <w:r>
        <w:rPr/>
        <w:t>允的除外）。</w:t>
      </w:r>
    </w:p>
    <w:p>
      <w:pPr>
        <w:pStyle w:val="BodyText"/>
        <w:spacing w:line="367" w:lineRule="auto" w:before="34"/>
        <w:ind w:right="211" w:firstLine="420"/>
        <w:jc w:val="both"/>
      </w:pPr>
      <w:r>
        <w:rPr>
          <w:spacing w:val="-5"/>
        </w:rPr>
        <w:t>2．对实施控制的长期股权投资采用成本法核算，在编制合并财务报表时按照权益法进行调</w:t>
      </w:r>
      <w:r>
        <w:rPr/>
        <w:t> </w:t>
      </w:r>
      <w:r>
        <w:rPr>
          <w:spacing w:val="-7"/>
        </w:rPr>
        <w:t>整；对不具有共同控制或重大影响，并且在活跃市场中没有报价、公允价值不能可靠计量的长期</w:t>
      </w:r>
      <w:r>
        <w:rPr>
          <w:spacing w:val="-96"/>
        </w:rPr>
        <w:t> </w:t>
      </w:r>
      <w:r>
        <w:rPr>
          <w:spacing w:val="-96"/>
        </w:rPr>
      </w:r>
      <w:r>
        <w:rPr>
          <w:spacing w:val="-5"/>
        </w:rPr>
        <w:t>股权投资，采用成本法核算；对具有共同控制或重大影响的长期股权投资，采用权益法核算。</w:t>
      </w:r>
      <w:r>
        <w:rPr/>
      </w:r>
    </w:p>
    <w:p>
      <w:pPr>
        <w:pStyle w:val="BodyText"/>
        <w:spacing w:line="240" w:lineRule="auto" w:before="34"/>
        <w:ind w:left="537" w:right="95"/>
        <w:jc w:val="left"/>
      </w:pPr>
      <w:r>
        <w:rPr/>
        <w:t>3．资产负债表日，以成本法核算的、在活跃市场中没有报价、公允价值不能可靠计量的</w:t>
      </w:r>
    </w:p>
    <w:p>
      <w:pPr>
        <w:spacing w:after="0" w:line="240" w:lineRule="auto"/>
        <w:jc w:val="left"/>
        <w:sectPr>
          <w:footerReference w:type="default" r:id="rId13"/>
          <w:pgSz w:w="11910" w:h="16840"/>
          <w:pgMar w:footer="1263" w:header="0" w:top="1540" w:bottom="1460" w:left="1680" w:right="1340"/>
          <w:pgNumType w:start="59"/>
        </w:sectPr>
      </w:pPr>
    </w:p>
    <w:p>
      <w:pPr>
        <w:pStyle w:val="BodyText"/>
        <w:spacing w:line="367" w:lineRule="auto" w:before="13"/>
        <w:ind w:right="112"/>
        <w:jc w:val="both"/>
      </w:pPr>
      <w:r>
        <w:rPr>
          <w:spacing w:val="-2"/>
        </w:rPr>
        <w:t>长期股权投资，有客观证据表明其发生减值的，按照类似投资当时市场收益率对预计未来现金</w:t>
      </w:r>
      <w:r>
        <w:rPr>
          <w:spacing w:val="-85"/>
        </w:rPr>
        <w:t> </w:t>
      </w:r>
      <w:r>
        <w:rPr>
          <w:spacing w:val="-85"/>
        </w:rPr>
      </w:r>
      <w:r>
        <w:rPr>
          <w:spacing w:val="-2"/>
        </w:rPr>
        <w:t>流量折现确定的现值低于其账面价值之间的差额，计提长期股权投资减值准备；其他投资，当</w:t>
      </w:r>
      <w:r>
        <w:rPr>
          <w:spacing w:val="-83"/>
        </w:rPr>
        <w:t> </w:t>
      </w:r>
      <w:r>
        <w:rPr>
          <w:spacing w:val="-83"/>
        </w:rPr>
      </w:r>
      <w:r>
        <w:rPr/>
        <w:t>存在减值迹象时，按本财务报表附注三(十六)3</w:t>
      </w:r>
      <w:r>
        <w:rPr>
          <w:spacing w:val="-53"/>
        </w:rPr>
        <w:t> </w:t>
      </w:r>
      <w:r>
        <w:rPr/>
        <w:t>所述方法计提长期股权投资减值准备。</w:t>
      </w:r>
    </w:p>
    <w:p>
      <w:pPr>
        <w:pStyle w:val="BodyText"/>
        <w:spacing w:line="367" w:lineRule="auto" w:before="34"/>
        <w:ind w:right="112" w:firstLine="420"/>
        <w:jc w:val="both"/>
      </w:pPr>
      <w:r>
        <w:rPr/>
        <w:t>4．确定对被投资单位具有共同控制、重大影响的依据：按照合同约定，与被投资单位相</w:t>
      </w:r>
      <w:r>
        <w:rPr>
          <w:spacing w:val="1"/>
        </w:rPr>
        <w:t> </w:t>
      </w:r>
      <w:r>
        <w:rPr>
          <w:spacing w:val="-2"/>
        </w:rPr>
        <w:t>关的重要财务和经营决策需要分享控制权的投资方一致同意的，认定为共同控制；对被投资单</w:t>
      </w:r>
      <w:r>
        <w:rPr>
          <w:spacing w:val="-85"/>
        </w:rPr>
        <w:t> </w:t>
      </w:r>
      <w:r>
        <w:rPr>
          <w:spacing w:val="-85"/>
        </w:rPr>
      </w:r>
      <w:r>
        <w:rPr>
          <w:spacing w:val="-2"/>
        </w:rPr>
        <w:t>位的财务和经营政策有参与决策的权力，但并不能够控制或者与其他方一起共同控制这些政策</w:t>
      </w:r>
      <w:r>
        <w:rPr>
          <w:spacing w:val="-82"/>
        </w:rPr>
        <w:t> </w:t>
      </w:r>
      <w:r>
        <w:rPr>
          <w:spacing w:val="-82"/>
        </w:rPr>
      </w:r>
      <w:r>
        <w:rPr/>
        <w:t>的制定的，认定为重大影响。</w:t>
      </w:r>
    </w:p>
    <w:p>
      <w:pPr>
        <w:pStyle w:val="BodyText"/>
        <w:spacing w:line="367" w:lineRule="auto" w:before="34"/>
        <w:ind w:left="537" w:right="0"/>
        <w:jc w:val="left"/>
      </w:pPr>
      <w:r>
        <w:rPr/>
        <w:t>(十二)</w:t>
      </w:r>
      <w:r>
        <w:rPr>
          <w:spacing w:val="-1"/>
        </w:rPr>
        <w:t> </w:t>
      </w:r>
      <w:r>
        <w:rPr/>
        <w:t>投资性房地产的确认和计量</w:t>
      </w:r>
      <w:r>
        <w:rPr/>
        <w:t> 1．投资性房地产包括已出租的土地使用权、持有并准备增值后转让的土地使用权、已出</w:t>
      </w:r>
    </w:p>
    <w:p>
      <w:pPr>
        <w:pStyle w:val="BodyText"/>
        <w:spacing w:line="240" w:lineRule="auto" w:before="34"/>
        <w:ind w:right="0"/>
        <w:jc w:val="both"/>
      </w:pPr>
      <w:r>
        <w:rPr/>
        <w:t>租的建筑物。</w:t>
      </w:r>
    </w:p>
    <w:p>
      <w:pPr>
        <w:pStyle w:val="BodyText"/>
        <w:spacing w:line="240" w:lineRule="auto"/>
        <w:ind w:left="537" w:right="804"/>
        <w:jc w:val="left"/>
      </w:pPr>
      <w:r>
        <w:rPr/>
        <w:t>2．投资性房地产按照成本进行初始计量，采用成本模式进行后续计量。</w:t>
      </w:r>
    </w:p>
    <w:p>
      <w:pPr>
        <w:pStyle w:val="BodyText"/>
        <w:spacing w:line="367" w:lineRule="auto"/>
        <w:ind w:right="112" w:firstLine="420"/>
        <w:jc w:val="both"/>
      </w:pPr>
      <w:r>
        <w:rPr/>
        <w:t>3．对成本模式计量的投资性房地产，采用与固定资产和无形资产相同的方法计提折旧或</w:t>
      </w:r>
      <w:r>
        <w:rPr>
          <w:spacing w:val="1"/>
        </w:rPr>
        <w:t> </w:t>
      </w:r>
      <w:r>
        <w:rPr/>
        <w:t>进行摊销。</w:t>
      </w:r>
    </w:p>
    <w:p>
      <w:pPr>
        <w:pStyle w:val="BodyText"/>
        <w:spacing w:line="367" w:lineRule="auto" w:before="34"/>
        <w:ind w:right="112" w:firstLine="420"/>
        <w:jc w:val="both"/>
      </w:pPr>
      <w:r>
        <w:rPr/>
        <w:t>4．以成本模式计量的投资性房地产，在资产负债表日有迹象表明投资性房地产发生减值</w:t>
      </w:r>
      <w:r>
        <w:rPr>
          <w:spacing w:val="1"/>
        </w:rPr>
        <w:t> </w:t>
      </w:r>
      <w:r>
        <w:rPr/>
        <w:t>的，按本财务报表附注三(十六)3</w:t>
      </w:r>
      <w:r>
        <w:rPr>
          <w:spacing w:val="-54"/>
        </w:rPr>
        <w:t> </w:t>
      </w:r>
      <w:r>
        <w:rPr/>
        <w:t>所述方法计提投资性房地产减值准备。</w:t>
      </w:r>
    </w:p>
    <w:p>
      <w:pPr>
        <w:pStyle w:val="BodyText"/>
        <w:spacing w:line="240" w:lineRule="auto" w:before="34"/>
        <w:ind w:left="537" w:right="804"/>
        <w:jc w:val="left"/>
      </w:pPr>
      <w:r>
        <w:rPr/>
        <w:t>(十三)</w:t>
      </w:r>
      <w:r>
        <w:rPr>
          <w:spacing w:val="-2"/>
        </w:rPr>
        <w:t> </w:t>
      </w:r>
      <w:r>
        <w:rPr/>
        <w:t>固定资产的确认和计量</w:t>
      </w:r>
    </w:p>
    <w:p>
      <w:pPr>
        <w:pStyle w:val="BodyText"/>
        <w:spacing w:line="367" w:lineRule="auto"/>
        <w:ind w:right="114" w:firstLine="420"/>
        <w:jc w:val="both"/>
      </w:pPr>
      <w:r>
        <w:rPr/>
        <w:t>1．固定资产是指同时具有下列特征的有形资产：(1)</w:t>
      </w:r>
      <w:r>
        <w:rPr>
          <w:spacing w:val="31"/>
        </w:rPr>
        <w:t> </w:t>
      </w:r>
      <w:r>
        <w:rPr/>
        <w:t>为生产商品、提供劳务、出租或经</w:t>
      </w:r>
      <w:r>
        <w:rPr>
          <w:spacing w:val="1"/>
        </w:rPr>
        <w:t> </w:t>
      </w:r>
      <w:r>
        <w:rPr/>
        <w:t>营管理持有的；(2)</w:t>
      </w:r>
      <w:r>
        <w:rPr>
          <w:spacing w:val="-2"/>
        </w:rPr>
        <w:t> </w:t>
      </w:r>
      <w:r>
        <w:rPr/>
        <w:t>使用寿命超过一个会计年度。</w:t>
      </w:r>
    </w:p>
    <w:p>
      <w:pPr>
        <w:pStyle w:val="BodyText"/>
        <w:spacing w:line="367" w:lineRule="auto" w:before="34"/>
        <w:ind w:right="113" w:firstLine="420"/>
        <w:jc w:val="both"/>
      </w:pPr>
      <w:r>
        <w:rPr/>
        <w:t>2．固定资产同时满足下列条件的予以确认：(1)</w:t>
      </w:r>
      <w:r>
        <w:rPr>
          <w:spacing w:val="33"/>
        </w:rPr>
        <w:t> </w:t>
      </w:r>
      <w:r>
        <w:rPr/>
        <w:t>与该固定资产有关的经济利益很可能流</w:t>
      </w:r>
      <w:r>
        <w:rPr>
          <w:spacing w:val="1"/>
        </w:rPr>
        <w:t> </w:t>
      </w:r>
      <w:r>
        <w:rPr>
          <w:spacing w:val="-3"/>
        </w:rPr>
        <w:t>入企业；(2)</w:t>
      </w:r>
      <w:r>
        <w:rPr>
          <w:spacing w:val="-37"/>
        </w:rPr>
        <w:t> </w:t>
      </w:r>
      <w:r>
        <w:rPr/>
        <w:t>该固定资产的成本能够可靠地计量。与固定资产有关的后续支出，符合上述确认</w:t>
      </w:r>
      <w:r>
        <w:rPr/>
        <w:t> 条件的，计入固定资产成本；不符合上述确认条件的，发生时计入当期损益。</w:t>
      </w:r>
    </w:p>
    <w:p>
      <w:pPr>
        <w:pStyle w:val="BodyText"/>
        <w:spacing w:line="240" w:lineRule="auto" w:before="34"/>
        <w:ind w:left="537" w:right="804"/>
        <w:jc w:val="left"/>
      </w:pPr>
      <w:r>
        <w:rPr/>
        <w:t>3．固定资产按照成本进行初始计量。</w:t>
      </w:r>
    </w:p>
    <w:p>
      <w:pPr>
        <w:pStyle w:val="BodyText"/>
        <w:spacing w:line="367" w:lineRule="auto"/>
        <w:ind w:right="112" w:firstLine="420"/>
        <w:jc w:val="both"/>
      </w:pPr>
      <w:r>
        <w:rPr/>
        <w:t>4．固定资产折旧采用年限平均法。各类固定资产的使用寿命、预计净残值和年折旧率如</w:t>
      </w:r>
      <w:r>
        <w:rPr>
          <w:spacing w:val="1"/>
        </w:rPr>
        <w:t> </w:t>
      </w:r>
      <w:r>
        <w:rPr/>
        <w:t>下(符合资本化条件的固定资产装修不预留残值)：</w:t>
      </w:r>
    </w:p>
    <w:tbl>
      <w:tblPr>
        <w:tblW w:w="0" w:type="auto"/>
        <w:jc w:val="left"/>
        <w:tblInd w:w="502" w:type="dxa"/>
        <w:tblLayout w:type="fixed"/>
        <w:tblCellMar>
          <w:top w:w="0" w:type="dxa"/>
          <w:left w:w="0" w:type="dxa"/>
          <w:bottom w:w="0" w:type="dxa"/>
          <w:right w:w="0" w:type="dxa"/>
        </w:tblCellMar>
        <w:tblLook w:val="01E0"/>
      </w:tblPr>
      <w:tblGrid>
        <w:gridCol w:w="1978"/>
        <w:gridCol w:w="2257"/>
        <w:gridCol w:w="1628"/>
        <w:gridCol w:w="1571"/>
      </w:tblGrid>
      <w:tr>
        <w:trPr>
          <w:trHeight w:val="415"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2" w:right="0"/>
              <w:jc w:val="left"/>
              <w:rPr>
                <w:rFonts w:ascii="宋体" w:hAnsi="宋体" w:cs="宋体" w:eastAsia="宋体" w:hint="default"/>
                <w:sz w:val="21"/>
                <w:szCs w:val="21"/>
              </w:rPr>
            </w:pPr>
            <w:r>
              <w:rPr>
                <w:rFonts w:ascii="宋体" w:hAnsi="宋体" w:cs="宋体" w:eastAsia="宋体" w:hint="default"/>
                <w:sz w:val="21"/>
                <w:szCs w:val="21"/>
              </w:rPr>
              <w:t>使用寿命（年)</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0" w:right="0"/>
              <w:jc w:val="left"/>
              <w:rPr>
                <w:rFonts w:ascii="宋体" w:hAnsi="宋体" w:cs="宋体" w:eastAsia="宋体" w:hint="default"/>
                <w:sz w:val="21"/>
                <w:szCs w:val="21"/>
              </w:rPr>
            </w:pPr>
            <w:r>
              <w:rPr>
                <w:rFonts w:ascii="宋体" w:hAnsi="宋体" w:cs="宋体" w:eastAsia="宋体" w:hint="default"/>
                <w:sz w:val="21"/>
                <w:szCs w:val="21"/>
              </w:rPr>
              <w:t>预计净残值</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12" w:right="0"/>
              <w:jc w:val="left"/>
              <w:rPr>
                <w:rFonts w:ascii="宋体" w:hAnsi="宋体" w:cs="宋体" w:eastAsia="宋体" w:hint="default"/>
                <w:sz w:val="21"/>
                <w:szCs w:val="21"/>
              </w:rPr>
            </w:pPr>
            <w:r>
              <w:rPr>
                <w:rFonts w:ascii="宋体"/>
                <w:sz w:val="21"/>
              </w:rPr>
              <w:t>10-40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1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7"/>
                <w:sz w:val="21"/>
                <w:szCs w:val="21"/>
              </w:rPr>
              <w:t> </w:t>
            </w:r>
            <w:r>
              <w:rPr>
                <w:rFonts w:ascii="宋体" w:hAnsi="宋体" w:cs="宋体" w:eastAsia="宋体" w:hint="default"/>
                <w:sz w:val="21"/>
                <w:szCs w:val="21"/>
              </w:rPr>
              <w:t>5%</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2.38-10.00</w:t>
            </w:r>
            <w:r>
              <w:rPr>
                <w:rFonts w:ascii="宋体"/>
                <w:sz w:val="21"/>
              </w:rPr>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5"/>
              <w:jc w:val="center"/>
              <w:rPr>
                <w:rFonts w:ascii="宋体" w:hAnsi="宋体" w:cs="宋体" w:eastAsia="宋体" w:hint="default"/>
                <w:sz w:val="21"/>
                <w:szCs w:val="21"/>
              </w:rPr>
            </w:pPr>
            <w:r>
              <w:rPr>
                <w:rFonts w:ascii="宋体"/>
                <w:sz w:val="21"/>
              </w:rPr>
              <w:t>3-5</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1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7"/>
                <w:sz w:val="21"/>
                <w:szCs w:val="21"/>
              </w:rPr>
              <w:t> </w:t>
            </w:r>
            <w:r>
              <w:rPr>
                <w:rFonts w:ascii="宋体" w:hAnsi="宋体" w:cs="宋体" w:eastAsia="宋体" w:hint="default"/>
                <w:sz w:val="21"/>
                <w:szCs w:val="21"/>
              </w:rPr>
              <w:t>5%</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19.00-31.67</w:t>
            </w:r>
            <w:r>
              <w:rPr>
                <w:rFonts w:ascii="宋体"/>
                <w:sz w:val="21"/>
              </w:rPr>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3" w:right="0"/>
              <w:jc w:val="center"/>
              <w:rPr>
                <w:rFonts w:ascii="宋体" w:hAnsi="宋体" w:cs="宋体" w:eastAsia="宋体" w:hint="default"/>
                <w:sz w:val="21"/>
                <w:szCs w:val="21"/>
              </w:rPr>
            </w:pPr>
            <w:r>
              <w:rPr>
                <w:rFonts w:ascii="宋体"/>
                <w:sz w:val="21"/>
              </w:rPr>
              <w:t>5</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1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7"/>
                <w:sz w:val="21"/>
                <w:szCs w:val="21"/>
              </w:rPr>
              <w:t> </w:t>
            </w:r>
            <w:r>
              <w:rPr>
                <w:rFonts w:ascii="宋体" w:hAnsi="宋体" w:cs="宋体" w:eastAsia="宋体" w:hint="default"/>
                <w:sz w:val="21"/>
                <w:szCs w:val="21"/>
              </w:rPr>
              <w:t>5%</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19.00</w:t>
            </w:r>
            <w:r>
              <w:rPr>
                <w:rFonts w:ascii="宋体"/>
                <w:sz w:val="21"/>
              </w:rPr>
            </w:r>
          </w:p>
        </w:tc>
      </w:tr>
      <w:tr>
        <w:trPr>
          <w:trHeight w:val="415"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2"/>
              <w:jc w:val="center"/>
              <w:rPr>
                <w:rFonts w:ascii="宋体" w:hAnsi="宋体" w:cs="宋体" w:eastAsia="宋体" w:hint="default"/>
                <w:sz w:val="21"/>
                <w:szCs w:val="21"/>
              </w:rPr>
            </w:pPr>
            <w:r>
              <w:rPr>
                <w:rFonts w:ascii="宋体"/>
                <w:sz w:val="21"/>
              </w:rPr>
              <w:t>5-12</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1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7"/>
                <w:sz w:val="21"/>
                <w:szCs w:val="21"/>
              </w:rPr>
              <w:t> </w:t>
            </w:r>
            <w:r>
              <w:rPr>
                <w:rFonts w:ascii="宋体" w:hAnsi="宋体" w:cs="宋体" w:eastAsia="宋体" w:hint="default"/>
                <w:sz w:val="21"/>
                <w:szCs w:val="21"/>
              </w:rPr>
              <w:t>5%</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7.92-19.00</w:t>
            </w:r>
            <w:r>
              <w:rPr>
                <w:rFonts w:ascii="宋体"/>
                <w:sz w:val="21"/>
              </w:rPr>
            </w:r>
          </w:p>
        </w:tc>
      </w:tr>
    </w:tbl>
    <w:p>
      <w:pPr>
        <w:pStyle w:val="BodyText"/>
        <w:spacing w:line="367" w:lineRule="auto" w:before="45"/>
        <w:ind w:right="100" w:firstLine="420"/>
        <w:jc w:val="left"/>
      </w:pPr>
      <w:r>
        <w:rPr/>
        <w:t>5．因开工不足、自然灾害等导致连续 3</w:t>
      </w:r>
      <w:r>
        <w:rPr>
          <w:spacing w:val="-63"/>
        </w:rPr>
        <w:t> </w:t>
      </w:r>
      <w:r>
        <w:rPr/>
        <w:t>个月停用的固定资产确认为闲置固定资产（季节</w:t>
      </w:r>
      <w:r>
        <w:rPr/>
        <w:t> 性停用除外）。闲置固定资产采用和其他同类别固定资产一致的折旧方法。</w:t>
      </w:r>
    </w:p>
    <w:p>
      <w:pPr>
        <w:pStyle w:val="BodyText"/>
        <w:spacing w:line="240" w:lineRule="auto" w:before="34"/>
        <w:ind w:left="537" w:right="0"/>
        <w:jc w:val="left"/>
      </w:pPr>
      <w:r>
        <w:rPr/>
        <w:t>6．资产负债表日，有迹象表明固定资产发生减值的，按本财务报表附注三(十六)3</w:t>
      </w:r>
      <w:r>
        <w:rPr>
          <w:spacing w:val="38"/>
        </w:rPr>
        <w:t> </w:t>
      </w:r>
      <w:r>
        <w:rPr/>
        <w:t>所述</w:t>
      </w:r>
    </w:p>
    <w:p>
      <w:pPr>
        <w:pStyle w:val="BodyText"/>
        <w:spacing w:line="240" w:lineRule="auto"/>
        <w:ind w:right="804"/>
        <w:jc w:val="left"/>
      </w:pPr>
      <w:r>
        <w:rPr/>
        <w:t>方法计提固定资产减值准备。</w:t>
      </w:r>
    </w:p>
    <w:p>
      <w:pPr>
        <w:spacing w:after="0" w:line="240" w:lineRule="auto"/>
        <w:jc w:val="left"/>
        <w:sectPr>
          <w:pgSz w:w="11910" w:h="16840"/>
          <w:pgMar w:header="0" w:footer="1263" w:top="1540" w:bottom="1460" w:left="1680" w:right="1440"/>
        </w:sectPr>
      </w:pPr>
    </w:p>
    <w:p>
      <w:pPr>
        <w:pStyle w:val="BodyText"/>
        <w:spacing w:line="367" w:lineRule="auto" w:before="13"/>
        <w:ind w:left="537" w:right="0"/>
        <w:jc w:val="left"/>
      </w:pPr>
      <w:r>
        <w:rPr/>
        <w:t>(十四)</w:t>
      </w:r>
      <w:r>
        <w:rPr>
          <w:spacing w:val="-1"/>
        </w:rPr>
        <w:t> </w:t>
      </w:r>
      <w:r>
        <w:rPr/>
        <w:t>在建工程的确认和计量</w:t>
      </w:r>
      <w:r>
        <w:rPr/>
        <w:t> 1．在建工程同时满足经济利益很可能流入、成本能够可靠计量则予以确认。在建工程按</w:t>
      </w:r>
    </w:p>
    <w:p>
      <w:pPr>
        <w:pStyle w:val="BodyText"/>
        <w:spacing w:line="367" w:lineRule="auto" w:before="34"/>
        <w:ind w:left="537" w:right="0" w:hanging="420"/>
        <w:jc w:val="left"/>
      </w:pPr>
      <w:r>
        <w:rPr/>
        <w:t>建造该项资产达到预定可使用状态前所发生的实际成本计量。 2．在建工程达到预定可使用状态时，按工程实际成本转入固定资产。已达到预定可使用</w:t>
      </w:r>
    </w:p>
    <w:p>
      <w:pPr>
        <w:pStyle w:val="BodyText"/>
        <w:spacing w:line="367" w:lineRule="auto" w:before="34"/>
        <w:ind w:right="0"/>
        <w:jc w:val="left"/>
      </w:pPr>
      <w:r>
        <w:rPr>
          <w:spacing w:val="-2"/>
        </w:rPr>
        <w:t>状态但尚未办理竣工结算的，先按估计价值转入固定资产，待办理竣工决算后再按实际成本调</w:t>
      </w:r>
      <w:r>
        <w:rPr>
          <w:spacing w:val="-85"/>
        </w:rPr>
        <w:t> </w:t>
      </w:r>
      <w:r>
        <w:rPr>
          <w:spacing w:val="-85"/>
        </w:rPr>
      </w:r>
      <w:r>
        <w:rPr/>
        <w:t>整原暂估价值，但不再调整原已计提的折旧。</w:t>
      </w:r>
    </w:p>
    <w:p>
      <w:pPr>
        <w:pStyle w:val="BodyText"/>
        <w:spacing w:line="367" w:lineRule="auto" w:before="34"/>
        <w:ind w:right="171" w:firstLine="420"/>
        <w:jc w:val="both"/>
      </w:pPr>
      <w:r>
        <w:rPr/>
        <w:t>3．资产负债表日，有迹象表明在建工程发生减值的，按本财务报表附注三(十六)3</w:t>
      </w:r>
      <w:r>
        <w:rPr>
          <w:spacing w:val="33"/>
        </w:rPr>
        <w:t> </w:t>
      </w:r>
      <w:r>
        <w:rPr/>
        <w:t>所述</w:t>
      </w:r>
      <w:r>
        <w:rPr>
          <w:spacing w:val="1"/>
        </w:rPr>
        <w:t> </w:t>
      </w:r>
      <w:r>
        <w:rPr/>
        <w:t>方法计提在建工程减值准备。</w:t>
      </w:r>
    </w:p>
    <w:p>
      <w:pPr>
        <w:pStyle w:val="BodyText"/>
        <w:spacing w:line="367" w:lineRule="auto" w:before="34"/>
        <w:ind w:left="537" w:right="5032"/>
        <w:jc w:val="left"/>
      </w:pPr>
      <w:r>
        <w:rPr/>
        <w:t>(十五)</w:t>
      </w:r>
      <w:r>
        <w:rPr>
          <w:spacing w:val="-1"/>
        </w:rPr>
        <w:t> </w:t>
      </w:r>
      <w:r>
        <w:rPr/>
        <w:t>无形资产的确认和计量</w:t>
      </w:r>
      <w:r>
        <w:rPr/>
        <w:t> 1．无形资产按成本进行初始计量。</w:t>
      </w:r>
    </w:p>
    <w:p>
      <w:pPr>
        <w:pStyle w:val="BodyText"/>
        <w:spacing w:line="367" w:lineRule="auto" w:before="34"/>
        <w:ind w:right="114" w:firstLine="420"/>
        <w:jc w:val="right"/>
      </w:pPr>
      <w:r>
        <w:rPr/>
        <w:t>2．根据无形资产的合同性权利或其他法定权利、同行业情况、历史经验、相关专家论证</w:t>
      </w:r>
      <w:r>
        <w:rPr>
          <w:spacing w:val="1"/>
        </w:rPr>
        <w:t> </w:t>
      </w:r>
      <w:r>
        <w:rPr>
          <w:spacing w:val="-2"/>
        </w:rPr>
        <w:t>等综合因素判断，能合理确定无形资产为公司带来经济利益期限的，作为使用寿命有限的无形</w:t>
      </w:r>
      <w:r>
        <w:rPr/>
        <w:t> 资产；无法合理确定无形资产为公司带来经济利益期限的，视为使用寿命不确定的无形资产。 3．对使用寿命有限的无形资产，估计其使用寿命时通常考虑以下因素：(1)</w:t>
      </w:r>
      <w:r>
        <w:rPr>
          <w:spacing w:val="36"/>
        </w:rPr>
        <w:t> </w:t>
      </w:r>
      <w:r>
        <w:rPr/>
        <w:t>运用该资产</w:t>
      </w:r>
      <w:r>
        <w:rPr>
          <w:spacing w:val="1"/>
        </w:rPr>
        <w:t> </w:t>
      </w:r>
      <w:r>
        <w:rPr/>
        <w:t>生产的产品通常的寿命周期、可获得的类似资产使用寿命的信息；(2)</w:t>
      </w:r>
      <w:r>
        <w:rPr>
          <w:spacing w:val="-32"/>
        </w:rPr>
        <w:t> </w:t>
      </w:r>
      <w:r>
        <w:rPr>
          <w:spacing w:val="-3"/>
        </w:rPr>
        <w:t>技术、工艺等方面的现</w:t>
      </w:r>
      <w:r>
        <w:rPr/>
        <w:t> </w:t>
      </w:r>
      <w:r>
        <w:rPr>
          <w:spacing w:val="-5"/>
        </w:rPr>
        <w:t>阶段情况及对未来发展趋势的估计；(3)</w:t>
      </w:r>
      <w:r>
        <w:rPr>
          <w:spacing w:val="27"/>
        </w:rPr>
        <w:t> </w:t>
      </w:r>
      <w:r>
        <w:rPr>
          <w:spacing w:val="-4"/>
        </w:rPr>
        <w:t>以该资产生产的产品或提供劳务的市场需求情况；(4)</w:t>
      </w:r>
      <w:r>
        <w:rPr>
          <w:spacing w:val="-1"/>
        </w:rPr>
        <w:t> </w:t>
      </w:r>
      <w:r>
        <w:rPr/>
        <w:t>现在或潜在的竞争者预期采取的行动；(5)</w:t>
      </w:r>
      <w:r>
        <w:rPr>
          <w:spacing w:val="-2"/>
        </w:rPr>
        <w:t> </w:t>
      </w:r>
      <w:r>
        <w:rPr/>
        <w:t>为维持该资产带来经济利益能力的预期维护支出，</w:t>
      </w:r>
      <w:r>
        <w:rPr/>
        <w:t> 以及公司预计支付有关支出的能力；(6)</w:t>
      </w:r>
      <w:r>
        <w:rPr>
          <w:spacing w:val="-62"/>
        </w:rPr>
        <w:t> </w:t>
      </w:r>
      <w:r>
        <w:rPr/>
        <w:t>对该资产控制期限的相关法律规定或类似限制，如特</w:t>
      </w:r>
    </w:p>
    <w:p>
      <w:pPr>
        <w:pStyle w:val="BodyText"/>
        <w:spacing w:line="367" w:lineRule="auto" w:before="34"/>
        <w:ind w:left="537" w:right="0" w:hanging="420"/>
        <w:jc w:val="left"/>
      </w:pPr>
      <w:r>
        <w:rPr/>
        <w:t>许使用期、租赁期等；(7)</w:t>
      </w:r>
      <w:r>
        <w:rPr>
          <w:spacing w:val="-1"/>
        </w:rPr>
        <w:t> </w:t>
      </w:r>
      <w:r>
        <w:rPr/>
        <w:t>与公司持有其他资产使用寿命的关联性等。</w:t>
      </w:r>
      <w:r>
        <w:rPr/>
        <w:t> 4．使用寿命有限的无形资产，在使用寿命内按照与该项无形资产有关的经济利益的预期</w:t>
      </w:r>
    </w:p>
    <w:p>
      <w:pPr>
        <w:pStyle w:val="BodyText"/>
        <w:spacing w:line="367" w:lineRule="auto" w:before="34"/>
        <w:ind w:right="0"/>
        <w:jc w:val="left"/>
      </w:pPr>
      <w:r>
        <w:rPr>
          <w:spacing w:val="-2"/>
        </w:rPr>
        <w:t>实现方式系统合理地摊销，无法可靠确定预期实现方式的，采用直线法摊销。使用寿命不确定</w:t>
      </w:r>
      <w:r>
        <w:rPr>
          <w:spacing w:val="-83"/>
        </w:rPr>
        <w:t> </w:t>
      </w:r>
      <w:r>
        <w:rPr>
          <w:spacing w:val="-83"/>
        </w:rPr>
      </w:r>
      <w:r>
        <w:rPr/>
        <w:t>的无形资产不摊销，但每年均对该无形资产的使用寿命进行复核，并进行减值测试。</w:t>
      </w:r>
    </w:p>
    <w:p>
      <w:pPr>
        <w:pStyle w:val="BodyText"/>
        <w:spacing w:line="367" w:lineRule="auto" w:before="34"/>
        <w:ind w:right="172" w:firstLine="420"/>
        <w:jc w:val="both"/>
      </w:pPr>
      <w:r>
        <w:rPr/>
        <w:t>5．资产负债表日，检查无形资产预计给公司带来未来经济利益的能力，按本财务报表附</w:t>
      </w:r>
      <w:r>
        <w:rPr>
          <w:spacing w:val="1"/>
        </w:rPr>
        <w:t> </w:t>
      </w:r>
      <w:r>
        <w:rPr/>
        <w:t>注三(十六)3</w:t>
      </w:r>
      <w:r>
        <w:rPr>
          <w:spacing w:val="-53"/>
        </w:rPr>
        <w:t> </w:t>
      </w:r>
      <w:r>
        <w:rPr/>
        <w:t>所述方法计提无形资产减值准备。</w:t>
      </w:r>
    </w:p>
    <w:p>
      <w:pPr>
        <w:pStyle w:val="BodyText"/>
        <w:spacing w:line="367" w:lineRule="auto" w:before="34"/>
        <w:ind w:right="172" w:firstLine="420"/>
        <w:jc w:val="both"/>
      </w:pPr>
      <w:r>
        <w:rPr/>
        <w:t>6．内部研究开发项目研究阶段的支出，于发生时计入当期损益。内部研究开发项目开发</w:t>
      </w:r>
      <w:r>
        <w:rPr>
          <w:spacing w:val="1"/>
        </w:rPr>
        <w:t> </w:t>
      </w:r>
      <w:r>
        <w:rPr>
          <w:spacing w:val="-5"/>
        </w:rPr>
        <w:t>阶段的支出，同时满足下列条件的，确认为无形资产：（1）完成该无形资产以使其能够使用或</w:t>
      </w:r>
      <w:r>
        <w:rPr>
          <w:spacing w:val="-76"/>
        </w:rPr>
        <w:t> </w:t>
      </w:r>
      <w:r>
        <w:rPr>
          <w:spacing w:val="-76"/>
        </w:rPr>
      </w:r>
      <w:r>
        <w:rPr>
          <w:spacing w:val="-7"/>
        </w:rPr>
        <w:t>出售在技术上具有可行性；（2）具有完成该无形资产并使用或出售的意图；（3）无形资产产生</w:t>
      </w:r>
      <w:r>
        <w:rPr>
          <w:spacing w:val="-102"/>
        </w:rPr>
        <w:t> </w:t>
      </w:r>
      <w:r>
        <w:rPr>
          <w:spacing w:val="-102"/>
        </w:rPr>
      </w:r>
      <w:r>
        <w:rPr>
          <w:spacing w:val="3"/>
        </w:rPr>
        <w:t>经济利益的方式，包括能够证明运用该无形资产生产的产品存在市场或无形资产自身存在市</w:t>
      </w:r>
      <w:r>
        <w:rPr>
          <w:spacing w:val="-99"/>
        </w:rPr>
        <w:t> </w:t>
      </w:r>
      <w:r>
        <w:rPr>
          <w:spacing w:val="-99"/>
        </w:rPr>
      </w:r>
      <w:r>
        <w:rPr>
          <w:spacing w:val="-4"/>
        </w:rPr>
        <w:t>场，无形资产将在内部使用的，可证明其有用性；（4）有足够的技术、财务资源和其他资源支</w:t>
      </w:r>
      <w:r>
        <w:rPr/>
        <w:t> </w:t>
      </w:r>
      <w:r>
        <w:rPr>
          <w:spacing w:val="-5"/>
        </w:rPr>
        <w:t>持，以完成该无形资产的开发，并有能力使用或出售该无形资产；（5）归属于该无形资产开发</w:t>
      </w:r>
      <w:r>
        <w:rPr>
          <w:spacing w:val="-71"/>
        </w:rPr>
        <w:t> </w:t>
      </w:r>
      <w:r>
        <w:rPr>
          <w:spacing w:val="-71"/>
        </w:rPr>
      </w:r>
      <w:r>
        <w:rPr/>
        <w:t>阶段的支出能够可靠地计量。</w:t>
      </w:r>
    </w:p>
    <w:p>
      <w:pPr>
        <w:pStyle w:val="BodyText"/>
        <w:spacing w:line="240" w:lineRule="auto" w:before="34"/>
        <w:ind w:left="537" w:right="0"/>
        <w:jc w:val="left"/>
      </w:pPr>
      <w:r>
        <w:rPr/>
        <w:t>(十六)</w:t>
      </w:r>
      <w:r>
        <w:rPr>
          <w:spacing w:val="-2"/>
        </w:rPr>
        <w:t> </w:t>
      </w:r>
      <w:r>
        <w:rPr/>
        <w:t>资产减值</w:t>
      </w:r>
    </w:p>
    <w:p>
      <w:pPr>
        <w:pStyle w:val="BodyText"/>
        <w:spacing w:line="240" w:lineRule="auto"/>
        <w:ind w:left="537" w:right="0"/>
        <w:jc w:val="left"/>
      </w:pPr>
      <w:r>
        <w:rPr/>
        <w:t>1．在资产负债表日判断资产（除存货、在活跃市场中没有报价且其公允价值不能可靠计</w:t>
      </w:r>
    </w:p>
    <w:p>
      <w:pPr>
        <w:spacing w:after="0" w:line="240" w:lineRule="auto"/>
        <w:jc w:val="left"/>
        <w:sectPr>
          <w:pgSz w:w="11910" w:h="16840"/>
          <w:pgMar w:header="0" w:footer="1263" w:top="1540" w:bottom="1460" w:left="1680" w:right="1380"/>
        </w:sectPr>
      </w:pPr>
    </w:p>
    <w:p>
      <w:pPr>
        <w:pStyle w:val="BodyText"/>
        <w:spacing w:line="367" w:lineRule="auto" w:before="13"/>
        <w:ind w:right="212"/>
        <w:jc w:val="both"/>
      </w:pPr>
      <w:r>
        <w:rPr>
          <w:spacing w:val="-2"/>
        </w:rPr>
        <w:t>量的权益工具投资、采用公允价值模式计量的投资性房地产、消耗性生物资产、建造合同形成</w:t>
      </w:r>
      <w:r>
        <w:rPr>
          <w:spacing w:val="-83"/>
        </w:rPr>
        <w:t> </w:t>
      </w:r>
      <w:r>
        <w:rPr>
          <w:spacing w:val="-83"/>
        </w:rPr>
      </w:r>
      <w:r>
        <w:rPr>
          <w:spacing w:val="-2"/>
        </w:rPr>
        <w:t>的资产、递延所得税资产、融资租赁中出租人未担保余值和金融资产以外的资产）是否存在可</w:t>
      </w:r>
      <w:r>
        <w:rPr>
          <w:spacing w:val="-83"/>
        </w:rPr>
        <w:t> </w:t>
      </w:r>
      <w:r>
        <w:rPr>
          <w:spacing w:val="-83"/>
        </w:rPr>
      </w:r>
      <w:r>
        <w:rPr>
          <w:spacing w:val="-2"/>
        </w:rPr>
        <w:t>能发生减值的迹象。有迹象表明一项资产可能发生减值的，以单项资产为基础估计其可收回金</w:t>
      </w:r>
      <w:r>
        <w:rPr>
          <w:spacing w:val="-85"/>
        </w:rPr>
        <w:t> </w:t>
      </w:r>
      <w:r>
        <w:rPr>
          <w:spacing w:val="-85"/>
        </w:rPr>
      </w:r>
      <w:r>
        <w:rPr>
          <w:spacing w:val="-2"/>
        </w:rPr>
        <w:t>额；难以对单项资产的可收回金额进行估计的，以该资产所属的资产组或资产组组合为基础确</w:t>
      </w:r>
      <w:r>
        <w:rPr>
          <w:spacing w:val="-85"/>
        </w:rPr>
        <w:t> </w:t>
      </w:r>
      <w:r>
        <w:rPr>
          <w:spacing w:val="-85"/>
        </w:rPr>
      </w:r>
      <w:r>
        <w:rPr/>
        <w:t>定其可收回金额。</w:t>
      </w:r>
    </w:p>
    <w:p>
      <w:pPr>
        <w:pStyle w:val="BodyText"/>
        <w:spacing w:line="367" w:lineRule="auto" w:before="34"/>
        <w:ind w:right="212" w:firstLine="420"/>
        <w:jc w:val="both"/>
      </w:pPr>
      <w:r>
        <w:rPr/>
        <w:t>2．可收回金额根据单项资产、资产组或资产组组合的公允价值减去处置费用后的净额与</w:t>
      </w:r>
      <w:r>
        <w:rPr>
          <w:spacing w:val="1"/>
        </w:rPr>
        <w:t> </w:t>
      </w:r>
      <w:r>
        <w:rPr/>
        <w:t>该单项资产、资产组或资产组组合的预计未来现金流量的现值两者之间较高者确定。</w:t>
      </w:r>
    </w:p>
    <w:p>
      <w:pPr>
        <w:pStyle w:val="BodyText"/>
        <w:spacing w:line="367" w:lineRule="auto" w:before="34"/>
        <w:ind w:right="212" w:firstLine="420"/>
        <w:jc w:val="both"/>
      </w:pPr>
      <w:r>
        <w:rPr/>
        <w:t>3．单项资产的可收回金额低于其账面价值的，按单项资产的账面价值与可收回金额的差</w:t>
      </w:r>
      <w:r>
        <w:rPr>
          <w:spacing w:val="1"/>
        </w:rPr>
        <w:t> </w:t>
      </w:r>
      <w:r>
        <w:rPr>
          <w:spacing w:val="-2"/>
        </w:rPr>
        <w:t>额计提相应的资产减值准备。资产组或资产组组合的可收回金额低于其账面价值的，确认其相</w:t>
      </w:r>
      <w:r>
        <w:rPr>
          <w:spacing w:val="-85"/>
        </w:rPr>
        <w:t> </w:t>
      </w:r>
      <w:r>
        <w:rPr>
          <w:spacing w:val="-85"/>
        </w:rPr>
      </w:r>
      <w:r>
        <w:rPr>
          <w:spacing w:val="-2"/>
        </w:rPr>
        <w:t>应的减值损失，减值损失金额先抵减分摊至资产组或资产组组合中商誉的账面价值，再根据资</w:t>
      </w:r>
      <w:r>
        <w:rPr>
          <w:spacing w:val="-85"/>
        </w:rPr>
        <w:t> </w:t>
      </w:r>
      <w:r>
        <w:rPr>
          <w:spacing w:val="-85"/>
        </w:rPr>
      </w:r>
      <w:r>
        <w:rPr>
          <w:spacing w:val="-2"/>
        </w:rPr>
        <w:t>产组或资产组组合中除商誉之外的其他各项资产的账面价值所占比重，按比例抵减其他各项资</w:t>
      </w:r>
      <w:r>
        <w:rPr>
          <w:spacing w:val="-82"/>
        </w:rPr>
        <w:t> </w:t>
      </w:r>
      <w:r>
        <w:rPr>
          <w:spacing w:val="-82"/>
        </w:rPr>
      </w:r>
      <w:r>
        <w:rPr>
          <w:spacing w:val="-2"/>
        </w:rPr>
        <w:t>产的账面价值；以上资产账面价值的抵减，作为各单项资产（包括商誉）的减值损失，计提各</w:t>
      </w:r>
      <w:r>
        <w:rPr>
          <w:spacing w:val="-83"/>
        </w:rPr>
        <w:t> </w:t>
      </w:r>
      <w:r>
        <w:rPr>
          <w:spacing w:val="-83"/>
        </w:rPr>
      </w:r>
      <w:r>
        <w:rPr/>
        <w:t>单项资产的减值准备。</w:t>
      </w:r>
    </w:p>
    <w:p>
      <w:pPr>
        <w:pStyle w:val="BodyText"/>
        <w:spacing w:line="367" w:lineRule="auto" w:before="34"/>
        <w:ind w:left="537" w:right="2762"/>
        <w:jc w:val="left"/>
      </w:pPr>
      <w:r>
        <w:rPr/>
        <w:t>4．上述资产减值损失一经确认，在以后会计期间不予转回。 (十七)</w:t>
      </w:r>
      <w:r>
        <w:rPr>
          <w:spacing w:val="-1"/>
        </w:rPr>
        <w:t> </w:t>
      </w:r>
      <w:r>
        <w:rPr/>
        <w:t>借款费用的确认和计量</w:t>
      </w:r>
      <w:r>
        <w:rPr/>
        <w:t> 1．借款费用资本化的确认原则</w:t>
      </w:r>
    </w:p>
    <w:p>
      <w:pPr>
        <w:pStyle w:val="BodyText"/>
        <w:spacing w:line="367" w:lineRule="auto" w:before="34"/>
        <w:ind w:right="154" w:firstLine="420"/>
        <w:jc w:val="both"/>
      </w:pPr>
      <w:r>
        <w:rPr>
          <w:spacing w:val="-2"/>
        </w:rPr>
        <w:t>公司发生的借款费用，可直接归属于符合资本化条件的资产的购建或者生产的，予以资本</w:t>
      </w:r>
      <w:r>
        <w:rPr/>
        <w:t> 化，计入相关资产成本；其他借款费用，在发生时根据其发生额确认为费用，计入当期损益。 </w:t>
      </w:r>
      <w:r>
        <w:rPr>
          <w:spacing w:val="3"/>
        </w:rPr>
        <w:t>符合资本化条件的资产是指需要经过相当长时间的购建或者生产活动才能达到预定可使用或</w:t>
      </w:r>
      <w:r>
        <w:rPr>
          <w:spacing w:val="-99"/>
        </w:rPr>
        <w:t> </w:t>
      </w:r>
      <w:r>
        <w:rPr>
          <w:spacing w:val="-99"/>
        </w:rPr>
      </w:r>
      <w:r>
        <w:rPr/>
        <w:t>者可销售状态的固定资产、投资性房地产和存货等资产。</w:t>
      </w:r>
    </w:p>
    <w:p>
      <w:pPr>
        <w:pStyle w:val="BodyText"/>
        <w:spacing w:line="240" w:lineRule="auto" w:before="34"/>
        <w:ind w:left="537" w:right="95"/>
        <w:jc w:val="left"/>
      </w:pPr>
      <w:r>
        <w:rPr/>
        <w:t>2．借款费用资本化期间</w:t>
      </w:r>
    </w:p>
    <w:p>
      <w:pPr>
        <w:pStyle w:val="BodyText"/>
        <w:spacing w:line="367" w:lineRule="auto"/>
        <w:ind w:right="102" w:firstLine="420"/>
        <w:jc w:val="left"/>
      </w:pPr>
      <w:r>
        <w:rPr/>
        <w:t>(1) </w:t>
      </w:r>
      <w:r>
        <w:rPr>
          <w:spacing w:val="-6"/>
        </w:rPr>
        <w:t>当同时满足下列条件时，开始资本化：1) 资产支出已经发生；2)</w:t>
      </w:r>
      <w:r>
        <w:rPr>
          <w:spacing w:val="11"/>
        </w:rPr>
        <w:t> </w:t>
      </w:r>
      <w:r>
        <w:rPr/>
        <w:t>借款费用已经发生；</w:t>
      </w:r>
      <w:r>
        <w:rPr/>
        <w:t> 3)</w:t>
      </w:r>
      <w:r>
        <w:rPr>
          <w:spacing w:val="-2"/>
        </w:rPr>
        <w:t> </w:t>
      </w:r>
      <w:r>
        <w:rPr/>
        <w:t>为使资产达到预定可使用或可销售状态所必要的购建或者生产活动已经开始。</w:t>
      </w:r>
    </w:p>
    <w:p>
      <w:pPr>
        <w:pStyle w:val="BodyText"/>
        <w:spacing w:line="240" w:lineRule="auto" w:before="34"/>
        <w:ind w:left="537" w:right="95"/>
        <w:jc w:val="left"/>
      </w:pPr>
      <w:r>
        <w:rPr/>
        <w:t>(2)</w:t>
      </w:r>
      <w:r>
        <w:rPr>
          <w:spacing w:val="-62"/>
        </w:rPr>
        <w:t> </w:t>
      </w:r>
      <w:r>
        <w:rPr/>
        <w:t>暂停资本化：若符合资本化条件的资产在购建或者生产过程中发生非正常中断，并且</w:t>
      </w:r>
    </w:p>
    <w:p>
      <w:pPr>
        <w:pStyle w:val="BodyText"/>
        <w:spacing w:line="367" w:lineRule="auto"/>
        <w:ind w:right="97"/>
        <w:jc w:val="left"/>
      </w:pPr>
      <w:r>
        <w:rPr/>
        <w:t>中断时间连续超过</w:t>
      </w:r>
      <w:r>
        <w:rPr>
          <w:spacing w:val="-39"/>
        </w:rPr>
        <w:t> </w:t>
      </w:r>
      <w:r>
        <w:rPr/>
        <w:t>3</w:t>
      </w:r>
      <w:r>
        <w:rPr>
          <w:spacing w:val="-38"/>
        </w:rPr>
        <w:t> </w:t>
      </w:r>
      <w:r>
        <w:rPr>
          <w:spacing w:val="-6"/>
        </w:rPr>
        <w:t>个月，暂停借款费用的资本化；中断期间发生的借款费用确认为当期费用，</w:t>
      </w:r>
      <w:r>
        <w:rPr>
          <w:spacing w:val="-102"/>
        </w:rPr>
        <w:t> </w:t>
      </w:r>
      <w:r>
        <w:rPr>
          <w:spacing w:val="-102"/>
        </w:rPr>
      </w:r>
      <w:r>
        <w:rPr/>
        <w:t>直至资产的购建或者生产活动重新开始。</w:t>
      </w:r>
    </w:p>
    <w:p>
      <w:pPr>
        <w:pStyle w:val="BodyText"/>
        <w:spacing w:line="367" w:lineRule="auto" w:before="34"/>
        <w:ind w:right="213" w:firstLine="420"/>
        <w:jc w:val="both"/>
      </w:pPr>
      <w:r>
        <w:rPr/>
        <w:t>(3)</w:t>
      </w:r>
      <w:r>
        <w:rPr>
          <w:spacing w:val="-56"/>
        </w:rPr>
        <w:t> </w:t>
      </w:r>
      <w:r>
        <w:rPr/>
        <w:t>停止资本化：当所购建或者生产符合资本化条件的资产达到预定可使用或者可销售状</w:t>
      </w:r>
      <w:r>
        <w:rPr/>
        <w:t> 态时，借款费用停止资本化。</w:t>
      </w:r>
    </w:p>
    <w:p>
      <w:pPr>
        <w:pStyle w:val="BodyText"/>
        <w:spacing w:line="367" w:lineRule="auto" w:before="34"/>
        <w:ind w:left="537" w:right="95"/>
        <w:jc w:val="left"/>
      </w:pPr>
      <w:r>
        <w:rPr/>
        <w:t>3．借款费用资本化金额 </w:t>
      </w:r>
      <w:r>
        <w:rPr>
          <w:spacing w:val="-2"/>
        </w:rPr>
        <w:t>为购建或者生产符合资本化条件的资产而借入专门借款的，以专门借款当期实际发生的利</w:t>
      </w:r>
    </w:p>
    <w:p>
      <w:pPr>
        <w:pStyle w:val="BodyText"/>
        <w:spacing w:line="367" w:lineRule="auto" w:before="34"/>
        <w:ind w:right="155"/>
        <w:jc w:val="both"/>
      </w:pPr>
      <w:r>
        <w:rPr>
          <w:spacing w:val="-2"/>
        </w:rPr>
        <w:t>息费用（包括按照实际利率法确定的折价或溢价的摊销），减去将尚未动用的借款资金存入银</w:t>
      </w:r>
      <w:r>
        <w:rPr>
          <w:spacing w:val="-84"/>
        </w:rPr>
        <w:t> </w:t>
      </w:r>
      <w:r>
        <w:rPr>
          <w:spacing w:val="-84"/>
        </w:rPr>
      </w:r>
      <w:r>
        <w:rPr/>
        <w:t>行取得的利息收入或进行暂时性投资取得的投资收益后的金额，确定应予资本化的利息金额；</w:t>
      </w:r>
    </w:p>
    <w:p>
      <w:pPr>
        <w:pStyle w:val="BodyText"/>
        <w:spacing w:line="240" w:lineRule="auto" w:before="34"/>
        <w:ind w:right="0"/>
        <w:jc w:val="both"/>
      </w:pPr>
      <w:r>
        <w:rPr/>
        <w:t>为购建或者生产符合资本化条件的资产占用了一般借款的，根据累计资产支出超过专门借款的</w:t>
      </w:r>
    </w:p>
    <w:p>
      <w:pPr>
        <w:spacing w:after="0" w:line="240" w:lineRule="auto"/>
        <w:jc w:val="both"/>
        <w:sectPr>
          <w:footerReference w:type="default" r:id="rId14"/>
          <w:pgSz w:w="11910" w:h="16840"/>
          <w:pgMar w:footer="1263" w:header="0" w:top="1540" w:bottom="1460" w:left="1680" w:right="1340"/>
          <w:pgNumType w:start="62"/>
        </w:sectPr>
      </w:pPr>
    </w:p>
    <w:p>
      <w:pPr>
        <w:pStyle w:val="BodyText"/>
        <w:spacing w:line="367" w:lineRule="auto" w:before="13"/>
        <w:ind w:right="154"/>
        <w:jc w:val="both"/>
      </w:pPr>
      <w:r>
        <w:rPr>
          <w:spacing w:val="-2"/>
        </w:rPr>
        <w:t>资产支出加权平均数乘以占用一般借款的资本化率（加权平均利率），计算确定一般借款应予</w:t>
      </w:r>
      <w:r>
        <w:rPr>
          <w:spacing w:val="-84"/>
        </w:rPr>
        <w:t> </w:t>
      </w:r>
      <w:r>
        <w:rPr>
          <w:spacing w:val="-84"/>
        </w:rPr>
      </w:r>
      <w:r>
        <w:rPr>
          <w:spacing w:val="-2"/>
        </w:rPr>
        <w:t>资本化的利息金额。在资本化期间内，每一会计期间的利息资本化金额不超过当期相关借款实</w:t>
      </w:r>
      <w:r>
        <w:rPr>
          <w:spacing w:val="-85"/>
        </w:rPr>
        <w:t> </w:t>
      </w:r>
      <w:r>
        <w:rPr>
          <w:spacing w:val="-85"/>
        </w:rPr>
      </w:r>
      <w:r>
        <w:rPr>
          <w:spacing w:val="-2"/>
        </w:rPr>
        <w:t>际发生的利息金额。外币专门借款本金及利息的汇兑差额，在资本化期间内予以资本化。专门</w:t>
      </w:r>
      <w:r>
        <w:rPr>
          <w:spacing w:val="-83"/>
        </w:rPr>
        <w:t> </w:t>
      </w:r>
      <w:r>
        <w:rPr>
          <w:spacing w:val="-83"/>
        </w:rPr>
      </w:r>
      <w:r>
        <w:rPr>
          <w:spacing w:val="-2"/>
        </w:rPr>
        <w:t>借款发生的辅助费用，在所购建或生产的符合资本化条件的资产达到预定可使用或者可销售状</w:t>
      </w:r>
      <w:r>
        <w:rPr>
          <w:spacing w:val="-82"/>
        </w:rPr>
        <w:t> </w:t>
      </w:r>
      <w:r>
        <w:rPr>
          <w:spacing w:val="-82"/>
        </w:rPr>
      </w:r>
      <w:r>
        <w:rPr/>
        <w:t>态之前发生的，予以资本化；在达到预定可使用或者可销售状态之后发生的，计入当期损益。 一般借款发生的辅助费用，在发生时计入当期损益。</w:t>
      </w:r>
    </w:p>
    <w:p>
      <w:pPr>
        <w:pStyle w:val="BodyText"/>
        <w:spacing w:line="367" w:lineRule="auto" w:before="34"/>
        <w:ind w:left="537" w:right="95"/>
        <w:jc w:val="left"/>
      </w:pPr>
      <w:r>
        <w:rPr/>
        <w:t>(十八)</w:t>
      </w:r>
      <w:r>
        <w:rPr>
          <w:spacing w:val="-1"/>
        </w:rPr>
        <w:t> </w:t>
      </w:r>
      <w:r>
        <w:rPr/>
        <w:t>预计负债核算方法</w:t>
      </w:r>
      <w:r>
        <w:rPr/>
        <w:t> </w:t>
      </w:r>
      <w:r>
        <w:rPr>
          <w:spacing w:val="-7"/>
        </w:rPr>
        <w:t>根据公司自行开发研制的软件产品和定制软件成品销售合同的规定，由公司负责免费维护或</w:t>
      </w:r>
    </w:p>
    <w:p>
      <w:pPr>
        <w:pStyle w:val="BodyText"/>
        <w:spacing w:line="367" w:lineRule="auto" w:before="34"/>
        <w:ind w:left="537" w:right="95" w:hanging="420"/>
        <w:jc w:val="left"/>
      </w:pPr>
      <w:r>
        <w:rPr>
          <w:spacing w:val="-10"/>
        </w:rPr>
        <w:t>免费升级的部分，在确认收入的同时按照收入的</w:t>
      </w:r>
      <w:r>
        <w:rPr>
          <w:spacing w:val="-50"/>
        </w:rPr>
        <w:t> </w:t>
      </w:r>
      <w:r>
        <w:rPr>
          <w:spacing w:val="-11"/>
        </w:rPr>
        <w:t>0.5%计提软件维护费用，记入“预计负债”科目。</w:t>
      </w:r>
      <w:r>
        <w:rPr>
          <w:spacing w:val="-94"/>
        </w:rPr>
        <w:t> </w:t>
      </w:r>
      <w:r>
        <w:rPr>
          <w:spacing w:val="-94"/>
        </w:rPr>
      </w:r>
      <w:r>
        <w:rPr/>
        <w:t>(十九)</w:t>
      </w:r>
      <w:r>
        <w:rPr>
          <w:spacing w:val="-2"/>
        </w:rPr>
        <w:t> </w:t>
      </w:r>
      <w:r>
        <w:rPr/>
        <w:t>收入确认原则</w:t>
      </w:r>
    </w:p>
    <w:p>
      <w:pPr>
        <w:pStyle w:val="BodyText"/>
        <w:spacing w:line="367" w:lineRule="auto" w:before="34"/>
        <w:ind w:left="537" w:right="95"/>
        <w:jc w:val="left"/>
      </w:pPr>
      <w:r>
        <w:rPr/>
        <w:t>1．自行开发研制的软件产品销售收入 </w:t>
      </w:r>
      <w:r>
        <w:rPr>
          <w:spacing w:val="-2"/>
        </w:rPr>
        <w:t>软件产品在同时满足软件产品所有权上的主要风险和报酬转移给购买方；公司不再保留通</w:t>
      </w:r>
    </w:p>
    <w:p>
      <w:pPr>
        <w:pStyle w:val="BodyText"/>
        <w:spacing w:line="367" w:lineRule="auto" w:before="34"/>
        <w:ind w:right="154"/>
        <w:jc w:val="both"/>
      </w:pPr>
      <w:r>
        <w:rPr>
          <w:spacing w:val="-2"/>
        </w:rPr>
        <w:t>常与所有权相联系的继续管理权，也不再对已售出的软件产品实施有效控制；收入的金额能够</w:t>
      </w:r>
      <w:r>
        <w:rPr>
          <w:spacing w:val="-85"/>
        </w:rPr>
        <w:t> </w:t>
      </w:r>
      <w:r>
        <w:rPr>
          <w:spacing w:val="-85"/>
        </w:rPr>
      </w:r>
      <w:r>
        <w:rPr/>
        <w:t>可靠地计量；相关的经济利益很可能流入；相关的已发生或将发生的成本能够可靠地计量时， 确认软件产品销售收入的实现。</w:t>
      </w:r>
    </w:p>
    <w:p>
      <w:pPr>
        <w:pStyle w:val="BodyText"/>
        <w:spacing w:line="367" w:lineRule="auto" w:before="34"/>
        <w:ind w:left="537" w:right="95"/>
        <w:jc w:val="left"/>
      </w:pPr>
      <w:r>
        <w:rPr/>
        <w:t>2．定制软件销售收入 </w:t>
      </w:r>
      <w:r>
        <w:rPr>
          <w:spacing w:val="-2"/>
        </w:rPr>
        <w:t>提供定制软件劳务交易的结果在资产负债表日能够可靠估计的（同时满足收入的金额能够</w:t>
      </w:r>
    </w:p>
    <w:p>
      <w:pPr>
        <w:pStyle w:val="BodyText"/>
        <w:spacing w:line="367" w:lineRule="auto" w:before="34"/>
        <w:ind w:right="212"/>
        <w:jc w:val="both"/>
      </w:pPr>
      <w:r>
        <w:rPr>
          <w:spacing w:val="-2"/>
        </w:rPr>
        <w:t>可靠地计量、相关经济利益很可能流入、交易的完工进度能够可靠地确定、交易中已发生和将</w:t>
      </w:r>
      <w:r>
        <w:rPr>
          <w:spacing w:val="-83"/>
        </w:rPr>
        <w:t> </w:t>
      </w:r>
      <w:r>
        <w:rPr>
          <w:spacing w:val="-83"/>
        </w:rPr>
      </w:r>
      <w:r>
        <w:rPr>
          <w:spacing w:val="-2"/>
        </w:rPr>
        <w:t>发生的成本能够可靠地计量），采用完工百分比法确认提供劳务的收入，并按已经发生的成本</w:t>
      </w:r>
      <w:r>
        <w:rPr>
          <w:spacing w:val="-85"/>
        </w:rPr>
        <w:t> </w:t>
      </w:r>
      <w:r>
        <w:rPr>
          <w:spacing w:val="-85"/>
        </w:rPr>
      </w:r>
      <w:r>
        <w:rPr>
          <w:spacing w:val="-2"/>
        </w:rPr>
        <w:t>占估计总成本的比例确定提供劳务交易的完工进度。提供定制软件劳务交易的结果在资产负债</w:t>
      </w:r>
      <w:r>
        <w:rPr>
          <w:spacing w:val="-82"/>
        </w:rPr>
        <w:t> </w:t>
      </w:r>
      <w:r>
        <w:rPr>
          <w:spacing w:val="-82"/>
        </w:rPr>
      </w:r>
      <w:r>
        <w:rPr>
          <w:spacing w:val="-2"/>
        </w:rPr>
        <w:t>表日不能够可靠估计的，若已经发生的劳务成本预计能够得到补偿，按已经发生的劳务成本金</w:t>
      </w:r>
      <w:r>
        <w:rPr>
          <w:spacing w:val="-85"/>
        </w:rPr>
        <w:t> </w:t>
      </w:r>
      <w:r>
        <w:rPr>
          <w:spacing w:val="-85"/>
        </w:rPr>
      </w:r>
      <w:r>
        <w:rPr>
          <w:spacing w:val="-2"/>
        </w:rPr>
        <w:t>额确认提供劳务收入，并按相同金额结转劳务成本；若已经发生的劳务成本预计不能够得到补</w:t>
      </w:r>
      <w:r>
        <w:rPr>
          <w:spacing w:val="-85"/>
        </w:rPr>
        <w:t> </w:t>
      </w:r>
      <w:r>
        <w:rPr>
          <w:spacing w:val="-85"/>
        </w:rPr>
      </w:r>
      <w:r>
        <w:rPr/>
        <w:t>偿，将已经发生的劳务成本计入当期损益，不确认劳务收入。</w:t>
      </w:r>
    </w:p>
    <w:p>
      <w:pPr>
        <w:pStyle w:val="BodyText"/>
        <w:spacing w:line="367" w:lineRule="auto" w:before="34"/>
        <w:ind w:left="537" w:right="2657"/>
        <w:jc w:val="left"/>
      </w:pPr>
      <w:r>
        <w:rPr/>
        <w:t>3．软件服务收入 在劳务已经提供，收到价款或取得收款的证据时，确认收入。 4．系统集成收入</w:t>
      </w:r>
    </w:p>
    <w:p>
      <w:pPr>
        <w:pStyle w:val="BodyText"/>
        <w:spacing w:line="367" w:lineRule="auto" w:before="34"/>
        <w:ind w:right="212" w:firstLine="420"/>
        <w:jc w:val="both"/>
      </w:pPr>
      <w:r>
        <w:rPr>
          <w:spacing w:val="-2"/>
        </w:rPr>
        <w:t>在软件收入、工程安装收入与外购商品销售收入能分开核算的情况下，软件收入按上述软</w:t>
      </w:r>
      <w:r>
        <w:rPr/>
        <w:t> </w:t>
      </w:r>
      <w:r>
        <w:rPr>
          <w:spacing w:val="-2"/>
        </w:rPr>
        <w:t>件产品销售和定制软件的原则进行确认；在软件收入、工程安装收入与外购商品销售收入不能</w:t>
      </w:r>
      <w:r>
        <w:rPr>
          <w:spacing w:val="-85"/>
        </w:rPr>
        <w:t> </w:t>
      </w:r>
      <w:r>
        <w:rPr>
          <w:spacing w:val="-85"/>
        </w:rPr>
      </w:r>
      <w:r>
        <w:rPr>
          <w:spacing w:val="-2"/>
        </w:rPr>
        <w:t>分开核算，且工程安装费是商品销售收入的一部分时，则一并核算，软件产品收入与工程安装</w:t>
      </w:r>
      <w:r>
        <w:rPr>
          <w:spacing w:val="-83"/>
        </w:rPr>
        <w:t> </w:t>
      </w:r>
      <w:r>
        <w:rPr>
          <w:spacing w:val="-83"/>
        </w:rPr>
      </w:r>
      <w:r>
        <w:rPr/>
        <w:t>收入在整个商品销售时一并确认。</w:t>
      </w:r>
    </w:p>
    <w:p>
      <w:pPr>
        <w:pStyle w:val="BodyText"/>
        <w:spacing w:line="367" w:lineRule="auto" w:before="34"/>
        <w:ind w:right="214" w:firstLine="420"/>
        <w:jc w:val="both"/>
      </w:pPr>
      <w:r>
        <w:rPr>
          <w:spacing w:val="-2"/>
        </w:rPr>
        <w:t>对系统集成业务的开始和完成分属不同的会计年度的，在整个系统集成合同的总收入、劳</w:t>
      </w:r>
      <w:r>
        <w:rPr/>
        <w:t> </w:t>
      </w:r>
      <w:r>
        <w:rPr>
          <w:spacing w:val="-2"/>
        </w:rPr>
        <w:t>务的完成程度能够可靠地确定，与交易相关的价款能够流入，已经发生的成本和为完成劳务将</w:t>
      </w:r>
    </w:p>
    <w:p>
      <w:pPr>
        <w:pStyle w:val="BodyText"/>
        <w:spacing w:line="240" w:lineRule="auto" w:before="34"/>
        <w:ind w:right="0"/>
        <w:jc w:val="both"/>
      </w:pPr>
      <w:r>
        <w:rPr/>
        <w:t>要发生的成本能够可靠地计量时，按完工百分比法（工程完工进度）确认收入。</w:t>
      </w:r>
    </w:p>
    <w:p>
      <w:pPr>
        <w:spacing w:after="0" w:line="240" w:lineRule="auto"/>
        <w:jc w:val="both"/>
        <w:sectPr>
          <w:footerReference w:type="default" r:id="rId15"/>
          <w:pgSz w:w="11910" w:h="16840"/>
          <w:pgMar w:footer="1263" w:header="0" w:top="1540" w:bottom="1460" w:left="1680" w:right="1340"/>
          <w:pgNumType w:start="63"/>
        </w:sectPr>
      </w:pPr>
    </w:p>
    <w:p>
      <w:pPr>
        <w:pStyle w:val="BodyText"/>
        <w:spacing w:line="367" w:lineRule="auto" w:before="13"/>
        <w:ind w:left="537" w:right="0"/>
        <w:jc w:val="left"/>
      </w:pPr>
      <w:r>
        <w:rPr/>
        <w:t>5．外购商品销售收入 </w:t>
      </w:r>
      <w:r>
        <w:rPr>
          <w:spacing w:val="-2"/>
        </w:rPr>
        <w:t>外购商品包括外购软、硬件商品。在同时满足商品所有权上的主要风险和报酬转移给购货</w:t>
      </w:r>
    </w:p>
    <w:p>
      <w:pPr>
        <w:pStyle w:val="BodyText"/>
        <w:spacing w:line="367" w:lineRule="auto" w:before="34"/>
        <w:ind w:right="114"/>
        <w:jc w:val="both"/>
      </w:pPr>
      <w:r>
        <w:rPr/>
        <w:t>方；公司不再保留通常与所有权相联系的继续管理权，也不再对已售出的商品实施有效控制； </w:t>
      </w:r>
      <w:r>
        <w:rPr>
          <w:spacing w:val="-2"/>
        </w:rPr>
        <w:t>收入的金额能够可靠地计量；相关的经济利益很可能流入；相关的已发生或将发生的成本能够</w:t>
      </w:r>
      <w:r>
        <w:rPr>
          <w:spacing w:val="-85"/>
        </w:rPr>
        <w:t> </w:t>
      </w:r>
      <w:r>
        <w:rPr>
          <w:spacing w:val="-85"/>
        </w:rPr>
      </w:r>
      <w:r>
        <w:rPr/>
        <w:t>可靠地计量时，确认商品销售收入的实现。</w:t>
      </w:r>
    </w:p>
    <w:p>
      <w:pPr>
        <w:pStyle w:val="BodyText"/>
        <w:spacing w:line="367" w:lineRule="auto" w:before="34"/>
        <w:ind w:left="537" w:right="0"/>
        <w:jc w:val="left"/>
      </w:pPr>
      <w:r>
        <w:rPr/>
        <w:t>6．让渡资产使用权 </w:t>
      </w:r>
      <w:r>
        <w:rPr>
          <w:spacing w:val="-2"/>
        </w:rPr>
        <w:t>让渡资产使用权在同时满足相关的经济利益很可能流入、收入金额能够可靠计量时，确认</w:t>
      </w:r>
    </w:p>
    <w:p>
      <w:pPr>
        <w:pStyle w:val="BodyText"/>
        <w:spacing w:line="367" w:lineRule="auto" w:before="34"/>
        <w:ind w:right="114"/>
        <w:jc w:val="both"/>
      </w:pPr>
      <w:r>
        <w:rPr/>
        <w:t>让渡资产使用权的收入。利息收入按照他人使用本企业货币资金的时间和实际利率计算确定； 使用费收入按有关合同或协议约定的收费时间和方法计算确定。</w:t>
      </w:r>
    </w:p>
    <w:p>
      <w:pPr>
        <w:pStyle w:val="BodyText"/>
        <w:spacing w:line="367" w:lineRule="auto" w:before="34"/>
        <w:ind w:left="537" w:right="0"/>
        <w:jc w:val="left"/>
      </w:pPr>
      <w:r>
        <w:rPr/>
        <w:t>7.</w:t>
      </w:r>
      <w:r>
        <w:rPr>
          <w:spacing w:val="-1"/>
        </w:rPr>
        <w:t> </w:t>
      </w:r>
      <w:r>
        <w:rPr/>
        <w:t>租赁业务收入</w:t>
      </w:r>
      <w:r>
        <w:rPr/>
        <w:t> </w:t>
      </w:r>
      <w:r>
        <w:rPr>
          <w:spacing w:val="-3"/>
        </w:rPr>
        <w:t>经营租出资产收到的租金按直线法将租金在租赁期内各个期间确认为当期损益。融资租出</w:t>
      </w:r>
      <w:r>
        <w:rPr/>
      </w:r>
    </w:p>
    <w:p>
      <w:pPr>
        <w:pStyle w:val="BodyText"/>
        <w:spacing w:line="367" w:lineRule="auto" w:before="34"/>
        <w:ind w:right="175"/>
        <w:jc w:val="both"/>
      </w:pPr>
      <w:r>
        <w:rPr>
          <w:spacing w:val="-7"/>
        </w:rPr>
        <w:t>资产的，在租赁开始日，将租赁开始日最低租赁收款额与初始直接费用之和作为应收融资租赁款</w:t>
      </w:r>
      <w:r>
        <w:rPr>
          <w:spacing w:val="-95"/>
        </w:rPr>
        <w:t> </w:t>
      </w:r>
      <w:r>
        <w:rPr>
          <w:spacing w:val="-95"/>
        </w:rPr>
      </w:r>
      <w:r>
        <w:rPr>
          <w:spacing w:val="-7"/>
        </w:rPr>
        <w:t>的入账价值，同时记录未担保余值；将最低租赁收款额、初始直接费用、未担保余值之和的差额</w:t>
      </w:r>
      <w:r>
        <w:rPr>
          <w:spacing w:val="-95"/>
        </w:rPr>
        <w:t> </w:t>
      </w:r>
      <w:r>
        <w:rPr>
          <w:spacing w:val="-95"/>
        </w:rPr>
      </w:r>
      <w:r>
        <w:rPr>
          <w:spacing w:val="-5"/>
        </w:rPr>
        <w:t>作为未确认融资收益，在租赁期内各个期间进行分配。按实际利率法计算确认当期融资收入。</w:t>
      </w:r>
      <w:r>
        <w:rPr/>
      </w:r>
    </w:p>
    <w:p>
      <w:pPr>
        <w:pStyle w:val="BodyText"/>
        <w:spacing w:line="367" w:lineRule="auto" w:before="34"/>
        <w:ind w:left="537" w:right="0"/>
        <w:jc w:val="left"/>
      </w:pPr>
      <w:r>
        <w:rPr/>
        <w:t>(二十)</w:t>
      </w:r>
      <w:r>
        <w:rPr>
          <w:spacing w:val="-1"/>
        </w:rPr>
        <w:t> </w:t>
      </w:r>
      <w:r>
        <w:rPr/>
        <w:t>企业所得税的确认和计量</w:t>
      </w:r>
      <w:r>
        <w:rPr/>
        <w:t> 1．根据资产、负债的账面价值与其计税基础之间的差额（未作为资产和负债确认的项目</w:t>
      </w:r>
    </w:p>
    <w:p>
      <w:pPr>
        <w:pStyle w:val="BodyText"/>
        <w:spacing w:line="367" w:lineRule="auto" w:before="34"/>
        <w:ind w:right="173"/>
        <w:jc w:val="both"/>
      </w:pPr>
      <w:r>
        <w:rPr>
          <w:spacing w:val="-2"/>
        </w:rPr>
        <w:t>按照税法规定可以确定其计税基础的，该计税基础与其账面数之间的差额），按照预期收回该</w:t>
      </w:r>
      <w:r>
        <w:rPr>
          <w:spacing w:val="-85"/>
        </w:rPr>
        <w:t> </w:t>
      </w:r>
      <w:r>
        <w:rPr>
          <w:spacing w:val="-85"/>
        </w:rPr>
      </w:r>
      <w:r>
        <w:rPr/>
        <w:t>资产或清偿该负债期间的适用税率计算确认递延所得税资产或递延所得税负债。</w:t>
      </w:r>
    </w:p>
    <w:p>
      <w:pPr>
        <w:pStyle w:val="BodyText"/>
        <w:spacing w:line="367" w:lineRule="auto" w:before="34"/>
        <w:ind w:right="172" w:firstLine="420"/>
        <w:jc w:val="both"/>
      </w:pPr>
      <w:r>
        <w:rPr/>
        <w:t>2．确认递延所得税资产以很可能取得用来抵扣可抵扣暂时性差异的应纳税所得额为限。</w:t>
      </w:r>
      <w:r>
        <w:rPr>
          <w:spacing w:val="1"/>
        </w:rPr>
        <w:t> </w:t>
      </w:r>
      <w:r>
        <w:rPr>
          <w:spacing w:val="-2"/>
        </w:rPr>
        <w:t>资产负债表日，有确凿证据表明未来期间很可能获得足够的应纳税所得额用来抵扣可抵扣暂时</w:t>
      </w:r>
      <w:r>
        <w:rPr>
          <w:spacing w:val="-82"/>
        </w:rPr>
        <w:t> </w:t>
      </w:r>
      <w:r>
        <w:rPr>
          <w:spacing w:val="-82"/>
        </w:rPr>
      </w:r>
      <w:r>
        <w:rPr/>
        <w:t>性差异的，确认以前会计期间未确认的递延所得税资产。</w:t>
      </w:r>
    </w:p>
    <w:p>
      <w:pPr>
        <w:pStyle w:val="BodyText"/>
        <w:spacing w:line="367" w:lineRule="auto" w:before="34"/>
        <w:ind w:right="114" w:firstLine="420"/>
        <w:jc w:val="both"/>
      </w:pPr>
      <w:r>
        <w:rPr/>
        <w:t>3．资产负债表日，对递延所得税资产的账面价值进行复核，如果未来期间很可能无法获</w:t>
      </w:r>
      <w:r>
        <w:rPr>
          <w:spacing w:val="1"/>
        </w:rPr>
        <w:t> </w:t>
      </w:r>
      <w:r>
        <w:rPr/>
        <w:t>得足够的应纳税所得额用以抵扣递延所得税资产的利益，则减记递延所得税资产的账面价值。</w:t>
      </w:r>
      <w:r>
        <w:rPr/>
        <w:t> 在很可能获得足够的应纳税所得额时，转回减记的金额。</w:t>
      </w:r>
    </w:p>
    <w:p>
      <w:pPr>
        <w:pStyle w:val="BodyText"/>
        <w:spacing w:line="367" w:lineRule="auto" w:before="34"/>
        <w:ind w:left="537" w:right="0"/>
        <w:jc w:val="left"/>
      </w:pPr>
      <w:r>
        <w:rPr/>
        <w:t>(二十一)</w:t>
      </w:r>
      <w:r>
        <w:rPr>
          <w:spacing w:val="-1"/>
        </w:rPr>
        <w:t> </w:t>
      </w:r>
      <w:r>
        <w:rPr/>
        <w:t>合并财务报表的编制方法</w:t>
      </w:r>
      <w:r>
        <w:rPr/>
        <w:t> </w:t>
      </w:r>
      <w:r>
        <w:rPr>
          <w:spacing w:val="-2"/>
        </w:rPr>
        <w:t>母公司将其控制的所有子公司纳入合并财务报表的合并范围。合并财务报表以母公司和其</w:t>
      </w:r>
    </w:p>
    <w:p>
      <w:pPr>
        <w:pStyle w:val="BodyText"/>
        <w:spacing w:line="367" w:lineRule="auto" w:before="34"/>
        <w:ind w:right="114"/>
        <w:jc w:val="both"/>
      </w:pPr>
      <w:r>
        <w:rPr/>
        <w:t>子公司的财务报表为基础，根据其他有关资料，按照权益法调整对子公司的长期股权投资后， 由母公司按照《企业会计准则第</w:t>
      </w:r>
      <w:r>
        <w:rPr>
          <w:spacing w:val="-67"/>
        </w:rPr>
        <w:t> </w:t>
      </w:r>
      <w:r>
        <w:rPr/>
        <w:t>33</w:t>
      </w:r>
      <w:r>
        <w:rPr>
          <w:spacing w:val="-67"/>
        </w:rPr>
        <w:t> </w:t>
      </w:r>
      <w:r>
        <w:rPr/>
        <w:t>号——合并财务报表》编制。</w:t>
      </w:r>
    </w:p>
    <w:p>
      <w:pPr>
        <w:pStyle w:val="BodyText"/>
        <w:spacing w:line="240" w:lineRule="auto" w:before="34"/>
        <w:ind w:left="537" w:right="0"/>
        <w:jc w:val="left"/>
      </w:pPr>
      <w:r>
        <w:rPr/>
        <w:t>(二十二)</w:t>
      </w:r>
      <w:r>
        <w:rPr>
          <w:spacing w:val="-2"/>
        </w:rPr>
        <w:t> </w:t>
      </w:r>
      <w:r>
        <w:rPr/>
        <w:t>重要会计政策和会计估计变更说明</w:t>
      </w:r>
    </w:p>
    <w:p>
      <w:pPr>
        <w:pStyle w:val="BodyText"/>
        <w:spacing w:line="367" w:lineRule="auto"/>
        <w:ind w:right="173" w:firstLine="420"/>
        <w:jc w:val="both"/>
      </w:pPr>
      <w:r>
        <w:rPr>
          <w:spacing w:val="-7"/>
        </w:rPr>
        <w:t>如本财务报表附注二所述，本公司自</w:t>
      </w:r>
      <w:r>
        <w:rPr>
          <w:spacing w:val="-59"/>
        </w:rPr>
        <w:t> </w:t>
      </w:r>
      <w:r>
        <w:rPr/>
        <w:t>2007</w:t>
      </w:r>
      <w:r>
        <w:rPr>
          <w:spacing w:val="-57"/>
        </w:rPr>
        <w:t> </w:t>
      </w:r>
      <w:r>
        <w:rPr/>
        <w:t>年</w:t>
      </w:r>
      <w:r>
        <w:rPr>
          <w:spacing w:val="-59"/>
        </w:rPr>
        <w:t> </w:t>
      </w:r>
      <w:r>
        <w:rPr/>
        <w:t>1</w:t>
      </w:r>
      <w:r>
        <w:rPr>
          <w:spacing w:val="-57"/>
        </w:rPr>
        <w:t> </w:t>
      </w:r>
      <w:r>
        <w:rPr/>
        <w:t>月</w:t>
      </w:r>
      <w:r>
        <w:rPr>
          <w:spacing w:val="-59"/>
        </w:rPr>
        <w:t> </w:t>
      </w:r>
      <w:r>
        <w:rPr/>
        <w:t>1</w:t>
      </w:r>
      <w:r>
        <w:rPr>
          <w:spacing w:val="-57"/>
        </w:rPr>
        <w:t> </w:t>
      </w:r>
      <w:r>
        <w:rPr>
          <w:spacing w:val="-1"/>
        </w:rPr>
        <w:t>日起执行财政部</w:t>
      </w:r>
      <w:r>
        <w:rPr>
          <w:spacing w:val="-58"/>
        </w:rPr>
        <w:t> </w:t>
      </w:r>
      <w:r>
        <w:rPr/>
        <w:t>2006</w:t>
      </w:r>
      <w:r>
        <w:rPr>
          <w:spacing w:val="-58"/>
        </w:rPr>
        <w:t> </w:t>
      </w:r>
      <w:r>
        <w:rPr/>
        <w:t>年</w:t>
      </w:r>
      <w:r>
        <w:rPr>
          <w:spacing w:val="-59"/>
        </w:rPr>
        <w:t> </w:t>
      </w:r>
      <w:r>
        <w:rPr/>
        <w:t>2</w:t>
      </w:r>
      <w:r>
        <w:rPr>
          <w:spacing w:val="-57"/>
        </w:rPr>
        <w:t> </w:t>
      </w:r>
      <w:r>
        <w:rPr>
          <w:spacing w:val="-19"/>
        </w:rPr>
        <w:t>月公布的《企</w:t>
      </w:r>
      <w:r>
        <w:rPr>
          <w:spacing w:val="-2"/>
        </w:rPr>
        <w:t> </w:t>
      </w:r>
      <w:r>
        <w:rPr/>
        <w:t>业会计准则》，并对</w:t>
      </w:r>
      <w:r>
        <w:rPr>
          <w:spacing w:val="-57"/>
        </w:rPr>
        <w:t> </w:t>
      </w:r>
      <w:r>
        <w:rPr/>
        <w:t>2006</w:t>
      </w:r>
      <w:r>
        <w:rPr>
          <w:spacing w:val="-56"/>
        </w:rPr>
        <w:t> </w:t>
      </w:r>
      <w:r>
        <w:rPr/>
        <w:t>年的比较财务报表进行了重新表述。2006</w:t>
      </w:r>
      <w:r>
        <w:rPr>
          <w:spacing w:val="-56"/>
        </w:rPr>
        <w:t> </w:t>
      </w:r>
      <w:r>
        <w:rPr/>
        <w:t>年年初运用新会计政策追</w:t>
      </w:r>
      <w:r>
        <w:rPr/>
        <w:t> </w:t>
      </w:r>
      <w:r>
        <w:rPr>
          <w:spacing w:val="-1"/>
        </w:rPr>
        <w:t>溯计算的会计政策变更累积影响数为</w:t>
      </w:r>
      <w:r>
        <w:rPr>
          <w:spacing w:val="-52"/>
        </w:rPr>
        <w:t> </w:t>
      </w:r>
      <w:r>
        <w:rPr>
          <w:spacing w:val="-1"/>
        </w:rPr>
        <w:t>6,082,116.73</w:t>
      </w:r>
      <w:r>
        <w:rPr>
          <w:spacing w:val="-51"/>
        </w:rPr>
        <w:t> </w:t>
      </w:r>
      <w:r>
        <w:rPr>
          <w:spacing w:val="-13"/>
        </w:rPr>
        <w:t>元。由于上述会计政策变更，合计调增</w:t>
      </w:r>
      <w:r>
        <w:rPr>
          <w:spacing w:val="-52"/>
        </w:rPr>
        <w:t> </w:t>
      </w:r>
      <w:r>
        <w:rPr/>
        <w:t>2006</w:t>
      </w:r>
    </w:p>
    <w:p>
      <w:pPr>
        <w:pStyle w:val="BodyText"/>
        <w:spacing w:line="240" w:lineRule="auto" w:before="34"/>
        <w:ind w:right="0"/>
        <w:jc w:val="both"/>
      </w:pPr>
      <w:r>
        <w:rPr/>
        <w:t>年期初归属于母公司股东权益</w:t>
      </w:r>
      <w:r>
        <w:rPr>
          <w:spacing w:val="-44"/>
        </w:rPr>
        <w:t> </w:t>
      </w:r>
      <w:r>
        <w:rPr/>
        <w:t>5,967,216.13</w:t>
      </w:r>
      <w:r>
        <w:rPr>
          <w:spacing w:val="-43"/>
        </w:rPr>
        <w:t> </w:t>
      </w:r>
      <w:r>
        <w:rPr/>
        <w:t>元(其中调增盈余公积</w:t>
      </w:r>
      <w:r>
        <w:rPr>
          <w:spacing w:val="-44"/>
        </w:rPr>
        <w:t> </w:t>
      </w:r>
      <w:r>
        <w:rPr/>
        <w:t>263,796.71</w:t>
      </w:r>
      <w:r>
        <w:rPr>
          <w:spacing w:val="-43"/>
        </w:rPr>
        <w:t> </w:t>
      </w:r>
      <w:r>
        <w:rPr/>
        <w:t>元，调增未分</w:t>
      </w:r>
    </w:p>
    <w:p>
      <w:pPr>
        <w:spacing w:after="0" w:line="240" w:lineRule="auto"/>
        <w:jc w:val="both"/>
        <w:sectPr>
          <w:footerReference w:type="default" r:id="rId16"/>
          <w:pgSz w:w="11910" w:h="16840"/>
          <w:pgMar w:footer="1263" w:header="0" w:top="1540" w:bottom="1460" w:left="1680" w:right="1380"/>
          <w:pgNumType w:start="64"/>
        </w:sectPr>
      </w:pPr>
    </w:p>
    <w:p>
      <w:pPr>
        <w:pStyle w:val="BodyText"/>
        <w:spacing w:line="240" w:lineRule="auto" w:before="13"/>
        <w:ind w:right="95"/>
        <w:jc w:val="left"/>
      </w:pPr>
      <w:r>
        <w:rPr/>
        <w:t>配利润</w:t>
      </w:r>
      <w:r>
        <w:rPr>
          <w:spacing w:val="-29"/>
        </w:rPr>
        <w:t> </w:t>
      </w:r>
      <w:r>
        <w:rPr/>
        <w:t>5,703,419.42</w:t>
      </w:r>
      <w:r>
        <w:rPr>
          <w:spacing w:val="-28"/>
        </w:rPr>
        <w:t> </w:t>
      </w:r>
      <w:r>
        <w:rPr/>
        <w:t>元)，调增</w:t>
      </w:r>
      <w:r>
        <w:rPr>
          <w:spacing w:val="-29"/>
        </w:rPr>
        <w:t> </w:t>
      </w:r>
      <w:r>
        <w:rPr/>
        <w:t>2006</w:t>
      </w:r>
      <w:r>
        <w:rPr>
          <w:spacing w:val="-28"/>
        </w:rPr>
        <w:t> </w:t>
      </w:r>
      <w:r>
        <w:rPr/>
        <w:t>年期初少数股东权益</w:t>
      </w:r>
      <w:r>
        <w:rPr>
          <w:spacing w:val="-29"/>
        </w:rPr>
        <w:t> </w:t>
      </w:r>
      <w:r>
        <w:rPr/>
        <w:t>114,900.60</w:t>
      </w:r>
      <w:r>
        <w:rPr>
          <w:spacing w:val="-29"/>
        </w:rPr>
        <w:t> </w:t>
      </w:r>
      <w:r>
        <w:rPr/>
        <w:t>元，并将原制度下的</w:t>
      </w:r>
    </w:p>
    <w:p>
      <w:pPr>
        <w:pStyle w:val="BodyText"/>
        <w:spacing w:line="240" w:lineRule="auto"/>
        <w:ind w:right="95"/>
        <w:jc w:val="left"/>
      </w:pPr>
      <w:r>
        <w:rPr/>
        <w:t>2006 年期初少数股东权益 14,868,371.42</w:t>
      </w:r>
      <w:r>
        <w:rPr>
          <w:spacing w:val="-64"/>
        </w:rPr>
        <w:t> </w:t>
      </w:r>
      <w:r>
        <w:rPr/>
        <w:t>元转列至股东权益，详见本财务报表附注十五(五)</w:t>
      </w:r>
    </w:p>
    <w:p>
      <w:pPr>
        <w:pStyle w:val="BodyText"/>
        <w:spacing w:line="240" w:lineRule="auto"/>
        <w:ind w:right="95"/>
        <w:jc w:val="left"/>
      </w:pPr>
      <w:r>
        <w:rPr>
          <w:spacing w:val="14"/>
        </w:rPr>
        <w:t>之说明。上述会计政策变更对 </w:t>
      </w:r>
      <w:r>
        <w:rPr/>
        <w:t>2006</w:t>
      </w:r>
      <w:r>
        <w:rPr>
          <w:spacing w:val="35"/>
        </w:rPr>
        <w:t> </w:t>
      </w:r>
      <w:r>
        <w:rPr>
          <w:spacing w:val="15"/>
        </w:rPr>
        <w:t>年度损益的影响为增加归属于母公司股东的净利润</w:t>
      </w:r>
      <w:r>
        <w:rPr/>
      </w:r>
    </w:p>
    <w:p>
      <w:pPr>
        <w:pStyle w:val="BodyText"/>
        <w:spacing w:line="240" w:lineRule="auto"/>
        <w:ind w:right="95"/>
        <w:jc w:val="left"/>
      </w:pPr>
      <w:r>
        <w:rPr/>
        <w:t>12,718,671.31</w:t>
      </w:r>
      <w:r>
        <w:rPr>
          <w:spacing w:val="-63"/>
        </w:rPr>
        <w:t> </w:t>
      </w:r>
      <w:r>
        <w:rPr/>
        <w:t>元，增加少数股东损益</w:t>
      </w:r>
      <w:r>
        <w:rPr>
          <w:spacing w:val="-64"/>
        </w:rPr>
        <w:t> </w:t>
      </w:r>
      <w:r>
        <w:rPr/>
        <w:t>247,718.87</w:t>
      </w:r>
      <w:r>
        <w:rPr>
          <w:spacing w:val="-63"/>
        </w:rPr>
        <w:t> </w:t>
      </w:r>
      <w:r>
        <w:rPr/>
        <w:t>元。</w:t>
      </w:r>
    </w:p>
    <w:p>
      <w:pPr>
        <w:pStyle w:val="BodyText"/>
        <w:spacing w:line="240" w:lineRule="auto"/>
        <w:ind w:left="537" w:right="95"/>
        <w:jc w:val="left"/>
      </w:pPr>
      <w:r>
        <w:rPr/>
        <w:t>根据</w:t>
      </w:r>
      <w:r>
        <w:rPr>
          <w:spacing w:val="-51"/>
        </w:rPr>
        <w:t> </w:t>
      </w:r>
      <w:r>
        <w:rPr/>
        <w:t>2007</w:t>
      </w:r>
      <w:r>
        <w:rPr>
          <w:spacing w:val="-50"/>
        </w:rPr>
        <w:t> </w:t>
      </w:r>
      <w:r>
        <w:rPr/>
        <w:t>年</w:t>
      </w:r>
      <w:r>
        <w:rPr>
          <w:spacing w:val="-52"/>
        </w:rPr>
        <w:t> </w:t>
      </w:r>
      <w:r>
        <w:rPr/>
        <w:t>3</w:t>
      </w:r>
      <w:r>
        <w:rPr>
          <w:spacing w:val="-50"/>
        </w:rPr>
        <w:t> </w:t>
      </w:r>
      <w:r>
        <w:rPr/>
        <w:t>月</w:t>
      </w:r>
      <w:r>
        <w:rPr>
          <w:spacing w:val="-52"/>
        </w:rPr>
        <w:t> </w:t>
      </w:r>
      <w:r>
        <w:rPr/>
        <w:t>16</w:t>
      </w:r>
      <w:r>
        <w:rPr>
          <w:spacing w:val="-50"/>
        </w:rPr>
        <w:t> </w:t>
      </w:r>
      <w:r>
        <w:rPr>
          <w:spacing w:val="-3"/>
        </w:rPr>
        <w:t>日公司董事会三届二次会议通过的《关于执行新会计准则调整公司会</w:t>
      </w:r>
    </w:p>
    <w:p>
      <w:pPr>
        <w:pStyle w:val="BodyText"/>
        <w:spacing w:line="240" w:lineRule="auto"/>
        <w:ind w:right="95"/>
        <w:jc w:val="left"/>
      </w:pPr>
      <w:r>
        <w:rPr>
          <w:spacing w:val="-7"/>
        </w:rPr>
        <w:t>计政策的议案》，公司自</w:t>
      </w:r>
      <w:r>
        <w:rPr>
          <w:spacing w:val="-55"/>
        </w:rPr>
        <w:t> </w:t>
      </w:r>
      <w:r>
        <w:rPr/>
        <w:t>2007</w:t>
      </w:r>
      <w:r>
        <w:rPr>
          <w:spacing w:val="-54"/>
        </w:rPr>
        <w:t> </w:t>
      </w:r>
      <w:r>
        <w:rPr/>
        <w:t>年</w:t>
      </w:r>
      <w:r>
        <w:rPr>
          <w:spacing w:val="-56"/>
        </w:rPr>
        <w:t> </w:t>
      </w:r>
      <w:r>
        <w:rPr/>
        <w:t>1</w:t>
      </w:r>
      <w:r>
        <w:rPr>
          <w:spacing w:val="-55"/>
        </w:rPr>
        <w:t> </w:t>
      </w:r>
      <w:r>
        <w:rPr/>
        <w:t>月</w:t>
      </w:r>
      <w:r>
        <w:rPr>
          <w:spacing w:val="-55"/>
        </w:rPr>
        <w:t> </w:t>
      </w:r>
      <w:r>
        <w:rPr/>
        <w:t>1</w:t>
      </w:r>
      <w:r>
        <w:rPr>
          <w:spacing w:val="-54"/>
        </w:rPr>
        <w:t> </w:t>
      </w:r>
      <w:r>
        <w:rPr/>
        <w:t>日起对便携式电脑折旧年限由原来的</w:t>
      </w:r>
      <w:r>
        <w:rPr>
          <w:spacing w:val="-55"/>
        </w:rPr>
        <w:t> </w:t>
      </w:r>
      <w:r>
        <w:rPr/>
        <w:t>5</w:t>
      </w:r>
      <w:r>
        <w:rPr>
          <w:spacing w:val="-54"/>
        </w:rPr>
        <w:t> </w:t>
      </w:r>
      <w:r>
        <w:rPr/>
        <w:t>年变更为</w:t>
      </w:r>
      <w:r>
        <w:rPr>
          <w:spacing w:val="-55"/>
        </w:rPr>
        <w:t> </w:t>
      </w:r>
      <w:r>
        <w:rPr/>
        <w:t>3</w:t>
      </w:r>
      <w:r>
        <w:rPr>
          <w:spacing w:val="-54"/>
        </w:rPr>
        <w:t> </w:t>
      </w:r>
      <w:r>
        <w:rPr/>
        <w:t>年，</w:t>
      </w:r>
    </w:p>
    <w:p>
      <w:pPr>
        <w:pStyle w:val="BodyText"/>
        <w:spacing w:line="240" w:lineRule="auto"/>
        <w:ind w:right="95"/>
        <w:jc w:val="left"/>
      </w:pPr>
      <w:r>
        <w:rPr/>
        <w:t>此项会计估计变更减少</w:t>
      </w:r>
      <w:r>
        <w:rPr>
          <w:spacing w:val="-63"/>
        </w:rPr>
        <w:t> </w:t>
      </w:r>
      <w:r>
        <w:rPr/>
        <w:t>2007</w:t>
      </w:r>
      <w:r>
        <w:rPr>
          <w:spacing w:val="-62"/>
        </w:rPr>
        <w:t> </w:t>
      </w:r>
      <w:r>
        <w:rPr/>
        <w:t>年度归属于母公司股东的净利润</w:t>
      </w:r>
      <w:r>
        <w:rPr>
          <w:spacing w:val="-63"/>
        </w:rPr>
        <w:t> </w:t>
      </w:r>
      <w:r>
        <w:rPr/>
        <w:t>180,205.49</w:t>
      </w:r>
      <w:r>
        <w:rPr>
          <w:spacing w:val="-62"/>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367" w:lineRule="auto" w:before="0"/>
        <w:ind w:left="537" w:right="6851" w:firstLine="0"/>
        <w:jc w:val="left"/>
        <w:rPr>
          <w:rFonts w:ascii="宋体" w:hAnsi="宋体" w:cs="宋体" w:eastAsia="宋体" w:hint="default"/>
          <w:sz w:val="21"/>
          <w:szCs w:val="21"/>
        </w:rPr>
      </w:pPr>
      <w:r>
        <w:rPr>
          <w:rFonts w:ascii="黑体" w:hAnsi="黑体" w:cs="黑体" w:eastAsia="黑体" w:hint="default"/>
          <w:b/>
          <w:bCs/>
          <w:sz w:val="21"/>
          <w:szCs w:val="21"/>
        </w:rPr>
        <w:t>四、税（费）项</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法定税率</w:t>
      </w:r>
      <w:r>
        <w:rPr>
          <w:rFonts w:ascii="宋体" w:hAnsi="宋体" w:cs="宋体" w:eastAsia="宋体" w:hint="default"/>
          <w:sz w:val="21"/>
          <w:szCs w:val="21"/>
        </w:rPr>
        <w:t> 1．增值税</w:t>
      </w:r>
    </w:p>
    <w:p>
      <w:pPr>
        <w:pStyle w:val="BodyText"/>
        <w:spacing w:line="367" w:lineRule="auto" w:before="34"/>
        <w:ind w:right="213" w:firstLine="420"/>
        <w:jc w:val="both"/>
      </w:pPr>
      <w:r>
        <w:rPr/>
        <w:t>根据财政部、国家税务总局和海关总署财税〔2000〕25</w:t>
      </w:r>
      <w:r>
        <w:rPr>
          <w:spacing w:val="34"/>
        </w:rPr>
        <w:t> </w:t>
      </w:r>
      <w:r>
        <w:rPr/>
        <w:t>号文，软件产品销售收入（销售</w:t>
      </w:r>
      <w:r>
        <w:rPr/>
        <w:t> </w:t>
      </w:r>
      <w:r>
        <w:rPr>
          <w:spacing w:val="-2"/>
        </w:rPr>
        <w:t>自行开发研制的软件产品且未一并转让著作权、所有权）和软件服务收入（版本升级服务）先</w:t>
      </w:r>
      <w:r>
        <w:rPr>
          <w:spacing w:val="-84"/>
        </w:rPr>
        <w:t> </w:t>
      </w:r>
      <w:r>
        <w:rPr>
          <w:spacing w:val="-84"/>
        </w:rPr>
      </w:r>
      <w:r>
        <w:rPr/>
        <w:t>按</w:t>
      </w:r>
      <w:r>
        <w:rPr>
          <w:spacing w:val="-54"/>
        </w:rPr>
        <w:t> </w:t>
      </w:r>
      <w:r>
        <w:rPr/>
        <w:t>17%的税率计缴，实际税负超过</w:t>
      </w:r>
      <w:r>
        <w:rPr>
          <w:spacing w:val="-54"/>
        </w:rPr>
        <w:t> </w:t>
      </w:r>
      <w:r>
        <w:rPr/>
        <w:t>3%部分经主管税务部门审核后实行即征即退政策。</w:t>
      </w:r>
    </w:p>
    <w:p>
      <w:pPr>
        <w:pStyle w:val="BodyText"/>
        <w:spacing w:line="240" w:lineRule="auto" w:before="34"/>
        <w:ind w:left="537" w:right="95"/>
        <w:jc w:val="left"/>
      </w:pPr>
      <w:r>
        <w:rPr/>
        <w:t>2．营业税</w:t>
      </w:r>
    </w:p>
    <w:p>
      <w:pPr>
        <w:pStyle w:val="BodyText"/>
        <w:spacing w:line="367" w:lineRule="auto"/>
        <w:ind w:right="212" w:firstLine="420"/>
        <w:jc w:val="both"/>
      </w:pPr>
      <w:r>
        <w:rPr/>
        <w:t>定制软件收入（在销售时一并转让著作权、所有权的）先按</w:t>
      </w:r>
      <w:r>
        <w:rPr>
          <w:spacing w:val="31"/>
        </w:rPr>
        <w:t> </w:t>
      </w:r>
      <w:r>
        <w:rPr/>
        <w:t>5%的税率计缴，经杭州市地</w:t>
      </w:r>
      <w:r>
        <w:rPr>
          <w:spacing w:val="1"/>
        </w:rPr>
        <w:t> </w:t>
      </w:r>
      <w:r>
        <w:rPr/>
        <w:t>方税务局审核后退回。定制软件相关的服务收入按</w:t>
      </w:r>
      <w:r>
        <w:rPr>
          <w:spacing w:val="32"/>
        </w:rPr>
        <w:t> </w:t>
      </w:r>
      <w:r>
        <w:rPr/>
        <w:t>5%的税率计缴。系统集成收入（建筑安装</w:t>
      </w:r>
      <w:r>
        <w:rPr>
          <w:spacing w:val="-100"/>
        </w:rPr>
        <w:t> </w:t>
      </w:r>
      <w:r>
        <w:rPr>
          <w:spacing w:val="-100"/>
        </w:rPr>
      </w:r>
      <w:r>
        <w:rPr/>
        <w:t>工程合同）按</w:t>
      </w:r>
      <w:r>
        <w:rPr>
          <w:spacing w:val="-55"/>
        </w:rPr>
        <w:t> </w:t>
      </w:r>
      <w:r>
        <w:rPr/>
        <w:t>3%的税率计缴。房租收入按</w:t>
      </w:r>
      <w:r>
        <w:rPr>
          <w:spacing w:val="-55"/>
        </w:rPr>
        <w:t> </w:t>
      </w:r>
      <w:r>
        <w:rPr/>
        <w:t>5%的税率计缴。</w:t>
      </w:r>
    </w:p>
    <w:p>
      <w:pPr>
        <w:pStyle w:val="BodyText"/>
        <w:spacing w:line="367" w:lineRule="auto" w:before="34"/>
        <w:ind w:left="537" w:right="5545"/>
        <w:jc w:val="left"/>
      </w:pPr>
      <w:r>
        <w:rPr/>
        <w:t>3．城市维护建设税 按应缴流转税税额的</w:t>
      </w:r>
      <w:r>
        <w:rPr>
          <w:spacing w:val="-53"/>
        </w:rPr>
        <w:t> </w:t>
      </w:r>
      <w:r>
        <w:rPr/>
        <w:t>7%计缴。</w:t>
      </w:r>
      <w:r>
        <w:rPr/>
        <w:t> 4．教育费附加 按应缴流转税税额的</w:t>
      </w:r>
      <w:r>
        <w:rPr>
          <w:spacing w:val="-53"/>
        </w:rPr>
        <w:t> </w:t>
      </w:r>
      <w:r>
        <w:rPr/>
        <w:t>3%计缴。</w:t>
      </w:r>
      <w:r>
        <w:rPr/>
        <w:t> 5．地方教育附加</w:t>
      </w:r>
    </w:p>
    <w:p>
      <w:pPr>
        <w:pStyle w:val="BodyText"/>
        <w:spacing w:line="367" w:lineRule="auto" w:before="34"/>
        <w:ind w:right="213" w:firstLine="420"/>
        <w:jc w:val="both"/>
      </w:pPr>
      <w:r>
        <w:rPr/>
        <w:t>按应缴流转税税额的</w:t>
      </w:r>
      <w:r>
        <w:rPr>
          <w:spacing w:val="33"/>
        </w:rPr>
        <w:t> </w:t>
      </w:r>
      <w:r>
        <w:rPr/>
        <w:t>2%计缴，其中控股子公司无锡恒华科技发展有限公司按应缴流转税</w:t>
      </w:r>
      <w:r>
        <w:rPr>
          <w:spacing w:val="1"/>
        </w:rPr>
        <w:t> </w:t>
      </w:r>
      <w:r>
        <w:rPr/>
        <w:t>税额的</w:t>
      </w:r>
      <w:r>
        <w:rPr>
          <w:spacing w:val="-55"/>
        </w:rPr>
        <w:t> </w:t>
      </w:r>
      <w:r>
        <w:rPr/>
        <w:t>1%缴纳。</w:t>
      </w:r>
    </w:p>
    <w:p>
      <w:pPr>
        <w:pStyle w:val="BodyText"/>
        <w:spacing w:line="240" w:lineRule="auto" w:before="34"/>
        <w:ind w:left="537" w:right="95"/>
        <w:jc w:val="left"/>
      </w:pPr>
      <w:r>
        <w:rPr/>
        <w:t>6．企业所得税</w:t>
      </w:r>
    </w:p>
    <w:p>
      <w:pPr>
        <w:pStyle w:val="BodyText"/>
        <w:spacing w:line="367" w:lineRule="auto"/>
        <w:ind w:right="208" w:firstLine="420"/>
        <w:jc w:val="both"/>
      </w:pPr>
      <w:r>
        <w:rPr>
          <w:spacing w:val="-5"/>
        </w:rPr>
        <w:t>根据国家发展和改革委员会、信息产业部、商务部、国家税务总局</w:t>
      </w:r>
      <w:r>
        <w:rPr>
          <w:spacing w:val="-41"/>
        </w:rPr>
        <w:t> </w:t>
      </w:r>
      <w:r>
        <w:rPr/>
        <w:t>2008</w:t>
      </w:r>
      <w:r>
        <w:rPr>
          <w:spacing w:val="-38"/>
        </w:rPr>
        <w:t> </w:t>
      </w:r>
      <w:r>
        <w:rPr/>
        <w:t>年</w:t>
      </w:r>
      <w:r>
        <w:rPr>
          <w:spacing w:val="-40"/>
        </w:rPr>
        <w:t> </w:t>
      </w:r>
      <w:r>
        <w:rPr/>
        <w:t>2</w:t>
      </w:r>
      <w:r>
        <w:rPr>
          <w:spacing w:val="-37"/>
        </w:rPr>
        <w:t> </w:t>
      </w:r>
      <w:r>
        <w:rPr/>
        <w:t>月</w:t>
      </w:r>
      <w:r>
        <w:rPr>
          <w:spacing w:val="-41"/>
        </w:rPr>
        <w:t> </w:t>
      </w:r>
      <w:r>
        <w:rPr/>
        <w:t>26</w:t>
      </w:r>
      <w:r>
        <w:rPr>
          <w:spacing w:val="-37"/>
        </w:rPr>
        <w:t> </w:t>
      </w:r>
      <w:r>
        <w:rPr>
          <w:spacing w:val="-5"/>
        </w:rPr>
        <w:t>日下发</w:t>
      </w:r>
      <w:r>
        <w:rPr>
          <w:spacing w:val="-4"/>
        </w:rPr>
        <w:t> 的发改高技〔2008〕513</w:t>
      </w:r>
      <w:r>
        <w:rPr>
          <w:spacing w:val="-29"/>
        </w:rPr>
        <w:t> </w:t>
      </w:r>
      <w:r>
        <w:rPr>
          <w:spacing w:val="-4"/>
        </w:rPr>
        <w:t>号《关于发布</w:t>
      </w:r>
      <w:r>
        <w:rPr>
          <w:spacing w:val="-33"/>
        </w:rPr>
        <w:t> </w:t>
      </w:r>
      <w:r>
        <w:rPr>
          <w:spacing w:val="-3"/>
        </w:rPr>
        <w:t>2007</w:t>
      </w:r>
      <w:r>
        <w:rPr>
          <w:spacing w:val="-27"/>
        </w:rPr>
        <w:t> </w:t>
      </w:r>
      <w:r>
        <w:rPr>
          <w:spacing w:val="-5"/>
        </w:rPr>
        <w:t>年度国家规划布局内重点软件企业名单的通知》，</w:t>
      </w:r>
      <w:r>
        <w:rPr>
          <w:spacing w:val="-101"/>
        </w:rPr>
        <w:t> </w:t>
      </w:r>
      <w:r>
        <w:rPr>
          <w:spacing w:val="-101"/>
        </w:rPr>
      </w:r>
      <w:r>
        <w:rPr>
          <w:spacing w:val="-4"/>
        </w:rPr>
        <w:t>公司符合《鼓励软件产业和集成电路产业发展的若干政策》(国发〔2000〕18</w:t>
      </w:r>
      <w:r>
        <w:rPr>
          <w:spacing w:val="2"/>
        </w:rPr>
        <w:t> </w:t>
      </w:r>
      <w:r>
        <w:rPr>
          <w:spacing w:val="-4"/>
        </w:rPr>
        <w:t>号)的规定，本期</w:t>
      </w:r>
      <w:r>
        <w:rPr/>
        <w:t> </w:t>
      </w:r>
      <w:r>
        <w:rPr>
          <w:spacing w:val="-3"/>
        </w:rPr>
        <w:t>减按</w:t>
      </w:r>
      <w:r>
        <w:rPr>
          <w:spacing w:val="-55"/>
        </w:rPr>
        <w:t> </w:t>
      </w:r>
      <w:r>
        <w:rPr>
          <w:spacing w:val="-4"/>
        </w:rPr>
        <w:t>10%的税率征收企业所得税。</w:t>
      </w:r>
      <w:r>
        <w:rPr/>
      </w:r>
    </w:p>
    <w:p>
      <w:pPr>
        <w:pStyle w:val="BodyText"/>
        <w:spacing w:line="367" w:lineRule="auto" w:before="34"/>
        <w:ind w:right="208" w:firstLine="420"/>
        <w:jc w:val="both"/>
      </w:pPr>
      <w:r>
        <w:rPr>
          <w:spacing w:val="-4"/>
        </w:rPr>
        <w:t>根据国家税务总局</w:t>
      </w:r>
      <w:r>
        <w:rPr>
          <w:spacing w:val="-57"/>
        </w:rPr>
        <w:t> </w:t>
      </w:r>
      <w:r>
        <w:rPr/>
        <w:t>1991</w:t>
      </w:r>
      <w:r>
        <w:rPr>
          <w:spacing w:val="-54"/>
        </w:rPr>
        <w:t> </w:t>
      </w:r>
      <w:r>
        <w:rPr/>
        <w:t>年</w:t>
      </w:r>
      <w:r>
        <w:rPr>
          <w:spacing w:val="-57"/>
        </w:rPr>
        <w:t> </w:t>
      </w:r>
      <w:r>
        <w:rPr/>
        <w:t>3</w:t>
      </w:r>
      <w:r>
        <w:rPr>
          <w:spacing w:val="-54"/>
        </w:rPr>
        <w:t> </w:t>
      </w:r>
      <w:r>
        <w:rPr>
          <w:spacing w:val="-5"/>
        </w:rPr>
        <w:t>月颁布的《国家高新技术产业开发区税收政策的规定》和财政</w:t>
      </w:r>
      <w:r>
        <w:rPr/>
        <w:t> </w:t>
      </w:r>
      <w:r>
        <w:rPr>
          <w:spacing w:val="-5"/>
        </w:rPr>
        <w:t>部、国家税务总局财税字〔1994〕001</w:t>
      </w:r>
      <w:r>
        <w:rPr>
          <w:spacing w:val="-34"/>
        </w:rPr>
        <w:t> </w:t>
      </w:r>
      <w:r>
        <w:rPr>
          <w:spacing w:val="-6"/>
        </w:rPr>
        <w:t>号《关于企业所得税若干优惠的通知》的规定，并经杭州</w:t>
      </w:r>
    </w:p>
    <w:p>
      <w:pPr>
        <w:pStyle w:val="BodyText"/>
        <w:spacing w:line="240" w:lineRule="auto" w:before="34"/>
        <w:ind w:right="95"/>
        <w:jc w:val="left"/>
      </w:pPr>
      <w:r>
        <w:rPr>
          <w:spacing w:val="-4"/>
        </w:rPr>
        <w:t>市地方税务局高新（滨江）税务分局（高新）地税通〔2007〕0459</w:t>
      </w:r>
      <w:r>
        <w:rPr>
          <w:spacing w:val="7"/>
        </w:rPr>
        <w:t> </w:t>
      </w:r>
      <w:r>
        <w:rPr>
          <w:spacing w:val="-4"/>
        </w:rPr>
        <w:t>号文批复，公司控股子公司</w:t>
      </w:r>
    </w:p>
    <w:p>
      <w:pPr>
        <w:spacing w:after="0" w:line="240" w:lineRule="auto"/>
        <w:jc w:val="left"/>
        <w:sectPr>
          <w:footerReference w:type="default" r:id="rId17"/>
          <w:pgSz w:w="11910" w:h="16840"/>
          <w:pgMar w:footer="1263" w:header="0" w:top="1540" w:bottom="1460" w:left="1680" w:right="1340"/>
          <w:pgNumType w:start="65"/>
        </w:sectPr>
      </w:pPr>
    </w:p>
    <w:p>
      <w:pPr>
        <w:pStyle w:val="BodyText"/>
        <w:spacing w:line="367" w:lineRule="auto" w:before="13"/>
        <w:ind w:left="477" w:right="928"/>
        <w:jc w:val="left"/>
      </w:pPr>
      <w:r>
        <w:rPr>
          <w:spacing w:val="-5"/>
        </w:rPr>
        <w:t>杭州恒生信息技术有限公司本期按</w:t>
      </w:r>
      <w:r>
        <w:rPr>
          <w:spacing w:val="-53"/>
        </w:rPr>
        <w:t> </w:t>
      </w:r>
      <w:r>
        <w:rPr>
          <w:spacing w:val="-4"/>
        </w:rPr>
        <w:t>15%的税率计缴企业所得税，其余各境内子公司本期按</w:t>
      </w:r>
      <w:r>
        <w:rPr>
          <w:spacing w:val="-53"/>
        </w:rPr>
        <w:t> </w:t>
      </w:r>
      <w:r>
        <w:rPr/>
        <w:t>33%的</w:t>
      </w:r>
      <w:r>
        <w:rPr/>
        <w:t> </w:t>
      </w:r>
      <w:r>
        <w:rPr>
          <w:spacing w:val="-5"/>
        </w:rPr>
        <w:t>税率计缴企业所得税。境外子公司日本恒生软件株式会社按</w:t>
      </w:r>
      <w:r>
        <w:rPr>
          <w:spacing w:val="-33"/>
        </w:rPr>
        <w:t> </w:t>
      </w:r>
      <w:r>
        <w:rPr>
          <w:spacing w:val="-4"/>
        </w:rPr>
        <w:t>40%的税率计缴企业所得税。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367" w:lineRule="auto" w:before="0"/>
        <w:ind w:left="897" w:right="6306" w:firstLine="0"/>
        <w:jc w:val="left"/>
        <w:rPr>
          <w:rFonts w:ascii="宋体" w:hAnsi="宋体" w:cs="宋体" w:eastAsia="宋体" w:hint="default"/>
          <w:sz w:val="21"/>
          <w:szCs w:val="21"/>
        </w:rPr>
      </w:pPr>
      <w:r>
        <w:rPr/>
        <w:pict>
          <v:shape style="position:absolute;margin-left:71.639999pt;margin-top:57.323975pt;width:486.75pt;height:279.5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0"/>
                    <w:gridCol w:w="809"/>
                    <w:gridCol w:w="1279"/>
                    <w:gridCol w:w="1060"/>
                    <w:gridCol w:w="1616"/>
                    <w:gridCol w:w="2066"/>
                  </w:tblGrid>
                  <w:tr>
                    <w:trPr>
                      <w:trHeight w:val="47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1" w:right="0" w:hanging="9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left="381"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28" w:right="0"/>
                          <w:jc w:val="left"/>
                          <w:rPr>
                            <w:rFonts w:ascii="宋体" w:hAnsi="宋体" w:cs="宋体" w:eastAsia="宋体" w:hint="default"/>
                            <w:sz w:val="18"/>
                            <w:szCs w:val="18"/>
                          </w:rPr>
                        </w:pPr>
                        <w:r>
                          <w:rPr>
                            <w:rFonts w:ascii="宋体" w:hAnsi="宋体" w:cs="宋体" w:eastAsia="宋体" w:hint="default"/>
                            <w:sz w:val="18"/>
                            <w:szCs w:val="18"/>
                          </w:rPr>
                          <w:t>业  务</w:t>
                        </w:r>
                      </w:p>
                      <w:p>
                        <w:pPr>
                          <w:pStyle w:val="TableParagraph"/>
                          <w:spacing w:line="235" w:lineRule="exact"/>
                          <w:ind w:left="328" w:right="0"/>
                          <w:jc w:val="left"/>
                          <w:rPr>
                            <w:rFonts w:ascii="宋体" w:hAnsi="宋体" w:cs="宋体" w:eastAsia="宋体" w:hint="default"/>
                            <w:sz w:val="18"/>
                            <w:szCs w:val="18"/>
                          </w:rPr>
                        </w:pPr>
                        <w:r>
                          <w:rPr>
                            <w:rFonts w:ascii="宋体" w:hAnsi="宋体" w:cs="宋体" w:eastAsia="宋体" w:hint="default"/>
                            <w:sz w:val="18"/>
                            <w:szCs w:val="18"/>
                          </w:rPr>
                          <w:t>性  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06" w:right="0"/>
                          <w:jc w:val="left"/>
                          <w:rPr>
                            <w:rFonts w:ascii="宋体" w:hAnsi="宋体" w:cs="宋体" w:eastAsia="宋体" w:hint="default"/>
                            <w:sz w:val="18"/>
                            <w:szCs w:val="18"/>
                          </w:rPr>
                        </w:pPr>
                        <w:r>
                          <w:rPr>
                            <w:rFonts w:ascii="宋体" w:hAnsi="宋体" w:cs="宋体" w:eastAsia="宋体" w:hint="default"/>
                            <w:sz w:val="18"/>
                            <w:szCs w:val="18"/>
                          </w:rPr>
                          <w:t>注  册</w:t>
                        </w:r>
                      </w:p>
                      <w:p>
                        <w:pPr>
                          <w:pStyle w:val="TableParagraph"/>
                          <w:spacing w:line="235" w:lineRule="exact"/>
                          <w:ind w:left="606" w:right="0"/>
                          <w:jc w:val="left"/>
                          <w:rPr>
                            <w:rFonts w:ascii="宋体" w:hAnsi="宋体" w:cs="宋体" w:eastAsia="宋体" w:hint="default"/>
                            <w:sz w:val="18"/>
                            <w:szCs w:val="18"/>
                          </w:rPr>
                        </w:pPr>
                        <w:r>
                          <w:rPr>
                            <w:rFonts w:ascii="宋体" w:hAnsi="宋体" w:cs="宋体" w:eastAsia="宋体" w:hint="default"/>
                            <w:sz w:val="18"/>
                            <w:szCs w:val="18"/>
                          </w:rPr>
                          <w:t>资  本</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经  营</w:t>
                        </w:r>
                      </w:p>
                      <w:p>
                        <w:pPr>
                          <w:pStyle w:val="TableParagraph"/>
                          <w:spacing w:line="235" w:lineRule="exact"/>
                          <w:ind w:left="643" w:right="0"/>
                          <w:jc w:val="left"/>
                          <w:rPr>
                            <w:rFonts w:ascii="宋体" w:hAnsi="宋体" w:cs="宋体" w:eastAsia="宋体" w:hint="default"/>
                            <w:sz w:val="18"/>
                            <w:szCs w:val="18"/>
                          </w:rPr>
                        </w:pPr>
                        <w:r>
                          <w:rPr>
                            <w:rFonts w:ascii="宋体" w:hAnsi="宋体" w:cs="宋体" w:eastAsia="宋体" w:hint="default"/>
                            <w:sz w:val="18"/>
                            <w:szCs w:val="18"/>
                          </w:rPr>
                          <w:t>范  围</w:t>
                        </w:r>
                      </w:p>
                    </w:tc>
                  </w:tr>
                  <w:tr>
                    <w:trPr>
                      <w:trHeight w:val="46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77966341-3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18"/>
                            <w:szCs w:val="18"/>
                          </w:rPr>
                        </w:pPr>
                        <w:r>
                          <w:rPr>
                            <w:rFonts w:ascii="宋体"/>
                            <w:sz w:val="18"/>
                          </w:rPr>
                          <w:t>50,000,000.00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r>
                    <w:trPr>
                      <w:trHeight w:val="46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杭州数米网科技有限公司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66520958-9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18"/>
                            <w:szCs w:val="18"/>
                          </w:rPr>
                        </w:pPr>
                        <w:r>
                          <w:rPr>
                            <w:rFonts w:ascii="宋体"/>
                            <w:sz w:val="18"/>
                          </w:rPr>
                          <w:t>20,000,000.00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网络技术、电子产品等</w:t>
                        </w:r>
                      </w:p>
                    </w:tc>
                  </w:tr>
                  <w:tr>
                    <w:trPr>
                      <w:trHeight w:val="46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杭州恒生数据安全技术有限公司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74345030-1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18"/>
                            <w:szCs w:val="18"/>
                          </w:rPr>
                        </w:pPr>
                        <w:r>
                          <w:rPr>
                            <w:rFonts w:ascii="宋体"/>
                            <w:sz w:val="18"/>
                          </w:rPr>
                          <w:t>14,595,000.00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r>
                    <w:trPr>
                      <w:trHeight w:val="46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上海世纪恒生科技有限公司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63176796-1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18"/>
                            <w:szCs w:val="18"/>
                          </w:rPr>
                        </w:pPr>
                        <w:r>
                          <w:rPr>
                            <w:rFonts w:ascii="宋体"/>
                            <w:sz w:val="18"/>
                          </w:rPr>
                          <w:t>3,000,000.00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r>
                    <w:trPr>
                      <w:trHeight w:val="46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25392934-3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18"/>
                            <w:szCs w:val="18"/>
                          </w:rPr>
                        </w:pPr>
                        <w:r>
                          <w:rPr>
                            <w:rFonts w:ascii="宋体"/>
                            <w:sz w:val="18"/>
                          </w:rPr>
                          <w:t>2,200,000.00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r>
                    <w:trPr>
                      <w:trHeight w:val="46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北京钱塘恒生科技有限公司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77548296-5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18"/>
                            <w:szCs w:val="18"/>
                          </w:rPr>
                        </w:pPr>
                        <w:r>
                          <w:rPr>
                            <w:rFonts w:ascii="宋体"/>
                            <w:sz w:val="18"/>
                          </w:rPr>
                          <w:t>2,000,000.00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r>
                    <w:trPr>
                      <w:trHeight w:val="46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杭州恒生信息技术有限公司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70421856-9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18"/>
                            <w:szCs w:val="18"/>
                          </w:rPr>
                        </w:pPr>
                        <w:r>
                          <w:rPr>
                            <w:rFonts w:ascii="宋体"/>
                            <w:sz w:val="18"/>
                          </w:rPr>
                          <w:t>1,000,000.00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r>
                    <w:trPr>
                      <w:trHeight w:val="46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南京恒生软件有限公司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72455355-9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18"/>
                            <w:szCs w:val="18"/>
                          </w:rPr>
                        </w:pPr>
                        <w:r>
                          <w:rPr>
                            <w:rFonts w:ascii="宋体"/>
                            <w:sz w:val="18"/>
                          </w:rPr>
                          <w:t>1,000,000.00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r>
                    <w:trPr>
                      <w:trHeight w:val="46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深圳恒生科技开发有限公司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279"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72303518-6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18"/>
                            <w:szCs w:val="18"/>
                          </w:rPr>
                        </w:pPr>
                        <w:r>
                          <w:rPr>
                            <w:rFonts w:ascii="宋体"/>
                            <w:sz w:val="18"/>
                          </w:rPr>
                          <w:t>1,000,000.00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r>
                    <w:trPr>
                      <w:trHeight w:val="46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上海易锐管理咨询有限公司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279"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77430124-5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管理咨询</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18"/>
                            <w:szCs w:val="18"/>
                          </w:rPr>
                        </w:pPr>
                        <w:r>
                          <w:rPr>
                            <w:rFonts w:ascii="宋体"/>
                            <w:sz w:val="18"/>
                          </w:rPr>
                          <w:t>1,000,000.00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经济信息、咨询等</w:t>
                        </w:r>
                      </w:p>
                    </w:tc>
                  </w:tr>
                  <w:tr>
                    <w:trPr>
                      <w:trHeight w:val="46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日本恒生软件株式会社</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279"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0" w:right="-4"/>
                          <w:jc w:val="left"/>
                          <w:rPr>
                            <w:rFonts w:ascii="宋体" w:hAnsi="宋体" w:cs="宋体" w:eastAsia="宋体" w:hint="default"/>
                            <w:sz w:val="18"/>
                            <w:szCs w:val="18"/>
                          </w:rPr>
                        </w:pPr>
                        <w:r>
                          <w:rPr>
                            <w:rFonts w:ascii="宋体"/>
                            <w:sz w:val="18"/>
                          </w:rPr>
                          <w:t>JPY35,500,000.00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软件开发、硬件销售等</w:t>
                        </w:r>
                      </w:p>
                    </w:tc>
                  </w:tr>
                </w:tbl>
                <w:p>
                  <w:pPr/>
                </w:p>
              </w:txbxContent>
            </v:textbox>
            <w10:wrap type="none"/>
          </v:shape>
        </w:pict>
      </w:r>
      <w:r>
        <w:rPr>
          <w:rFonts w:ascii="黑体" w:hAnsi="黑体" w:cs="黑体" w:eastAsia="黑体" w:hint="default"/>
          <w:b/>
          <w:bCs/>
          <w:sz w:val="21"/>
          <w:szCs w:val="21"/>
        </w:rPr>
        <w:t>五、企业合并及合并财务报表</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控制的重要子公司</w:t>
      </w:r>
      <w:r>
        <w:rPr>
          <w:rFonts w:ascii="宋体" w:hAnsi="宋体" w:cs="宋体" w:eastAsia="宋体" w:hint="default"/>
          <w:sz w:val="21"/>
          <w:szCs w:val="21"/>
        </w:rPr>
        <w:t> 通过其他方式取得的子公司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35"/>
        <w:ind w:left="897" w:right="928"/>
        <w:jc w:val="left"/>
      </w:pPr>
      <w:r>
        <w:rPr/>
        <w:t>（续上表）</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184"/>
        <w:gridCol w:w="1656"/>
        <w:gridCol w:w="2024"/>
        <w:gridCol w:w="1298"/>
        <w:gridCol w:w="1562"/>
      </w:tblGrid>
      <w:tr>
        <w:trPr>
          <w:trHeight w:val="476"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57"/>
              <w:jc w:val="center"/>
              <w:rPr>
                <w:rFonts w:ascii="宋体" w:hAnsi="宋体" w:cs="宋体" w:eastAsia="宋体" w:hint="default"/>
                <w:sz w:val="18"/>
                <w:szCs w:val="18"/>
              </w:rPr>
            </w:pPr>
            <w:r>
              <w:rPr>
                <w:rFonts w:ascii="宋体" w:hAnsi="宋体" w:cs="宋体" w:eastAsia="宋体" w:hint="default"/>
                <w:sz w:val="18"/>
                <w:szCs w:val="18"/>
              </w:rPr>
              <w:t>至本期末实际</w:t>
            </w:r>
          </w:p>
          <w:p>
            <w:pPr>
              <w:pStyle w:val="TableParagraph"/>
              <w:spacing w:line="235" w:lineRule="exact"/>
              <w:ind w:right="357"/>
              <w:jc w:val="center"/>
              <w:rPr>
                <w:rFonts w:ascii="宋体" w:hAnsi="宋体" w:cs="宋体" w:eastAsia="宋体" w:hint="default"/>
                <w:sz w:val="18"/>
                <w:szCs w:val="18"/>
              </w:rPr>
            </w:pPr>
            <w:r>
              <w:rPr>
                <w:rFonts w:ascii="宋体" w:hAnsi="宋体" w:cs="宋体" w:eastAsia="宋体" w:hint="default"/>
                <w:sz w:val="18"/>
                <w:szCs w:val="18"/>
              </w:rPr>
              <w:t>投资额</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实质上构成对子公司的</w:t>
            </w:r>
          </w:p>
          <w:p>
            <w:pPr>
              <w:pStyle w:val="TableParagraph"/>
              <w:spacing w:line="235" w:lineRule="exact"/>
              <w:ind w:left="629" w:right="0"/>
              <w:jc w:val="left"/>
              <w:rPr>
                <w:rFonts w:ascii="宋体" w:hAnsi="宋体" w:cs="宋体" w:eastAsia="宋体" w:hint="default"/>
                <w:sz w:val="18"/>
                <w:szCs w:val="18"/>
              </w:rPr>
            </w:pPr>
            <w:r>
              <w:rPr>
                <w:rFonts w:ascii="宋体" w:hAnsi="宋体" w:cs="宋体" w:eastAsia="宋体" w:hint="default"/>
                <w:sz w:val="18"/>
                <w:szCs w:val="18"/>
              </w:rPr>
              <w:t>净投资余额</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464"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27,500,000.00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27,500,000.00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55.00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55.00</w:t>
            </w:r>
          </w:p>
        </w:tc>
      </w:tr>
      <w:tr>
        <w:trPr>
          <w:trHeight w:val="464"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杭州数米网科技有限公司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16,000,000.00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16,000,000.00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80.00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80.00</w:t>
            </w:r>
          </w:p>
        </w:tc>
      </w:tr>
      <w:tr>
        <w:trPr>
          <w:trHeight w:val="463"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杭州恒生数据安全技术有限公司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14,595,000.00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14,595,000.00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87.70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87.70</w:t>
            </w:r>
          </w:p>
        </w:tc>
      </w:tr>
      <w:tr>
        <w:trPr>
          <w:trHeight w:val="464"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上海世纪恒生科技有限公司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2,700,000.00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2,700,000.00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90.00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90.00</w:t>
            </w:r>
          </w:p>
        </w:tc>
      </w:tr>
      <w:tr>
        <w:trPr>
          <w:trHeight w:val="464"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2,090,000.00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2,090,000.00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95.00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95.00</w:t>
            </w:r>
          </w:p>
        </w:tc>
      </w:tr>
      <w:tr>
        <w:trPr>
          <w:trHeight w:val="463"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北京钱塘恒生科技有限公司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1,400,000.00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1,400,000.00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98.50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37" w:right="0"/>
              <w:jc w:val="left"/>
              <w:rPr>
                <w:rFonts w:ascii="宋体" w:hAnsi="宋体" w:cs="宋体" w:eastAsia="宋体" w:hint="default"/>
                <w:sz w:val="18"/>
                <w:szCs w:val="18"/>
              </w:rPr>
            </w:pPr>
            <w:r>
              <w:rPr>
                <w:rFonts w:ascii="宋体" w:hAnsi="宋体" w:cs="宋体" w:eastAsia="宋体" w:hint="default"/>
                <w:sz w:val="18"/>
                <w:szCs w:val="18"/>
              </w:rPr>
              <w:t>98.50[注]</w:t>
            </w:r>
          </w:p>
        </w:tc>
      </w:tr>
      <w:tr>
        <w:trPr>
          <w:trHeight w:val="464"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杭州恒生信息技术有限公司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510,000.00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510,000.00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51.00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51.00</w:t>
            </w:r>
          </w:p>
        </w:tc>
      </w:tr>
      <w:tr>
        <w:trPr>
          <w:trHeight w:val="464"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南京恒生软件有限公司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900,000.00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900,000.00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90.00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90.00</w:t>
            </w:r>
          </w:p>
        </w:tc>
      </w:tr>
      <w:tr>
        <w:trPr>
          <w:trHeight w:val="463"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深圳恒生科技开发有限公司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800,000.00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800,000.00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80.00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80.00</w:t>
            </w:r>
          </w:p>
        </w:tc>
      </w:tr>
      <w:tr>
        <w:trPr>
          <w:trHeight w:val="464"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上海易锐管理咨询有限公司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700,000.00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700,000.00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70.00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70.00</w:t>
            </w:r>
          </w:p>
        </w:tc>
      </w:tr>
    </w:tbl>
    <w:p>
      <w:pPr>
        <w:spacing w:after="0" w:line="240" w:lineRule="auto"/>
        <w:jc w:val="center"/>
        <w:rPr>
          <w:rFonts w:ascii="宋体" w:hAnsi="宋体" w:cs="宋体" w:eastAsia="宋体" w:hint="default"/>
          <w:sz w:val="18"/>
          <w:szCs w:val="18"/>
        </w:rPr>
        <w:sectPr>
          <w:pgSz w:w="11910" w:h="16840"/>
          <w:pgMar w:header="0" w:footer="1263" w:top="1540" w:bottom="1460" w:left="1320" w:right="62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184"/>
        <w:gridCol w:w="1656"/>
        <w:gridCol w:w="2024"/>
        <w:gridCol w:w="1298"/>
        <w:gridCol w:w="1562"/>
      </w:tblGrid>
      <w:tr>
        <w:trPr>
          <w:trHeight w:val="464"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日本恒生软件株式会社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sz w:val="18"/>
              </w:rPr>
              <w:t>JPY18,600,000.00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0" w:right="0"/>
              <w:jc w:val="left"/>
              <w:rPr>
                <w:rFonts w:ascii="宋体" w:hAnsi="宋体" w:cs="宋体" w:eastAsia="宋体" w:hint="default"/>
                <w:sz w:val="18"/>
                <w:szCs w:val="18"/>
              </w:rPr>
            </w:pPr>
            <w:r>
              <w:rPr>
                <w:rFonts w:ascii="宋体"/>
                <w:sz w:val="18"/>
              </w:rPr>
              <w:t>JPY18,600,000.00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18" w:right="0"/>
              <w:jc w:val="left"/>
              <w:rPr>
                <w:rFonts w:ascii="宋体" w:hAnsi="宋体" w:cs="宋体" w:eastAsia="宋体" w:hint="default"/>
                <w:sz w:val="18"/>
                <w:szCs w:val="18"/>
              </w:rPr>
            </w:pPr>
            <w:r>
              <w:rPr>
                <w:rFonts w:ascii="宋体"/>
                <w:sz w:val="18"/>
              </w:rPr>
              <w:t>52.39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52.39</w:t>
            </w:r>
          </w:p>
        </w:tc>
      </w:tr>
    </w:tbl>
    <w:p>
      <w:pPr>
        <w:spacing w:line="240" w:lineRule="auto" w:before="13"/>
        <w:rPr>
          <w:rFonts w:ascii="宋体" w:hAnsi="宋体" w:cs="宋体" w:eastAsia="宋体" w:hint="default"/>
          <w:sz w:val="5"/>
          <w:szCs w:val="5"/>
        </w:rPr>
      </w:pPr>
    </w:p>
    <w:p>
      <w:pPr>
        <w:pStyle w:val="BodyText"/>
        <w:spacing w:line="367" w:lineRule="auto" w:before="35"/>
        <w:ind w:left="477" w:right="934" w:firstLine="420"/>
        <w:jc w:val="both"/>
      </w:pPr>
      <w:r>
        <w:rPr/>
        <w:t>[注]：公司直接持有北京钱塘恒生科技有限公司</w:t>
      </w:r>
      <w:r>
        <w:rPr>
          <w:spacing w:val="-63"/>
        </w:rPr>
        <w:t> </w:t>
      </w:r>
      <w:r>
        <w:rPr/>
        <w:t>70%的股权，并通过控股子公司杭州恒生</w:t>
      </w:r>
      <w:r>
        <w:rPr/>
        <w:t> 科技有限公司持有其</w:t>
      </w:r>
      <w:r>
        <w:rPr>
          <w:spacing w:val="-68"/>
        </w:rPr>
        <w:t> </w:t>
      </w:r>
      <w:r>
        <w:rPr/>
        <w:t>30%的股权。</w:t>
      </w:r>
    </w:p>
    <w:p>
      <w:pPr>
        <w:pStyle w:val="BodyText"/>
        <w:spacing w:line="367" w:lineRule="auto" w:before="34"/>
        <w:ind w:left="897" w:right="4114"/>
        <w:jc w:val="left"/>
      </w:pPr>
      <w:r>
        <w:rPr/>
        <w:t>(二)</w:t>
      </w:r>
      <w:r>
        <w:rPr>
          <w:spacing w:val="-2"/>
        </w:rPr>
        <w:t> </w:t>
      </w:r>
      <w:r>
        <w:rPr/>
        <w:t>报告期内合并财务报表范围发生变更的情况说明</w:t>
      </w:r>
      <w:r>
        <w:rPr/>
        <w:t> 1．报告期新纳入合并财务报表范围的子公司 以其他方式增加子公司的情况说明</w:t>
      </w:r>
    </w:p>
    <w:p>
      <w:pPr>
        <w:pStyle w:val="BodyText"/>
        <w:spacing w:line="367" w:lineRule="auto" w:before="34"/>
        <w:ind w:left="477" w:right="933" w:firstLine="435"/>
        <w:jc w:val="both"/>
      </w:pPr>
      <w:r>
        <w:rPr>
          <w:spacing w:val="-2"/>
        </w:rPr>
        <w:t>根据公司三届五次董事会通过的《公司投资杭州数米网科技有限公司的议案》，公司与自</w:t>
      </w:r>
      <w:r>
        <w:rPr/>
        <w:t> </w:t>
      </w:r>
      <w:r>
        <w:rPr>
          <w:spacing w:val="-4"/>
        </w:rPr>
        <w:t>然人宋川、陈柏青、金德玮共同出资设立杭州数米网科技有限公司。该公司注册资本</w:t>
      </w:r>
      <w:r>
        <w:rPr>
          <w:spacing w:val="-57"/>
        </w:rPr>
        <w:t> </w:t>
      </w:r>
      <w:r>
        <w:rPr/>
        <w:t>2,000.00</w:t>
      </w:r>
      <w:r>
        <w:rPr>
          <w:spacing w:val="-1"/>
        </w:rPr>
        <w:t> </w:t>
      </w:r>
      <w:r>
        <w:rPr/>
        <w:t>万元，其中本公司以现金出资 1,600.00 万元，占注册资本的比例为</w:t>
      </w:r>
      <w:r>
        <w:rPr>
          <w:spacing w:val="-64"/>
        </w:rPr>
        <w:t> </w:t>
      </w:r>
      <w:r>
        <w:rPr/>
        <w:t>80%，宋川以知识产权出</w:t>
      </w:r>
      <w:r>
        <w:rPr/>
        <w:t> 资</w:t>
      </w:r>
      <w:r>
        <w:rPr>
          <w:spacing w:val="-61"/>
        </w:rPr>
        <w:t> </w:t>
      </w:r>
      <w:r>
        <w:rPr/>
        <w:t>200.00</w:t>
      </w:r>
      <w:r>
        <w:rPr>
          <w:spacing w:val="-60"/>
        </w:rPr>
        <w:t> </w:t>
      </w:r>
      <w:r>
        <w:rPr/>
        <w:t>万元，占注册资本的比例为</w:t>
      </w:r>
      <w:r>
        <w:rPr>
          <w:spacing w:val="-61"/>
        </w:rPr>
        <w:t> </w:t>
      </w:r>
      <w:r>
        <w:rPr/>
        <w:t>10%，陈柏青以现金出资</w:t>
      </w:r>
      <w:r>
        <w:rPr>
          <w:spacing w:val="-61"/>
        </w:rPr>
        <w:t> </w:t>
      </w:r>
      <w:r>
        <w:rPr/>
        <w:t>100.00</w:t>
      </w:r>
      <w:r>
        <w:rPr>
          <w:spacing w:val="-60"/>
        </w:rPr>
        <w:t> </w:t>
      </w:r>
      <w:r>
        <w:rPr/>
        <w:t>万元，占注册资本的比</w:t>
      </w:r>
      <w:r>
        <w:rPr/>
        <w:t> 例为</w:t>
      </w:r>
      <w:r>
        <w:rPr>
          <w:spacing w:val="-51"/>
        </w:rPr>
        <w:t> </w:t>
      </w:r>
      <w:r>
        <w:rPr>
          <w:spacing w:val="-3"/>
        </w:rPr>
        <w:t>5%，金德玮以现金出资</w:t>
      </w:r>
      <w:r>
        <w:rPr>
          <w:spacing w:val="-51"/>
        </w:rPr>
        <w:t> </w:t>
      </w:r>
      <w:r>
        <w:rPr/>
        <w:t>100.00</w:t>
      </w:r>
      <w:r>
        <w:rPr>
          <w:spacing w:val="-51"/>
        </w:rPr>
        <w:t> </w:t>
      </w:r>
      <w:r>
        <w:rPr>
          <w:spacing w:val="-3"/>
        </w:rPr>
        <w:t>万元，占注册资本的比例为</w:t>
      </w:r>
      <w:r>
        <w:rPr>
          <w:spacing w:val="-51"/>
        </w:rPr>
        <w:t> </w:t>
      </w:r>
      <w:r>
        <w:rPr>
          <w:spacing w:val="-3"/>
        </w:rPr>
        <w:t>5%。上述出资业经浙江岳华会</w:t>
      </w:r>
      <w:r>
        <w:rPr>
          <w:spacing w:val="-103"/>
        </w:rPr>
        <w:t> </w:t>
      </w:r>
      <w:r>
        <w:rPr>
          <w:spacing w:val="-103"/>
        </w:rPr>
      </w:r>
      <w:r>
        <w:rPr/>
        <w:t>计师事务所审验，并由其出具浙岳华〔2007〕第</w:t>
      </w:r>
      <w:r>
        <w:rPr>
          <w:spacing w:val="-40"/>
        </w:rPr>
        <w:t> </w:t>
      </w:r>
      <w:r>
        <w:rPr/>
        <w:t>708</w:t>
      </w:r>
      <w:r>
        <w:rPr>
          <w:spacing w:val="-40"/>
        </w:rPr>
        <w:t> </w:t>
      </w:r>
      <w:r>
        <w:rPr/>
        <w:t>号验资报告。该公司已于</w:t>
      </w:r>
      <w:r>
        <w:rPr>
          <w:spacing w:val="-40"/>
        </w:rPr>
        <w:t> </w:t>
      </w:r>
      <w:r>
        <w:rPr/>
        <w:t>2007</w:t>
      </w:r>
      <w:r>
        <w:rPr>
          <w:spacing w:val="-40"/>
        </w:rPr>
        <w:t> </w:t>
      </w:r>
      <w:r>
        <w:rPr/>
        <w:t>年</w:t>
      </w:r>
      <w:r>
        <w:rPr>
          <w:spacing w:val="-40"/>
        </w:rPr>
        <w:t> </w:t>
      </w:r>
      <w:r>
        <w:rPr/>
        <w:t>8</w:t>
      </w:r>
      <w:r>
        <w:rPr>
          <w:spacing w:val="-40"/>
        </w:rPr>
        <w:t> </w:t>
      </w:r>
      <w:r>
        <w:rPr/>
        <w:t>月</w:t>
      </w:r>
      <w:r>
        <w:rPr>
          <w:spacing w:val="-40"/>
        </w:rPr>
        <w:t> </w:t>
      </w:r>
      <w:r>
        <w:rPr/>
        <w:t>6</w:t>
      </w:r>
      <w:r>
        <w:rPr/>
        <w:t> 日在杭州市工商行政管理局余杭分局登记注册，并取得注册号为</w:t>
      </w:r>
      <w:r>
        <w:rPr>
          <w:spacing w:val="-65"/>
        </w:rPr>
        <w:t> </w:t>
      </w:r>
      <w:r>
        <w:rPr/>
        <w:t>330184000006294</w:t>
      </w:r>
      <w:r>
        <w:rPr>
          <w:spacing w:val="-65"/>
        </w:rPr>
        <w:t> </w:t>
      </w:r>
      <w:r>
        <w:rPr>
          <w:spacing w:val="-7"/>
        </w:rPr>
        <w:t>的《企业法</w:t>
      </w:r>
      <w:r>
        <w:rPr/>
        <w:t> 人营业执照》。该公司自成立之日起纳入合并财务报表范围。</w:t>
      </w:r>
    </w:p>
    <w:p>
      <w:pPr>
        <w:pStyle w:val="BodyText"/>
        <w:spacing w:line="367" w:lineRule="auto" w:before="34"/>
        <w:ind w:left="897" w:right="4742"/>
        <w:jc w:val="left"/>
      </w:pPr>
      <w:r>
        <w:rPr/>
        <w:t>2．报告期不再纳入合并财务报表范围的子公司 因其他原因减少子公司的情况说明</w:t>
      </w:r>
    </w:p>
    <w:p>
      <w:pPr>
        <w:pStyle w:val="BodyText"/>
        <w:spacing w:line="367" w:lineRule="auto" w:before="34"/>
        <w:ind w:left="477" w:right="930" w:firstLine="420"/>
        <w:jc w:val="both"/>
      </w:pPr>
      <w:r>
        <w:rPr>
          <w:spacing w:val="3"/>
        </w:rPr>
        <w:t>公司控股子公司杭州恒生信息技术有限公司原控股子公司杭州易诺科技有限公司本期增 </w:t>
      </w:r>
      <w:r>
        <w:rPr/>
        <w:t>资 100.00 万元，增资后杭州恒生信息技术有限公司持股比例下降为</w:t>
      </w:r>
      <w:r>
        <w:rPr>
          <w:spacing w:val="-64"/>
        </w:rPr>
        <w:t> </w:t>
      </w:r>
      <w:r>
        <w:rPr/>
        <w:t>30%。该公司不再纳入合</w:t>
      </w:r>
      <w:r>
        <w:rPr/>
        <w:t> 并财务报表范围。</w:t>
      </w:r>
    </w:p>
    <w:p>
      <w:pPr>
        <w:pStyle w:val="BodyText"/>
        <w:spacing w:line="240" w:lineRule="auto" w:before="34"/>
        <w:ind w:left="897" w:right="928"/>
        <w:jc w:val="left"/>
      </w:pPr>
      <w:r>
        <w:rPr/>
        <w:t>(三)</w:t>
      </w:r>
      <w:r>
        <w:rPr>
          <w:spacing w:val="-2"/>
        </w:rPr>
        <w:t> </w:t>
      </w:r>
      <w:r>
        <w:rPr/>
        <w:t>重要子公司少数股东权益</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215"/>
        <w:gridCol w:w="1582"/>
        <w:gridCol w:w="1864"/>
        <w:gridCol w:w="3065"/>
      </w:tblGrid>
      <w:tr>
        <w:trPr>
          <w:trHeight w:val="236" w:hRule="exact"/>
        </w:trPr>
        <w:tc>
          <w:tcPr>
            <w:tcW w:w="3215" w:type="dxa"/>
            <w:tcBorders>
              <w:top w:val="single" w:sz="4" w:space="0" w:color="000000"/>
              <w:left w:val="single" w:sz="4" w:space="0" w:color="000000"/>
              <w:bottom w:val="nil" w:sz="6" w:space="0" w:color="auto"/>
              <w:right w:val="single" w:sz="4" w:space="0" w:color="000000"/>
            </w:tcBorders>
          </w:tcPr>
          <w:p>
            <w:pPr/>
          </w:p>
        </w:tc>
        <w:tc>
          <w:tcPr>
            <w:tcW w:w="1582" w:type="dxa"/>
            <w:tcBorders>
              <w:top w:val="single" w:sz="4" w:space="0" w:color="000000"/>
              <w:left w:val="single" w:sz="4" w:space="0" w:color="000000"/>
              <w:bottom w:val="nil" w:sz="6" w:space="0" w:color="auto"/>
              <w:right w:val="single" w:sz="4" w:space="0" w:color="000000"/>
            </w:tcBorders>
          </w:tcPr>
          <w:p>
            <w:pPr/>
          </w:p>
        </w:tc>
        <w:tc>
          <w:tcPr>
            <w:tcW w:w="1864" w:type="dxa"/>
            <w:tcBorders>
              <w:top w:val="single" w:sz="4" w:space="0" w:color="000000"/>
              <w:left w:val="single" w:sz="4" w:space="0" w:color="000000"/>
              <w:bottom w:val="nil" w:sz="6" w:space="0" w:color="auto"/>
              <w:right w:val="single" w:sz="4" w:space="0" w:color="000000"/>
            </w:tcBorders>
          </w:tcPr>
          <w:p>
            <w:pPr/>
          </w:p>
        </w:tc>
        <w:tc>
          <w:tcPr>
            <w:tcW w:w="306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14" w:right="-1"/>
              <w:jc w:val="left"/>
              <w:rPr>
                <w:rFonts w:ascii="宋体" w:hAnsi="宋体" w:cs="宋体" w:eastAsia="宋体" w:hint="default"/>
                <w:sz w:val="18"/>
                <w:szCs w:val="18"/>
              </w:rPr>
            </w:pPr>
            <w:r>
              <w:rPr>
                <w:rFonts w:ascii="宋体" w:hAnsi="宋体" w:cs="宋体" w:eastAsia="宋体" w:hint="default"/>
                <w:spacing w:val="8"/>
                <w:sz w:val="18"/>
                <w:szCs w:val="18"/>
              </w:rPr>
              <w:t>从母公司所有者权益中冲减子公司</w:t>
            </w:r>
            <w:r>
              <w:rPr>
                <w:rFonts w:ascii="宋体" w:hAnsi="宋体" w:cs="宋体" w:eastAsia="宋体" w:hint="default"/>
                <w:sz w:val="18"/>
                <w:szCs w:val="18"/>
              </w:rPr>
            </w:r>
          </w:p>
        </w:tc>
      </w:tr>
      <w:tr>
        <w:trPr>
          <w:trHeight w:val="467" w:hRule="exact"/>
        </w:trPr>
        <w:tc>
          <w:tcPr>
            <w:tcW w:w="321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6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 w:right="0"/>
              <w:jc w:val="left"/>
              <w:rPr>
                <w:rFonts w:ascii="宋体" w:hAnsi="宋体" w:cs="宋体" w:eastAsia="宋体" w:hint="default"/>
                <w:sz w:val="18"/>
                <w:szCs w:val="18"/>
              </w:rPr>
            </w:pPr>
            <w:r>
              <w:rPr>
                <w:rFonts w:ascii="宋体" w:hAnsi="宋体" w:cs="宋体" w:eastAsia="宋体" w:hint="default"/>
                <w:spacing w:val="4"/>
                <w:sz w:val="18"/>
                <w:szCs w:val="18"/>
              </w:rPr>
              <w:t>少数股东权益中用于冲</w:t>
            </w:r>
            <w:r>
              <w:rPr>
                <w:rFonts w:ascii="宋体" w:hAnsi="宋体" w:cs="宋体" w:eastAsia="宋体" w:hint="default"/>
                <w:sz w:val="18"/>
                <w:szCs w:val="18"/>
              </w:rPr>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减少数股东损益的金额</w:t>
            </w:r>
          </w:p>
        </w:tc>
        <w:tc>
          <w:tcPr>
            <w:tcW w:w="306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6" w:right="-2"/>
              <w:jc w:val="left"/>
              <w:rPr>
                <w:rFonts w:ascii="宋体" w:hAnsi="宋体" w:cs="宋体" w:eastAsia="宋体" w:hint="default"/>
                <w:sz w:val="18"/>
                <w:szCs w:val="18"/>
              </w:rPr>
            </w:pPr>
            <w:r>
              <w:rPr>
                <w:rFonts w:ascii="宋体" w:hAnsi="宋体" w:cs="宋体" w:eastAsia="宋体" w:hint="default"/>
                <w:spacing w:val="9"/>
                <w:sz w:val="18"/>
                <w:szCs w:val="18"/>
              </w:rPr>
              <w:t>少数股东分担的本期亏损超过少数股</w:t>
            </w:r>
            <w:r>
              <w:rPr>
                <w:rFonts w:ascii="宋体" w:hAnsi="宋体" w:cs="宋体" w:eastAsia="宋体" w:hint="default"/>
                <w:sz w:val="18"/>
                <w:szCs w:val="18"/>
              </w:rPr>
            </w:r>
          </w:p>
          <w:p>
            <w:pPr>
              <w:pStyle w:val="TableParagraph"/>
              <w:spacing w:line="234" w:lineRule="exact"/>
              <w:ind w:left="6" w:right="-2"/>
              <w:jc w:val="left"/>
              <w:rPr>
                <w:rFonts w:ascii="宋体" w:hAnsi="宋体" w:cs="宋体" w:eastAsia="宋体" w:hint="default"/>
                <w:sz w:val="18"/>
                <w:szCs w:val="18"/>
              </w:rPr>
            </w:pPr>
            <w:r>
              <w:rPr>
                <w:rFonts w:ascii="宋体" w:hAnsi="宋体" w:cs="宋体" w:eastAsia="宋体" w:hint="default"/>
                <w:spacing w:val="9"/>
                <w:sz w:val="18"/>
                <w:szCs w:val="18"/>
              </w:rPr>
              <w:t>东在期初所有者权益中所享有份额后</w:t>
            </w:r>
            <w:r>
              <w:rPr>
                <w:rFonts w:ascii="宋体" w:hAnsi="宋体" w:cs="宋体" w:eastAsia="宋体" w:hint="default"/>
                <w:sz w:val="18"/>
                <w:szCs w:val="18"/>
              </w:rPr>
            </w:r>
          </w:p>
        </w:tc>
      </w:tr>
      <w:tr>
        <w:trPr>
          <w:trHeight w:val="239" w:hRule="exact"/>
        </w:trPr>
        <w:tc>
          <w:tcPr>
            <w:tcW w:w="3215" w:type="dxa"/>
            <w:tcBorders>
              <w:top w:val="nil" w:sz="6" w:space="0" w:color="auto"/>
              <w:left w:val="single" w:sz="4" w:space="0" w:color="000000"/>
              <w:bottom w:val="single" w:sz="4" w:space="0" w:color="000000"/>
              <w:right w:val="single" w:sz="4" w:space="0" w:color="000000"/>
            </w:tcBorders>
          </w:tcPr>
          <w:p>
            <w:pPr/>
          </w:p>
        </w:tc>
        <w:tc>
          <w:tcPr>
            <w:tcW w:w="1582" w:type="dxa"/>
            <w:tcBorders>
              <w:top w:val="nil" w:sz="6" w:space="0" w:color="auto"/>
              <w:left w:val="single" w:sz="4" w:space="0" w:color="000000"/>
              <w:bottom w:val="single" w:sz="4" w:space="0" w:color="000000"/>
              <w:right w:val="single" w:sz="4" w:space="0" w:color="000000"/>
            </w:tcBorders>
          </w:tcPr>
          <w:p>
            <w:pPr/>
          </w:p>
        </w:tc>
        <w:tc>
          <w:tcPr>
            <w:tcW w:w="1864" w:type="dxa"/>
            <w:tcBorders>
              <w:top w:val="nil" w:sz="6" w:space="0" w:color="auto"/>
              <w:left w:val="single" w:sz="4" w:space="0" w:color="000000"/>
              <w:bottom w:val="single" w:sz="4" w:space="0" w:color="000000"/>
              <w:right w:val="single" w:sz="4" w:space="0" w:color="000000"/>
            </w:tcBorders>
          </w:tcPr>
          <w:p>
            <w:pPr/>
          </w:p>
        </w:tc>
        <w:tc>
          <w:tcPr>
            <w:tcW w:w="3065"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6" w:right="0"/>
              <w:jc w:val="left"/>
              <w:rPr>
                <w:rFonts w:ascii="宋体" w:hAnsi="宋体" w:cs="宋体" w:eastAsia="宋体" w:hint="default"/>
                <w:sz w:val="18"/>
                <w:szCs w:val="18"/>
              </w:rPr>
            </w:pPr>
            <w:r>
              <w:rPr>
                <w:rFonts w:ascii="宋体" w:hAnsi="宋体" w:cs="宋体" w:eastAsia="宋体" w:hint="default"/>
                <w:sz w:val="18"/>
                <w:szCs w:val="18"/>
              </w:rPr>
              <w:t>的余额</w:t>
            </w:r>
          </w:p>
        </w:tc>
      </w:tr>
      <w:tr>
        <w:trPr>
          <w:trHeight w:val="46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21,738,763.85</w:t>
            </w:r>
          </w:p>
        </w:tc>
        <w:tc>
          <w:tcPr>
            <w:tcW w:w="1864"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杭州恒生信息技术有限公司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6,904,951.13</w:t>
            </w:r>
          </w:p>
        </w:tc>
        <w:tc>
          <w:tcPr>
            <w:tcW w:w="1864"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杭州数米网科技有限公司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3,867,376.08</w:t>
            </w:r>
          </w:p>
        </w:tc>
        <w:tc>
          <w:tcPr>
            <w:tcW w:w="1864"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日本恒生软件株式会社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1,696,158.66</w:t>
            </w:r>
          </w:p>
        </w:tc>
        <w:tc>
          <w:tcPr>
            <w:tcW w:w="1864"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536,860.78</w:t>
            </w:r>
          </w:p>
        </w:tc>
        <w:tc>
          <w:tcPr>
            <w:tcW w:w="1864"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杭州恒生数据安全技术有限公司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411,135.94</w:t>
            </w:r>
          </w:p>
        </w:tc>
        <w:tc>
          <w:tcPr>
            <w:tcW w:w="1864"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上海易锐管理咨询有限公司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292,512.53</w:t>
            </w:r>
          </w:p>
        </w:tc>
        <w:tc>
          <w:tcPr>
            <w:tcW w:w="1864"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5"/>
        <w:ind w:left="897" w:right="928" w:firstLine="0"/>
        <w:jc w:val="left"/>
        <w:rPr>
          <w:rFonts w:ascii="黑体" w:hAnsi="黑体" w:cs="黑体" w:eastAsia="黑体" w:hint="default"/>
          <w:sz w:val="21"/>
          <w:szCs w:val="21"/>
        </w:rPr>
      </w:pPr>
      <w:r>
        <w:rPr>
          <w:rFonts w:ascii="黑体" w:hAnsi="黑体" w:cs="黑体" w:eastAsia="黑体" w:hint="default"/>
          <w:b/>
          <w:bCs/>
          <w:sz w:val="21"/>
          <w:szCs w:val="21"/>
        </w:rPr>
        <w:t>六、利润分配</w:t>
      </w:r>
      <w:r>
        <w:rPr>
          <w:rFonts w:ascii="黑体" w:hAnsi="黑体" w:cs="黑体" w:eastAsia="黑体" w:hint="default"/>
          <w:sz w:val="21"/>
          <w:szCs w:val="21"/>
        </w:rPr>
      </w:r>
    </w:p>
    <w:p>
      <w:pPr>
        <w:pStyle w:val="BodyText"/>
        <w:spacing w:line="240" w:lineRule="auto"/>
        <w:ind w:left="882" w:right="0"/>
        <w:jc w:val="left"/>
      </w:pPr>
      <w:r>
        <w:rPr>
          <w:spacing w:val="-8"/>
        </w:rPr>
        <w:t>根</w:t>
      </w:r>
      <w:r>
        <w:rPr>
          <w:spacing w:val="-9"/>
        </w:rPr>
        <w:t>据公</w:t>
      </w:r>
      <w:r>
        <w:rPr/>
        <w:t>司</w:t>
      </w:r>
      <w:r>
        <w:rPr>
          <w:spacing w:val="-61"/>
        </w:rPr>
        <w:t> </w:t>
      </w:r>
      <w:r>
        <w:rPr>
          <w:spacing w:val="-5"/>
        </w:rPr>
        <w:t>200</w:t>
      </w:r>
      <w:r>
        <w:rPr/>
        <w:t>7</w:t>
      </w:r>
      <w:r>
        <w:rPr>
          <w:spacing w:val="-57"/>
        </w:rPr>
        <w:t> </w:t>
      </w:r>
      <w:r>
        <w:rPr/>
        <w:t>年</w:t>
      </w:r>
      <w:r>
        <w:rPr>
          <w:spacing w:val="-61"/>
        </w:rPr>
        <w:t> </w:t>
      </w:r>
      <w:r>
        <w:rPr/>
        <w:t>4</w:t>
      </w:r>
      <w:r>
        <w:rPr>
          <w:spacing w:val="-57"/>
        </w:rPr>
        <w:t> </w:t>
      </w:r>
      <w:r>
        <w:rPr/>
        <w:t>月</w:t>
      </w:r>
      <w:r>
        <w:rPr>
          <w:spacing w:val="-61"/>
        </w:rPr>
        <w:t> </w:t>
      </w:r>
      <w:r>
        <w:rPr>
          <w:spacing w:val="-5"/>
        </w:rPr>
        <w:t>1</w:t>
      </w:r>
      <w:r>
        <w:rPr/>
        <w:t>0</w:t>
      </w:r>
      <w:r>
        <w:rPr>
          <w:spacing w:val="-58"/>
        </w:rPr>
        <w:t> </w:t>
      </w:r>
      <w:r>
        <w:rPr>
          <w:spacing w:val="-8"/>
        </w:rPr>
        <w:t>日</w:t>
      </w:r>
      <w:r>
        <w:rPr>
          <w:spacing w:val="-9"/>
        </w:rPr>
        <w:t>公司</w:t>
      </w:r>
      <w:r>
        <w:rPr>
          <w:spacing w:val="-8"/>
        </w:rPr>
        <w:t>股</w:t>
      </w:r>
      <w:r>
        <w:rPr>
          <w:spacing w:val="-9"/>
        </w:rPr>
        <w:t>东大</w:t>
      </w:r>
      <w:r>
        <w:rPr>
          <w:spacing w:val="-8"/>
        </w:rPr>
        <w:t>会</w:t>
      </w:r>
      <w:r>
        <w:rPr>
          <w:spacing w:val="-9"/>
        </w:rPr>
        <w:t>通过</w:t>
      </w:r>
      <w:r>
        <w:rPr>
          <w:spacing w:val="-8"/>
        </w:rPr>
        <w:t>的</w:t>
      </w:r>
      <w:r>
        <w:rPr>
          <w:spacing w:val="-9"/>
        </w:rPr>
        <w:t>《</w:t>
      </w:r>
      <w:r>
        <w:rPr>
          <w:spacing w:val="-5"/>
        </w:rPr>
        <w:t>200</w:t>
      </w:r>
      <w:r>
        <w:rPr/>
        <w:t>6</w:t>
      </w:r>
      <w:r>
        <w:rPr>
          <w:spacing w:val="-57"/>
        </w:rPr>
        <w:t> </w:t>
      </w:r>
      <w:r>
        <w:rPr>
          <w:spacing w:val="-7"/>
        </w:rPr>
        <w:t>年</w:t>
      </w:r>
      <w:r>
        <w:rPr>
          <w:spacing w:val="-9"/>
        </w:rPr>
        <w:t>度公司</w:t>
      </w:r>
      <w:r>
        <w:rPr>
          <w:spacing w:val="-8"/>
        </w:rPr>
        <w:t>利</w:t>
      </w:r>
      <w:r>
        <w:rPr>
          <w:spacing w:val="-9"/>
        </w:rPr>
        <w:t>润分</w:t>
      </w:r>
      <w:r>
        <w:rPr>
          <w:spacing w:val="-8"/>
        </w:rPr>
        <w:t>配</w:t>
      </w:r>
      <w:r>
        <w:rPr>
          <w:spacing w:val="-9"/>
        </w:rPr>
        <w:t>方案</w:t>
      </w:r>
      <w:r>
        <w:rPr>
          <w:spacing w:val="-110"/>
        </w:rPr>
        <w:t>》</w:t>
      </w:r>
      <w:r>
        <w:rPr>
          <w:spacing w:val="-9"/>
        </w:rPr>
        <w:t>，</w:t>
      </w:r>
      <w:r>
        <w:rPr/>
        <w:t>以</w:t>
      </w:r>
      <w:r>
        <w:rPr>
          <w:spacing w:val="-60"/>
        </w:rPr>
        <w:t> </w:t>
      </w:r>
      <w:r>
        <w:rPr>
          <w:spacing w:val="-5"/>
        </w:rPr>
        <w:t>200</w:t>
      </w:r>
      <w:r>
        <w:rPr/>
        <w:t>6</w:t>
      </w:r>
      <w:r>
        <w:rPr>
          <w:spacing w:val="-57"/>
        </w:rPr>
        <w:t> </w:t>
      </w:r>
      <w:r>
        <w:rPr/>
        <w:t>年</w:t>
      </w:r>
    </w:p>
    <w:p>
      <w:pPr>
        <w:spacing w:after="0" w:line="240" w:lineRule="auto"/>
        <w:jc w:val="left"/>
        <w:sectPr>
          <w:pgSz w:w="11910" w:h="16840"/>
          <w:pgMar w:header="0" w:footer="1263" w:top="1360" w:bottom="1460" w:left="1320" w:right="620"/>
        </w:sectPr>
      </w:pPr>
    </w:p>
    <w:p>
      <w:pPr>
        <w:pStyle w:val="BodyText"/>
        <w:spacing w:line="240" w:lineRule="auto" w:before="13"/>
        <w:ind w:right="0"/>
        <w:jc w:val="left"/>
      </w:pPr>
      <w:r>
        <w:rPr>
          <w:spacing w:val="-7"/>
        </w:rPr>
        <w:t>末总股本</w:t>
      </w:r>
      <w:r>
        <w:rPr>
          <w:spacing w:val="-51"/>
        </w:rPr>
        <w:t> </w:t>
      </w:r>
      <w:r>
        <w:rPr>
          <w:spacing w:val="-5"/>
        </w:rPr>
        <w:t>142,800,000</w:t>
      </w:r>
      <w:r>
        <w:rPr>
          <w:spacing w:val="-47"/>
        </w:rPr>
        <w:t> </w:t>
      </w:r>
      <w:r>
        <w:rPr>
          <w:spacing w:val="-8"/>
        </w:rPr>
        <w:t>股为基数，按每</w:t>
      </w:r>
      <w:r>
        <w:rPr>
          <w:spacing w:val="-51"/>
        </w:rPr>
        <w:t> </w:t>
      </w:r>
      <w:r>
        <w:rPr>
          <w:spacing w:val="-3"/>
        </w:rPr>
        <w:t>10</w:t>
      </w:r>
      <w:r>
        <w:rPr>
          <w:spacing w:val="-48"/>
        </w:rPr>
        <w:t> </w:t>
      </w:r>
      <w:r>
        <w:rPr>
          <w:spacing w:val="-7"/>
        </w:rPr>
        <w:t>股派现金</w:t>
      </w:r>
      <w:r>
        <w:rPr>
          <w:spacing w:val="-51"/>
        </w:rPr>
        <w:t> </w:t>
      </w:r>
      <w:r>
        <w:rPr/>
        <w:t>1</w:t>
      </w:r>
      <w:r>
        <w:rPr>
          <w:spacing w:val="-48"/>
        </w:rPr>
        <w:t> </w:t>
      </w:r>
      <w:r>
        <w:rPr>
          <w:spacing w:val="-8"/>
        </w:rPr>
        <w:t>元(含税)，总计分配现金股利</w:t>
      </w:r>
      <w:r>
        <w:rPr>
          <w:spacing w:val="-51"/>
        </w:rPr>
        <w:t> </w:t>
      </w:r>
      <w:r>
        <w:rPr>
          <w:spacing w:val="-5"/>
        </w:rPr>
        <w:t>1,428.00</w:t>
      </w:r>
      <w:r>
        <w:rPr>
          <w:spacing w:val="-48"/>
        </w:rPr>
        <w:t> </w:t>
      </w:r>
      <w:r>
        <w:rPr/>
        <w:t>万</w:t>
      </w:r>
    </w:p>
    <w:p>
      <w:pPr>
        <w:pStyle w:val="BodyText"/>
        <w:spacing w:line="240" w:lineRule="auto"/>
        <w:ind w:right="0"/>
        <w:jc w:val="left"/>
      </w:pPr>
      <w:r>
        <w:rPr>
          <w:spacing w:val="-9"/>
        </w:rPr>
        <w:t>元(含税)，同时向全体股东以资本公积金每</w:t>
      </w:r>
      <w:r>
        <w:rPr>
          <w:spacing w:val="-59"/>
        </w:rPr>
        <w:t> </w:t>
      </w:r>
      <w:r>
        <w:rPr>
          <w:spacing w:val="-3"/>
        </w:rPr>
        <w:t>10</w:t>
      </w:r>
      <w:r>
        <w:rPr>
          <w:spacing w:val="-56"/>
        </w:rPr>
        <w:t> </w:t>
      </w:r>
      <w:r>
        <w:rPr>
          <w:spacing w:val="-6"/>
        </w:rPr>
        <w:t>股转增</w:t>
      </w:r>
      <w:r>
        <w:rPr>
          <w:spacing w:val="-60"/>
        </w:rPr>
        <w:t> </w:t>
      </w:r>
      <w:r>
        <w:rPr/>
        <w:t>3</w:t>
      </w:r>
      <w:r>
        <w:rPr>
          <w:spacing w:val="-55"/>
        </w:rPr>
        <w:t> </w:t>
      </w:r>
      <w:r>
        <w:rPr>
          <w:spacing w:val="-10"/>
        </w:rPr>
        <w:t>股，转增后公司股本总额为</w:t>
      </w:r>
      <w:r>
        <w:rPr>
          <w:spacing w:val="-59"/>
        </w:rPr>
        <w:t> </w:t>
      </w:r>
      <w:r>
        <w:rPr>
          <w:spacing w:val="-5"/>
        </w:rPr>
        <w:t>18,564</w:t>
      </w:r>
      <w:r>
        <w:rPr>
          <w:spacing w:val="-55"/>
        </w:rPr>
        <w:t> </w:t>
      </w:r>
      <w:r>
        <w:rPr>
          <w:spacing w:val="-6"/>
        </w:rPr>
        <w:t>万股。</w:t>
      </w:r>
    </w:p>
    <w:p>
      <w:pPr>
        <w:pStyle w:val="BodyText"/>
        <w:spacing w:line="240" w:lineRule="auto"/>
        <w:ind w:left="537" w:right="0"/>
        <w:jc w:val="left"/>
      </w:pPr>
      <w:r>
        <w:rPr/>
        <w:t>根据</w:t>
      </w:r>
      <w:r>
        <w:rPr>
          <w:spacing w:val="-58"/>
        </w:rPr>
        <w:t> </w:t>
      </w:r>
      <w:r>
        <w:rPr/>
        <w:t>2008</w:t>
      </w:r>
      <w:r>
        <w:rPr>
          <w:spacing w:val="-57"/>
        </w:rPr>
        <w:t> </w:t>
      </w:r>
      <w:r>
        <w:rPr/>
        <w:t>年</w:t>
      </w:r>
      <w:r>
        <w:rPr>
          <w:spacing w:val="-59"/>
        </w:rPr>
        <w:t> </w:t>
      </w:r>
      <w:r>
        <w:rPr/>
        <w:t>4</w:t>
      </w:r>
      <w:r>
        <w:rPr>
          <w:spacing w:val="-57"/>
        </w:rPr>
        <w:t> </w:t>
      </w:r>
      <w:r>
        <w:rPr/>
        <w:t>月</w:t>
      </w:r>
      <w:r>
        <w:rPr>
          <w:spacing w:val="-59"/>
        </w:rPr>
        <w:t> </w:t>
      </w:r>
      <w:r>
        <w:rPr/>
        <w:t>21</w:t>
      </w:r>
      <w:r>
        <w:rPr>
          <w:spacing w:val="-57"/>
        </w:rPr>
        <w:t> </w:t>
      </w:r>
      <w:r>
        <w:rPr/>
        <w:t>日公司董事会三届十次会议通过的</w:t>
      </w:r>
      <w:r>
        <w:rPr>
          <w:spacing w:val="-58"/>
        </w:rPr>
        <w:t> </w:t>
      </w:r>
      <w:r>
        <w:rPr/>
        <w:t>2007</w:t>
      </w:r>
      <w:r>
        <w:rPr>
          <w:spacing w:val="-58"/>
        </w:rPr>
        <w:t> </w:t>
      </w:r>
      <w:r>
        <w:rPr/>
        <w:t>年度利润分配方案，按</w:t>
      </w:r>
      <w:r>
        <w:rPr>
          <w:spacing w:val="-58"/>
        </w:rPr>
        <w:t> </w:t>
      </w:r>
      <w:r>
        <w:rPr/>
        <w:t>2007</w:t>
      </w:r>
    </w:p>
    <w:p>
      <w:pPr>
        <w:pStyle w:val="BodyText"/>
        <w:spacing w:line="240" w:lineRule="auto"/>
        <w:ind w:right="0"/>
        <w:jc w:val="left"/>
      </w:pPr>
      <w:r>
        <w:rPr/>
        <w:t>年度实现净利润提取</w:t>
      </w:r>
      <w:r>
        <w:rPr>
          <w:spacing w:val="-20"/>
        </w:rPr>
        <w:t> </w:t>
      </w:r>
      <w:r>
        <w:rPr/>
        <w:t>10%的法定盈余公积</w:t>
      </w:r>
      <w:r>
        <w:rPr>
          <w:spacing w:val="-20"/>
        </w:rPr>
        <w:t> </w:t>
      </w:r>
      <w:r>
        <w:rPr/>
        <w:t>12,050,168.13</w:t>
      </w:r>
      <w:r>
        <w:rPr>
          <w:spacing w:val="-19"/>
        </w:rPr>
        <w:t> </w:t>
      </w:r>
      <w:r>
        <w:rPr/>
        <w:t>元，以</w:t>
      </w:r>
      <w:r>
        <w:rPr>
          <w:spacing w:val="-20"/>
        </w:rPr>
        <w:t> </w:t>
      </w:r>
      <w:r>
        <w:rPr/>
        <w:t>2007</w:t>
      </w:r>
      <w:r>
        <w:rPr>
          <w:spacing w:val="-21"/>
        </w:rPr>
        <w:t> </w:t>
      </w:r>
      <w:r>
        <w:rPr/>
        <w:t>年</w:t>
      </w:r>
      <w:r>
        <w:rPr>
          <w:spacing w:val="-20"/>
        </w:rPr>
        <w:t> </w:t>
      </w:r>
      <w:r>
        <w:rPr/>
        <w:t>12</w:t>
      </w:r>
      <w:r>
        <w:rPr>
          <w:spacing w:val="-19"/>
        </w:rPr>
        <w:t> </w:t>
      </w:r>
      <w:r>
        <w:rPr/>
        <w:t>月</w:t>
      </w:r>
      <w:r>
        <w:rPr>
          <w:spacing w:val="-20"/>
        </w:rPr>
        <w:t> </w:t>
      </w:r>
      <w:r>
        <w:rPr/>
        <w:t>31</w:t>
      </w:r>
      <w:r>
        <w:rPr>
          <w:spacing w:val="-21"/>
        </w:rPr>
        <w:t> </w:t>
      </w:r>
      <w:r>
        <w:rPr/>
        <w:t>日总股本</w:t>
      </w:r>
    </w:p>
    <w:p>
      <w:pPr>
        <w:pStyle w:val="BodyText"/>
        <w:spacing w:line="240" w:lineRule="auto"/>
        <w:ind w:right="0"/>
        <w:jc w:val="left"/>
      </w:pPr>
      <w:r>
        <w:rPr/>
        <w:t>18,564</w:t>
      </w:r>
      <w:r>
        <w:rPr>
          <w:spacing w:val="-40"/>
        </w:rPr>
        <w:t> </w:t>
      </w:r>
      <w:r>
        <w:rPr/>
        <w:t>万股为基数，向全体股东按每</w:t>
      </w:r>
      <w:r>
        <w:rPr>
          <w:spacing w:val="-41"/>
        </w:rPr>
        <w:t> </w:t>
      </w:r>
      <w:r>
        <w:rPr/>
        <w:t>10</w:t>
      </w:r>
      <w:r>
        <w:rPr>
          <w:spacing w:val="-40"/>
        </w:rPr>
        <w:t> </w:t>
      </w:r>
      <w:r>
        <w:rPr/>
        <w:t>股派发红股</w:t>
      </w:r>
      <w:r>
        <w:rPr>
          <w:spacing w:val="-41"/>
        </w:rPr>
        <w:t> </w:t>
      </w:r>
      <w:r>
        <w:rPr/>
        <w:t>6</w:t>
      </w:r>
      <w:r>
        <w:rPr>
          <w:spacing w:val="-40"/>
        </w:rPr>
        <w:t> </w:t>
      </w:r>
      <w:r>
        <w:rPr/>
        <w:t>股并派发现金股利</w:t>
      </w:r>
      <w:r>
        <w:rPr>
          <w:spacing w:val="-41"/>
        </w:rPr>
        <w:t> </w:t>
      </w:r>
      <w:r>
        <w:rPr/>
        <w:t>0.70</w:t>
      </w:r>
      <w:r>
        <w:rPr>
          <w:spacing w:val="-40"/>
        </w:rPr>
        <w:t> </w:t>
      </w:r>
      <w:r>
        <w:rPr/>
        <w:t>元(含税)，共</w:t>
      </w:r>
    </w:p>
    <w:p>
      <w:pPr>
        <w:pStyle w:val="BodyText"/>
        <w:spacing w:line="367" w:lineRule="auto"/>
        <w:ind w:right="582"/>
        <w:jc w:val="left"/>
      </w:pPr>
      <w:r>
        <w:rPr/>
        <w:t>计派送红股</w:t>
      </w:r>
      <w:r>
        <w:rPr>
          <w:spacing w:val="-52"/>
        </w:rPr>
        <w:t> </w:t>
      </w:r>
      <w:r>
        <w:rPr/>
        <w:t>111,384,000</w:t>
      </w:r>
      <w:r>
        <w:rPr>
          <w:spacing w:val="-52"/>
        </w:rPr>
        <w:t> </w:t>
      </w:r>
      <w:r>
        <w:rPr/>
        <w:t>股及现金股利</w:t>
      </w:r>
      <w:r>
        <w:rPr>
          <w:spacing w:val="-52"/>
        </w:rPr>
        <w:t> </w:t>
      </w:r>
      <w:r>
        <w:rPr/>
        <w:t>12,994,800.00</w:t>
      </w:r>
      <w:r>
        <w:rPr>
          <w:spacing w:val="-51"/>
        </w:rPr>
        <w:t> </w:t>
      </w:r>
      <w:r>
        <w:rPr>
          <w:spacing w:val="-4"/>
        </w:rPr>
        <w:t>元。上述利润分配方案尚待公司股东大</w:t>
      </w:r>
      <w:r>
        <w:rPr/>
        <w:t> 会审议通过。</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933"/>
        <w:gridCol w:w="1902"/>
        <w:gridCol w:w="2554"/>
      </w:tblGrid>
      <w:tr>
        <w:trPr>
          <w:trHeight w:val="415"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七、合并财务报表项目注释</w:t>
            </w:r>
            <w:r>
              <w:rPr>
                <w:rFonts w:ascii="黑体" w:hAnsi="黑体" w:cs="黑体" w:eastAsia="黑体" w:hint="default"/>
                <w:sz w:val="21"/>
                <w:szCs w:val="21"/>
              </w:rPr>
            </w:r>
          </w:p>
        </w:tc>
        <w:tc>
          <w:tcPr>
            <w:tcW w:w="4456" w:type="dxa"/>
            <w:gridSpan w:val="2"/>
            <w:vMerge w:val="restart"/>
            <w:tcBorders>
              <w:top w:val="nil" w:sz="6" w:space="0" w:color="auto"/>
              <w:left w:val="nil" w:sz="6" w:space="0" w:color="auto"/>
              <w:right w:val="nil" w:sz="6" w:space="0" w:color="auto"/>
            </w:tcBorders>
          </w:tcPr>
          <w:p>
            <w:pPr/>
          </w:p>
        </w:tc>
      </w:tr>
      <w:tr>
        <w:trPr>
          <w:trHeight w:val="42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p>
        </w:tc>
        <w:tc>
          <w:tcPr>
            <w:tcW w:w="4456" w:type="dxa"/>
            <w:gridSpan w:val="2"/>
            <w:vMerge/>
            <w:tcBorders>
              <w:left w:val="nil" w:sz="6" w:space="0" w:color="auto"/>
              <w:bottom w:val="nil" w:sz="6" w:space="0" w:color="auto"/>
              <w:right w:val="nil" w:sz="6" w:space="0" w:color="auto"/>
            </w:tcBorders>
          </w:tcPr>
          <w:p>
            <w:pPr/>
          </w:p>
        </w:tc>
      </w:tr>
      <w:tr>
        <w:trPr>
          <w:trHeight w:val="42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货币资金</w:t>
            </w:r>
          </w:p>
        </w:tc>
        <w:tc>
          <w:tcPr>
            <w:tcW w:w="190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66"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9"/>
                <w:sz w:val="21"/>
                <w:szCs w:val="21"/>
              </w:rPr>
              <w:t> </w:t>
            </w:r>
            <w:r>
              <w:rPr>
                <w:rFonts w:ascii="宋体" w:hAnsi="宋体" w:cs="宋体" w:eastAsia="宋体" w:hint="default"/>
                <w:sz w:val="21"/>
                <w:szCs w:val="21"/>
              </w:rPr>
              <w:t>264,685,646.77</w:t>
            </w:r>
          </w:p>
        </w:tc>
      </w:tr>
      <w:tr>
        <w:trPr>
          <w:trHeight w:val="42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90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r>
      <w:tr>
        <w:trPr>
          <w:trHeight w:val="420" w:hRule="exact"/>
        </w:trPr>
        <w:tc>
          <w:tcPr>
            <w:tcW w:w="293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7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8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4"/>
              <w:jc w:val="right"/>
              <w:rPr>
                <w:rFonts w:ascii="宋体" w:hAnsi="宋体" w:cs="宋体" w:eastAsia="宋体" w:hint="default"/>
                <w:sz w:val="21"/>
                <w:szCs w:val="21"/>
              </w:rPr>
            </w:pPr>
            <w:r>
              <w:rPr>
                <w:rFonts w:ascii="宋体"/>
                <w:sz w:val="21"/>
              </w:rPr>
              <w:t>237,269.22</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22" w:right="0"/>
              <w:jc w:val="left"/>
              <w:rPr>
                <w:rFonts w:ascii="宋体" w:hAnsi="宋体" w:cs="宋体" w:eastAsia="宋体" w:hint="default"/>
                <w:sz w:val="21"/>
                <w:szCs w:val="21"/>
              </w:rPr>
            </w:pPr>
            <w:r>
              <w:rPr>
                <w:rFonts w:ascii="宋体"/>
                <w:sz w:val="21"/>
              </w:rPr>
              <w:t>126,142.01</w:t>
            </w:r>
          </w:p>
        </w:tc>
      </w:tr>
      <w:tr>
        <w:trPr>
          <w:trHeight w:val="42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7"/>
              <w:jc w:val="right"/>
              <w:rPr>
                <w:rFonts w:ascii="宋体" w:hAnsi="宋体" w:cs="宋体" w:eastAsia="宋体" w:hint="default"/>
                <w:sz w:val="21"/>
                <w:szCs w:val="21"/>
              </w:rPr>
            </w:pPr>
            <w:r>
              <w:rPr>
                <w:rFonts w:ascii="宋体"/>
                <w:spacing w:val="-1"/>
                <w:sz w:val="21"/>
              </w:rPr>
              <w:t>259,376,019.12</w:t>
            </w:r>
            <w:r>
              <w:rPr>
                <w:rFonts w:ascii="宋体"/>
                <w:sz w:val="21"/>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02" w:right="0"/>
              <w:jc w:val="left"/>
              <w:rPr>
                <w:rFonts w:ascii="宋体" w:hAnsi="宋体" w:cs="宋体" w:eastAsia="宋体" w:hint="default"/>
                <w:sz w:val="21"/>
                <w:szCs w:val="21"/>
              </w:rPr>
            </w:pPr>
            <w:r>
              <w:rPr>
                <w:rFonts w:ascii="宋体"/>
                <w:sz w:val="21"/>
              </w:rPr>
              <w:t>183,716,772.62</w:t>
            </w:r>
          </w:p>
        </w:tc>
      </w:tr>
      <w:tr>
        <w:trPr>
          <w:trHeight w:val="42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7"/>
              <w:jc w:val="right"/>
              <w:rPr>
                <w:rFonts w:ascii="宋体" w:hAnsi="宋体" w:cs="宋体" w:eastAsia="宋体" w:hint="default"/>
                <w:sz w:val="21"/>
                <w:szCs w:val="21"/>
              </w:rPr>
            </w:pPr>
            <w:r>
              <w:rPr>
                <w:rFonts w:ascii="宋体"/>
                <w:spacing w:val="-1"/>
                <w:sz w:val="21"/>
              </w:rPr>
              <w:t>5,072,358.43</w:t>
            </w:r>
            <w:r>
              <w:rPr>
                <w:rFonts w:ascii="宋体"/>
                <w:sz w:val="21"/>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6" w:right="0"/>
              <w:jc w:val="left"/>
              <w:rPr>
                <w:rFonts w:ascii="宋体" w:hAnsi="宋体" w:cs="宋体" w:eastAsia="宋体" w:hint="default"/>
                <w:sz w:val="21"/>
                <w:szCs w:val="21"/>
              </w:rPr>
            </w:pPr>
            <w:r>
              <w:rPr>
                <w:rFonts w:ascii="宋体"/>
                <w:sz w:val="21"/>
              </w:rPr>
              <w:t>38,468,742.28</w:t>
            </w:r>
          </w:p>
        </w:tc>
      </w:tr>
      <w:tr>
        <w:trPr>
          <w:trHeight w:val="456" w:hRule="exact"/>
        </w:trPr>
        <w:tc>
          <w:tcPr>
            <w:tcW w:w="2933" w:type="dxa"/>
            <w:tcBorders>
              <w:top w:val="nil" w:sz="6" w:space="0" w:color="auto"/>
              <w:left w:val="nil" w:sz="6" w:space="0" w:color="auto"/>
              <w:bottom w:val="nil" w:sz="6" w:space="0" w:color="auto"/>
              <w:right w:val="nil" w:sz="6" w:space="0" w:color="auto"/>
            </w:tcBorders>
          </w:tcPr>
          <w:p>
            <w:pPr>
              <w:pStyle w:val="TableParagraph"/>
              <w:tabs>
                <w:tab w:pos="684" w:val="left" w:leader="none"/>
              </w:tabs>
              <w:spacing w:line="240" w:lineRule="auto" w:before="40"/>
              <w:ind w:left="26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66"/>
              <w:jc w:val="right"/>
              <w:rPr>
                <w:rFonts w:ascii="宋体" w:hAnsi="宋体" w:cs="宋体" w:eastAsia="宋体" w:hint="default"/>
                <w:sz w:val="21"/>
                <w:szCs w:val="21"/>
              </w:rPr>
            </w:pPr>
            <w:r>
              <w:rPr>
                <w:rFonts w:ascii="宋体"/>
                <w:sz w:val="21"/>
              </w:rPr>
            </w:r>
            <w:r>
              <w:rPr>
                <w:rFonts w:ascii="宋体"/>
                <w:spacing w:val="-1"/>
                <w:sz w:val="21"/>
                <w:u w:val="thick" w:color="000000"/>
              </w:rPr>
              <w:t>264,685,646.77</w:t>
            </w:r>
            <w:r>
              <w:rPr>
                <w:rFonts w:ascii="宋体"/>
                <w:spacing w:val="-1"/>
                <w:sz w:val="21"/>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32" w:right="0"/>
              <w:jc w:val="left"/>
              <w:rPr>
                <w:rFonts w:ascii="宋体" w:hAnsi="宋体" w:cs="宋体" w:eastAsia="宋体" w:hint="default"/>
                <w:sz w:val="21"/>
                <w:szCs w:val="21"/>
              </w:rPr>
            </w:pPr>
            <w:r>
              <w:rPr>
                <w:rFonts w:ascii="宋体"/>
                <w:sz w:val="21"/>
              </w:rPr>
            </w:r>
            <w:r>
              <w:rPr>
                <w:rFonts w:ascii="宋体"/>
                <w:sz w:val="21"/>
                <w:u w:val="thick" w:color="000000"/>
              </w:rPr>
              <w:t>222,311,656.91</w:t>
            </w:r>
            <w:r>
              <w:rPr>
                <w:rFonts w:ascii="宋体"/>
                <w:sz w:val="21"/>
              </w:rPr>
            </w:r>
          </w:p>
        </w:tc>
      </w:tr>
    </w:tbl>
    <w:p>
      <w:pPr>
        <w:pStyle w:val="BodyText"/>
        <w:spacing w:line="240" w:lineRule="auto" w:before="86"/>
        <w:ind w:left="537" w:right="0"/>
        <w:jc w:val="left"/>
      </w:pPr>
      <w:r>
        <w:rPr/>
        <w:t>(2)</w:t>
      </w:r>
      <w:r>
        <w:rPr>
          <w:spacing w:val="-2"/>
        </w:rPr>
        <w:t> </w:t>
      </w:r>
      <w:r>
        <w:rPr/>
        <w:t>抵押、冻结等对使用有限制或存放在境外、或有潜在回收风险款项的说明</w:t>
      </w:r>
    </w:p>
    <w:p>
      <w:pPr>
        <w:pStyle w:val="BodyText"/>
        <w:spacing w:line="240" w:lineRule="auto"/>
        <w:ind w:left="537" w:right="0"/>
        <w:jc w:val="left"/>
      </w:pPr>
      <w:r>
        <w:rPr/>
        <w:t>其他货币资金包括银行承兑汇票保证金</w:t>
      </w:r>
      <w:r>
        <w:rPr>
          <w:spacing w:val="-65"/>
        </w:rPr>
        <w:t> </w:t>
      </w:r>
      <w:r>
        <w:rPr/>
        <w:t>2,329,462.88</w:t>
      </w:r>
      <w:r>
        <w:rPr>
          <w:spacing w:val="-64"/>
        </w:rPr>
        <w:t> </w:t>
      </w:r>
      <w:r>
        <w:rPr/>
        <w:t>元、保函保证金</w:t>
      </w:r>
      <w:r>
        <w:rPr>
          <w:spacing w:val="-65"/>
        </w:rPr>
        <w:t> </w:t>
      </w:r>
      <w:r>
        <w:rPr/>
        <w:t>2,113,666.75</w:t>
      </w:r>
      <w:r>
        <w:rPr>
          <w:spacing w:val="-64"/>
        </w:rPr>
        <w:t> </w:t>
      </w:r>
      <w:r>
        <w:rPr/>
        <w:t>元、</w:t>
      </w:r>
    </w:p>
    <w:p>
      <w:pPr>
        <w:pStyle w:val="BodyText"/>
        <w:spacing w:line="240" w:lineRule="auto"/>
        <w:ind w:right="0"/>
        <w:jc w:val="left"/>
      </w:pPr>
      <w:r>
        <w:rPr/>
        <w:t>存出投资款</w:t>
      </w:r>
      <w:r>
        <w:rPr>
          <w:spacing w:val="-61"/>
        </w:rPr>
        <w:t> </w:t>
      </w:r>
      <w:r>
        <w:rPr/>
        <w:t>588,288.03</w:t>
      </w:r>
      <w:r>
        <w:rPr>
          <w:spacing w:val="-60"/>
        </w:rPr>
        <w:t> </w:t>
      </w:r>
      <w:r>
        <w:rPr/>
        <w:t>元和信用卡存款</w:t>
      </w:r>
      <w:r>
        <w:rPr>
          <w:spacing w:val="-61"/>
        </w:rPr>
        <w:t> </w:t>
      </w:r>
      <w:r>
        <w:rPr/>
        <w:t>40,940.77</w:t>
      </w:r>
      <w:r>
        <w:rPr>
          <w:spacing w:val="-60"/>
        </w:rPr>
        <w:t> </w:t>
      </w:r>
      <w:r>
        <w:rPr/>
        <w:t>元。</w:t>
      </w:r>
    </w:p>
    <w:p>
      <w:pPr>
        <w:pStyle w:val="BodyText"/>
        <w:spacing w:line="240" w:lineRule="auto"/>
        <w:ind w:left="537" w:right="0"/>
        <w:jc w:val="left"/>
      </w:pPr>
      <w:r>
        <w:rPr/>
        <w:t>(3)</w:t>
      </w:r>
      <w:r>
        <w:rPr>
          <w:spacing w:val="-2"/>
        </w:rPr>
        <w:t> </w:t>
      </w:r>
      <w:r>
        <w:rPr/>
        <w:t>货币资金——外币货币资金</w:t>
      </w:r>
    </w:p>
    <w:p>
      <w:pPr>
        <w:spacing w:line="240" w:lineRule="auto" w:before="0"/>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1175"/>
        <w:gridCol w:w="1590"/>
        <w:gridCol w:w="900"/>
        <w:gridCol w:w="1350"/>
        <w:gridCol w:w="2385"/>
        <w:gridCol w:w="1250"/>
      </w:tblGrid>
      <w:tr>
        <w:trPr>
          <w:trHeight w:val="633"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840" w:type="dxa"/>
            <w:gridSpan w:val="3"/>
            <w:tcBorders>
              <w:top w:val="nil" w:sz="6" w:space="0" w:color="auto"/>
              <w:left w:val="nil" w:sz="6" w:space="0" w:color="auto"/>
              <w:bottom w:val="nil" w:sz="6" w:space="0" w:color="auto"/>
              <w:right w:val="nil" w:sz="6" w:space="0" w:color="auto"/>
            </w:tcBorders>
          </w:tcPr>
          <w:p>
            <w:pPr>
              <w:pStyle w:val="TableParagraph"/>
              <w:tabs>
                <w:tab w:pos="1739" w:val="left" w:leader="none"/>
                <w:tab w:pos="2427" w:val="left" w:leader="none"/>
                <w:tab w:pos="3449" w:val="left" w:leader="none"/>
              </w:tabs>
              <w:spacing w:line="232" w:lineRule="exact" w:before="69"/>
              <w:ind w:left="627" w:right="330" w:firstLine="12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r>
            <w:r>
              <w:rPr>
                <w:rFonts w:ascii="宋体" w:hAnsi="宋体" w:cs="宋体" w:eastAsia="宋体" w:hint="default"/>
                <w:sz w:val="18"/>
                <w:szCs w:val="18"/>
              </w:rPr>
              <w:t> 原币及金额</w:t>
              <w:tab/>
              <w:t>汇率</w:t>
              <w:tab/>
              <w:t>折人民币金额</w:t>
            </w:r>
          </w:p>
        </w:tc>
        <w:tc>
          <w:tcPr>
            <w:tcW w:w="3635" w:type="dxa"/>
            <w:gridSpan w:val="2"/>
            <w:tcBorders>
              <w:top w:val="nil" w:sz="6" w:space="0" w:color="auto"/>
              <w:left w:val="nil" w:sz="6" w:space="0" w:color="auto"/>
              <w:bottom w:val="nil" w:sz="6" w:space="0" w:color="auto"/>
              <w:right w:val="nil" w:sz="6" w:space="0" w:color="auto"/>
            </w:tcBorders>
          </w:tcPr>
          <w:p>
            <w:pPr>
              <w:pStyle w:val="TableParagraph"/>
              <w:tabs>
                <w:tab w:pos="1679" w:val="left" w:leader="none"/>
                <w:tab w:pos="2367" w:val="left" w:leader="none"/>
                <w:tab w:pos="3389" w:val="left" w:leader="none"/>
              </w:tabs>
              <w:spacing w:line="232" w:lineRule="exact" w:before="69"/>
              <w:ind w:left="567" w:right="185" w:firstLine="12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tab/>
            </w:r>
            <w:r>
              <w:rPr>
                <w:rFonts w:ascii="宋体" w:hAnsi="宋体" w:cs="宋体" w:eastAsia="宋体" w:hint="default"/>
                <w:sz w:val="18"/>
                <w:szCs w:val="18"/>
              </w:rPr>
            </w:r>
            <w:r>
              <w:rPr>
                <w:rFonts w:ascii="宋体" w:hAnsi="宋体" w:cs="宋体" w:eastAsia="宋体" w:hint="default"/>
                <w:sz w:val="18"/>
                <w:szCs w:val="18"/>
              </w:rPr>
              <w:t> 原币及金额</w:t>
              <w:tab/>
              <w:t>汇率</w:t>
              <w:tab/>
              <w:t>折人民币金额</w:t>
            </w:r>
          </w:p>
        </w:tc>
      </w:tr>
      <w:tr>
        <w:trPr>
          <w:trHeight w:val="420"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现  金</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JPY340,478.00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0.064064</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
              <w:jc w:val="right"/>
              <w:rPr>
                <w:rFonts w:ascii="宋体" w:hAnsi="宋体" w:cs="宋体" w:eastAsia="宋体" w:hint="default"/>
                <w:sz w:val="18"/>
                <w:szCs w:val="18"/>
              </w:rPr>
            </w:pPr>
            <w:r>
              <w:rPr>
                <w:rFonts w:ascii="宋体"/>
                <w:sz w:val="18"/>
              </w:rPr>
              <w:t>21,812.38</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
              <w:jc w:val="right"/>
              <w:rPr>
                <w:rFonts w:ascii="宋体" w:hAnsi="宋体" w:cs="宋体" w:eastAsia="宋体" w:hint="default"/>
                <w:sz w:val="18"/>
                <w:szCs w:val="18"/>
              </w:rPr>
            </w:pPr>
            <w:r>
              <w:rPr>
                <w:rFonts w:ascii="宋体"/>
                <w:sz w:val="18"/>
              </w:rPr>
              <w:t>JPY226,387.00 0.06563</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14,857.78</w:t>
            </w:r>
          </w:p>
        </w:tc>
      </w:tr>
      <w:tr>
        <w:trPr>
          <w:trHeight w:val="420"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9"/>
              <w:jc w:val="right"/>
              <w:rPr>
                <w:rFonts w:ascii="宋体" w:hAnsi="宋体" w:cs="宋体" w:eastAsia="宋体" w:hint="default"/>
                <w:sz w:val="18"/>
                <w:szCs w:val="18"/>
              </w:rPr>
            </w:pPr>
            <w:r>
              <w:rPr>
                <w:rFonts w:ascii="宋体"/>
                <w:sz w:val="18"/>
              </w:rPr>
              <w:t>JPY47,942,492.00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0.064064</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
              <w:jc w:val="right"/>
              <w:rPr>
                <w:rFonts w:ascii="宋体" w:hAnsi="宋体" w:cs="宋体" w:eastAsia="宋体" w:hint="default"/>
                <w:sz w:val="18"/>
                <w:szCs w:val="18"/>
              </w:rPr>
            </w:pPr>
            <w:r>
              <w:rPr>
                <w:rFonts w:ascii="宋体"/>
                <w:sz w:val="18"/>
              </w:rPr>
              <w:t>3,071,387.81</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JPY48,927,776.00 0.06563</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3,211,129.94</w:t>
            </w:r>
          </w:p>
        </w:tc>
      </w:tr>
      <w:tr>
        <w:trPr>
          <w:trHeight w:val="420"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USD48,911.06</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7.3046</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
              <w:jc w:val="right"/>
              <w:rPr>
                <w:rFonts w:ascii="宋体" w:hAnsi="宋体" w:cs="宋体" w:eastAsia="宋体" w:hint="default"/>
                <w:sz w:val="18"/>
                <w:szCs w:val="18"/>
              </w:rPr>
            </w:pPr>
            <w:r>
              <w:rPr>
                <w:rFonts w:ascii="宋体"/>
                <w:sz w:val="18"/>
              </w:rPr>
              <w:t>357,275.73</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
              <w:jc w:val="right"/>
              <w:rPr>
                <w:rFonts w:ascii="宋体" w:hAnsi="宋体" w:cs="宋体" w:eastAsia="宋体" w:hint="default"/>
                <w:sz w:val="18"/>
                <w:szCs w:val="18"/>
              </w:rPr>
            </w:pPr>
            <w:r>
              <w:rPr>
                <w:rFonts w:ascii="宋体"/>
                <w:sz w:val="18"/>
              </w:rPr>
              <w:t>USD48,283.12  7.8087</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377,028.40</w:t>
            </w:r>
          </w:p>
        </w:tc>
      </w:tr>
      <w:tr>
        <w:trPr>
          <w:trHeight w:val="400"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59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USD4,263,451.43  7.8087</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33,292,013.18</w:t>
            </w:r>
          </w:p>
        </w:tc>
      </w:tr>
    </w:tbl>
    <w:p>
      <w:pPr>
        <w:tabs>
          <w:tab w:pos="4257" w:val="left" w:leader="none"/>
          <w:tab w:pos="7947" w:val="left" w:leader="none"/>
        </w:tabs>
        <w:spacing w:before="84"/>
        <w:ind w:left="715"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3,450,475.92</w:t>
      </w:r>
      <w:r>
        <w:rPr>
          <w:rFonts w:ascii="宋体" w:hAnsi="宋体" w:cs="宋体" w:eastAsia="宋体" w:hint="default"/>
          <w:sz w:val="18"/>
          <w:szCs w:val="18"/>
        </w:rPr>
        <w:tab/>
      </w:r>
      <w:r>
        <w:rPr>
          <w:rFonts w:ascii="宋体" w:hAnsi="宋体" w:cs="宋体" w:eastAsia="宋体" w:hint="default"/>
          <w:sz w:val="18"/>
          <w:szCs w:val="18"/>
          <w:u w:val="single" w:color="000000"/>
        </w:rPr>
        <w:t>36,895,029.30</w:t>
      </w:r>
      <w:r>
        <w:rPr>
          <w:rFonts w:ascii="宋体" w:hAnsi="宋体" w:cs="宋体" w:eastAsia="宋体" w:hint="default"/>
          <w:sz w:val="18"/>
          <w:szCs w:val="18"/>
        </w:rPr>
      </w:r>
    </w:p>
    <w:p>
      <w:pPr>
        <w:pStyle w:val="BodyText"/>
        <w:spacing w:line="367" w:lineRule="auto" w:before="141"/>
        <w:ind w:left="537" w:right="586"/>
        <w:jc w:val="left"/>
      </w:pPr>
      <w:r>
        <w:rPr/>
        <w:t>(4)</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货币资金期末数占资产总额的比例为</w:t>
      </w:r>
      <w:r>
        <w:rPr>
          <w:spacing w:val="36"/>
        </w:rPr>
        <w:t> </w:t>
      </w:r>
      <w:r>
        <w:rPr/>
        <w:t>28.86%，系公司本期业务规模扩大，期末经营活动</w:t>
      </w:r>
    </w:p>
    <w:p>
      <w:pPr>
        <w:pStyle w:val="BodyText"/>
        <w:spacing w:line="240" w:lineRule="auto" w:before="34"/>
        <w:ind w:right="0"/>
        <w:jc w:val="left"/>
      </w:pPr>
      <w:r>
        <w:rPr/>
        <w:t>产生的现金流量增加。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704" w:val="left" w:leader="none"/>
        </w:tabs>
        <w:spacing w:line="240" w:lineRule="auto" w:before="0"/>
        <w:ind w:left="537" w:right="0"/>
        <w:jc w:val="left"/>
      </w:pPr>
      <w:r>
        <w:rPr/>
        <w:t>2.</w:t>
      </w:r>
      <w:r>
        <w:rPr>
          <w:spacing w:val="-2"/>
        </w:rPr>
        <w:t> </w:t>
      </w:r>
      <w:r>
        <w:rPr/>
        <w:t>交易性金融资产</w:t>
        <w:tab/>
        <w:t>期末数</w:t>
      </w:r>
      <w:r>
        <w:rPr>
          <w:spacing w:val="-53"/>
        </w:rPr>
        <w:t> </w:t>
      </w:r>
      <w:r>
        <w:rPr/>
        <w:t>127,682,734.59</w:t>
      </w:r>
    </w:p>
    <w:p>
      <w:pPr>
        <w:spacing w:after="0" w:line="240" w:lineRule="auto"/>
        <w:jc w:val="left"/>
        <w:sectPr>
          <w:footerReference w:type="default" r:id="rId18"/>
          <w:pgSz w:w="11910" w:h="16840"/>
          <w:pgMar w:footer="1263" w:header="0" w:top="1540" w:bottom="1460" w:left="1680" w:right="960"/>
          <w:pgNumType w:start="68"/>
        </w:sectPr>
      </w:pPr>
    </w:p>
    <w:p>
      <w:pPr>
        <w:pStyle w:val="BodyText"/>
        <w:spacing w:line="240" w:lineRule="auto" w:before="13"/>
        <w:ind w:left="1377" w:right="1128"/>
        <w:jc w:val="left"/>
      </w:pPr>
      <w:r>
        <w:rPr/>
        <w:t>(1)</w:t>
      </w:r>
      <w:r>
        <w:rPr>
          <w:spacing w:val="-2"/>
        </w:rPr>
        <w:t> </w:t>
      </w:r>
      <w:r>
        <w:rPr/>
        <w:t>明细情况</w:t>
      </w:r>
    </w:p>
    <w:p>
      <w:pPr>
        <w:pStyle w:val="BodyText"/>
        <w:tabs>
          <w:tab w:pos="420" w:val="left" w:leader="none"/>
          <w:tab w:pos="3673" w:val="left" w:leader="none"/>
          <w:tab w:pos="5457" w:val="left" w:leader="none"/>
        </w:tabs>
        <w:spacing w:line="240" w:lineRule="auto"/>
        <w:ind w:left="0" w:right="1381"/>
        <w:jc w:val="center"/>
      </w:pPr>
      <w:r>
        <w:rPr/>
        <w:t>项</w:t>
        <w:tab/>
        <w:t>目</w:t>
        <w:tab/>
      </w:r>
      <w:r>
        <w:rPr>
          <w:spacing w:val="-1"/>
        </w:rPr>
        <w:t>期末数</w:t>
        <w:tab/>
      </w:r>
      <w:r>
        <w:rPr>
          <w:spacing w:val="-2"/>
        </w:rPr>
        <w:t>期初数</w:t>
      </w:r>
      <w:r>
        <w:rPr/>
      </w:r>
    </w:p>
    <w:p>
      <w:pPr>
        <w:pStyle w:val="BodyText"/>
        <w:tabs>
          <w:tab w:pos="4707" w:val="left" w:leader="none"/>
          <w:tab w:pos="6613" w:val="left" w:leader="none"/>
        </w:tabs>
        <w:spacing w:line="240" w:lineRule="auto"/>
        <w:ind w:left="1377" w:right="1128"/>
        <w:jc w:val="left"/>
      </w:pPr>
      <w:r>
        <w:rPr>
          <w:spacing w:val="-1"/>
        </w:rPr>
        <w:t>交易性权益工具投资[注]</w:t>
        <w:tab/>
        <w:t>127,682,734.59</w:t>
        <w:tab/>
        <w:t>51,671,970.50</w:t>
      </w:r>
      <w:r>
        <w:rPr/>
      </w:r>
    </w:p>
    <w:p>
      <w:pPr>
        <w:pStyle w:val="BodyText"/>
        <w:tabs>
          <w:tab w:pos="2008" w:val="left" w:leader="none"/>
          <w:tab w:pos="4708" w:val="left" w:leader="none"/>
          <w:tab w:pos="6611" w:val="left" w:leader="none"/>
        </w:tabs>
        <w:spacing w:line="240" w:lineRule="auto"/>
        <w:ind w:left="1587" w:right="1128"/>
        <w:jc w:val="left"/>
      </w:pPr>
      <w:r>
        <w:rPr/>
        <w:t>合</w:t>
        <w:tab/>
        <w:t>计</w:t>
        <w:tab/>
      </w:r>
      <w:r>
        <w:rPr>
          <w:spacing w:val="-1"/>
          <w:u w:val="thick" w:color="000000"/>
        </w:rPr>
        <w:t>127,682,734.59</w:t>
      </w:r>
      <w:r>
        <w:rPr>
          <w:spacing w:val="-1"/>
        </w:rPr>
        <w:tab/>
      </w:r>
      <w:r>
        <w:rPr>
          <w:spacing w:val="-1"/>
          <w:u w:val="thick" w:color="000000"/>
        </w:rPr>
        <w:t>51,671,970.50</w:t>
      </w:r>
      <w:r>
        <w:rPr>
          <w:spacing w:val="-1"/>
        </w:rPr>
      </w:r>
    </w:p>
    <w:p>
      <w:pPr>
        <w:pStyle w:val="BodyText"/>
        <w:spacing w:line="367" w:lineRule="auto"/>
        <w:ind w:left="957" w:right="1128" w:firstLine="420"/>
        <w:jc w:val="left"/>
      </w:pPr>
      <w:r>
        <w:rPr/>
        <w:t>[注]：根据上海证券交易所和深圳证券交易所</w:t>
      </w:r>
      <w:r>
        <w:rPr>
          <w:spacing w:val="-47"/>
        </w:rPr>
        <w:t> </w:t>
      </w:r>
      <w:r>
        <w:rPr/>
        <w:t>2007</w:t>
      </w:r>
      <w:r>
        <w:rPr>
          <w:spacing w:val="-46"/>
        </w:rPr>
        <w:t> </w:t>
      </w:r>
      <w:r>
        <w:rPr/>
        <w:t>年</w:t>
      </w:r>
      <w:r>
        <w:rPr>
          <w:spacing w:val="-48"/>
        </w:rPr>
        <w:t> </w:t>
      </w:r>
      <w:r>
        <w:rPr/>
        <w:t>12</w:t>
      </w:r>
      <w:r>
        <w:rPr>
          <w:spacing w:val="-46"/>
        </w:rPr>
        <w:t> </w:t>
      </w:r>
      <w:r>
        <w:rPr/>
        <w:t>月</w:t>
      </w:r>
      <w:r>
        <w:rPr>
          <w:spacing w:val="-48"/>
        </w:rPr>
        <w:t> </w:t>
      </w:r>
      <w:r>
        <w:rPr/>
        <w:t>28</w:t>
      </w:r>
      <w:r>
        <w:rPr>
          <w:spacing w:val="-46"/>
        </w:rPr>
        <w:t> </w:t>
      </w:r>
      <w:r>
        <w:rPr/>
        <w:t>日的股票收盘价和基金净</w:t>
      </w:r>
      <w:r>
        <w:rPr/>
        <w:t> 值计量期末交易性金融资产的公允价值。</w:t>
      </w:r>
    </w:p>
    <w:p>
      <w:pPr>
        <w:pStyle w:val="BodyText"/>
        <w:spacing w:line="367" w:lineRule="auto" w:before="34"/>
        <w:ind w:left="1377" w:right="1118"/>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交易性金融资产期末数较期初数增长</w:t>
      </w:r>
      <w:r>
        <w:rPr>
          <w:spacing w:val="-61"/>
        </w:rPr>
        <w:t> </w:t>
      </w:r>
      <w:r>
        <w:rPr/>
        <w:t>147.10%，主要系公司本期交易性金融资产投资增加</w:t>
      </w:r>
    </w:p>
    <w:p>
      <w:pPr>
        <w:pStyle w:val="BodyText"/>
        <w:spacing w:line="240" w:lineRule="auto" w:before="34"/>
        <w:ind w:left="957" w:right="1128"/>
        <w:jc w:val="left"/>
      </w:pPr>
      <w:r>
        <w:rPr/>
        <w:t>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6648" w:val="left" w:leader="none"/>
        </w:tabs>
        <w:spacing w:line="240" w:lineRule="auto" w:before="0"/>
        <w:ind w:left="1377" w:right="1128"/>
        <w:jc w:val="left"/>
      </w:pPr>
      <w:r>
        <w:rPr/>
        <w:t>3. 应收账款</w:t>
        <w:tab/>
        <w:t>期末数</w:t>
      </w:r>
      <w:r>
        <w:rPr>
          <w:spacing w:val="-53"/>
        </w:rPr>
        <w:t> </w:t>
      </w:r>
      <w:r>
        <w:rPr/>
        <w:t>41,912,337.47</w:t>
      </w:r>
    </w:p>
    <w:p>
      <w:pPr>
        <w:pStyle w:val="BodyText"/>
        <w:spacing w:line="240" w:lineRule="auto"/>
        <w:ind w:left="1377" w:right="1128"/>
        <w:jc w:val="left"/>
      </w:pPr>
      <w:r>
        <w:rPr/>
        <w:t>(1)</w:t>
      </w:r>
      <w:r>
        <w:rPr>
          <w:spacing w:val="-2"/>
        </w:rPr>
        <w:t> </w:t>
      </w:r>
      <w:r>
        <w:rPr/>
        <w:t>明细情况</w:t>
      </w:r>
    </w:p>
    <w:p>
      <w:pPr>
        <w:spacing w:line="240" w:lineRule="auto" w:before="4"/>
        <w:rPr>
          <w:rFonts w:ascii="宋体" w:hAnsi="宋体" w:cs="宋体" w:eastAsia="宋体" w:hint="default"/>
          <w:sz w:val="16"/>
          <w:szCs w:val="16"/>
        </w:rPr>
      </w:pPr>
    </w:p>
    <w:p>
      <w:pPr>
        <w:tabs>
          <w:tab w:pos="1677" w:val="left" w:leader="none"/>
          <w:tab w:pos="2757" w:val="left" w:leader="none"/>
          <w:tab w:pos="3297" w:val="left" w:leader="none"/>
          <w:tab w:pos="3657" w:val="left" w:leader="none"/>
          <w:tab w:pos="4917" w:val="left" w:leader="none"/>
          <w:tab w:pos="5457" w:val="left" w:leader="none"/>
          <w:tab w:pos="6267" w:val="left" w:leader="none"/>
          <w:tab w:pos="7437" w:val="left" w:leader="none"/>
          <w:tab w:pos="7977" w:val="left" w:leader="none"/>
          <w:tab w:pos="8337" w:val="left" w:leader="none"/>
          <w:tab w:pos="9597" w:val="left" w:leader="none"/>
          <w:tab w:pos="10227" w:val="left" w:leader="none"/>
        </w:tabs>
        <w:spacing w:line="232" w:lineRule="exact" w:before="0"/>
        <w:ind w:left="417" w:right="324" w:firstLine="135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tab/>
        <w:tab/>
      </w:r>
      <w:r>
        <w:rPr>
          <w:rFonts w:ascii="宋体" w:hAnsi="宋体" w:cs="宋体" w:eastAsia="宋体" w:hint="default"/>
          <w:sz w:val="18"/>
          <w:szCs w:val="18"/>
        </w:rPr>
      </w:r>
      <w:r>
        <w:rPr>
          <w:rFonts w:ascii="宋体" w:hAnsi="宋体" w:cs="宋体" w:eastAsia="宋体" w:hint="default"/>
          <w:sz w:val="18"/>
          <w:szCs w:val="18"/>
        </w:rPr>
        <w:t> 项  目</w:t>
        <w:tab/>
        <w:t>账面余额</w:t>
        <w:tab/>
        <w:t>比例(%)</w:t>
        <w:tab/>
        <w:t>坏账准备</w:t>
        <w:tab/>
        <w:t>账面价值</w:t>
        <w:tab/>
        <w:t>账面余额</w:t>
        <w:tab/>
        <w:t>比例(%)</w:t>
        <w:tab/>
        <w:t>坏账准备</w:t>
        <w:tab/>
        <w:t>账面价值</w:t>
      </w:r>
    </w:p>
    <w:p>
      <w:pPr>
        <w:spacing w:line="240" w:lineRule="auto" w:before="8"/>
        <w:rPr>
          <w:rFonts w:ascii="宋体" w:hAnsi="宋体" w:cs="宋体" w:eastAsia="宋体" w:hint="default"/>
          <w:sz w:val="12"/>
          <w:szCs w:val="12"/>
        </w:rPr>
      </w:pPr>
    </w:p>
    <w:p>
      <w:pPr>
        <w:spacing w:line="234" w:lineRule="exact" w:before="0"/>
        <w:ind w:left="104" w:right="1128" w:firstLine="0"/>
        <w:jc w:val="left"/>
        <w:rPr>
          <w:rFonts w:ascii="宋体" w:hAnsi="宋体" w:cs="宋体" w:eastAsia="宋体" w:hint="default"/>
          <w:sz w:val="18"/>
          <w:szCs w:val="18"/>
        </w:rPr>
      </w:pPr>
      <w:r>
        <w:rPr>
          <w:rFonts w:ascii="宋体" w:hAnsi="宋体" w:cs="宋体" w:eastAsia="宋体" w:hint="default"/>
          <w:sz w:val="18"/>
          <w:szCs w:val="18"/>
        </w:rPr>
        <w:t>单项金额不重大</w:t>
      </w:r>
    </w:p>
    <w:p>
      <w:pPr>
        <w:tabs>
          <w:tab w:pos="2803" w:val="left" w:leader="none"/>
          <w:tab w:pos="6058" w:val="left" w:leader="none"/>
          <w:tab w:pos="7478" w:val="left" w:leader="none"/>
        </w:tabs>
        <w:spacing w:line="234" w:lineRule="exact" w:before="0"/>
        <w:ind w:left="104" w:right="1128" w:firstLine="0"/>
        <w:jc w:val="left"/>
        <w:rPr>
          <w:rFonts w:ascii="宋体" w:hAnsi="宋体" w:cs="宋体" w:eastAsia="宋体" w:hint="default"/>
          <w:sz w:val="18"/>
          <w:szCs w:val="18"/>
        </w:rPr>
      </w:pPr>
      <w:r>
        <w:rPr>
          <w:rFonts w:ascii="宋体" w:hAnsi="宋体" w:cs="宋体" w:eastAsia="宋体" w:hint="default"/>
          <w:sz w:val="18"/>
          <w:szCs w:val="18"/>
        </w:rPr>
        <w:t>但信用风险较大</w:t>
      </w:r>
      <w:r>
        <w:rPr>
          <w:rFonts w:ascii="宋体" w:hAnsi="宋体" w:cs="宋体" w:eastAsia="宋体" w:hint="default"/>
          <w:spacing w:val="-46"/>
          <w:sz w:val="18"/>
          <w:szCs w:val="18"/>
        </w:rPr>
        <w:t> </w:t>
      </w:r>
      <w:r>
        <w:rPr>
          <w:rFonts w:ascii="宋体" w:hAnsi="宋体" w:cs="宋体" w:eastAsia="宋体" w:hint="default"/>
          <w:sz w:val="18"/>
          <w:szCs w:val="18"/>
        </w:rPr>
        <w:t>15,590,181.83</w:t>
        <w:tab/>
        <w:t>25.85</w:t>
      </w:r>
      <w:r>
        <w:rPr>
          <w:rFonts w:ascii="宋体" w:hAnsi="宋体" w:cs="宋体" w:eastAsia="宋体" w:hint="default"/>
          <w:spacing w:val="28"/>
          <w:sz w:val="18"/>
          <w:szCs w:val="18"/>
        </w:rPr>
        <w:t> </w:t>
      </w:r>
      <w:r>
        <w:rPr>
          <w:rFonts w:ascii="宋体" w:hAnsi="宋体" w:cs="宋体" w:eastAsia="宋体" w:hint="default"/>
          <w:sz w:val="18"/>
          <w:szCs w:val="18"/>
        </w:rPr>
        <w:t>15,590,181.83</w:t>
        <w:tab/>
        <w:t>15,320,028.40</w:t>
        <w:tab/>
        <w:t>33.51</w:t>
      </w:r>
      <w:r>
        <w:rPr>
          <w:rFonts w:ascii="宋体" w:hAnsi="宋体" w:cs="宋体" w:eastAsia="宋体" w:hint="default"/>
          <w:spacing w:val="-15"/>
          <w:sz w:val="18"/>
          <w:szCs w:val="18"/>
        </w:rPr>
        <w:t> </w:t>
      </w:r>
      <w:r>
        <w:rPr>
          <w:rFonts w:ascii="宋体" w:hAnsi="宋体" w:cs="宋体" w:eastAsia="宋体" w:hint="default"/>
          <w:sz w:val="18"/>
          <w:szCs w:val="18"/>
        </w:rPr>
        <w:t>15,320,028.40</w:t>
      </w:r>
    </w:p>
    <w:p>
      <w:pPr>
        <w:spacing w:line="240" w:lineRule="auto" w:before="1"/>
        <w:rPr>
          <w:rFonts w:ascii="宋体" w:hAnsi="宋体" w:cs="宋体" w:eastAsia="宋体" w:hint="default"/>
          <w:sz w:val="14"/>
          <w:szCs w:val="14"/>
        </w:rPr>
      </w:pPr>
    </w:p>
    <w:p>
      <w:pPr>
        <w:tabs>
          <w:tab w:pos="1397" w:val="left" w:leader="none"/>
          <w:tab w:pos="2803" w:val="left" w:leader="none"/>
          <w:tab w:pos="3462" w:val="left" w:leader="none"/>
          <w:tab w:pos="7478" w:val="left" w:leader="none"/>
        </w:tabs>
        <w:spacing w:before="0"/>
        <w:ind w:left="104" w:right="0" w:firstLine="0"/>
        <w:jc w:val="left"/>
        <w:rPr>
          <w:rFonts w:ascii="宋体" w:hAnsi="宋体" w:cs="宋体" w:eastAsia="宋体" w:hint="default"/>
          <w:sz w:val="18"/>
          <w:szCs w:val="18"/>
        </w:rPr>
      </w:pPr>
      <w:r>
        <w:rPr>
          <w:rFonts w:ascii="宋体" w:hAnsi="宋体" w:cs="宋体" w:eastAsia="宋体" w:hint="default"/>
          <w:sz w:val="18"/>
          <w:szCs w:val="18"/>
        </w:rPr>
        <w:t>其他不重大</w:t>
        <w:tab/>
        <w:t>44,711,662.62</w:t>
        <w:tab/>
        <w:t>74.15</w:t>
        <w:tab/>
        <w:t>2,799,325.15  41,912,337.47</w:t>
      </w:r>
      <w:r>
        <w:rPr>
          <w:rFonts w:ascii="宋体" w:hAnsi="宋体" w:cs="宋体" w:eastAsia="宋体" w:hint="default"/>
          <w:spacing w:val="75"/>
          <w:sz w:val="18"/>
          <w:szCs w:val="18"/>
        </w:rPr>
        <w:t> </w:t>
      </w:r>
      <w:r>
        <w:rPr>
          <w:rFonts w:ascii="宋体" w:hAnsi="宋体" w:cs="宋体" w:eastAsia="宋体" w:hint="default"/>
          <w:sz w:val="18"/>
          <w:szCs w:val="18"/>
        </w:rPr>
        <w:t>30,392,599.91</w:t>
        <w:tab/>
        <w:t>66.49  2,090,292.54</w:t>
      </w:r>
      <w:r>
        <w:rPr>
          <w:rFonts w:ascii="宋体" w:hAnsi="宋体" w:cs="宋体" w:eastAsia="宋体" w:hint="default"/>
          <w:spacing w:val="48"/>
          <w:sz w:val="18"/>
          <w:szCs w:val="18"/>
        </w:rPr>
        <w:t> </w:t>
      </w:r>
      <w:r>
        <w:rPr>
          <w:rFonts w:ascii="宋体" w:hAnsi="宋体" w:cs="宋体" w:eastAsia="宋体" w:hint="default"/>
          <w:sz w:val="18"/>
          <w:szCs w:val="18"/>
        </w:rPr>
        <w:t>28,302,307.37</w:t>
      </w:r>
    </w:p>
    <w:p>
      <w:pPr>
        <w:spacing w:line="240" w:lineRule="auto" w:before="1"/>
        <w:rPr>
          <w:rFonts w:ascii="宋体" w:hAnsi="宋体" w:cs="宋体" w:eastAsia="宋体" w:hint="default"/>
          <w:sz w:val="14"/>
          <w:szCs w:val="14"/>
        </w:rPr>
      </w:pPr>
    </w:p>
    <w:p>
      <w:pPr>
        <w:tabs>
          <w:tab w:pos="1397" w:val="left" w:leader="none"/>
        </w:tabs>
        <w:spacing w:before="0"/>
        <w:ind w:left="418"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60,301,844.45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18,389,506.98  </w:t>
      </w:r>
      <w:r>
        <w:rPr>
          <w:rFonts w:ascii="宋体" w:hAnsi="宋体" w:cs="宋体" w:eastAsia="宋体" w:hint="default"/>
          <w:sz w:val="18"/>
          <w:szCs w:val="18"/>
        </w:rPr>
      </w:r>
      <w:r>
        <w:rPr>
          <w:rFonts w:ascii="宋体" w:hAnsi="宋体" w:cs="宋体" w:eastAsia="宋体" w:hint="default"/>
          <w:sz w:val="18"/>
          <w:szCs w:val="18"/>
          <w:u w:val="thick" w:color="000000"/>
        </w:rPr>
        <w:t>41,912,337.47  </w:t>
      </w:r>
      <w:r>
        <w:rPr>
          <w:rFonts w:ascii="宋体" w:hAnsi="宋体" w:cs="宋体" w:eastAsia="宋体" w:hint="default"/>
          <w:sz w:val="18"/>
          <w:szCs w:val="18"/>
        </w:rPr>
      </w:r>
      <w:r>
        <w:rPr>
          <w:rFonts w:ascii="宋体" w:hAnsi="宋体" w:cs="宋体" w:eastAsia="宋体" w:hint="default"/>
          <w:sz w:val="18"/>
          <w:szCs w:val="18"/>
          <w:u w:val="thick" w:color="000000"/>
        </w:rPr>
        <w:t>45,712,628.31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17,410,320.94</w:t>
      </w:r>
      <w:r>
        <w:rPr>
          <w:rFonts w:ascii="宋体" w:hAnsi="宋体" w:cs="宋体" w:eastAsia="宋体" w:hint="default"/>
          <w:spacing w:val="6"/>
          <w:sz w:val="18"/>
          <w:szCs w:val="18"/>
          <w:u w:val="thick" w:color="000000"/>
        </w:rPr>
        <w:t> </w:t>
      </w:r>
      <w:r>
        <w:rPr>
          <w:rFonts w:ascii="宋体" w:hAnsi="宋体" w:cs="宋体" w:eastAsia="宋体" w:hint="default"/>
          <w:spacing w:val="6"/>
          <w:sz w:val="18"/>
          <w:szCs w:val="18"/>
        </w:rPr>
      </w:r>
      <w:r>
        <w:rPr>
          <w:rFonts w:ascii="宋体" w:hAnsi="宋体" w:cs="宋体" w:eastAsia="宋体" w:hint="default"/>
          <w:sz w:val="18"/>
          <w:szCs w:val="18"/>
          <w:u w:val="thick" w:color="000000"/>
        </w:rPr>
        <w:t>28,302,307.37</w:t>
      </w:r>
      <w:r>
        <w:rPr>
          <w:rFonts w:ascii="宋体" w:hAnsi="宋体" w:cs="宋体" w:eastAsia="宋体" w:hint="default"/>
          <w:sz w:val="18"/>
          <w:szCs w:val="18"/>
        </w:rPr>
      </w:r>
    </w:p>
    <w:p>
      <w:pPr>
        <w:pStyle w:val="BodyText"/>
        <w:spacing w:line="240" w:lineRule="auto" w:before="118"/>
        <w:ind w:left="1482" w:right="1128"/>
        <w:jc w:val="left"/>
      </w:pPr>
      <w:r>
        <w:rPr/>
        <w:t>(2)</w:t>
      </w:r>
      <w:r>
        <w:rPr>
          <w:spacing w:val="-4"/>
        </w:rPr>
        <w:t> </w:t>
      </w:r>
      <w:r>
        <w:rPr/>
        <w:t>账龄分析</w:t>
      </w:r>
    </w:p>
    <w:p>
      <w:pPr>
        <w:spacing w:line="240" w:lineRule="auto" w:before="5"/>
        <w:rPr>
          <w:rFonts w:ascii="宋体" w:hAnsi="宋体" w:cs="宋体" w:eastAsia="宋体" w:hint="default"/>
          <w:sz w:val="10"/>
          <w:szCs w:val="10"/>
        </w:rPr>
      </w:pPr>
    </w:p>
    <w:tbl>
      <w:tblPr>
        <w:tblW w:w="0" w:type="auto"/>
        <w:jc w:val="left"/>
        <w:tblInd w:w="382" w:type="dxa"/>
        <w:tblLayout w:type="fixed"/>
        <w:tblCellMar>
          <w:top w:w="0" w:type="dxa"/>
          <w:left w:w="0" w:type="dxa"/>
          <w:bottom w:w="0" w:type="dxa"/>
          <w:right w:w="0" w:type="dxa"/>
        </w:tblCellMar>
        <w:tblLook w:val="01E0"/>
      </w:tblPr>
      <w:tblGrid>
        <w:gridCol w:w="755"/>
        <w:gridCol w:w="220"/>
        <w:gridCol w:w="1328"/>
        <w:gridCol w:w="672"/>
        <w:gridCol w:w="1271"/>
        <w:gridCol w:w="1343"/>
        <w:gridCol w:w="1381"/>
        <w:gridCol w:w="658"/>
        <w:gridCol w:w="1240"/>
        <w:gridCol w:w="1281"/>
      </w:tblGrid>
      <w:tr>
        <w:trPr>
          <w:trHeight w:val="665"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账</w:t>
            </w:r>
          </w:p>
        </w:tc>
        <w:tc>
          <w:tcPr>
            <w:tcW w:w="2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龄</w:t>
            </w:r>
          </w:p>
        </w:tc>
        <w:tc>
          <w:tcPr>
            <w:tcW w:w="4615" w:type="dxa"/>
            <w:gridSpan w:val="4"/>
            <w:tcBorders>
              <w:top w:val="nil" w:sz="6" w:space="0" w:color="auto"/>
              <w:left w:val="nil" w:sz="6" w:space="0" w:color="auto"/>
              <w:bottom w:val="nil" w:sz="6" w:space="0" w:color="auto"/>
              <w:right w:val="nil" w:sz="6" w:space="0" w:color="auto"/>
            </w:tcBorders>
          </w:tcPr>
          <w:p>
            <w:pPr>
              <w:pStyle w:val="TableParagraph"/>
              <w:tabs>
                <w:tab w:pos="1399" w:val="left" w:leader="none"/>
                <w:tab w:pos="1939" w:val="left" w:leader="none"/>
                <w:tab w:pos="2299" w:val="left" w:leader="none"/>
                <w:tab w:pos="3559" w:val="left" w:leader="none"/>
                <w:tab w:pos="4189" w:val="left" w:leader="none"/>
              </w:tabs>
              <w:spacing w:line="268" w:lineRule="auto" w:before="44"/>
              <w:ind w:left="319" w:right="334"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sz w:val="18"/>
                <w:szCs w:val="18"/>
              </w:rPr>
            </w:r>
            <w:r>
              <w:rPr>
                <w:rFonts w:ascii="宋体" w:hAnsi="宋体" w:cs="宋体" w:eastAsia="宋体" w:hint="default"/>
                <w:sz w:val="18"/>
                <w:szCs w:val="18"/>
              </w:rPr>
              <w:t> 账面余额</w:t>
              <w:tab/>
              <w:t>比例(%)</w:t>
              <w:tab/>
              <w:t>坏账准备</w:t>
              <w:tab/>
              <w:t>账面价值</w:t>
            </w:r>
          </w:p>
        </w:tc>
        <w:tc>
          <w:tcPr>
            <w:tcW w:w="4560" w:type="dxa"/>
            <w:gridSpan w:val="4"/>
            <w:tcBorders>
              <w:top w:val="nil" w:sz="6" w:space="0" w:color="auto"/>
              <w:left w:val="nil" w:sz="6" w:space="0" w:color="auto"/>
              <w:bottom w:val="nil" w:sz="6" w:space="0" w:color="auto"/>
              <w:right w:val="nil" w:sz="6" w:space="0" w:color="auto"/>
            </w:tcBorders>
          </w:tcPr>
          <w:p>
            <w:pPr>
              <w:pStyle w:val="TableParagraph"/>
              <w:tabs>
                <w:tab w:pos="1464" w:val="left" w:leader="none"/>
                <w:tab w:pos="2004" w:val="left" w:leader="none"/>
                <w:tab w:pos="2364" w:val="left" w:leader="none"/>
                <w:tab w:pos="3624" w:val="left" w:leader="none"/>
                <w:tab w:pos="4254" w:val="left" w:leader="none"/>
              </w:tabs>
              <w:spacing w:line="268" w:lineRule="auto" w:before="44"/>
              <w:ind w:left="295" w:right="213"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tab/>
              <w:tab/>
            </w:r>
            <w:r>
              <w:rPr>
                <w:rFonts w:ascii="宋体" w:hAnsi="宋体" w:cs="宋体" w:eastAsia="宋体" w:hint="default"/>
                <w:sz w:val="18"/>
                <w:szCs w:val="18"/>
              </w:rPr>
            </w:r>
            <w:r>
              <w:rPr>
                <w:rFonts w:ascii="宋体" w:hAnsi="宋体" w:cs="宋体" w:eastAsia="宋体" w:hint="default"/>
                <w:sz w:val="18"/>
                <w:szCs w:val="18"/>
              </w:rPr>
              <w:t> 账面余额</w:t>
              <w:tab/>
              <w:t>比例(%)</w:t>
              <w:tab/>
              <w:t>坏账准备</w:t>
              <w:tab/>
              <w:t>账面价值</w:t>
            </w:r>
          </w:p>
        </w:tc>
      </w:tr>
      <w:tr>
        <w:trPr>
          <w:trHeight w:val="421"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1"/>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260" w:right="0"/>
              <w:jc w:val="left"/>
              <w:rPr>
                <w:rFonts w:ascii="宋体" w:hAnsi="宋体" w:cs="宋体" w:eastAsia="宋体" w:hint="default"/>
                <w:sz w:val="18"/>
                <w:szCs w:val="18"/>
              </w:rPr>
            </w:pPr>
            <w:r>
              <w:rPr>
                <w:rFonts w:ascii="宋体"/>
                <w:sz w:val="18"/>
              </w:rPr>
              <w:t>37,435,890.35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62.08</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5"/>
              <w:jc w:val="right"/>
              <w:rPr>
                <w:rFonts w:ascii="宋体" w:hAnsi="宋体" w:cs="宋体" w:eastAsia="宋体" w:hint="default"/>
                <w:sz w:val="18"/>
                <w:szCs w:val="18"/>
              </w:rPr>
            </w:pPr>
            <w:r>
              <w:rPr>
                <w:rFonts w:ascii="宋体"/>
                <w:sz w:val="18"/>
              </w:rPr>
              <w:t>1,871,794.52</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4"/>
              <w:jc w:val="right"/>
              <w:rPr>
                <w:rFonts w:ascii="宋体" w:hAnsi="宋体" w:cs="宋体" w:eastAsia="宋体" w:hint="default"/>
                <w:sz w:val="18"/>
                <w:szCs w:val="18"/>
              </w:rPr>
            </w:pPr>
            <w:r>
              <w:rPr>
                <w:rFonts w:ascii="宋体"/>
                <w:sz w:val="18"/>
              </w:rPr>
              <w:t>35,564,095.83</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6"/>
              <w:jc w:val="center"/>
              <w:rPr>
                <w:rFonts w:ascii="宋体" w:hAnsi="宋体" w:cs="宋体" w:eastAsia="宋体" w:hint="default"/>
                <w:sz w:val="18"/>
                <w:szCs w:val="18"/>
              </w:rPr>
            </w:pPr>
            <w:r>
              <w:rPr>
                <w:rFonts w:ascii="宋体"/>
                <w:sz w:val="18"/>
              </w:rPr>
              <w:t>26,990,833.97</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1"/>
              <w:jc w:val="right"/>
              <w:rPr>
                <w:rFonts w:ascii="宋体" w:hAnsi="宋体" w:cs="宋体" w:eastAsia="宋体" w:hint="default"/>
                <w:sz w:val="18"/>
                <w:szCs w:val="18"/>
              </w:rPr>
            </w:pPr>
            <w:r>
              <w:rPr>
                <w:rFonts w:ascii="宋体"/>
                <w:sz w:val="18"/>
              </w:rPr>
              <w:t>59.04</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4"/>
              <w:jc w:val="right"/>
              <w:rPr>
                <w:rFonts w:ascii="宋体" w:hAnsi="宋体" w:cs="宋体" w:eastAsia="宋体" w:hint="default"/>
                <w:sz w:val="18"/>
                <w:szCs w:val="18"/>
              </w:rPr>
            </w:pPr>
            <w:r>
              <w:rPr>
                <w:rFonts w:ascii="宋体"/>
                <w:sz w:val="18"/>
              </w:rPr>
              <w:t>1,811,603.70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25,179,230.27</w:t>
            </w:r>
          </w:p>
        </w:tc>
      </w:tr>
      <w:tr>
        <w:trPr>
          <w:trHeight w:val="420"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350" w:right="0"/>
              <w:jc w:val="left"/>
              <w:rPr>
                <w:rFonts w:ascii="宋体" w:hAnsi="宋体" w:cs="宋体" w:eastAsia="宋体" w:hint="default"/>
                <w:sz w:val="18"/>
                <w:szCs w:val="18"/>
              </w:rPr>
            </w:pPr>
            <w:r>
              <w:rPr>
                <w:rFonts w:ascii="宋体"/>
                <w:sz w:val="18"/>
              </w:rPr>
              <w:t>6,762,386.33</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2"/>
              <w:jc w:val="right"/>
              <w:rPr>
                <w:rFonts w:ascii="宋体" w:hAnsi="宋体" w:cs="宋体" w:eastAsia="宋体" w:hint="default"/>
                <w:sz w:val="18"/>
                <w:szCs w:val="18"/>
              </w:rPr>
            </w:pPr>
            <w:r>
              <w:rPr>
                <w:rFonts w:ascii="宋体"/>
                <w:sz w:val="18"/>
              </w:rPr>
              <w:t>11.22</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
              <w:jc w:val="right"/>
              <w:rPr>
                <w:rFonts w:ascii="宋体" w:hAnsi="宋体" w:cs="宋体" w:eastAsia="宋体" w:hint="default"/>
                <w:sz w:val="18"/>
                <w:szCs w:val="18"/>
              </w:rPr>
            </w:pPr>
            <w:r>
              <w:rPr>
                <w:rFonts w:ascii="宋体"/>
                <w:sz w:val="18"/>
              </w:rPr>
              <w:t>1,113.981.59</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宋体" w:hAnsi="宋体" w:cs="宋体" w:eastAsia="宋体" w:hint="default"/>
                <w:sz w:val="18"/>
                <w:szCs w:val="18"/>
              </w:rPr>
            </w:pPr>
            <w:r>
              <w:rPr>
                <w:rFonts w:ascii="宋体"/>
                <w:sz w:val="18"/>
              </w:rPr>
              <w:t>5,648,404.74</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1" w:right="0"/>
              <w:jc w:val="center"/>
              <w:rPr>
                <w:rFonts w:ascii="宋体" w:hAnsi="宋体" w:cs="宋体" w:eastAsia="宋体" w:hint="default"/>
                <w:sz w:val="18"/>
                <w:szCs w:val="18"/>
              </w:rPr>
            </w:pPr>
            <w:r>
              <w:rPr>
                <w:rFonts w:ascii="宋体"/>
                <w:sz w:val="18"/>
              </w:rPr>
              <w:t>2,800,661.00</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
              <w:jc w:val="right"/>
              <w:rPr>
                <w:rFonts w:ascii="宋体" w:hAnsi="宋体" w:cs="宋体" w:eastAsia="宋体" w:hint="default"/>
                <w:sz w:val="18"/>
                <w:szCs w:val="18"/>
              </w:rPr>
            </w:pPr>
            <w:r>
              <w:rPr>
                <w:rFonts w:ascii="宋体"/>
                <w:sz w:val="18"/>
              </w:rPr>
              <w:t>6.13</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4"/>
              <w:jc w:val="right"/>
              <w:rPr>
                <w:rFonts w:ascii="宋体" w:hAnsi="宋体" w:cs="宋体" w:eastAsia="宋体" w:hint="default"/>
                <w:sz w:val="18"/>
                <w:szCs w:val="18"/>
              </w:rPr>
            </w:pPr>
            <w:r>
              <w:rPr>
                <w:rFonts w:ascii="宋体"/>
                <w:sz w:val="18"/>
              </w:rPr>
              <w:t>994,477.10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1,806,183.90</w:t>
            </w:r>
          </w:p>
        </w:tc>
      </w:tr>
      <w:tr>
        <w:trPr>
          <w:trHeight w:val="400"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350" w:right="0"/>
              <w:jc w:val="left"/>
              <w:rPr>
                <w:rFonts w:ascii="宋体" w:hAnsi="宋体" w:cs="宋体" w:eastAsia="宋体" w:hint="default"/>
                <w:sz w:val="18"/>
                <w:szCs w:val="18"/>
              </w:rPr>
            </w:pPr>
            <w:r>
              <w:rPr>
                <w:rFonts w:ascii="宋体"/>
                <w:sz w:val="18"/>
              </w:rPr>
              <w:t>1,793,557.00</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2"/>
              <w:jc w:val="right"/>
              <w:rPr>
                <w:rFonts w:ascii="宋体" w:hAnsi="宋体" w:cs="宋体" w:eastAsia="宋体" w:hint="default"/>
                <w:sz w:val="18"/>
                <w:szCs w:val="18"/>
              </w:rPr>
            </w:pPr>
            <w:r>
              <w:rPr>
                <w:rFonts w:ascii="宋体"/>
                <w:sz w:val="18"/>
              </w:rPr>
              <w:t>2.97</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
              <w:jc w:val="right"/>
              <w:rPr>
                <w:rFonts w:ascii="宋体" w:hAnsi="宋体" w:cs="宋体" w:eastAsia="宋体" w:hint="default"/>
                <w:sz w:val="18"/>
                <w:szCs w:val="18"/>
              </w:rPr>
            </w:pPr>
            <w:r>
              <w:rPr>
                <w:rFonts w:ascii="宋体"/>
                <w:sz w:val="18"/>
              </w:rPr>
              <w:t>1,093,720.10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宋体" w:hAnsi="宋体" w:cs="宋体" w:eastAsia="宋体" w:hint="default"/>
                <w:sz w:val="18"/>
                <w:szCs w:val="18"/>
              </w:rPr>
            </w:pPr>
            <w:r>
              <w:rPr>
                <w:rFonts w:ascii="宋体"/>
                <w:sz w:val="18"/>
              </w:rPr>
              <w:t>699,836.90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1" w:right="0"/>
              <w:jc w:val="center"/>
              <w:rPr>
                <w:rFonts w:ascii="宋体" w:hAnsi="宋体" w:cs="宋体" w:eastAsia="宋体" w:hint="default"/>
                <w:sz w:val="18"/>
                <w:szCs w:val="18"/>
              </w:rPr>
            </w:pPr>
            <w:r>
              <w:rPr>
                <w:rFonts w:ascii="宋体"/>
                <w:sz w:val="18"/>
              </w:rPr>
              <w:t>3,873,376.04</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
              <w:jc w:val="right"/>
              <w:rPr>
                <w:rFonts w:ascii="宋体" w:hAnsi="宋体" w:cs="宋体" w:eastAsia="宋体" w:hint="default"/>
                <w:sz w:val="18"/>
                <w:szCs w:val="18"/>
              </w:rPr>
            </w:pPr>
            <w:r>
              <w:rPr>
                <w:rFonts w:ascii="宋体"/>
                <w:spacing w:val="-1"/>
                <w:sz w:val="18"/>
              </w:rPr>
              <w:t>8.47</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4"/>
              <w:jc w:val="right"/>
              <w:rPr>
                <w:rFonts w:ascii="宋体" w:hAnsi="宋体" w:cs="宋体" w:eastAsia="宋体" w:hint="default"/>
                <w:sz w:val="18"/>
                <w:szCs w:val="18"/>
              </w:rPr>
            </w:pPr>
            <w:r>
              <w:rPr>
                <w:rFonts w:ascii="宋体"/>
                <w:sz w:val="18"/>
              </w:rPr>
              <w:t>2,556,482.84</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1,316,893.20</w:t>
            </w:r>
          </w:p>
        </w:tc>
      </w:tr>
    </w:tbl>
    <w:p>
      <w:pPr>
        <w:tabs>
          <w:tab w:pos="1397" w:val="left" w:leader="none"/>
          <w:tab w:pos="2803" w:val="left" w:leader="none"/>
          <w:tab w:pos="6058" w:val="left" w:leader="none"/>
          <w:tab w:pos="7478" w:val="left" w:leader="none"/>
        </w:tabs>
        <w:spacing w:before="84"/>
        <w:ind w:left="417" w:right="112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tab/>
        <w:t>14,310,010.77</w:t>
        <w:tab/>
        <w:t>23.73</w:t>
      </w:r>
      <w:r>
        <w:rPr>
          <w:rFonts w:ascii="宋体" w:hAnsi="宋体" w:cs="宋体" w:eastAsia="宋体" w:hint="default"/>
          <w:spacing w:val="28"/>
          <w:sz w:val="18"/>
          <w:szCs w:val="18"/>
        </w:rPr>
        <w:t> </w:t>
      </w:r>
      <w:r>
        <w:rPr>
          <w:rFonts w:ascii="宋体" w:hAnsi="宋体" w:cs="宋体" w:eastAsia="宋体" w:hint="default"/>
          <w:sz w:val="18"/>
          <w:szCs w:val="18"/>
        </w:rPr>
        <w:t>14,310,010.77</w:t>
        <w:tab/>
        <w:t>12,047,757.30</w:t>
        <w:tab/>
        <w:t>26.36</w:t>
      </w:r>
      <w:r>
        <w:rPr>
          <w:rFonts w:ascii="宋体" w:hAnsi="宋体" w:cs="宋体" w:eastAsia="宋体" w:hint="default"/>
          <w:spacing w:val="-15"/>
          <w:sz w:val="18"/>
          <w:szCs w:val="18"/>
        </w:rPr>
        <w:t> </w:t>
      </w:r>
      <w:r>
        <w:rPr>
          <w:rFonts w:ascii="宋体" w:hAnsi="宋体" w:cs="宋体" w:eastAsia="宋体" w:hint="default"/>
          <w:sz w:val="18"/>
          <w:szCs w:val="18"/>
        </w:rPr>
        <w:t>12,047,757.30</w:t>
      </w:r>
    </w:p>
    <w:p>
      <w:pPr>
        <w:spacing w:line="240" w:lineRule="auto" w:before="1"/>
        <w:rPr>
          <w:rFonts w:ascii="宋体" w:hAnsi="宋体" w:cs="宋体" w:eastAsia="宋体" w:hint="default"/>
          <w:sz w:val="14"/>
          <w:szCs w:val="14"/>
        </w:rPr>
      </w:pPr>
    </w:p>
    <w:p>
      <w:pPr>
        <w:spacing w:before="0"/>
        <w:ind w:left="687" w:right="0" w:firstLine="0"/>
        <w:jc w:val="left"/>
        <w:rPr>
          <w:rFonts w:ascii="宋体" w:hAnsi="宋体" w:cs="宋体" w:eastAsia="宋体" w:hint="default"/>
          <w:sz w:val="18"/>
          <w:szCs w:val="18"/>
        </w:rPr>
      </w:pPr>
      <w:r>
        <w:rPr>
          <w:rFonts w:ascii="宋体" w:hAnsi="宋体" w:cs="宋体" w:eastAsia="宋体" w:hint="default"/>
          <w:sz w:val="18"/>
          <w:szCs w:val="18"/>
        </w:rPr>
        <w:t>合  计  </w:t>
      </w:r>
      <w:r>
        <w:rPr>
          <w:rFonts w:ascii="宋体" w:hAnsi="宋体" w:cs="宋体" w:eastAsia="宋体" w:hint="default"/>
          <w:sz w:val="18"/>
          <w:szCs w:val="18"/>
          <w:u w:val="thick" w:color="000000"/>
        </w:rPr>
        <w:t>60,301,844.45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18,389,506.98  </w:t>
      </w:r>
      <w:r>
        <w:rPr>
          <w:rFonts w:ascii="宋体" w:hAnsi="宋体" w:cs="宋体" w:eastAsia="宋体" w:hint="default"/>
          <w:sz w:val="18"/>
          <w:szCs w:val="18"/>
        </w:rPr>
      </w:r>
      <w:r>
        <w:rPr>
          <w:rFonts w:ascii="宋体" w:hAnsi="宋体" w:cs="宋体" w:eastAsia="宋体" w:hint="default"/>
          <w:sz w:val="18"/>
          <w:szCs w:val="18"/>
          <w:u w:val="thick" w:color="000000"/>
        </w:rPr>
        <w:t>41,912,337.47  </w:t>
      </w:r>
      <w:r>
        <w:rPr>
          <w:rFonts w:ascii="宋体" w:hAnsi="宋体" w:cs="宋体" w:eastAsia="宋体" w:hint="default"/>
          <w:sz w:val="18"/>
          <w:szCs w:val="18"/>
        </w:rPr>
      </w:r>
      <w:r>
        <w:rPr>
          <w:rFonts w:ascii="宋体" w:hAnsi="宋体" w:cs="宋体" w:eastAsia="宋体" w:hint="default"/>
          <w:sz w:val="18"/>
          <w:szCs w:val="18"/>
          <w:u w:val="thick" w:color="000000"/>
        </w:rPr>
        <w:t>45,712,628.31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17,410,320.94</w:t>
      </w:r>
      <w:r>
        <w:rPr>
          <w:rFonts w:ascii="宋体" w:hAnsi="宋体" w:cs="宋体" w:eastAsia="宋体" w:hint="default"/>
          <w:spacing w:val="-4"/>
          <w:sz w:val="18"/>
          <w:szCs w:val="18"/>
          <w:u w:val="thick" w:color="000000"/>
        </w:rPr>
        <w:t> </w:t>
      </w:r>
      <w:r>
        <w:rPr>
          <w:rFonts w:ascii="宋体" w:hAnsi="宋体" w:cs="宋体" w:eastAsia="宋体" w:hint="default"/>
          <w:spacing w:val="-4"/>
          <w:sz w:val="18"/>
          <w:szCs w:val="18"/>
        </w:rPr>
      </w:r>
      <w:r>
        <w:rPr>
          <w:rFonts w:ascii="宋体" w:hAnsi="宋体" w:cs="宋体" w:eastAsia="宋体" w:hint="default"/>
          <w:sz w:val="18"/>
          <w:szCs w:val="18"/>
          <w:u w:val="thick" w:color="000000"/>
        </w:rPr>
        <w:t>28,302,307.37</w:t>
      </w:r>
      <w:r>
        <w:rPr>
          <w:rFonts w:ascii="宋体" w:hAnsi="宋体" w:cs="宋体" w:eastAsia="宋体" w:hint="default"/>
          <w:sz w:val="18"/>
          <w:szCs w:val="18"/>
        </w:rPr>
      </w:r>
    </w:p>
    <w:p>
      <w:pPr>
        <w:pStyle w:val="BodyText"/>
        <w:spacing w:line="367" w:lineRule="auto" w:before="141"/>
        <w:ind w:left="957" w:right="1124" w:firstLine="420"/>
        <w:jc w:val="left"/>
      </w:pPr>
      <w:r>
        <w:rPr/>
        <w:t>(3)</w:t>
      </w:r>
      <w:r>
        <w:rPr>
          <w:spacing w:val="-2"/>
        </w:rPr>
        <w:t> </w:t>
      </w:r>
      <w:r>
        <w:rPr/>
        <w:t>期末应收账款中欠款金额前</w:t>
      </w:r>
      <w:r>
        <w:rPr>
          <w:spacing w:val="-43"/>
        </w:rPr>
        <w:t> </w:t>
      </w:r>
      <w:r>
        <w:rPr/>
        <w:t>5</w:t>
      </w:r>
      <w:r>
        <w:rPr>
          <w:spacing w:val="-42"/>
        </w:rPr>
        <w:t> </w:t>
      </w:r>
      <w:r>
        <w:rPr/>
        <w:t>名的欠款金额总计为</w:t>
      </w:r>
      <w:r>
        <w:rPr>
          <w:spacing w:val="-43"/>
        </w:rPr>
        <w:t> </w:t>
      </w:r>
      <w:r>
        <w:rPr/>
        <w:t>7,496,179.51</w:t>
      </w:r>
      <w:r>
        <w:rPr>
          <w:spacing w:val="-42"/>
        </w:rPr>
        <w:t> </w:t>
      </w:r>
      <w:r>
        <w:rPr/>
        <w:t>元，占应收账款账</w:t>
      </w:r>
      <w:r>
        <w:rPr/>
        <w:t> 面余额的</w:t>
      </w:r>
      <w:r>
        <w:rPr>
          <w:spacing w:val="-55"/>
        </w:rPr>
        <w:t> </w:t>
      </w:r>
      <w:r>
        <w:rPr/>
        <w:t>12.43%，其对应的账龄如下：</w:t>
      </w:r>
    </w:p>
    <w:tbl>
      <w:tblPr>
        <w:tblW w:w="0" w:type="auto"/>
        <w:jc w:val="left"/>
        <w:tblInd w:w="1342" w:type="dxa"/>
        <w:tblLayout w:type="fixed"/>
        <w:tblCellMar>
          <w:top w:w="0" w:type="dxa"/>
          <w:left w:w="0" w:type="dxa"/>
          <w:bottom w:w="0" w:type="dxa"/>
          <w:right w:w="0" w:type="dxa"/>
        </w:tblCellMar>
        <w:tblLook w:val="01E0"/>
      </w:tblPr>
      <w:tblGrid>
        <w:gridCol w:w="1955"/>
        <w:gridCol w:w="2374"/>
      </w:tblGrid>
      <w:tr>
        <w:trPr>
          <w:trHeight w:val="415" w:hRule="exact"/>
        </w:trPr>
        <w:tc>
          <w:tcPr>
            <w:tcW w:w="1955"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35"/>
              <w:ind w:right="1077"/>
              <w:jc w:val="right"/>
              <w:rPr>
                <w:rFonts w:ascii="宋体" w:hAnsi="宋体" w:cs="宋体" w:eastAsia="宋体" w:hint="default"/>
                <w:sz w:val="21"/>
                <w:szCs w:val="21"/>
              </w:rPr>
            </w:pPr>
            <w:r>
              <w:rPr>
                <w:rFonts w:ascii="宋体" w:hAnsi="宋体" w:cs="宋体" w:eastAsia="宋体" w:hint="default"/>
                <w:sz w:val="21"/>
                <w:szCs w:val="21"/>
              </w:rPr>
              <w:t>账</w:t>
              <w:tab/>
              <w:t>龄</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3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6,101,586.51</w:t>
            </w:r>
            <w:r>
              <w:rPr>
                <w:rFonts w:ascii="宋体"/>
                <w:sz w:val="21"/>
              </w:rPr>
            </w:r>
          </w:p>
        </w:tc>
      </w:tr>
      <w:tr>
        <w:trPr>
          <w:trHeight w:val="42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1,394,593.00</w:t>
            </w:r>
            <w:r>
              <w:rPr>
                <w:rFonts w:ascii="宋体"/>
                <w:sz w:val="21"/>
              </w:rPr>
            </w:r>
          </w:p>
        </w:tc>
      </w:tr>
      <w:tr>
        <w:trPr>
          <w:trHeight w:val="415" w:hRule="exact"/>
        </w:trPr>
        <w:tc>
          <w:tcPr>
            <w:tcW w:w="1955"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40"/>
              <w:ind w:right="1077"/>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single" w:color="000000"/>
              </w:rPr>
              <w:t>7,496,179.51</w:t>
            </w:r>
            <w:r>
              <w:rPr>
                <w:rFonts w:ascii="宋体"/>
                <w:spacing w:val="-1"/>
                <w:sz w:val="21"/>
              </w:rPr>
            </w:r>
            <w:r>
              <w:rPr>
                <w:rFonts w:ascii="宋体"/>
                <w:sz w:val="21"/>
              </w:rPr>
            </w:r>
          </w:p>
        </w:tc>
      </w:tr>
    </w:tbl>
    <w:p>
      <w:pPr>
        <w:pStyle w:val="BodyText"/>
        <w:spacing w:line="367" w:lineRule="auto" w:before="45"/>
        <w:ind w:left="1377" w:right="3691"/>
        <w:jc w:val="left"/>
      </w:pPr>
      <w:r>
        <w:rPr/>
        <w:t>(4)</w:t>
      </w:r>
      <w:r>
        <w:rPr>
          <w:spacing w:val="-4"/>
        </w:rPr>
        <w:t> </w:t>
      </w:r>
      <w:r>
        <w:rPr/>
        <w:t>无持有本公司</w:t>
      </w:r>
      <w:r>
        <w:rPr>
          <w:spacing w:val="-55"/>
        </w:rPr>
        <w:t> </w:t>
      </w:r>
      <w:r>
        <w:rPr/>
        <w:t>5%以上（含</w:t>
      </w:r>
      <w:r>
        <w:rPr>
          <w:spacing w:val="-55"/>
        </w:rPr>
        <w:t> </w:t>
      </w:r>
      <w:r>
        <w:rPr/>
        <w:t>5%）表决权股份的股东账款</w:t>
      </w:r>
      <w:r>
        <w:rPr>
          <w:rFonts w:ascii="隶书" w:hAnsi="隶书" w:cs="隶书" w:eastAsia="隶书" w:hint="default"/>
        </w:rPr>
        <w:t>。 </w:t>
      </w:r>
      <w:r>
        <w:rPr/>
        <w:t>(5)</w:t>
      </w:r>
      <w:r>
        <w:rPr>
          <w:spacing w:val="-2"/>
        </w:rPr>
        <w:t> </w:t>
      </w:r>
      <w:r>
        <w:rPr/>
        <w:t>无应收关联方账款。</w:t>
      </w:r>
    </w:p>
    <w:p>
      <w:pPr>
        <w:spacing w:after="0" w:line="367" w:lineRule="auto"/>
        <w:jc w:val="left"/>
        <w:sectPr>
          <w:footerReference w:type="default" r:id="rId19"/>
          <w:pgSz w:w="11910" w:h="16840"/>
          <w:pgMar w:footer="1263" w:header="0" w:top="1540" w:bottom="1460" w:left="840" w:right="420"/>
          <w:pgNumType w:start="69"/>
        </w:sectPr>
      </w:pPr>
    </w:p>
    <w:p>
      <w:pPr>
        <w:pStyle w:val="BodyText"/>
        <w:spacing w:line="240" w:lineRule="auto" w:before="13"/>
        <w:ind w:left="537" w:right="0"/>
        <w:jc w:val="left"/>
      </w:pPr>
      <w:r>
        <w:rPr/>
        <w:t>(6)</w:t>
      </w:r>
      <w:r>
        <w:rPr>
          <w:spacing w:val="-2"/>
        </w:rPr>
        <w:t> </w:t>
      </w:r>
      <w:r>
        <w:rPr/>
        <w:t>应收账款——外币应收账款</w:t>
      </w:r>
    </w:p>
    <w:p>
      <w:pPr>
        <w:spacing w:line="240" w:lineRule="auto" w:before="5"/>
        <w:rPr>
          <w:rFonts w:ascii="宋体" w:hAnsi="宋体" w:cs="宋体" w:eastAsia="宋体" w:hint="default"/>
          <w:sz w:val="14"/>
          <w:szCs w:val="14"/>
        </w:rPr>
      </w:pPr>
    </w:p>
    <w:p>
      <w:pPr>
        <w:tabs>
          <w:tab w:pos="3057" w:val="left" w:leader="none"/>
          <w:tab w:pos="4947" w:val="left" w:leader="none"/>
          <w:tab w:pos="6027" w:val="left" w:leader="none"/>
          <w:tab w:pos="7107" w:val="left" w:leader="none"/>
          <w:tab w:pos="8637" w:val="left" w:leader="none"/>
        </w:tabs>
        <w:spacing w:line="234" w:lineRule="exact" w:before="0"/>
        <w:ind w:left="206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tab/>
      </w:r>
      <w:r>
        <w:rPr>
          <w:rFonts w:ascii="宋体" w:hAnsi="宋体" w:cs="宋体" w:eastAsia="宋体" w:hint="default"/>
          <w:sz w:val="18"/>
          <w:szCs w:val="18"/>
        </w:rPr>
      </w:r>
    </w:p>
    <w:p>
      <w:pPr>
        <w:tabs>
          <w:tab w:pos="1977" w:val="left" w:leader="none"/>
          <w:tab w:pos="3327" w:val="left" w:leader="none"/>
          <w:tab w:pos="4047" w:val="left" w:leader="none"/>
          <w:tab w:pos="5937" w:val="left" w:leader="none"/>
          <w:tab w:pos="7107" w:val="left" w:leader="none"/>
          <w:tab w:pos="7737" w:val="left" w:leader="none"/>
        </w:tabs>
        <w:spacing w:line="234" w:lineRule="exact" w:before="0"/>
        <w:ind w:left="717" w:right="0" w:firstLine="0"/>
        <w:jc w:val="left"/>
        <w:rPr>
          <w:rFonts w:ascii="宋体" w:hAnsi="宋体" w:cs="宋体" w:eastAsia="宋体" w:hint="default"/>
          <w:sz w:val="18"/>
          <w:szCs w:val="18"/>
        </w:rPr>
      </w:pPr>
      <w:r>
        <w:rPr>
          <w:rFonts w:ascii="宋体" w:hAnsi="宋体" w:cs="宋体" w:eastAsia="宋体" w:hint="default"/>
          <w:sz w:val="18"/>
          <w:szCs w:val="18"/>
        </w:rPr>
        <w:t>项  目</w:t>
        <w:tab/>
        <w:t>原币金额</w:t>
        <w:tab/>
        <w:t>汇率</w:t>
        <w:tab/>
        <w:t>折人民币金额</w:t>
        <w:tab/>
        <w:t>原币金额</w:t>
        <w:tab/>
        <w:t>汇率</w:t>
        <w:tab/>
        <w:t>折人民币金额</w:t>
      </w:r>
    </w:p>
    <w:p>
      <w:pPr>
        <w:tabs>
          <w:tab w:pos="1408" w:val="left" w:leader="none"/>
          <w:tab w:pos="2811" w:val="left" w:leader="none"/>
          <w:tab w:pos="3865" w:val="left" w:leader="none"/>
          <w:tab w:pos="5356" w:val="left" w:leader="none"/>
          <w:tab w:pos="6777" w:val="left" w:leader="none"/>
        </w:tabs>
        <w:spacing w:before="117"/>
        <w:ind w:left="229" w:right="0" w:firstLine="0"/>
        <w:jc w:val="center"/>
        <w:rPr>
          <w:rFonts w:ascii="宋体" w:hAnsi="宋体" w:cs="宋体" w:eastAsia="宋体" w:hint="default"/>
          <w:sz w:val="18"/>
          <w:szCs w:val="18"/>
        </w:rPr>
      </w:pPr>
      <w:r>
        <w:rPr>
          <w:rFonts w:ascii="宋体" w:hAnsi="宋体" w:cs="宋体" w:eastAsia="宋体" w:hint="default"/>
          <w:sz w:val="18"/>
          <w:szCs w:val="18"/>
        </w:rPr>
        <w:t>日 元</w:t>
        <w:tab/>
        <w:t>40,611,840.00</w:t>
        <w:tab/>
        <w:t>0.064064</w:t>
        <w:tab/>
        <w:t>2,601,756.92</w:t>
        <w:tab/>
        <w:t>28,678,760.00</w:t>
        <w:tab/>
        <w:t>0.06563  1,882,187.02</w:t>
      </w:r>
    </w:p>
    <w:p>
      <w:pPr>
        <w:spacing w:line="240" w:lineRule="auto" w:before="10"/>
        <w:rPr>
          <w:rFonts w:ascii="宋体" w:hAnsi="宋体" w:cs="宋体" w:eastAsia="宋体" w:hint="default"/>
          <w:sz w:val="17"/>
          <w:szCs w:val="17"/>
        </w:rPr>
      </w:pPr>
    </w:p>
    <w:p>
      <w:pPr>
        <w:tabs>
          <w:tab w:pos="4203" w:val="left" w:leader="none"/>
          <w:tab w:pos="7925" w:val="left" w:leader="none"/>
        </w:tabs>
        <w:spacing w:before="0"/>
        <w:ind w:left="747"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2,601,756.92</w:t>
      </w:r>
      <w:r>
        <w:rPr>
          <w:rFonts w:ascii="宋体" w:hAnsi="宋体" w:cs="宋体" w:eastAsia="宋体" w:hint="default"/>
          <w:sz w:val="18"/>
          <w:szCs w:val="18"/>
        </w:rPr>
        <w:tab/>
      </w:r>
      <w:r>
        <w:rPr>
          <w:rFonts w:ascii="宋体" w:hAnsi="宋体" w:cs="宋体" w:eastAsia="宋体" w:hint="default"/>
          <w:sz w:val="18"/>
          <w:szCs w:val="18"/>
          <w:u w:val="single" w:color="000000"/>
        </w:rPr>
        <w:t>1,882,187.02</w:t>
      </w:r>
      <w:r>
        <w:rPr>
          <w:rFonts w:ascii="宋体" w:hAnsi="宋体" w:cs="宋体" w:eastAsia="宋体" w:hint="default"/>
          <w:sz w:val="18"/>
          <w:szCs w:val="18"/>
        </w:rPr>
      </w:r>
    </w:p>
    <w:p>
      <w:pPr>
        <w:spacing w:line="240" w:lineRule="auto" w:before="13"/>
        <w:rPr>
          <w:rFonts w:ascii="宋体" w:hAnsi="宋体" w:cs="宋体" w:eastAsia="宋体" w:hint="default"/>
          <w:sz w:val="16"/>
          <w:szCs w:val="16"/>
        </w:rPr>
      </w:pPr>
    </w:p>
    <w:p>
      <w:pPr>
        <w:pStyle w:val="BodyText"/>
        <w:spacing w:line="367" w:lineRule="auto" w:before="35"/>
        <w:ind w:left="537" w:right="665"/>
        <w:jc w:val="left"/>
      </w:pPr>
      <w:r>
        <w:rPr/>
        <w:t>(7)</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应收账款账面价值期末数比期初数增长</w:t>
      </w:r>
      <w:r>
        <w:rPr>
          <w:spacing w:val="37"/>
        </w:rPr>
        <w:t> </w:t>
      </w:r>
      <w:r>
        <w:rPr/>
        <w:t>48.09%，主要系公司本期业务规模扩大，期末应</w:t>
      </w:r>
    </w:p>
    <w:p>
      <w:pPr>
        <w:pStyle w:val="BodyText"/>
        <w:spacing w:line="367" w:lineRule="auto" w:before="34"/>
        <w:ind w:left="537" w:right="7527" w:hanging="420"/>
        <w:jc w:val="left"/>
      </w:pPr>
      <w:r>
        <w:rPr/>
        <w:t>收账款相应增加。 (8)</w:t>
      </w:r>
      <w:r>
        <w:rPr>
          <w:spacing w:val="-2"/>
        </w:rPr>
        <w:t> </w:t>
      </w:r>
      <w:r>
        <w:rPr/>
        <w:t>其他说明</w:t>
      </w:r>
    </w:p>
    <w:p>
      <w:pPr>
        <w:pStyle w:val="BodyText"/>
        <w:spacing w:line="240" w:lineRule="auto" w:before="34"/>
        <w:ind w:left="537" w:right="0"/>
        <w:jc w:val="left"/>
      </w:pPr>
      <w:r>
        <w:rPr/>
        <w:t>1)</w:t>
      </w:r>
      <w:r>
        <w:rPr>
          <w:spacing w:val="-2"/>
        </w:rPr>
        <w:t> </w:t>
      </w:r>
      <w:r>
        <w:rPr/>
        <w:t>单项金额不重大但信用风险较大的应收账款计提比例及理由说明</w:t>
      </w:r>
    </w:p>
    <w:p>
      <w:pPr>
        <w:pStyle w:val="BodyText"/>
        <w:spacing w:line="240" w:lineRule="auto"/>
        <w:ind w:left="537" w:right="0"/>
        <w:jc w:val="left"/>
      </w:pPr>
      <w:r>
        <w:rPr/>
        <w:t>截至</w:t>
      </w:r>
      <w:r>
        <w:rPr>
          <w:spacing w:val="-55"/>
        </w:rPr>
        <w:t> </w:t>
      </w:r>
      <w:r>
        <w:rPr/>
        <w:t>2007</w:t>
      </w:r>
      <w:r>
        <w:rPr>
          <w:spacing w:val="-54"/>
        </w:rPr>
        <w:t> </w:t>
      </w:r>
      <w:r>
        <w:rPr/>
        <w:t>年</w:t>
      </w:r>
      <w:r>
        <w:rPr>
          <w:spacing w:val="-56"/>
        </w:rPr>
        <w:t> </w:t>
      </w:r>
      <w:r>
        <w:rPr/>
        <w:t>12</w:t>
      </w:r>
      <w:r>
        <w:rPr>
          <w:spacing w:val="-55"/>
        </w:rPr>
        <w:t> </w:t>
      </w:r>
      <w:r>
        <w:rPr/>
        <w:t>月</w:t>
      </w:r>
      <w:r>
        <w:rPr>
          <w:spacing w:val="-55"/>
        </w:rPr>
        <w:t> </w:t>
      </w:r>
      <w:r>
        <w:rPr/>
        <w:t>31</w:t>
      </w:r>
      <w:r>
        <w:rPr>
          <w:spacing w:val="-54"/>
        </w:rPr>
        <w:t> </w:t>
      </w:r>
      <w:r>
        <w:rPr>
          <w:spacing w:val="-3"/>
        </w:rPr>
        <w:t>日，公司应收中行吉林省分行等单位共计</w:t>
      </w:r>
      <w:r>
        <w:rPr>
          <w:spacing w:val="-55"/>
        </w:rPr>
        <w:t> </w:t>
      </w:r>
      <w:r>
        <w:rPr/>
        <w:t>1,280,171.06</w:t>
      </w:r>
      <w:r>
        <w:rPr>
          <w:spacing w:val="-54"/>
        </w:rPr>
        <w:t> </w:t>
      </w:r>
      <w:r>
        <w:rPr>
          <w:spacing w:val="-7"/>
        </w:rPr>
        <w:t>元（其中账</w:t>
      </w:r>
      <w:r>
        <w:rPr/>
      </w:r>
    </w:p>
    <w:p>
      <w:pPr>
        <w:pStyle w:val="BodyText"/>
        <w:spacing w:line="367" w:lineRule="auto"/>
        <w:ind w:right="0"/>
        <w:jc w:val="left"/>
      </w:pPr>
      <w:r>
        <w:rPr/>
        <w:t>龄</w:t>
      </w:r>
      <w:r>
        <w:rPr>
          <w:spacing w:val="-65"/>
        </w:rPr>
        <w:t> </w:t>
      </w:r>
      <w:r>
        <w:rPr/>
        <w:t>1-2</w:t>
      </w:r>
      <w:r>
        <w:rPr>
          <w:spacing w:val="-64"/>
        </w:rPr>
        <w:t> </w:t>
      </w:r>
      <w:r>
        <w:rPr/>
        <w:t>年</w:t>
      </w:r>
      <w:r>
        <w:rPr>
          <w:spacing w:val="-65"/>
        </w:rPr>
        <w:t> </w:t>
      </w:r>
      <w:r>
        <w:rPr>
          <w:spacing w:val="-1"/>
        </w:rPr>
        <w:t>486,381.06</w:t>
      </w:r>
      <w:r>
        <w:rPr>
          <w:spacing w:val="-64"/>
        </w:rPr>
        <w:t> </w:t>
      </w:r>
      <w:r>
        <w:rPr>
          <w:spacing w:val="-27"/>
        </w:rPr>
        <w:t>元，账龄</w:t>
      </w:r>
      <w:r>
        <w:rPr>
          <w:spacing w:val="-65"/>
        </w:rPr>
        <w:t> </w:t>
      </w:r>
      <w:r>
        <w:rPr/>
        <w:t>2-3</w:t>
      </w:r>
      <w:r>
        <w:rPr>
          <w:spacing w:val="-64"/>
        </w:rPr>
        <w:t> </w:t>
      </w:r>
      <w:r>
        <w:rPr/>
        <w:t>年</w:t>
      </w:r>
      <w:r>
        <w:rPr>
          <w:spacing w:val="-65"/>
        </w:rPr>
        <w:t> </w:t>
      </w:r>
      <w:r>
        <w:rPr>
          <w:spacing w:val="-1"/>
        </w:rPr>
        <w:t>793,790.00</w:t>
      </w:r>
      <w:r>
        <w:rPr>
          <w:spacing w:val="-64"/>
        </w:rPr>
        <w:t> </w:t>
      </w:r>
      <w:r>
        <w:rPr>
          <w:spacing w:val="-8"/>
        </w:rPr>
        <w:t>元）,其他账龄三年以上的款项</w:t>
      </w:r>
      <w:r>
        <w:rPr>
          <w:spacing w:val="-65"/>
        </w:rPr>
        <w:t> </w:t>
      </w:r>
      <w:r>
        <w:rPr/>
        <w:t>14,310,010.77</w:t>
      </w:r>
      <w:r>
        <w:rPr/>
        <w:t> 元，估计无法收回，已全额计提坏账准备。</w:t>
      </w:r>
    </w:p>
    <w:p>
      <w:pPr>
        <w:pStyle w:val="BodyText"/>
        <w:spacing w:line="367" w:lineRule="auto" w:before="34"/>
        <w:ind w:right="669" w:firstLine="420"/>
        <w:jc w:val="left"/>
      </w:pPr>
      <w:r>
        <w:rPr/>
        <w:t>2)</w:t>
      </w:r>
      <w:r>
        <w:rPr>
          <w:spacing w:val="33"/>
        </w:rPr>
        <w:t> </w:t>
      </w:r>
      <w:r>
        <w:rPr/>
        <w:t>以前年度已全额计提坏账准备，或计提坏账准备的比例较大，但在报告期又全额或部</w:t>
      </w:r>
      <w:r>
        <w:rPr>
          <w:spacing w:val="1"/>
        </w:rPr>
        <w:t> </w:t>
      </w:r>
      <w:r>
        <w:rPr/>
        <w:t>分收回的，或通过重组等其他方式收回的原因、原估计计提比例的理由及合理性的说明</w:t>
      </w:r>
    </w:p>
    <w:p>
      <w:pPr>
        <w:pStyle w:val="BodyText"/>
        <w:spacing w:line="367" w:lineRule="auto" w:before="34"/>
        <w:ind w:right="662" w:firstLine="420"/>
        <w:jc w:val="left"/>
      </w:pPr>
      <w:r>
        <w:rPr/>
        <w:t>公司原账面应收南方证券股份有限公司款项（账龄</w:t>
      </w:r>
      <w:r>
        <w:rPr>
          <w:spacing w:val="-43"/>
        </w:rPr>
        <w:t> </w:t>
      </w:r>
      <w:r>
        <w:rPr/>
        <w:t>3</w:t>
      </w:r>
      <w:r>
        <w:rPr>
          <w:spacing w:val="-42"/>
        </w:rPr>
        <w:t> </w:t>
      </w:r>
      <w:r>
        <w:rPr/>
        <w:t>年以上）共计</w:t>
      </w:r>
      <w:r>
        <w:rPr>
          <w:spacing w:val="-43"/>
        </w:rPr>
        <w:t> </w:t>
      </w:r>
      <w:r>
        <w:rPr/>
        <w:t>635,900.00</w:t>
      </w:r>
      <w:r>
        <w:rPr>
          <w:spacing w:val="-42"/>
        </w:rPr>
        <w:t> </w:t>
      </w:r>
      <w:r>
        <w:rPr/>
        <w:t>元，本期</w:t>
      </w:r>
      <w:r>
        <w:rPr/>
        <w:t> 已通过南方证券股份有限公司破产清算组收回。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5914" w:val="left" w:leader="none"/>
        </w:tabs>
        <w:spacing w:line="240" w:lineRule="auto" w:before="0"/>
        <w:ind w:left="537" w:right="0"/>
        <w:jc w:val="left"/>
      </w:pPr>
      <w:r>
        <w:rPr/>
        <w:t>4. 预付款项</w:t>
        <w:tab/>
        <w:t>期末数</w:t>
      </w:r>
      <w:r>
        <w:rPr>
          <w:spacing w:val="-53"/>
        </w:rPr>
        <w:t> </w:t>
      </w:r>
      <w:r>
        <w:rPr/>
        <w:t>3,570,230.36</w:t>
      </w:r>
    </w:p>
    <w:p>
      <w:pPr>
        <w:pStyle w:val="BodyText"/>
        <w:spacing w:line="240" w:lineRule="auto"/>
        <w:ind w:left="543" w:right="0"/>
        <w:jc w:val="left"/>
      </w:pPr>
      <w:r>
        <w:rPr/>
        <w:t>(1)</w:t>
      </w:r>
      <w:r>
        <w:rPr>
          <w:spacing w:val="-2"/>
        </w:rPr>
        <w:t> </w:t>
      </w:r>
      <w:r>
        <w:rPr/>
        <w:t>账龄分析</w:t>
      </w:r>
    </w:p>
    <w:p>
      <w:pPr>
        <w:spacing w:line="240" w:lineRule="auto" w:before="5"/>
        <w:rPr>
          <w:rFonts w:ascii="宋体" w:hAnsi="宋体" w:cs="宋体" w:eastAsia="宋体" w:hint="default"/>
          <w:sz w:val="14"/>
          <w:szCs w:val="14"/>
        </w:rPr>
      </w:pPr>
    </w:p>
    <w:p>
      <w:pPr>
        <w:tabs>
          <w:tab w:pos="3087" w:val="left" w:leader="none"/>
          <w:tab w:pos="4977" w:val="left" w:leader="none"/>
          <w:tab w:pos="5877" w:val="left" w:leader="none"/>
          <w:tab w:pos="7227" w:val="left" w:leader="none"/>
          <w:tab w:pos="8937" w:val="left" w:leader="none"/>
        </w:tabs>
        <w:spacing w:line="234" w:lineRule="exact" w:before="0"/>
        <w:ind w:left="19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tab/>
      </w:r>
      <w:r>
        <w:rPr>
          <w:rFonts w:ascii="宋体" w:hAnsi="宋体" w:cs="宋体" w:eastAsia="宋体" w:hint="default"/>
          <w:sz w:val="18"/>
          <w:szCs w:val="18"/>
        </w:rPr>
      </w:r>
    </w:p>
    <w:p>
      <w:pPr>
        <w:tabs>
          <w:tab w:pos="1600" w:val="left" w:leader="none"/>
          <w:tab w:pos="5560" w:val="left" w:leader="none"/>
        </w:tabs>
        <w:spacing w:line="234" w:lineRule="exact" w:before="0"/>
        <w:ind w:left="520" w:right="0" w:firstLine="0"/>
        <w:jc w:val="center"/>
        <w:rPr>
          <w:rFonts w:ascii="宋体" w:hAnsi="宋体" w:cs="宋体" w:eastAsia="宋体" w:hint="default"/>
          <w:sz w:val="18"/>
          <w:szCs w:val="18"/>
        </w:rPr>
      </w:pPr>
      <w:r>
        <w:rPr>
          <w:rFonts w:ascii="宋体" w:hAnsi="宋体" w:cs="宋体" w:eastAsia="宋体" w:hint="default"/>
          <w:sz w:val="18"/>
          <w:szCs w:val="18"/>
        </w:rPr>
        <w:t>账  龄</w:t>
        <w:tab/>
        <w:t>账面余额  比例(%)  坏账准备 账面价值</w:t>
        <w:tab/>
        <w:t>账面余额  比例(%)  坏账准备  账面价值</w:t>
      </w:r>
    </w:p>
    <w:p>
      <w:pPr>
        <w:spacing w:line="240" w:lineRule="auto" w:before="1"/>
        <w:rPr>
          <w:rFonts w:ascii="宋体" w:hAnsi="宋体" w:cs="宋体" w:eastAsia="宋体" w:hint="default"/>
          <w:sz w:val="14"/>
          <w:szCs w:val="14"/>
        </w:rPr>
      </w:pPr>
    </w:p>
    <w:p>
      <w:pPr>
        <w:tabs>
          <w:tab w:pos="1526" w:val="left" w:leader="none"/>
          <w:tab w:pos="2871" w:val="left" w:leader="none"/>
          <w:tab w:pos="4174" w:val="left" w:leader="none"/>
          <w:tab w:pos="5593" w:val="left" w:leader="none"/>
          <w:tab w:pos="6897" w:val="left" w:leader="none"/>
          <w:tab w:pos="8144" w:val="left" w:leader="none"/>
        </w:tabs>
        <w:spacing w:before="0"/>
        <w:ind w:left="585" w:right="0" w:firstLine="0"/>
        <w:jc w:val="left"/>
        <w:rPr>
          <w:rFonts w:ascii="宋体" w:hAnsi="宋体" w:cs="宋体" w:eastAsia="宋体" w:hint="default"/>
          <w:sz w:val="18"/>
          <w:szCs w:val="18"/>
        </w:rPr>
      </w:pPr>
      <w:r>
        <w:rPr>
          <w:rFonts w:ascii="宋体" w:hAnsi="宋体" w:cs="宋体" w:eastAsia="宋体" w:hint="default"/>
          <w:sz w:val="18"/>
          <w:szCs w:val="18"/>
        </w:rPr>
        <w:t>1 年以内</w:t>
        <w:tab/>
        <w:t>3,570,230.36</w:t>
        <w:tab/>
        <w:t>100.00</w:t>
        <w:tab/>
        <w:t>3,570,230.36</w:t>
        <w:tab/>
        <w:t>3,112,736.66</w:t>
        <w:tab/>
        <w:t>99.13</w:t>
        <w:tab/>
        <w:t>3,112,736.66</w:t>
      </w:r>
    </w:p>
    <w:p>
      <w:pPr>
        <w:spacing w:line="240" w:lineRule="auto" w:before="1"/>
        <w:rPr>
          <w:rFonts w:ascii="宋体" w:hAnsi="宋体" w:cs="宋体" w:eastAsia="宋体" w:hint="default"/>
          <w:sz w:val="14"/>
          <w:szCs w:val="14"/>
        </w:rPr>
      </w:pPr>
    </w:p>
    <w:p>
      <w:pPr>
        <w:tabs>
          <w:tab w:pos="5881" w:val="left" w:leader="none"/>
          <w:tab w:pos="6987" w:val="left" w:leader="none"/>
          <w:tab w:pos="8432" w:val="left" w:leader="none"/>
        </w:tabs>
        <w:spacing w:before="0"/>
        <w:ind w:left="585"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tab/>
        <w:t>27,235.66</w:t>
        <w:tab/>
        <w:t>0.87</w:t>
        <w:tab/>
        <w:t>27,235.66</w:t>
      </w:r>
    </w:p>
    <w:p>
      <w:pPr>
        <w:spacing w:line="240" w:lineRule="auto" w:before="1"/>
        <w:rPr>
          <w:rFonts w:ascii="宋体" w:hAnsi="宋体" w:cs="宋体" w:eastAsia="宋体" w:hint="default"/>
          <w:sz w:val="14"/>
          <w:szCs w:val="14"/>
        </w:rPr>
      </w:pPr>
    </w:p>
    <w:p>
      <w:pPr>
        <w:tabs>
          <w:tab w:pos="1406" w:val="left" w:leader="none"/>
          <w:tab w:pos="2751" w:val="left" w:leader="none"/>
          <w:tab w:pos="4054" w:val="left" w:leader="none"/>
          <w:tab w:pos="5473" w:val="left" w:leader="none"/>
          <w:tab w:pos="8024" w:val="left" w:leader="none"/>
        </w:tabs>
        <w:spacing w:before="0"/>
        <w:ind w:left="608" w:right="0" w:firstLine="0"/>
        <w:jc w:val="center"/>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3,570,230.36</w:t>
      </w:r>
      <w:r>
        <w:rPr>
          <w:rFonts w:ascii="宋体" w:hAnsi="宋体" w:cs="宋体" w:eastAsia="宋体" w:hint="default"/>
          <w:sz w:val="18"/>
          <w:szCs w:val="18"/>
        </w:rPr>
        <w:tab/>
      </w:r>
      <w:r>
        <w:rPr>
          <w:rFonts w:ascii="宋体" w:hAnsi="宋体" w:cs="宋体" w:eastAsia="宋体" w:hint="default"/>
          <w:sz w:val="18"/>
          <w:szCs w:val="18"/>
          <w:u w:val="thick" w:color="000000"/>
        </w:rPr>
        <w:t>100.00</w:t>
      </w:r>
      <w:r>
        <w:rPr>
          <w:rFonts w:ascii="宋体" w:hAnsi="宋体" w:cs="宋体" w:eastAsia="宋体" w:hint="default"/>
          <w:sz w:val="18"/>
          <w:szCs w:val="18"/>
        </w:rPr>
        <w:tab/>
      </w:r>
      <w:r>
        <w:rPr>
          <w:rFonts w:ascii="宋体" w:hAnsi="宋体" w:cs="宋体" w:eastAsia="宋体" w:hint="default"/>
          <w:sz w:val="18"/>
          <w:szCs w:val="18"/>
          <w:u w:val="thick" w:color="000000"/>
        </w:rPr>
        <w:t>3,570,230.36</w:t>
      </w:r>
      <w:r>
        <w:rPr>
          <w:rFonts w:ascii="宋体" w:hAnsi="宋体" w:cs="宋体" w:eastAsia="宋体" w:hint="default"/>
          <w:sz w:val="18"/>
          <w:szCs w:val="18"/>
        </w:rPr>
        <w:tab/>
      </w:r>
      <w:r>
        <w:rPr>
          <w:rFonts w:ascii="宋体" w:hAnsi="宋体" w:cs="宋体" w:eastAsia="宋体" w:hint="default"/>
          <w:sz w:val="18"/>
          <w:szCs w:val="18"/>
          <w:u w:val="thick" w:color="000000"/>
        </w:rPr>
        <w:t>3,139,972.32</w:t>
      </w:r>
      <w:r>
        <w:rPr>
          <w:rFonts w:ascii="宋体" w:hAnsi="宋体" w:cs="宋体" w:eastAsia="宋体" w:hint="default"/>
          <w:spacing w:val="44"/>
          <w:sz w:val="18"/>
          <w:szCs w:val="18"/>
          <w:u w:val="thick" w:color="000000"/>
        </w:rPr>
        <w:t> </w:t>
      </w:r>
      <w:r>
        <w:rPr>
          <w:rFonts w:ascii="宋体" w:hAnsi="宋体" w:cs="宋体" w:eastAsia="宋体" w:hint="default"/>
          <w:spacing w:val="44"/>
          <w:sz w:val="18"/>
          <w:szCs w:val="18"/>
        </w:rPr>
      </w:r>
      <w:r>
        <w:rPr>
          <w:rFonts w:ascii="宋体" w:hAnsi="宋体" w:cs="宋体" w:eastAsia="宋体" w:hint="default"/>
          <w:sz w:val="18"/>
          <w:szCs w:val="18"/>
          <w:u w:val="thick" w:color="000000"/>
        </w:rPr>
        <w:t>100.00</w:t>
      </w:r>
      <w:r>
        <w:rPr>
          <w:rFonts w:ascii="宋体" w:hAnsi="宋体" w:cs="宋体" w:eastAsia="宋体" w:hint="default"/>
          <w:sz w:val="18"/>
          <w:szCs w:val="18"/>
        </w:rPr>
        <w:tab/>
      </w:r>
      <w:r>
        <w:rPr>
          <w:rFonts w:ascii="宋体" w:hAnsi="宋体" w:cs="宋体" w:eastAsia="宋体" w:hint="default"/>
          <w:sz w:val="18"/>
          <w:szCs w:val="18"/>
          <w:u w:val="thick" w:color="000000"/>
        </w:rPr>
        <w:t>3,139,972.32</w:t>
      </w:r>
      <w:r>
        <w:rPr>
          <w:rFonts w:ascii="宋体" w:hAnsi="宋体" w:cs="宋体" w:eastAsia="宋体" w:hint="default"/>
          <w:sz w:val="18"/>
          <w:szCs w:val="18"/>
        </w:rPr>
      </w:r>
    </w:p>
    <w:p>
      <w:pPr>
        <w:pStyle w:val="BodyText"/>
        <w:spacing w:line="367" w:lineRule="auto" w:before="141"/>
        <w:ind w:left="537" w:right="3225" w:firstLine="5"/>
        <w:jc w:val="left"/>
      </w:pPr>
      <w:r>
        <w:rPr/>
        <w:t>(2)</w:t>
      </w:r>
      <w:r>
        <w:rPr>
          <w:spacing w:val="-3"/>
        </w:rPr>
        <w:t> </w:t>
      </w:r>
      <w:r>
        <w:rPr/>
        <w:t>无持有本公司</w:t>
      </w:r>
      <w:r>
        <w:rPr>
          <w:spacing w:val="-55"/>
        </w:rPr>
        <w:t> </w:t>
      </w:r>
      <w:r>
        <w:rPr/>
        <w:t>5%以上（含</w:t>
      </w:r>
      <w:r>
        <w:rPr>
          <w:spacing w:val="-55"/>
        </w:rPr>
        <w:t> </w:t>
      </w:r>
      <w:r>
        <w:rPr/>
        <w:t>5%）表决权股份的股东款项。</w:t>
      </w:r>
      <w:r>
        <w:rPr/>
        <w:t> (3)</w:t>
      </w:r>
      <w:r>
        <w:rPr>
          <w:spacing w:val="-2"/>
        </w:rPr>
        <w:t> </w:t>
      </w:r>
      <w:r>
        <w:rPr/>
        <w:t>金额较大的预付款项</w:t>
      </w:r>
    </w:p>
    <w:p>
      <w:pPr>
        <w:spacing w:line="240" w:lineRule="auto" w:before="7"/>
        <w:rPr>
          <w:rFonts w:ascii="宋体" w:hAnsi="宋体" w:cs="宋体" w:eastAsia="宋体" w:hint="default"/>
          <w:sz w:val="2"/>
          <w:szCs w:val="2"/>
        </w:rPr>
      </w:pPr>
    </w:p>
    <w:tbl>
      <w:tblPr>
        <w:tblW w:w="0" w:type="auto"/>
        <w:jc w:val="left"/>
        <w:tblInd w:w="442" w:type="dxa"/>
        <w:tblLayout w:type="fixed"/>
        <w:tblCellMar>
          <w:top w:w="0" w:type="dxa"/>
          <w:left w:w="0" w:type="dxa"/>
          <w:bottom w:w="0" w:type="dxa"/>
          <w:right w:w="0" w:type="dxa"/>
        </w:tblCellMar>
        <w:tblLook w:val="01E0"/>
      </w:tblPr>
      <w:tblGrid>
        <w:gridCol w:w="3455"/>
        <w:gridCol w:w="2070"/>
        <w:gridCol w:w="1745"/>
      </w:tblGrid>
      <w:tr>
        <w:trPr>
          <w:trHeight w:val="40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15" w:right="0"/>
              <w:jc w:val="center"/>
              <w:rPr>
                <w:rFonts w:ascii="宋体" w:hAnsi="宋体" w:cs="宋体" w:eastAsia="宋体" w:hint="default"/>
                <w:sz w:val="18"/>
                <w:szCs w:val="18"/>
              </w:rPr>
            </w:pPr>
            <w:r>
              <w:rPr>
                <w:rFonts w:ascii="宋体" w:hAnsi="宋体" w:cs="宋体" w:eastAsia="宋体" w:hint="default"/>
                <w:sz w:val="18"/>
                <w:szCs w:val="18"/>
              </w:rPr>
              <w:t>款项性质及内容</w:t>
            </w:r>
          </w:p>
        </w:tc>
      </w:tr>
      <w:tr>
        <w:trPr>
          <w:trHeight w:val="42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深圳市千山科技有限公司</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8"/>
              <w:jc w:val="right"/>
              <w:rPr>
                <w:rFonts w:ascii="宋体" w:hAnsi="宋体" w:cs="宋体" w:eastAsia="宋体" w:hint="default"/>
                <w:sz w:val="18"/>
                <w:szCs w:val="18"/>
              </w:rPr>
            </w:pPr>
            <w:r>
              <w:rPr>
                <w:rFonts w:ascii="宋体"/>
                <w:sz w:val="18"/>
              </w:rPr>
              <w:t>665,000.00</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15" w:right="0"/>
              <w:jc w:val="center"/>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2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杭州明智电子科技有限公司</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8"/>
              <w:jc w:val="right"/>
              <w:rPr>
                <w:rFonts w:ascii="宋体" w:hAnsi="宋体" w:cs="宋体" w:eastAsia="宋体" w:hint="default"/>
                <w:sz w:val="18"/>
                <w:szCs w:val="18"/>
              </w:rPr>
            </w:pPr>
            <w:r>
              <w:rPr>
                <w:rFonts w:ascii="宋体"/>
                <w:sz w:val="18"/>
              </w:rPr>
              <w:t>637,630.00</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15" w:right="0"/>
              <w:jc w:val="center"/>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2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国家密码管理局商用密码研究中心</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8"/>
              <w:jc w:val="right"/>
              <w:rPr>
                <w:rFonts w:ascii="宋体" w:hAnsi="宋体" w:cs="宋体" w:eastAsia="宋体" w:hint="default"/>
                <w:sz w:val="18"/>
                <w:szCs w:val="18"/>
              </w:rPr>
            </w:pPr>
            <w:r>
              <w:rPr>
                <w:rFonts w:ascii="宋体"/>
                <w:sz w:val="18"/>
              </w:rPr>
              <w:t>325,920.00</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15" w:right="0"/>
              <w:jc w:val="center"/>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2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上海索高计算机科技发展有限公司</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8"/>
              <w:jc w:val="right"/>
              <w:rPr>
                <w:rFonts w:ascii="宋体" w:hAnsi="宋体" w:cs="宋体" w:eastAsia="宋体" w:hint="default"/>
                <w:sz w:val="18"/>
                <w:szCs w:val="18"/>
              </w:rPr>
            </w:pPr>
            <w:r>
              <w:rPr>
                <w:rFonts w:ascii="宋体"/>
                <w:sz w:val="18"/>
              </w:rPr>
              <w:t>255,000.00</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15" w:right="0"/>
              <w:jc w:val="center"/>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0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杭州香溢费斯特科技有限公司</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8"/>
              <w:jc w:val="right"/>
              <w:rPr>
                <w:rFonts w:ascii="宋体" w:hAnsi="宋体" w:cs="宋体" w:eastAsia="宋体" w:hint="default"/>
                <w:sz w:val="18"/>
                <w:szCs w:val="18"/>
              </w:rPr>
            </w:pPr>
            <w:r>
              <w:rPr>
                <w:rFonts w:ascii="宋体"/>
                <w:sz w:val="18"/>
              </w:rPr>
              <w:t>208,360.00</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15" w:right="0"/>
              <w:jc w:val="center"/>
              <w:rPr>
                <w:rFonts w:ascii="宋体" w:hAnsi="宋体" w:cs="宋体" w:eastAsia="宋体" w:hint="default"/>
                <w:sz w:val="18"/>
                <w:szCs w:val="18"/>
              </w:rPr>
            </w:pPr>
            <w:r>
              <w:rPr>
                <w:rFonts w:ascii="宋体" w:hAnsi="宋体" w:cs="宋体" w:eastAsia="宋体" w:hint="default"/>
                <w:sz w:val="18"/>
                <w:szCs w:val="18"/>
              </w:rPr>
              <w:t>预付采购款</w:t>
            </w:r>
          </w:p>
        </w:tc>
      </w:tr>
    </w:tbl>
    <w:p>
      <w:pPr>
        <w:spacing w:after="0" w:line="240" w:lineRule="auto"/>
        <w:jc w:val="center"/>
        <w:rPr>
          <w:rFonts w:ascii="宋体" w:hAnsi="宋体" w:cs="宋体" w:eastAsia="宋体" w:hint="default"/>
          <w:sz w:val="18"/>
          <w:szCs w:val="18"/>
        </w:rPr>
        <w:sectPr>
          <w:footerReference w:type="default" r:id="rId20"/>
          <w:pgSz w:w="11910" w:h="16840"/>
          <w:pgMar w:footer="1263" w:header="0" w:top="1540" w:bottom="1460" w:left="1680" w:right="880"/>
          <w:pgNumType w:start="70"/>
        </w:sectPr>
      </w:pPr>
    </w:p>
    <w:p>
      <w:pPr>
        <w:tabs>
          <w:tab w:pos="5277" w:val="left" w:leader="none"/>
        </w:tabs>
        <w:spacing w:before="17"/>
        <w:ind w:left="1497" w:right="904"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2,091,910.00</w:t>
      </w:r>
      <w:r>
        <w:rPr>
          <w:rFonts w:ascii="宋体" w:hAnsi="宋体" w:cs="宋体" w:eastAsia="宋体" w:hint="default"/>
          <w:sz w:val="18"/>
          <w:szCs w:val="18"/>
        </w:rPr>
      </w:r>
    </w:p>
    <w:p>
      <w:pPr>
        <w:pStyle w:val="BodyText"/>
        <w:spacing w:line="240" w:lineRule="auto" w:before="141"/>
        <w:ind w:left="1377" w:right="904"/>
        <w:jc w:val="left"/>
      </w:pPr>
      <w:r>
        <w:rPr/>
        <w:t>(4)</w:t>
      </w:r>
      <w:r>
        <w:rPr>
          <w:spacing w:val="-2"/>
        </w:rPr>
        <w:t> </w:t>
      </w:r>
      <w:r>
        <w:rPr/>
        <w:t>期末，未发现预付款项存在明显减值迹象，无需计提坏账准备。</w:t>
      </w:r>
    </w:p>
    <w:p>
      <w:pPr>
        <w:pStyle w:val="BodyText"/>
        <w:spacing w:line="240" w:lineRule="auto"/>
        <w:ind w:left="1377" w:right="4186"/>
        <w:jc w:val="left"/>
      </w:pPr>
      <w:r>
        <w:rPr/>
        <w:t>(5)</w:t>
      </w:r>
      <w:r>
        <w:rPr>
          <w:spacing w:val="-2"/>
        </w:rPr>
        <w:t> </w:t>
      </w:r>
      <w:r>
        <w:rPr/>
        <w:t>预付款项——外币预付款项</w:t>
      </w:r>
    </w:p>
    <w:p>
      <w:pPr>
        <w:spacing w:line="240" w:lineRule="auto" w:before="4"/>
        <w:rPr>
          <w:rFonts w:ascii="宋体" w:hAnsi="宋体" w:cs="宋体" w:eastAsia="宋体" w:hint="default"/>
          <w:sz w:val="16"/>
          <w:szCs w:val="16"/>
        </w:rPr>
      </w:pPr>
    </w:p>
    <w:p>
      <w:pPr>
        <w:tabs>
          <w:tab w:pos="2727" w:val="left" w:leader="none"/>
          <w:tab w:pos="3897" w:val="left" w:leader="none"/>
          <w:tab w:pos="4527" w:val="left" w:leader="none"/>
          <w:tab w:pos="5517" w:val="left" w:leader="none"/>
          <w:tab w:pos="6327" w:val="left" w:leader="none"/>
          <w:tab w:pos="6417" w:val="left" w:leader="none"/>
          <w:tab w:pos="7497" w:val="left" w:leader="none"/>
          <w:tab w:pos="8217" w:val="left" w:leader="none"/>
          <w:tab w:pos="9207" w:val="left" w:leader="none"/>
        </w:tabs>
        <w:spacing w:line="232" w:lineRule="exact" w:before="0"/>
        <w:ind w:left="1557" w:right="904"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tab/>
      </w:r>
      <w:r>
        <w:rPr>
          <w:rFonts w:ascii="宋体" w:hAnsi="宋体" w:cs="宋体" w:eastAsia="宋体" w:hint="default"/>
          <w:sz w:val="18"/>
          <w:szCs w:val="18"/>
        </w:rPr>
      </w:r>
      <w:r>
        <w:rPr>
          <w:rFonts w:ascii="宋体" w:hAnsi="宋体" w:cs="宋体" w:eastAsia="宋体" w:hint="default"/>
          <w:sz w:val="18"/>
          <w:szCs w:val="18"/>
        </w:rPr>
        <w:t> 币  种</w:t>
        <w:tab/>
        <w:t>原币金额</w:t>
        <w:tab/>
        <w:t>汇率</w:t>
        <w:tab/>
        <w:t>折人民币金额</w:t>
        <w:tab/>
        <w:t>原币金额</w:t>
        <w:tab/>
        <w:t>汇率</w:t>
        <w:tab/>
        <w:t>折人民币金额</w:t>
      </w:r>
    </w:p>
    <w:p>
      <w:pPr>
        <w:spacing w:line="240" w:lineRule="auto" w:before="8"/>
        <w:rPr>
          <w:rFonts w:ascii="宋体" w:hAnsi="宋体" w:cs="宋体" w:eastAsia="宋体" w:hint="default"/>
          <w:sz w:val="12"/>
          <w:szCs w:val="12"/>
        </w:rPr>
      </w:pPr>
    </w:p>
    <w:p>
      <w:pPr>
        <w:tabs>
          <w:tab w:pos="2649" w:val="left" w:leader="none"/>
          <w:tab w:pos="3765" w:val="left" w:leader="none"/>
          <w:tab w:pos="4899" w:val="left" w:leader="none"/>
          <w:tab w:pos="6272" w:val="left" w:leader="none"/>
          <w:tab w:pos="7419" w:val="left" w:leader="none"/>
          <w:tab w:pos="8589" w:val="left" w:leader="none"/>
        </w:tabs>
        <w:spacing w:before="0"/>
        <w:ind w:left="1425" w:right="0" w:firstLine="0"/>
        <w:jc w:val="left"/>
        <w:rPr>
          <w:rFonts w:ascii="宋体" w:hAnsi="宋体" w:cs="宋体" w:eastAsia="宋体" w:hint="default"/>
          <w:sz w:val="18"/>
          <w:szCs w:val="18"/>
        </w:rPr>
      </w:pPr>
      <w:r>
        <w:rPr>
          <w:rFonts w:ascii="宋体" w:hAnsi="宋体" w:cs="宋体" w:eastAsia="宋体" w:hint="default"/>
          <w:sz w:val="18"/>
          <w:szCs w:val="18"/>
        </w:rPr>
        <w:t>日  元</w:t>
        <w:tab/>
        <w:t>200,000.00</w:t>
        <w:tab/>
        <w:t>0.064064</w:t>
        <w:tab/>
        <w:t>12,812.80</w:t>
        <w:tab/>
        <w:t>94,035.00</w:t>
        <w:tab/>
        <w:t>0.06563</w:t>
        <w:tab/>
        <w:t>6,171.52</w:t>
      </w:r>
    </w:p>
    <w:p>
      <w:pPr>
        <w:spacing w:line="240" w:lineRule="auto" w:before="1"/>
        <w:rPr>
          <w:rFonts w:ascii="宋体" w:hAnsi="宋体" w:cs="宋体" w:eastAsia="宋体" w:hint="default"/>
          <w:sz w:val="14"/>
          <w:szCs w:val="14"/>
        </w:rPr>
      </w:pPr>
    </w:p>
    <w:p>
      <w:pPr>
        <w:tabs>
          <w:tab w:pos="4004" w:val="left" w:leader="none"/>
          <w:tab w:pos="7694" w:val="left" w:leader="none"/>
        </w:tabs>
        <w:spacing w:before="0"/>
        <w:ind w:left="710" w:right="0" w:firstLine="0"/>
        <w:jc w:val="center"/>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12,812.80</w:t>
      </w:r>
      <w:r>
        <w:rPr>
          <w:rFonts w:ascii="宋体" w:hAnsi="宋体" w:cs="宋体" w:eastAsia="宋体" w:hint="default"/>
          <w:sz w:val="18"/>
          <w:szCs w:val="18"/>
        </w:rPr>
        <w:tab/>
      </w:r>
      <w:r>
        <w:rPr>
          <w:rFonts w:ascii="宋体" w:hAnsi="宋体" w:cs="宋体" w:eastAsia="宋体" w:hint="default"/>
          <w:sz w:val="18"/>
          <w:szCs w:val="18"/>
          <w:u w:val="single" w:color="000000"/>
        </w:rPr>
        <w:t>6,171.52</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6648" w:val="left" w:leader="none"/>
        </w:tabs>
        <w:spacing w:line="240" w:lineRule="auto" w:before="35"/>
        <w:ind w:left="1377" w:right="904"/>
        <w:jc w:val="left"/>
      </w:pPr>
      <w:r>
        <w:rPr/>
        <w:t>5.</w:t>
      </w:r>
      <w:r>
        <w:rPr>
          <w:spacing w:val="-2"/>
        </w:rPr>
        <w:t> </w:t>
      </w:r>
      <w:r>
        <w:rPr/>
        <w:t>其他应收款</w:t>
        <w:tab/>
        <w:t>期末数</w:t>
      </w:r>
      <w:r>
        <w:rPr>
          <w:spacing w:val="-53"/>
        </w:rPr>
        <w:t> </w:t>
      </w:r>
      <w:r>
        <w:rPr/>
        <w:t>65,627,710.43</w:t>
      </w:r>
    </w:p>
    <w:p>
      <w:pPr>
        <w:pStyle w:val="BodyText"/>
        <w:spacing w:line="240" w:lineRule="auto"/>
        <w:ind w:left="1377" w:right="4186"/>
        <w:jc w:val="left"/>
      </w:pPr>
      <w:r>
        <w:rPr/>
        <w:t>(1)</w:t>
      </w:r>
      <w:r>
        <w:rPr>
          <w:spacing w:val="-2"/>
        </w:rPr>
        <w:t> </w:t>
      </w:r>
      <w:r>
        <w:rPr/>
        <w:t>明细情况</w:t>
      </w:r>
    </w:p>
    <w:p>
      <w:pPr>
        <w:spacing w:line="240" w:lineRule="auto" w:before="4"/>
        <w:rPr>
          <w:rFonts w:ascii="宋体" w:hAnsi="宋体" w:cs="宋体" w:eastAsia="宋体" w:hint="default"/>
          <w:sz w:val="16"/>
          <w:szCs w:val="16"/>
        </w:rPr>
      </w:pPr>
    </w:p>
    <w:p>
      <w:pPr>
        <w:tabs>
          <w:tab w:pos="1589" w:val="left" w:leader="none"/>
          <w:tab w:pos="2669" w:val="left" w:leader="none"/>
          <w:tab w:pos="3133" w:val="left" w:leader="none"/>
          <w:tab w:pos="3569" w:val="left" w:leader="none"/>
          <w:tab w:pos="4739" w:val="left" w:leader="none"/>
          <w:tab w:pos="5383" w:val="left" w:leader="none"/>
          <w:tab w:pos="6089" w:val="left" w:leader="none"/>
          <w:tab w:pos="7079" w:val="left" w:leader="none"/>
          <w:tab w:pos="7633" w:val="left" w:leader="none"/>
          <w:tab w:pos="7979" w:val="left" w:leader="none"/>
          <w:tab w:pos="9239" w:val="left" w:leader="none"/>
          <w:tab w:pos="9793" w:val="left" w:leader="none"/>
        </w:tabs>
        <w:spacing w:line="232" w:lineRule="exact" w:before="0"/>
        <w:ind w:left="420" w:right="242" w:firstLine="127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tab/>
        <w:tab/>
      </w:r>
      <w:r>
        <w:rPr>
          <w:rFonts w:ascii="宋体" w:hAnsi="宋体" w:cs="宋体" w:eastAsia="宋体" w:hint="default"/>
          <w:sz w:val="18"/>
          <w:szCs w:val="18"/>
        </w:rPr>
      </w:r>
      <w:r>
        <w:rPr>
          <w:rFonts w:ascii="宋体" w:hAnsi="宋体" w:cs="宋体" w:eastAsia="宋体" w:hint="default"/>
          <w:sz w:val="18"/>
          <w:szCs w:val="18"/>
        </w:rPr>
        <w:t> 项  目</w:t>
        <w:tab/>
        <w:t>账面余额</w:t>
        <w:tab/>
        <w:t>比例(%)</w:t>
        <w:tab/>
        <w:t>坏账准备</w:t>
        <w:tab/>
        <w:t>账面价值</w:t>
        <w:tab/>
        <w:t>账面余额</w:t>
        <w:tab/>
        <w:t>比例(%)</w:t>
        <w:tab/>
        <w:t>坏账准备</w:t>
        <w:tab/>
        <w:t>账面价值</w:t>
      </w:r>
    </w:p>
    <w:p>
      <w:pPr>
        <w:spacing w:line="240" w:lineRule="auto" w:before="6"/>
        <w:rPr>
          <w:rFonts w:ascii="宋体" w:hAnsi="宋体" w:cs="宋体" w:eastAsia="宋体" w:hint="default"/>
          <w:sz w:val="12"/>
          <w:szCs w:val="12"/>
        </w:rPr>
      </w:pPr>
    </w:p>
    <w:p>
      <w:pPr>
        <w:tabs>
          <w:tab w:pos="1407" w:val="left" w:leader="none"/>
          <w:tab w:pos="2817" w:val="left" w:leader="none"/>
        </w:tabs>
        <w:spacing w:before="0"/>
        <w:ind w:left="108" w:right="4186" w:firstLine="0"/>
        <w:jc w:val="left"/>
        <w:rPr>
          <w:rFonts w:ascii="宋体" w:hAnsi="宋体" w:cs="宋体" w:eastAsia="宋体" w:hint="default"/>
          <w:sz w:val="18"/>
          <w:szCs w:val="18"/>
        </w:rPr>
      </w:pPr>
      <w:r>
        <w:rPr>
          <w:rFonts w:ascii="宋体" w:hAnsi="宋体" w:cs="宋体" w:eastAsia="宋体" w:hint="default"/>
          <w:sz w:val="18"/>
          <w:szCs w:val="18"/>
        </w:rPr>
        <w:t>单项金额重大</w:t>
        <w:tab/>
        <w:t>52,000,000.00</w:t>
        <w:tab/>
        <w:t>72.26 2,600,000.00</w:t>
      </w:r>
      <w:r>
        <w:rPr>
          <w:rFonts w:ascii="宋体" w:hAnsi="宋体" w:cs="宋体" w:eastAsia="宋体" w:hint="default"/>
          <w:spacing w:val="20"/>
          <w:sz w:val="18"/>
          <w:szCs w:val="18"/>
        </w:rPr>
        <w:t> </w:t>
      </w:r>
      <w:r>
        <w:rPr>
          <w:rFonts w:ascii="宋体" w:hAnsi="宋体" w:cs="宋体" w:eastAsia="宋体" w:hint="default"/>
          <w:sz w:val="18"/>
          <w:szCs w:val="18"/>
        </w:rPr>
        <w:t>49,400,000.00</w:t>
      </w:r>
    </w:p>
    <w:p>
      <w:pPr>
        <w:spacing w:line="240" w:lineRule="auto" w:before="1"/>
        <w:rPr>
          <w:rFonts w:ascii="宋体" w:hAnsi="宋体" w:cs="宋体" w:eastAsia="宋体" w:hint="default"/>
          <w:sz w:val="14"/>
          <w:szCs w:val="14"/>
        </w:rPr>
      </w:pPr>
    </w:p>
    <w:p>
      <w:pPr>
        <w:tabs>
          <w:tab w:pos="2907" w:val="left" w:leader="none"/>
          <w:tab w:pos="5967" w:val="left" w:leader="none"/>
          <w:tab w:pos="7317" w:val="left" w:leader="none"/>
        </w:tabs>
        <w:spacing w:line="234" w:lineRule="exact" w:before="0"/>
        <w:ind w:left="108" w:right="904" w:firstLine="0"/>
        <w:jc w:val="left"/>
        <w:rPr>
          <w:rFonts w:ascii="宋体" w:hAnsi="宋体" w:cs="宋体" w:eastAsia="宋体" w:hint="default"/>
          <w:sz w:val="18"/>
          <w:szCs w:val="18"/>
        </w:rPr>
      </w:pPr>
      <w:r>
        <w:rPr>
          <w:rFonts w:ascii="宋体" w:hAnsi="宋体" w:cs="宋体" w:eastAsia="宋体" w:hint="default"/>
          <w:sz w:val="18"/>
          <w:szCs w:val="18"/>
        </w:rPr>
        <w:t>单项金额不重大</w:t>
      </w:r>
      <w:r>
        <w:rPr>
          <w:rFonts w:ascii="宋体" w:hAnsi="宋体" w:cs="宋体" w:eastAsia="宋体" w:hint="default"/>
          <w:spacing w:val="39"/>
          <w:sz w:val="18"/>
          <w:szCs w:val="18"/>
        </w:rPr>
        <w:t> </w:t>
      </w:r>
      <w:r>
        <w:rPr>
          <w:rFonts w:ascii="宋体" w:hAnsi="宋体" w:cs="宋体" w:eastAsia="宋体" w:hint="default"/>
          <w:sz w:val="18"/>
          <w:szCs w:val="18"/>
        </w:rPr>
        <w:t>1,560,960.57</w:t>
        <w:tab/>
        <w:t>2.17</w:t>
      </w:r>
      <w:r>
        <w:rPr>
          <w:rFonts w:ascii="宋体" w:hAnsi="宋体" w:cs="宋体" w:eastAsia="宋体" w:hint="default"/>
          <w:spacing w:val="20"/>
          <w:sz w:val="18"/>
          <w:szCs w:val="18"/>
        </w:rPr>
        <w:t> </w:t>
      </w:r>
      <w:r>
        <w:rPr>
          <w:rFonts w:ascii="宋体" w:hAnsi="宋体" w:cs="宋体" w:eastAsia="宋体" w:hint="default"/>
          <w:sz w:val="18"/>
          <w:szCs w:val="18"/>
        </w:rPr>
        <w:t>1,560,960.57</w:t>
        <w:tab/>
        <w:t>1,286,772.60</w:t>
        <w:tab/>
        <w:t>5.67</w:t>
      </w:r>
      <w:r>
        <w:rPr>
          <w:rFonts w:ascii="宋体" w:hAnsi="宋体" w:cs="宋体" w:eastAsia="宋体" w:hint="default"/>
          <w:spacing w:val="-15"/>
          <w:sz w:val="18"/>
          <w:szCs w:val="18"/>
        </w:rPr>
        <w:t> </w:t>
      </w:r>
      <w:r>
        <w:rPr>
          <w:rFonts w:ascii="宋体" w:hAnsi="宋体" w:cs="宋体" w:eastAsia="宋体" w:hint="default"/>
          <w:sz w:val="18"/>
          <w:szCs w:val="18"/>
        </w:rPr>
        <w:t>1,286,772.60</w:t>
      </w:r>
    </w:p>
    <w:p>
      <w:pPr>
        <w:spacing w:line="234" w:lineRule="exact" w:before="0"/>
        <w:ind w:left="108" w:right="4186" w:firstLine="0"/>
        <w:jc w:val="left"/>
        <w:rPr>
          <w:rFonts w:ascii="宋体" w:hAnsi="宋体" w:cs="宋体" w:eastAsia="宋体" w:hint="default"/>
          <w:sz w:val="18"/>
          <w:szCs w:val="18"/>
        </w:rPr>
      </w:pPr>
      <w:r>
        <w:rPr>
          <w:rFonts w:ascii="宋体" w:hAnsi="宋体" w:cs="宋体" w:eastAsia="宋体" w:hint="default"/>
          <w:sz w:val="18"/>
          <w:szCs w:val="18"/>
        </w:rPr>
        <w:t>但信用风险较大</w:t>
      </w:r>
    </w:p>
    <w:p>
      <w:pPr>
        <w:spacing w:line="240" w:lineRule="auto" w:before="2"/>
        <w:rPr>
          <w:rFonts w:ascii="宋体" w:hAnsi="宋体" w:cs="宋体" w:eastAsia="宋体" w:hint="default"/>
          <w:sz w:val="14"/>
          <w:szCs w:val="14"/>
        </w:rPr>
      </w:pPr>
    </w:p>
    <w:p>
      <w:pPr>
        <w:tabs>
          <w:tab w:pos="1407" w:val="left" w:leader="none"/>
          <w:tab w:pos="2817" w:val="left" w:leader="none"/>
        </w:tabs>
        <w:spacing w:before="0"/>
        <w:ind w:left="108" w:right="0" w:firstLine="0"/>
        <w:jc w:val="left"/>
        <w:rPr>
          <w:rFonts w:ascii="宋体" w:hAnsi="宋体" w:cs="宋体" w:eastAsia="宋体" w:hint="default"/>
          <w:sz w:val="18"/>
          <w:szCs w:val="18"/>
        </w:rPr>
      </w:pPr>
      <w:r>
        <w:rPr>
          <w:rFonts w:ascii="宋体" w:hAnsi="宋体" w:cs="宋体" w:eastAsia="宋体" w:hint="default"/>
          <w:sz w:val="18"/>
          <w:szCs w:val="18"/>
        </w:rPr>
        <w:t>其他不重大</w:t>
        <w:tab/>
        <w:t>18,399,527.32</w:t>
        <w:tab/>
        <w:t>25.57 2,171,816.89 16,227,710.43  21,400,825.17  94.33 1,722,860.95</w:t>
      </w:r>
      <w:r>
        <w:rPr>
          <w:rFonts w:ascii="宋体" w:hAnsi="宋体" w:cs="宋体" w:eastAsia="宋体" w:hint="default"/>
          <w:spacing w:val="-16"/>
          <w:sz w:val="18"/>
          <w:szCs w:val="18"/>
        </w:rPr>
        <w:t> </w:t>
      </w:r>
      <w:r>
        <w:rPr>
          <w:rFonts w:ascii="宋体" w:hAnsi="宋体" w:cs="宋体" w:eastAsia="宋体" w:hint="default"/>
          <w:sz w:val="18"/>
          <w:szCs w:val="18"/>
        </w:rPr>
        <w:t>19,677,964.22</w:t>
      </w:r>
    </w:p>
    <w:p>
      <w:pPr>
        <w:spacing w:line="240" w:lineRule="auto" w:before="1"/>
        <w:rPr>
          <w:rFonts w:ascii="宋体" w:hAnsi="宋体" w:cs="宋体" w:eastAsia="宋体" w:hint="default"/>
          <w:sz w:val="14"/>
          <w:szCs w:val="14"/>
        </w:rPr>
      </w:pPr>
    </w:p>
    <w:p>
      <w:pPr>
        <w:tabs>
          <w:tab w:pos="1407" w:val="left" w:leader="none"/>
        </w:tabs>
        <w:spacing w:before="0"/>
        <w:ind w:left="418"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71,960,487.89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6,332,777.46 </w:t>
      </w:r>
      <w:r>
        <w:rPr>
          <w:rFonts w:ascii="宋体" w:hAnsi="宋体" w:cs="宋体" w:eastAsia="宋体" w:hint="default"/>
          <w:sz w:val="18"/>
          <w:szCs w:val="18"/>
        </w:rPr>
      </w:r>
      <w:r>
        <w:rPr>
          <w:rFonts w:ascii="宋体" w:hAnsi="宋体" w:cs="宋体" w:eastAsia="宋体" w:hint="default"/>
          <w:sz w:val="18"/>
          <w:szCs w:val="18"/>
          <w:u w:val="thick" w:color="000000"/>
        </w:rPr>
        <w:t>65,627,710.43  </w:t>
      </w:r>
      <w:r>
        <w:rPr>
          <w:rFonts w:ascii="宋体" w:hAnsi="宋体" w:cs="宋体" w:eastAsia="宋体" w:hint="default"/>
          <w:sz w:val="18"/>
          <w:szCs w:val="18"/>
        </w:rPr>
      </w:r>
      <w:r>
        <w:rPr>
          <w:rFonts w:ascii="宋体" w:hAnsi="宋体" w:cs="宋体" w:eastAsia="宋体" w:hint="default"/>
          <w:sz w:val="18"/>
          <w:szCs w:val="18"/>
          <w:u w:val="thick" w:color="000000"/>
        </w:rPr>
        <w:t>22,687,597.77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3,009,633.55</w:t>
      </w:r>
      <w:r>
        <w:rPr>
          <w:rFonts w:ascii="宋体" w:hAnsi="宋体" w:cs="宋体" w:eastAsia="宋体" w:hint="default"/>
          <w:spacing w:val="-47"/>
          <w:sz w:val="18"/>
          <w:szCs w:val="18"/>
          <w:u w:val="thick" w:color="000000"/>
        </w:rPr>
        <w:t> </w:t>
      </w:r>
      <w:r>
        <w:rPr>
          <w:rFonts w:ascii="宋体" w:hAnsi="宋体" w:cs="宋体" w:eastAsia="宋体" w:hint="default"/>
          <w:spacing w:val="-47"/>
          <w:sz w:val="18"/>
          <w:szCs w:val="18"/>
        </w:rPr>
      </w:r>
      <w:r>
        <w:rPr>
          <w:rFonts w:ascii="宋体" w:hAnsi="宋体" w:cs="宋体" w:eastAsia="宋体" w:hint="default"/>
          <w:sz w:val="18"/>
          <w:szCs w:val="18"/>
          <w:u w:val="thick" w:color="000000"/>
        </w:rPr>
        <w:t>19,677,964.22</w:t>
      </w:r>
      <w:r>
        <w:rPr>
          <w:rFonts w:ascii="宋体" w:hAnsi="宋体" w:cs="宋体" w:eastAsia="宋体" w:hint="default"/>
          <w:sz w:val="18"/>
          <w:szCs w:val="18"/>
        </w:rPr>
      </w:r>
    </w:p>
    <w:p>
      <w:pPr>
        <w:pStyle w:val="BodyText"/>
        <w:spacing w:line="240" w:lineRule="auto" w:before="141"/>
        <w:ind w:left="1377" w:right="4186"/>
        <w:jc w:val="left"/>
      </w:pPr>
      <w:r>
        <w:rPr/>
        <w:t>(2)</w:t>
      </w:r>
      <w:r>
        <w:rPr>
          <w:spacing w:val="-2"/>
        </w:rPr>
        <w:t> </w:t>
      </w:r>
      <w:r>
        <w:rPr/>
        <w:t>账龄分析</w:t>
      </w:r>
    </w:p>
    <w:p>
      <w:pPr>
        <w:spacing w:line="240" w:lineRule="auto" w:before="4"/>
        <w:rPr>
          <w:rFonts w:ascii="宋体" w:hAnsi="宋体" w:cs="宋体" w:eastAsia="宋体" w:hint="default"/>
          <w:sz w:val="16"/>
          <w:szCs w:val="16"/>
        </w:rPr>
      </w:pPr>
    </w:p>
    <w:p>
      <w:pPr>
        <w:tabs>
          <w:tab w:pos="1678" w:val="left" w:leader="none"/>
          <w:tab w:pos="2758" w:val="left" w:leader="none"/>
          <w:tab w:pos="3223" w:val="left" w:leader="none"/>
          <w:tab w:pos="3658" w:val="left" w:leader="none"/>
          <w:tab w:pos="4828" w:val="left" w:leader="none"/>
          <w:tab w:pos="5473" w:val="left" w:leader="none"/>
          <w:tab w:pos="6178" w:val="left" w:leader="none"/>
          <w:tab w:pos="7723" w:val="left" w:leader="none"/>
          <w:tab w:pos="7978" w:val="left" w:leader="none"/>
          <w:tab w:pos="9238" w:val="left" w:leader="none"/>
          <w:tab w:pos="9883" w:val="left" w:leader="none"/>
        </w:tabs>
        <w:spacing w:line="232" w:lineRule="exact" w:before="0"/>
        <w:ind w:left="778" w:right="243" w:firstLine="100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tab/>
        <w:tab/>
      </w:r>
      <w:r>
        <w:rPr>
          <w:rFonts w:ascii="宋体" w:hAnsi="宋体" w:cs="宋体" w:eastAsia="宋体" w:hint="default"/>
          <w:sz w:val="18"/>
          <w:szCs w:val="18"/>
        </w:rPr>
      </w:r>
      <w:r>
        <w:rPr>
          <w:rFonts w:ascii="宋体" w:hAnsi="宋体" w:cs="宋体" w:eastAsia="宋体" w:hint="default"/>
          <w:sz w:val="18"/>
          <w:szCs w:val="18"/>
        </w:rPr>
        <w:t> 账  龄</w:t>
        <w:tab/>
        <w:t>账面余额</w:t>
        <w:tab/>
        <w:t>比例(%)</w:t>
        <w:tab/>
        <w:t>坏账准备</w:t>
        <w:tab/>
        <w:t>账面价值</w:t>
        <w:tab/>
        <w:t>账面余额  比例(%)</w:t>
        <w:tab/>
        <w:tab/>
        <w:t>坏账准备</w:t>
        <w:tab/>
        <w:t>账面价值</w:t>
      </w:r>
    </w:p>
    <w:p>
      <w:pPr>
        <w:spacing w:line="240" w:lineRule="auto" w:before="6"/>
        <w:rPr>
          <w:rFonts w:ascii="宋体" w:hAnsi="宋体" w:cs="宋体" w:eastAsia="宋体" w:hint="default"/>
          <w:sz w:val="12"/>
          <w:szCs w:val="12"/>
        </w:rPr>
      </w:pPr>
    </w:p>
    <w:p>
      <w:pPr>
        <w:tabs>
          <w:tab w:pos="1407" w:val="left" w:leader="none"/>
          <w:tab w:pos="2817" w:val="left" w:leader="none"/>
          <w:tab w:pos="7933" w:val="left" w:leader="none"/>
        </w:tabs>
        <w:spacing w:before="0"/>
        <w:ind w:left="417" w:right="0" w:firstLine="0"/>
        <w:jc w:val="left"/>
        <w:rPr>
          <w:rFonts w:ascii="宋体" w:hAnsi="宋体" w:cs="宋体" w:eastAsia="宋体" w:hint="default"/>
          <w:sz w:val="18"/>
          <w:szCs w:val="18"/>
        </w:rPr>
      </w:pPr>
      <w:r>
        <w:rPr>
          <w:rFonts w:ascii="宋体" w:hAnsi="宋体" w:cs="宋体" w:eastAsia="宋体" w:hint="default"/>
          <w:sz w:val="18"/>
          <w:szCs w:val="18"/>
        </w:rPr>
        <w:t>1 年以内</w:t>
        <w:tab/>
        <w:t>63,546,332.79</w:t>
        <w:tab/>
        <w:t>88.31 3,177,316.65 60,369,016.14  10,400,775.27</w:t>
      </w:r>
      <w:r>
        <w:rPr>
          <w:rFonts w:ascii="宋体" w:hAnsi="宋体" w:cs="宋体" w:eastAsia="宋体" w:hint="default"/>
          <w:spacing w:val="89"/>
          <w:sz w:val="18"/>
          <w:szCs w:val="18"/>
        </w:rPr>
        <w:t> </w:t>
      </w:r>
      <w:r>
        <w:rPr>
          <w:rFonts w:ascii="宋体" w:hAnsi="宋体" w:cs="宋体" w:eastAsia="宋体" w:hint="default"/>
          <w:sz w:val="18"/>
          <w:szCs w:val="18"/>
        </w:rPr>
        <w:t>45.84</w:t>
        <w:tab/>
        <w:t>520,038.76  9,880,736.51</w:t>
      </w:r>
    </w:p>
    <w:p>
      <w:pPr>
        <w:spacing w:line="240" w:lineRule="auto" w:before="1"/>
        <w:rPr>
          <w:rFonts w:ascii="宋体" w:hAnsi="宋体" w:cs="宋体" w:eastAsia="宋体" w:hint="default"/>
          <w:sz w:val="14"/>
          <w:szCs w:val="14"/>
        </w:rPr>
      </w:pPr>
    </w:p>
    <w:p>
      <w:pPr>
        <w:tabs>
          <w:tab w:pos="1497" w:val="left" w:leader="none"/>
          <w:tab w:pos="2907" w:val="left" w:leader="none"/>
          <w:tab w:pos="3557" w:val="left" w:leader="none"/>
        </w:tabs>
        <w:spacing w:before="0"/>
        <w:ind w:left="417" w:right="0" w:firstLine="0"/>
        <w:jc w:val="left"/>
        <w:rPr>
          <w:rFonts w:ascii="宋体" w:hAnsi="宋体" w:cs="宋体" w:eastAsia="宋体" w:hint="default"/>
          <w:sz w:val="18"/>
          <w:szCs w:val="18"/>
        </w:rPr>
      </w:pPr>
      <w:r>
        <w:rPr>
          <w:rFonts w:ascii="宋体" w:hAnsi="宋体" w:cs="宋体" w:eastAsia="宋体" w:hint="default"/>
          <w:sz w:val="18"/>
          <w:szCs w:val="18"/>
        </w:rPr>
        <w:t>1-2 年</w:t>
        <w:tab/>
        <w:t>2,307,290.64</w:t>
        <w:tab/>
        <w:t>3.20</w:t>
        <w:tab/>
        <w:t>230,729.07  2,076,561.57  10,485,963.88  46.22 1,048,596.39</w:t>
      </w:r>
      <w:r>
        <w:rPr>
          <w:rFonts w:ascii="宋体" w:hAnsi="宋体" w:cs="宋体" w:eastAsia="宋体" w:hint="default"/>
          <w:spacing w:val="54"/>
          <w:sz w:val="18"/>
          <w:szCs w:val="18"/>
        </w:rPr>
        <w:t> </w:t>
      </w:r>
      <w:r>
        <w:rPr>
          <w:rFonts w:ascii="宋体" w:hAnsi="宋体" w:cs="宋体" w:eastAsia="宋体" w:hint="default"/>
          <w:sz w:val="18"/>
          <w:szCs w:val="18"/>
        </w:rPr>
        <w:t>9,437,367.49</w:t>
      </w:r>
    </w:p>
    <w:p>
      <w:pPr>
        <w:spacing w:line="240" w:lineRule="auto" w:before="1"/>
        <w:rPr>
          <w:rFonts w:ascii="宋体" w:hAnsi="宋体" w:cs="宋体" w:eastAsia="宋体" w:hint="default"/>
          <w:sz w:val="14"/>
          <w:szCs w:val="14"/>
        </w:rPr>
      </w:pPr>
    </w:p>
    <w:p>
      <w:pPr>
        <w:tabs>
          <w:tab w:pos="1497" w:val="left" w:leader="none"/>
          <w:tab w:pos="2907" w:val="left" w:leader="none"/>
          <w:tab w:pos="6147" w:val="left" w:leader="none"/>
          <w:tab w:pos="7317" w:val="left" w:leader="none"/>
          <w:tab w:pos="7933" w:val="left" w:leader="none"/>
          <w:tab w:pos="9193" w:val="left" w:leader="none"/>
        </w:tabs>
        <w:spacing w:before="0"/>
        <w:ind w:left="417" w:right="0" w:firstLine="0"/>
        <w:jc w:val="left"/>
        <w:rPr>
          <w:rFonts w:ascii="宋体" w:hAnsi="宋体" w:cs="宋体" w:eastAsia="宋体" w:hint="default"/>
          <w:sz w:val="18"/>
          <w:szCs w:val="18"/>
        </w:rPr>
      </w:pPr>
      <w:r>
        <w:rPr>
          <w:rFonts w:ascii="宋体" w:hAnsi="宋体" w:cs="宋体" w:eastAsia="宋体" w:hint="default"/>
          <w:sz w:val="18"/>
          <w:szCs w:val="18"/>
        </w:rPr>
        <w:t>2-3 年</w:t>
        <w:tab/>
        <w:t>4,545,903.89</w:t>
        <w:tab/>
        <w:t>6.32 1,363,771.17 </w:t>
      </w:r>
      <w:r>
        <w:rPr>
          <w:rFonts w:ascii="宋体" w:hAnsi="宋体" w:cs="宋体" w:eastAsia="宋体" w:hint="default"/>
          <w:spacing w:val="20"/>
          <w:sz w:val="18"/>
          <w:szCs w:val="18"/>
        </w:rPr>
        <w:t> </w:t>
      </w:r>
      <w:r>
        <w:rPr>
          <w:rFonts w:ascii="宋体" w:hAnsi="宋体" w:cs="宋体" w:eastAsia="宋体" w:hint="default"/>
          <w:sz w:val="18"/>
          <w:szCs w:val="18"/>
        </w:rPr>
        <w:t>3,182,132.72</w:t>
        <w:tab/>
        <w:t>514,086.02</w:t>
        <w:tab/>
        <w:t>2.27</w:t>
        <w:tab/>
        <w:t>154,225.80</w:t>
        <w:tab/>
        <w:t>359,860.22</w:t>
      </w:r>
    </w:p>
    <w:p>
      <w:pPr>
        <w:spacing w:line="240" w:lineRule="auto" w:before="1"/>
        <w:rPr>
          <w:rFonts w:ascii="宋体" w:hAnsi="宋体" w:cs="宋体" w:eastAsia="宋体" w:hint="default"/>
          <w:sz w:val="14"/>
          <w:szCs w:val="14"/>
        </w:rPr>
      </w:pPr>
    </w:p>
    <w:p>
      <w:pPr>
        <w:tabs>
          <w:tab w:pos="1497" w:val="left" w:leader="none"/>
          <w:tab w:pos="2907" w:val="left" w:leader="none"/>
          <w:tab w:pos="5967" w:val="left" w:leader="none"/>
          <w:tab w:pos="7317" w:val="left" w:leader="none"/>
        </w:tabs>
        <w:spacing w:before="0"/>
        <w:ind w:left="417" w:right="90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tab/>
        <w:t>1,560,960.57</w:t>
        <w:tab/>
        <w:t>2.17</w:t>
      </w:r>
      <w:r>
        <w:rPr>
          <w:rFonts w:ascii="宋体" w:hAnsi="宋体" w:cs="宋体" w:eastAsia="宋体" w:hint="default"/>
          <w:spacing w:val="20"/>
          <w:sz w:val="18"/>
          <w:szCs w:val="18"/>
        </w:rPr>
        <w:t> </w:t>
      </w:r>
      <w:r>
        <w:rPr>
          <w:rFonts w:ascii="宋体" w:hAnsi="宋体" w:cs="宋体" w:eastAsia="宋体" w:hint="default"/>
          <w:sz w:val="18"/>
          <w:szCs w:val="18"/>
        </w:rPr>
        <w:t>1,560,960.57</w:t>
        <w:tab/>
        <w:t>1,286,772.60</w:t>
        <w:tab/>
        <w:t>5.67</w:t>
      </w:r>
      <w:r>
        <w:rPr>
          <w:rFonts w:ascii="宋体" w:hAnsi="宋体" w:cs="宋体" w:eastAsia="宋体" w:hint="default"/>
          <w:spacing w:val="-15"/>
          <w:sz w:val="18"/>
          <w:szCs w:val="18"/>
        </w:rPr>
        <w:t> </w:t>
      </w:r>
      <w:r>
        <w:rPr>
          <w:rFonts w:ascii="宋体" w:hAnsi="宋体" w:cs="宋体" w:eastAsia="宋体" w:hint="default"/>
          <w:sz w:val="18"/>
          <w:szCs w:val="18"/>
        </w:rPr>
        <w:t>1,286,772.60</w:t>
      </w:r>
    </w:p>
    <w:p>
      <w:pPr>
        <w:spacing w:line="240" w:lineRule="auto" w:before="2"/>
        <w:rPr>
          <w:rFonts w:ascii="宋体" w:hAnsi="宋体" w:cs="宋体" w:eastAsia="宋体" w:hint="default"/>
          <w:sz w:val="14"/>
          <w:szCs w:val="14"/>
        </w:rPr>
      </w:pPr>
    </w:p>
    <w:p>
      <w:pPr>
        <w:spacing w:before="0"/>
        <w:ind w:left="778" w:right="0" w:firstLine="0"/>
        <w:jc w:val="left"/>
        <w:rPr>
          <w:rFonts w:ascii="宋体" w:hAnsi="宋体" w:cs="宋体" w:eastAsia="宋体" w:hint="default"/>
          <w:sz w:val="18"/>
          <w:szCs w:val="18"/>
        </w:rPr>
      </w:pPr>
      <w:r>
        <w:rPr>
          <w:rFonts w:ascii="宋体" w:hAnsi="宋体" w:cs="宋体" w:eastAsia="宋体" w:hint="default"/>
          <w:sz w:val="18"/>
          <w:szCs w:val="18"/>
        </w:rPr>
        <w:t>合  计 </w:t>
      </w:r>
      <w:r>
        <w:rPr>
          <w:rFonts w:ascii="宋体" w:hAnsi="宋体" w:cs="宋体" w:eastAsia="宋体" w:hint="default"/>
          <w:sz w:val="18"/>
          <w:szCs w:val="18"/>
          <w:u w:val="thick" w:color="000000"/>
        </w:rPr>
        <w:t>71,960,487.89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6,332,777.46 </w:t>
      </w:r>
      <w:r>
        <w:rPr>
          <w:rFonts w:ascii="宋体" w:hAnsi="宋体" w:cs="宋体" w:eastAsia="宋体" w:hint="default"/>
          <w:sz w:val="18"/>
          <w:szCs w:val="18"/>
        </w:rPr>
      </w:r>
      <w:r>
        <w:rPr>
          <w:rFonts w:ascii="宋体" w:hAnsi="宋体" w:cs="宋体" w:eastAsia="宋体" w:hint="default"/>
          <w:sz w:val="18"/>
          <w:szCs w:val="18"/>
          <w:u w:val="thick" w:color="000000"/>
        </w:rPr>
        <w:t>65,627,710.43  </w:t>
      </w:r>
      <w:r>
        <w:rPr>
          <w:rFonts w:ascii="宋体" w:hAnsi="宋体" w:cs="宋体" w:eastAsia="宋体" w:hint="default"/>
          <w:sz w:val="18"/>
          <w:szCs w:val="18"/>
        </w:rPr>
      </w:r>
      <w:r>
        <w:rPr>
          <w:rFonts w:ascii="宋体" w:hAnsi="宋体" w:cs="宋体" w:eastAsia="宋体" w:hint="default"/>
          <w:sz w:val="18"/>
          <w:szCs w:val="18"/>
          <w:u w:val="thick" w:color="000000"/>
        </w:rPr>
        <w:t>22,687,597.77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3,009,633.55</w:t>
      </w:r>
      <w:r>
        <w:rPr>
          <w:rFonts w:ascii="宋体" w:hAnsi="宋体" w:cs="宋体" w:eastAsia="宋体" w:hint="default"/>
          <w:spacing w:val="-49"/>
          <w:sz w:val="18"/>
          <w:szCs w:val="18"/>
          <w:u w:val="thick" w:color="000000"/>
        </w:rPr>
        <w:t> </w:t>
      </w:r>
      <w:r>
        <w:rPr>
          <w:rFonts w:ascii="宋体" w:hAnsi="宋体" w:cs="宋体" w:eastAsia="宋体" w:hint="default"/>
          <w:spacing w:val="-49"/>
          <w:sz w:val="18"/>
          <w:szCs w:val="18"/>
        </w:rPr>
      </w:r>
      <w:r>
        <w:rPr>
          <w:rFonts w:ascii="宋体" w:hAnsi="宋体" w:cs="宋体" w:eastAsia="宋体" w:hint="default"/>
          <w:sz w:val="18"/>
          <w:szCs w:val="18"/>
          <w:u w:val="thick" w:color="000000"/>
        </w:rPr>
        <w:t>19,677,964.22</w:t>
      </w:r>
      <w:r>
        <w:rPr>
          <w:rFonts w:ascii="宋体" w:hAnsi="宋体" w:cs="宋体" w:eastAsia="宋体" w:hint="default"/>
          <w:sz w:val="18"/>
          <w:szCs w:val="18"/>
        </w:rPr>
      </w:r>
    </w:p>
    <w:p>
      <w:pPr>
        <w:pStyle w:val="BodyText"/>
        <w:spacing w:line="367" w:lineRule="auto" w:before="141"/>
        <w:ind w:left="957" w:right="681" w:firstLine="420"/>
        <w:jc w:val="left"/>
      </w:pPr>
      <w:r>
        <w:rPr/>
        <w:t>(4) 期末其他应收款中欠款金额前</w:t>
      </w:r>
      <w:r>
        <w:rPr>
          <w:spacing w:val="-53"/>
        </w:rPr>
        <w:t> </w:t>
      </w:r>
      <w:r>
        <w:rPr/>
        <w:t>5</w:t>
      </w:r>
      <w:r>
        <w:rPr>
          <w:spacing w:val="-52"/>
        </w:rPr>
        <w:t> </w:t>
      </w:r>
      <w:r>
        <w:rPr/>
        <w:t>名的欠款金额总计为</w:t>
      </w:r>
      <w:r>
        <w:rPr>
          <w:spacing w:val="-53"/>
        </w:rPr>
        <w:t> </w:t>
      </w:r>
      <w:r>
        <w:rPr/>
        <w:t>60,373,571.89</w:t>
      </w:r>
      <w:r>
        <w:rPr>
          <w:spacing w:val="-53"/>
        </w:rPr>
        <w:t> </w:t>
      </w:r>
      <w:r>
        <w:rPr>
          <w:spacing w:val="-9"/>
        </w:rPr>
        <w:t>元，占其他应收</w:t>
      </w:r>
      <w:r>
        <w:rPr/>
        <w:t> 款账面余额的</w:t>
      </w:r>
      <w:r>
        <w:rPr>
          <w:spacing w:val="-55"/>
        </w:rPr>
        <w:t> </w:t>
      </w:r>
      <w:r>
        <w:rPr/>
        <w:t>83.90%，其对应的账龄如下：</w:t>
      </w:r>
    </w:p>
    <w:tbl>
      <w:tblPr>
        <w:tblW w:w="0" w:type="auto"/>
        <w:jc w:val="left"/>
        <w:tblInd w:w="1342" w:type="dxa"/>
        <w:tblLayout w:type="fixed"/>
        <w:tblCellMar>
          <w:top w:w="0" w:type="dxa"/>
          <w:left w:w="0" w:type="dxa"/>
          <w:bottom w:w="0" w:type="dxa"/>
          <w:right w:w="0" w:type="dxa"/>
        </w:tblCellMar>
        <w:tblLook w:val="01E0"/>
      </w:tblPr>
      <w:tblGrid>
        <w:gridCol w:w="1903"/>
        <w:gridCol w:w="2428"/>
      </w:tblGrid>
      <w:tr>
        <w:trPr>
          <w:trHeight w:val="415" w:hRule="exact"/>
        </w:trPr>
        <w:tc>
          <w:tcPr>
            <w:tcW w:w="1903"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35"/>
              <w:ind w:right="1025"/>
              <w:jc w:val="right"/>
              <w:rPr>
                <w:rFonts w:ascii="宋体" w:hAnsi="宋体" w:cs="宋体" w:eastAsia="宋体" w:hint="default"/>
                <w:sz w:val="21"/>
                <w:szCs w:val="21"/>
              </w:rPr>
            </w:pPr>
            <w:r>
              <w:rPr>
                <w:rFonts w:ascii="宋体" w:hAnsi="宋体" w:cs="宋体" w:eastAsia="宋体" w:hint="default"/>
                <w:sz w:val="21"/>
                <w:szCs w:val="21"/>
              </w:rPr>
              <w:t>账</w:t>
              <w:tab/>
              <w:t>龄</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8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pacing w:val="-1"/>
                <w:sz w:val="21"/>
              </w:rPr>
              <w:t>59,600,351.19</w:t>
            </w:r>
          </w:p>
        </w:tc>
      </w:tr>
      <w:tr>
        <w:trPr>
          <w:trHeight w:val="420"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773,220.70</w:t>
            </w:r>
          </w:p>
        </w:tc>
      </w:tr>
      <w:tr>
        <w:trPr>
          <w:trHeight w:val="415" w:hRule="exact"/>
        </w:trPr>
        <w:tc>
          <w:tcPr>
            <w:tcW w:w="190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40"/>
              <w:ind w:right="1024"/>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single" w:color="000000"/>
              </w:rPr>
              <w:t>60,373,571.89</w:t>
            </w:r>
            <w:r>
              <w:rPr>
                <w:rFonts w:ascii="宋体"/>
                <w:spacing w:val="-1"/>
                <w:sz w:val="21"/>
              </w:rPr>
            </w:r>
          </w:p>
        </w:tc>
      </w:tr>
    </w:tbl>
    <w:p>
      <w:pPr>
        <w:pStyle w:val="BodyText"/>
        <w:spacing w:line="367" w:lineRule="auto" w:before="45"/>
        <w:ind w:left="1377" w:right="3250"/>
        <w:jc w:val="left"/>
      </w:pPr>
      <w:r>
        <w:rPr/>
        <w:t>(5)</w:t>
      </w:r>
      <w:r>
        <w:rPr>
          <w:spacing w:val="-3"/>
        </w:rPr>
        <w:t> </w:t>
      </w:r>
      <w:r>
        <w:rPr/>
        <w:t>无持有本公司</w:t>
      </w:r>
      <w:r>
        <w:rPr>
          <w:spacing w:val="-55"/>
        </w:rPr>
        <w:t> </w:t>
      </w:r>
      <w:r>
        <w:rPr/>
        <w:t>5%以上（含</w:t>
      </w:r>
      <w:r>
        <w:rPr>
          <w:spacing w:val="-55"/>
        </w:rPr>
        <w:t> </w:t>
      </w:r>
      <w:r>
        <w:rPr/>
        <w:t>5%）表决权股份的股东款项。</w:t>
      </w:r>
      <w:r>
        <w:rPr/>
        <w:t> (6) 期末应收关联方款项占其他应收款余额的</w:t>
      </w:r>
      <w:r>
        <w:rPr>
          <w:spacing w:val="-55"/>
        </w:rPr>
        <w:t> </w:t>
      </w:r>
      <w:r>
        <w:rPr/>
        <w:t>0.01%。</w:t>
      </w:r>
    </w:p>
    <w:p>
      <w:pPr>
        <w:pStyle w:val="BodyText"/>
        <w:spacing w:line="240" w:lineRule="auto" w:before="34"/>
        <w:ind w:left="1377" w:right="4186"/>
        <w:jc w:val="left"/>
      </w:pPr>
      <w:r>
        <w:rPr>
          <w:rFonts w:ascii="隶书" w:hAnsi="隶书" w:cs="隶书" w:eastAsia="隶书" w:hint="default"/>
        </w:rPr>
        <w:t>(7)</w:t>
      </w:r>
      <w:r>
        <w:rPr>
          <w:rFonts w:ascii="隶书" w:hAnsi="隶书" w:cs="隶书" w:eastAsia="隶书" w:hint="default"/>
          <w:spacing w:val="-3"/>
        </w:rPr>
        <w:t> </w:t>
      </w:r>
      <w:r>
        <w:rPr/>
        <w:t>其他应收款－外币其他应收款</w:t>
      </w:r>
    </w:p>
    <w:p>
      <w:pPr>
        <w:spacing w:after="0" w:line="240" w:lineRule="auto"/>
        <w:jc w:val="left"/>
        <w:sectPr>
          <w:pgSz w:w="11910" w:h="16840"/>
          <w:pgMar w:header="0" w:footer="1263" w:top="1580" w:bottom="1460" w:left="840" w:right="860"/>
        </w:sectPr>
      </w:pPr>
    </w:p>
    <w:p>
      <w:pPr>
        <w:tabs>
          <w:tab w:pos="1526" w:val="left" w:leader="none"/>
          <w:tab w:pos="2606" w:val="left" w:leader="none"/>
          <w:tab w:pos="3236" w:val="left" w:leader="none"/>
          <w:tab w:pos="4227" w:val="left" w:leader="none"/>
          <w:tab w:pos="5036" w:val="left" w:leader="none"/>
          <w:tab w:pos="6117" w:val="left" w:leader="none"/>
          <w:tab w:pos="6206" w:val="left" w:leader="none"/>
          <w:tab w:pos="7016" w:val="left" w:leader="none"/>
          <w:tab w:pos="8007" w:val="left" w:leader="none"/>
        </w:tabs>
        <w:spacing w:line="232" w:lineRule="exact" w:before="41"/>
        <w:ind w:left="626" w:right="1306" w:firstLine="99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w w:val="2"/>
          <w:sz w:val="18"/>
          <w:szCs w:val="18"/>
          <w:u w:val="single" w:color="000000"/>
        </w:rPr>
        <w:t> </w:t>
      </w:r>
      <w:r>
        <w:rPr>
          <w:rFonts w:ascii="Times New Roman" w:hAnsi="Times New Roman" w:cs="Times New Roman" w:eastAsia="Times New Roman" w:hint="default"/>
          <w:sz w:val="18"/>
          <w:szCs w:val="18"/>
          <w:u w:val="single" w:color="000000"/>
        </w:rPr>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tab/>
        <w:tab/>
      </w:r>
      <w:r>
        <w:rPr>
          <w:rFonts w:ascii="宋体" w:hAnsi="宋体" w:cs="宋体" w:eastAsia="宋体" w:hint="default"/>
          <w:sz w:val="18"/>
          <w:szCs w:val="18"/>
        </w:rPr>
      </w:r>
      <w:r>
        <w:rPr>
          <w:rFonts w:ascii="宋体" w:hAnsi="宋体" w:cs="宋体" w:eastAsia="宋体" w:hint="default"/>
          <w:sz w:val="18"/>
          <w:szCs w:val="18"/>
        </w:rPr>
        <w:t> 项  目</w:t>
        <w:tab/>
        <w:t>原币金额</w:t>
        <w:tab/>
        <w:t>汇率</w:t>
        <w:tab/>
        <w:t>折人民币金额</w:t>
        <w:tab/>
        <w:t>原币金额</w:t>
        <w:tab/>
        <w:tab/>
        <w:t>汇率</w:t>
        <w:tab/>
        <w:t>折人民币金额</w:t>
      </w:r>
    </w:p>
    <w:p>
      <w:pPr>
        <w:tabs>
          <w:tab w:pos="1235" w:val="left" w:leader="none"/>
          <w:tab w:pos="3537" w:val="left" w:leader="none"/>
          <w:tab w:pos="4917" w:val="left" w:leader="none"/>
          <w:tab w:pos="6327" w:val="left" w:leader="none"/>
          <w:tab w:pos="7398" w:val="left" w:leader="none"/>
        </w:tabs>
        <w:spacing w:before="96"/>
        <w:ind w:left="477" w:right="719" w:firstLine="0"/>
        <w:jc w:val="left"/>
        <w:rPr>
          <w:rFonts w:ascii="宋体" w:hAnsi="宋体" w:cs="宋体" w:eastAsia="宋体" w:hint="default"/>
          <w:sz w:val="18"/>
          <w:szCs w:val="18"/>
        </w:rPr>
      </w:pPr>
      <w:r>
        <w:rPr>
          <w:rFonts w:ascii="宋体" w:hAnsi="宋体" w:cs="宋体" w:eastAsia="宋体" w:hint="default"/>
          <w:sz w:val="18"/>
          <w:szCs w:val="18"/>
        </w:rPr>
        <w:t>日 元</w:t>
        <w:tab/>
        <w:t>3,087,650.00</w:t>
      </w:r>
      <w:r>
        <w:rPr>
          <w:rFonts w:ascii="宋体" w:hAnsi="宋体" w:cs="宋体" w:eastAsia="宋体" w:hint="default"/>
          <w:spacing w:val="51"/>
          <w:sz w:val="18"/>
          <w:szCs w:val="18"/>
        </w:rPr>
        <w:t> </w:t>
      </w:r>
      <w:r>
        <w:rPr>
          <w:rFonts w:ascii="宋体" w:hAnsi="宋体" w:cs="宋体" w:eastAsia="宋体" w:hint="default"/>
          <w:sz w:val="18"/>
          <w:szCs w:val="18"/>
        </w:rPr>
        <w:t>0.064064</w:t>
        <w:tab/>
        <w:t>197,807.21</w:t>
        <w:tab/>
        <w:t>1,504,222.00</w:t>
        <w:tab/>
        <w:t>0.06563</w:t>
        <w:tab/>
        <w:t>98,722.09</w:t>
      </w:r>
    </w:p>
    <w:p>
      <w:pPr>
        <w:spacing w:line="240" w:lineRule="auto" w:before="10"/>
        <w:rPr>
          <w:rFonts w:ascii="宋体" w:hAnsi="宋体" w:cs="宋体" w:eastAsia="宋体" w:hint="default"/>
          <w:sz w:val="17"/>
          <w:szCs w:val="17"/>
        </w:rPr>
      </w:pPr>
    </w:p>
    <w:p>
      <w:pPr>
        <w:tabs>
          <w:tab w:pos="3537" w:val="left" w:leader="none"/>
          <w:tab w:pos="7399" w:val="left" w:leader="none"/>
        </w:tabs>
        <w:spacing w:before="0"/>
        <w:ind w:left="567" w:right="719"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197,807.21</w:t>
      </w:r>
      <w:r>
        <w:rPr>
          <w:rFonts w:ascii="宋体" w:hAnsi="宋体" w:cs="宋体" w:eastAsia="宋体" w:hint="default"/>
          <w:sz w:val="18"/>
          <w:szCs w:val="18"/>
        </w:rPr>
        <w:tab/>
      </w:r>
      <w:r>
        <w:rPr>
          <w:rFonts w:ascii="宋体" w:hAnsi="宋体" w:cs="宋体" w:eastAsia="宋体" w:hint="default"/>
          <w:sz w:val="18"/>
          <w:szCs w:val="18"/>
          <w:u w:val="single" w:color="000000"/>
        </w:rPr>
        <w:t>98,722.09</w:t>
      </w:r>
      <w:r>
        <w:rPr>
          <w:rFonts w:ascii="宋体" w:hAnsi="宋体" w:cs="宋体" w:eastAsia="宋体" w:hint="default"/>
          <w:sz w:val="18"/>
          <w:szCs w:val="18"/>
        </w:rPr>
      </w:r>
    </w:p>
    <w:p>
      <w:pPr>
        <w:spacing w:line="240" w:lineRule="auto" w:before="13"/>
        <w:rPr>
          <w:rFonts w:ascii="宋体" w:hAnsi="宋体" w:cs="宋体" w:eastAsia="宋体" w:hint="default"/>
          <w:sz w:val="16"/>
          <w:szCs w:val="16"/>
        </w:rPr>
      </w:pPr>
    </w:p>
    <w:p>
      <w:pPr>
        <w:pStyle w:val="BodyText"/>
        <w:spacing w:line="367" w:lineRule="auto" w:before="35"/>
        <w:ind w:left="537" w:right="719"/>
        <w:jc w:val="left"/>
      </w:pPr>
      <w:r>
        <w:rPr/>
        <w:t>(8)</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其他应收款账面价值期末数较期初数增长</w:t>
      </w:r>
      <w:r>
        <w:rPr>
          <w:spacing w:val="-62"/>
        </w:rPr>
        <w:t> </w:t>
      </w:r>
      <w:r>
        <w:rPr/>
        <w:t>233.51%，主要系公司期末暂付青岛商业银行股</w:t>
      </w:r>
    </w:p>
    <w:p>
      <w:pPr>
        <w:pStyle w:val="BodyText"/>
        <w:spacing w:line="240" w:lineRule="auto" w:before="34"/>
        <w:ind w:right="719"/>
        <w:jc w:val="left"/>
      </w:pPr>
      <w:r>
        <w:rPr/>
        <w:t>份有限公司的</w:t>
      </w:r>
      <w:r>
        <w:rPr>
          <w:spacing w:val="-68"/>
        </w:rPr>
        <w:t> </w:t>
      </w:r>
      <w:r>
        <w:rPr/>
        <w:t>52,000,000.00</w:t>
      </w:r>
      <w:r>
        <w:rPr>
          <w:spacing w:val="-67"/>
        </w:rPr>
        <w:t> </w:t>
      </w:r>
      <w:r>
        <w:rPr/>
        <w:t>元投资款所致，详见附注十四(七)1(6)、(7)之说明。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958" w:val="left" w:leader="none"/>
          <w:tab w:pos="5809" w:val="left" w:leader="none"/>
        </w:tabs>
        <w:spacing w:line="240" w:lineRule="auto" w:before="0"/>
        <w:ind w:left="537" w:right="719"/>
        <w:jc w:val="left"/>
      </w:pPr>
      <w:r>
        <w:rPr/>
        <w:t>6.</w:t>
        <w:tab/>
        <w:t>存货</w:t>
        <w:tab/>
        <w:t>期末数</w:t>
      </w:r>
      <w:r>
        <w:rPr>
          <w:spacing w:val="-59"/>
        </w:rPr>
        <w:t> </w:t>
      </w:r>
      <w:r>
        <w:rPr/>
        <w:t>17,821,204.46</w:t>
      </w:r>
    </w:p>
    <w:p>
      <w:pPr>
        <w:spacing w:line="240" w:lineRule="auto" w:before="8"/>
        <w:rPr>
          <w:rFonts w:ascii="宋体" w:hAnsi="宋体" w:cs="宋体" w:eastAsia="宋体" w:hint="default"/>
          <w:sz w:val="18"/>
          <w:szCs w:val="18"/>
        </w:rPr>
      </w:pPr>
    </w:p>
    <w:p>
      <w:pPr>
        <w:pStyle w:val="BodyText"/>
        <w:spacing w:line="240" w:lineRule="auto" w:before="0"/>
        <w:ind w:left="537" w:right="719"/>
        <w:jc w:val="left"/>
      </w:pPr>
      <w:r>
        <w:rPr/>
        <w:t>(1)</w:t>
      </w:r>
      <w:r>
        <w:rPr>
          <w:spacing w:val="-2"/>
        </w:rPr>
        <w:t> </w:t>
      </w:r>
      <w:r>
        <w:rPr/>
        <w:t>明细情况</w:t>
      </w:r>
    </w:p>
    <w:p>
      <w:pPr>
        <w:spacing w:line="240" w:lineRule="auto" w:before="4"/>
        <w:rPr>
          <w:rFonts w:ascii="宋体" w:hAnsi="宋体" w:cs="宋体" w:eastAsia="宋体" w:hint="default"/>
          <w:sz w:val="16"/>
          <w:szCs w:val="16"/>
        </w:rPr>
      </w:pPr>
    </w:p>
    <w:p>
      <w:pPr>
        <w:tabs>
          <w:tab w:pos="1688" w:val="left" w:leader="none"/>
          <w:tab w:pos="3081" w:val="left" w:leader="none"/>
          <w:tab w:pos="4559" w:val="left" w:leader="none"/>
          <w:tab w:pos="5161" w:val="left" w:leader="none"/>
          <w:tab w:pos="5952" w:val="left" w:leader="none"/>
          <w:tab w:pos="6021" w:val="left" w:leader="none"/>
          <w:tab w:pos="7173" w:val="left" w:leader="none"/>
          <w:tab w:pos="7224" w:val="left" w:leader="none"/>
          <w:tab w:pos="8393" w:val="left" w:leader="none"/>
          <w:tab w:pos="8955" w:val="left" w:leader="none"/>
        </w:tabs>
        <w:spacing w:line="232" w:lineRule="exact" w:before="0"/>
        <w:ind w:left="476" w:right="301" w:firstLine="132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w w:val="8"/>
          <w:sz w:val="18"/>
          <w:szCs w:val="18"/>
          <w:u w:val="single" w:color="000000"/>
        </w:rPr>
        <w:t> </w:t>
      </w:r>
      <w:r>
        <w:rPr>
          <w:rFonts w:ascii="Times New Roman" w:hAnsi="Times New Roman" w:cs="Times New Roman" w:eastAsia="Times New Roman" w:hint="default"/>
          <w:sz w:val="18"/>
          <w:szCs w:val="18"/>
          <w:u w:val="single" w:color="000000"/>
        </w:rPr>
      </w:r>
      <w:r>
        <w:rPr>
          <w:rFonts w:ascii="宋体" w:hAnsi="宋体" w:cs="宋体" w:eastAsia="宋体" w:hint="default"/>
          <w:spacing w:val="-3"/>
          <w:sz w:val="18"/>
          <w:szCs w:val="18"/>
          <w:u w:val="single" w:color="000000"/>
        </w:rPr>
        <w:t>期末数</w:t>
        <w:tab/>
        <w:tab/>
      </w:r>
      <w:r>
        <w:rPr>
          <w:rFonts w:ascii="宋体" w:hAnsi="宋体" w:cs="宋体" w:eastAsia="宋体" w:hint="default"/>
          <w:spacing w:val="-3"/>
          <w:sz w:val="18"/>
          <w:szCs w:val="18"/>
        </w:rPr>
        <w:tab/>
        <w:tab/>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pacing w:val="-3"/>
          <w:sz w:val="18"/>
          <w:szCs w:val="18"/>
          <w:u w:val="single" w:color="000000"/>
        </w:rPr>
        <w:t> </w:t>
        <w:tab/>
        <w:tab/>
      </w:r>
      <w:r>
        <w:rPr>
          <w:rFonts w:ascii="宋体" w:hAnsi="宋体" w:cs="宋体" w:eastAsia="宋体" w:hint="default"/>
          <w:spacing w:val="-3"/>
          <w:sz w:val="18"/>
          <w:szCs w:val="18"/>
          <w:u w:val="single" w:color="000000"/>
        </w:rPr>
        <w:t>期初数</w:t>
      </w:r>
      <w:r>
        <w:rPr>
          <w:rFonts w:ascii="宋体" w:hAnsi="宋体" w:cs="宋体" w:eastAsia="宋体" w:hint="default"/>
          <w:sz w:val="18"/>
          <w:szCs w:val="18"/>
          <w:u w:val="single" w:color="000000"/>
        </w:rPr>
        <w:tab/>
        <w:tab/>
      </w:r>
      <w:r>
        <w:rPr>
          <w:rFonts w:ascii="宋体" w:hAnsi="宋体" w:cs="宋体" w:eastAsia="宋体" w:hint="default"/>
          <w:sz w:val="18"/>
          <w:szCs w:val="18"/>
        </w:rPr>
      </w:r>
      <w:r>
        <w:rPr>
          <w:rFonts w:ascii="宋体" w:hAnsi="宋体" w:cs="宋体" w:eastAsia="宋体" w:hint="default"/>
          <w:sz w:val="18"/>
          <w:szCs w:val="18"/>
        </w:rPr>
        <w:t> 项</w:t>
      </w:r>
      <w:r>
        <w:rPr>
          <w:rFonts w:ascii="宋体" w:hAnsi="宋体" w:cs="宋体" w:eastAsia="宋体" w:hint="default"/>
          <w:spacing w:val="77"/>
          <w:sz w:val="18"/>
          <w:szCs w:val="18"/>
        </w:rPr>
        <w:t> </w:t>
      </w:r>
      <w:r>
        <w:rPr>
          <w:rFonts w:ascii="宋体" w:hAnsi="宋体" w:cs="宋体" w:eastAsia="宋体" w:hint="default"/>
          <w:sz w:val="18"/>
          <w:szCs w:val="18"/>
        </w:rPr>
        <w:t>目</w:t>
        <w:tab/>
      </w:r>
      <w:r>
        <w:rPr>
          <w:rFonts w:ascii="宋体" w:hAnsi="宋体" w:cs="宋体" w:eastAsia="宋体" w:hint="default"/>
          <w:spacing w:val="-4"/>
          <w:sz w:val="18"/>
          <w:szCs w:val="18"/>
        </w:rPr>
        <w:t>账面余额</w:t>
        <w:tab/>
        <w:t>跌价准备</w:t>
        <w:tab/>
        <w:t>账面价值</w:t>
        <w:tab/>
        <w:t>账面余额</w:t>
        <w:tab/>
        <w:t>跌价准备</w:t>
        <w:tab/>
        <w:t>账面价值</w:t>
      </w:r>
    </w:p>
    <w:p>
      <w:pPr>
        <w:spacing w:line="240" w:lineRule="auto" w:before="6"/>
        <w:rPr>
          <w:rFonts w:ascii="宋体" w:hAnsi="宋体" w:cs="宋体" w:eastAsia="宋体" w:hint="default"/>
          <w:sz w:val="12"/>
          <w:szCs w:val="12"/>
        </w:rPr>
      </w:pPr>
    </w:p>
    <w:p>
      <w:pPr>
        <w:tabs>
          <w:tab w:pos="1720" w:val="left" w:leader="none"/>
          <w:tab w:pos="2980" w:val="left" w:leader="none"/>
          <w:tab w:pos="4510" w:val="left" w:leader="none"/>
          <w:tab w:pos="5950" w:val="left" w:leader="none"/>
          <w:tab w:pos="8290" w:val="left" w:leader="none"/>
        </w:tabs>
        <w:spacing w:before="0"/>
        <w:ind w:left="190" w:right="0" w:firstLine="0"/>
        <w:jc w:val="center"/>
        <w:rPr>
          <w:rFonts w:ascii="宋体" w:hAnsi="宋体" w:cs="宋体" w:eastAsia="宋体" w:hint="default"/>
          <w:sz w:val="18"/>
          <w:szCs w:val="18"/>
        </w:rPr>
      </w:pPr>
      <w:r>
        <w:rPr>
          <w:rFonts w:ascii="宋体" w:hAnsi="宋体" w:cs="宋体" w:eastAsia="宋体" w:hint="default"/>
          <w:sz w:val="18"/>
          <w:szCs w:val="18"/>
        </w:rPr>
        <w:t>库存材料</w:t>
        <w:tab/>
        <w:t>80,147.42</w:t>
        <w:tab/>
        <w:t>77,711.52</w:t>
        <w:tab/>
        <w:t>2,435.90</w:t>
        <w:tab/>
        <w:t>345,509.52</w:t>
        <w:tab/>
        <w:t>345,509.52</w:t>
      </w:r>
    </w:p>
    <w:p>
      <w:pPr>
        <w:spacing w:line="240" w:lineRule="auto" w:before="1"/>
        <w:rPr>
          <w:rFonts w:ascii="宋体" w:hAnsi="宋体" w:cs="宋体" w:eastAsia="宋体" w:hint="default"/>
          <w:sz w:val="14"/>
          <w:szCs w:val="14"/>
        </w:rPr>
      </w:pPr>
    </w:p>
    <w:p>
      <w:pPr>
        <w:tabs>
          <w:tab w:pos="1360" w:val="left" w:leader="none"/>
          <w:tab w:pos="4060" w:val="left" w:leader="none"/>
        </w:tabs>
        <w:spacing w:before="0"/>
        <w:ind w:left="190" w:right="0" w:firstLine="0"/>
        <w:jc w:val="center"/>
        <w:rPr>
          <w:rFonts w:ascii="宋体" w:hAnsi="宋体" w:cs="宋体" w:eastAsia="宋体" w:hint="default"/>
          <w:sz w:val="18"/>
          <w:szCs w:val="18"/>
        </w:rPr>
      </w:pPr>
      <w:r>
        <w:rPr>
          <w:rFonts w:ascii="宋体" w:hAnsi="宋体" w:cs="宋体" w:eastAsia="宋体" w:hint="default"/>
          <w:sz w:val="18"/>
          <w:szCs w:val="18"/>
        </w:rPr>
        <w:t>库存商品</w:t>
        <w:tab/>
        <w:t>18,551,257.19  1,035,246.42</w:t>
        <w:tab/>
        <w:t>17,516,010.77[注]  4,234,359.01  680,100.06  3,554,258.95</w:t>
      </w:r>
    </w:p>
    <w:p>
      <w:pPr>
        <w:spacing w:line="240" w:lineRule="auto" w:before="1"/>
        <w:rPr>
          <w:rFonts w:ascii="宋体" w:hAnsi="宋体" w:cs="宋体" w:eastAsia="宋体" w:hint="default"/>
          <w:sz w:val="14"/>
          <w:szCs w:val="14"/>
        </w:rPr>
      </w:pPr>
    </w:p>
    <w:p>
      <w:pPr>
        <w:tabs>
          <w:tab w:pos="1630" w:val="left" w:leader="none"/>
          <w:tab w:pos="4330" w:val="left" w:leader="none"/>
          <w:tab w:pos="5950" w:val="left" w:leader="none"/>
          <w:tab w:pos="8290" w:val="left" w:leader="none"/>
        </w:tabs>
        <w:spacing w:before="0"/>
        <w:ind w:left="190" w:right="0" w:firstLine="0"/>
        <w:jc w:val="center"/>
        <w:rPr>
          <w:rFonts w:ascii="宋体" w:hAnsi="宋体" w:cs="宋体" w:eastAsia="宋体" w:hint="default"/>
          <w:sz w:val="18"/>
          <w:szCs w:val="18"/>
        </w:rPr>
      </w:pPr>
      <w:r>
        <w:rPr>
          <w:rFonts w:ascii="宋体" w:hAnsi="宋体" w:cs="宋体" w:eastAsia="宋体" w:hint="default"/>
          <w:sz w:val="18"/>
          <w:szCs w:val="18"/>
        </w:rPr>
        <w:t>委托加工物资</w:t>
        <w:tab/>
        <w:t>302,757.79</w:t>
        <w:tab/>
        <w:t>302,757.79</w:t>
        <w:tab/>
        <w:t>162,526.22</w:t>
        <w:tab/>
        <w:t>162,526.22</w:t>
      </w:r>
    </w:p>
    <w:p>
      <w:pPr>
        <w:spacing w:line="240" w:lineRule="auto" w:before="1"/>
        <w:rPr>
          <w:rFonts w:ascii="宋体" w:hAnsi="宋体" w:cs="宋体" w:eastAsia="宋体" w:hint="default"/>
          <w:sz w:val="14"/>
          <w:szCs w:val="14"/>
        </w:rPr>
      </w:pPr>
    </w:p>
    <w:p>
      <w:pPr>
        <w:tabs>
          <w:tab w:pos="1467" w:val="left" w:leader="none"/>
          <w:tab w:pos="4167" w:val="left" w:leader="none"/>
          <w:tab w:pos="5877" w:val="left" w:leader="none"/>
        </w:tabs>
        <w:spacing w:before="0"/>
        <w:ind w:left="477"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18,934,162.40  </w:t>
      </w:r>
      <w:r>
        <w:rPr>
          <w:rFonts w:ascii="宋体" w:hAnsi="宋体" w:cs="宋体" w:eastAsia="宋体" w:hint="default"/>
          <w:sz w:val="18"/>
          <w:szCs w:val="18"/>
        </w:rPr>
      </w:r>
      <w:r>
        <w:rPr>
          <w:rFonts w:ascii="宋体" w:hAnsi="宋体" w:cs="宋体" w:eastAsia="宋体" w:hint="default"/>
          <w:sz w:val="18"/>
          <w:szCs w:val="18"/>
          <w:u w:val="thick" w:color="000000"/>
        </w:rPr>
        <w:t>1,112,957.94</w:t>
      </w:r>
      <w:r>
        <w:rPr>
          <w:rFonts w:ascii="宋体" w:hAnsi="宋体" w:cs="宋体" w:eastAsia="宋体" w:hint="default"/>
          <w:sz w:val="18"/>
          <w:szCs w:val="18"/>
        </w:rPr>
        <w:tab/>
      </w:r>
      <w:r>
        <w:rPr>
          <w:rFonts w:ascii="宋体" w:hAnsi="宋体" w:cs="宋体" w:eastAsia="宋体" w:hint="default"/>
          <w:sz w:val="18"/>
          <w:szCs w:val="18"/>
          <w:u w:val="thick" w:color="000000"/>
        </w:rPr>
        <w:t>17,821,204.46</w:t>
      </w:r>
      <w:r>
        <w:rPr>
          <w:rFonts w:ascii="宋体" w:hAnsi="宋体" w:cs="宋体" w:eastAsia="宋体" w:hint="default"/>
          <w:sz w:val="18"/>
          <w:szCs w:val="18"/>
        </w:rPr>
        <w:tab/>
      </w:r>
      <w:r>
        <w:rPr>
          <w:rFonts w:ascii="宋体" w:hAnsi="宋体" w:cs="宋体" w:eastAsia="宋体" w:hint="default"/>
          <w:sz w:val="18"/>
          <w:szCs w:val="18"/>
          <w:u w:val="thick" w:color="000000"/>
        </w:rPr>
        <w:t>4,742,394.75  </w:t>
      </w:r>
      <w:r>
        <w:rPr>
          <w:rFonts w:ascii="宋体" w:hAnsi="宋体" w:cs="宋体" w:eastAsia="宋体" w:hint="default"/>
          <w:sz w:val="18"/>
          <w:szCs w:val="18"/>
        </w:rPr>
      </w:r>
      <w:r>
        <w:rPr>
          <w:rFonts w:ascii="宋体" w:hAnsi="宋体" w:cs="宋体" w:eastAsia="宋体" w:hint="default"/>
          <w:sz w:val="18"/>
          <w:szCs w:val="18"/>
          <w:u w:val="thick" w:color="000000"/>
        </w:rPr>
        <w:t>680,100.06  </w:t>
      </w:r>
      <w:r>
        <w:rPr>
          <w:rFonts w:ascii="宋体" w:hAnsi="宋体" w:cs="宋体" w:eastAsia="宋体" w:hint="default"/>
          <w:sz w:val="18"/>
          <w:szCs w:val="18"/>
        </w:rPr>
      </w:r>
      <w:r>
        <w:rPr>
          <w:rFonts w:ascii="宋体" w:hAnsi="宋体" w:cs="宋体" w:eastAsia="宋体" w:hint="default"/>
          <w:sz w:val="18"/>
          <w:szCs w:val="18"/>
          <w:u w:val="thick" w:color="000000"/>
        </w:rPr>
        <w:t>4,062,294.69</w:t>
      </w:r>
      <w:r>
        <w:rPr>
          <w:rFonts w:ascii="宋体" w:hAnsi="宋体" w:cs="宋体" w:eastAsia="宋体" w:hint="default"/>
          <w:sz w:val="18"/>
          <w:szCs w:val="18"/>
        </w:rPr>
      </w:r>
    </w:p>
    <w:p>
      <w:pPr>
        <w:pStyle w:val="BodyText"/>
        <w:spacing w:line="240" w:lineRule="auto" w:before="141"/>
        <w:ind w:left="537" w:right="719"/>
        <w:jc w:val="left"/>
      </w:pPr>
      <w:r>
        <w:rPr/>
        <w:t>[注]：其中发出商品</w:t>
      </w:r>
      <w:r>
        <w:rPr>
          <w:spacing w:val="-54"/>
        </w:rPr>
        <w:t> </w:t>
      </w:r>
      <w:r>
        <w:rPr/>
        <w:t>11,512,035.99</w:t>
      </w:r>
      <w:r>
        <w:rPr>
          <w:spacing w:val="-54"/>
        </w:rPr>
        <w:t> </w:t>
      </w:r>
      <w:r>
        <w:rPr/>
        <w:t>元。</w:t>
      </w:r>
    </w:p>
    <w:p>
      <w:pPr>
        <w:pStyle w:val="BodyText"/>
        <w:spacing w:line="240" w:lineRule="auto"/>
        <w:ind w:left="537" w:right="719"/>
        <w:jc w:val="left"/>
      </w:pPr>
      <w:r>
        <w:rPr/>
        <w:t>(2)</w:t>
      </w:r>
      <w:r>
        <w:rPr>
          <w:spacing w:val="-2"/>
        </w:rPr>
        <w:t> </w:t>
      </w:r>
      <w:r>
        <w:rPr/>
        <w:t>存货跌价准备</w:t>
      </w:r>
    </w:p>
    <w:p>
      <w:pPr>
        <w:pStyle w:val="BodyText"/>
        <w:spacing w:line="240" w:lineRule="auto"/>
        <w:ind w:left="537" w:right="719"/>
        <w:jc w:val="left"/>
      </w:pPr>
      <w:r>
        <w:rPr/>
        <w:t>1) 明细情况</w:t>
      </w:r>
    </w:p>
    <w:p>
      <w:pPr>
        <w:spacing w:line="240" w:lineRule="auto" w:before="5"/>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1453"/>
        <w:gridCol w:w="1814"/>
        <w:gridCol w:w="1444"/>
        <w:gridCol w:w="2096"/>
        <w:gridCol w:w="1506"/>
      </w:tblGrid>
      <w:tr>
        <w:trPr>
          <w:trHeight w:val="687" w:hRule="exact"/>
        </w:trPr>
        <w:tc>
          <w:tcPr>
            <w:tcW w:w="1453"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35"/>
              <w:ind w:right="62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4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96" w:type="dxa"/>
            <w:tcBorders>
              <w:top w:val="nil" w:sz="6" w:space="0" w:color="auto"/>
              <w:left w:val="nil" w:sz="6" w:space="0" w:color="auto"/>
              <w:bottom w:val="nil" w:sz="6" w:space="0" w:color="auto"/>
              <w:right w:val="nil" w:sz="6" w:space="0" w:color="auto"/>
            </w:tcBorders>
          </w:tcPr>
          <w:p>
            <w:pPr>
              <w:pStyle w:val="TableParagraph"/>
              <w:tabs>
                <w:tab w:pos="735" w:val="left" w:leader="none"/>
                <w:tab w:pos="1466" w:val="left" w:leader="none"/>
                <w:tab w:pos="1783" w:val="left" w:leader="none"/>
              </w:tabs>
              <w:spacing w:line="272" w:lineRule="exact" w:before="63"/>
              <w:ind w:left="208" w:right="208" w:firstLine="105"/>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本期减少</w:t>
              <w:tab/>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转回</w:t>
              <w:tab/>
              <w:tab/>
              <w:t>转销</w:t>
            </w:r>
            <w:r>
              <w:rPr>
                <w:rFonts w:ascii="宋体" w:hAnsi="宋体" w:cs="宋体" w:eastAsia="宋体" w:hint="default"/>
                <w:sz w:val="21"/>
                <w:szCs w:val="21"/>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1"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76"/>
              <w:jc w:val="right"/>
              <w:rPr>
                <w:rFonts w:ascii="宋体" w:hAnsi="宋体" w:cs="宋体" w:eastAsia="宋体" w:hint="default"/>
                <w:sz w:val="21"/>
                <w:szCs w:val="21"/>
              </w:rPr>
            </w:pPr>
            <w:r>
              <w:rPr>
                <w:rFonts w:ascii="宋体" w:hAnsi="宋体" w:cs="宋体" w:eastAsia="宋体" w:hint="default"/>
                <w:sz w:val="21"/>
                <w:szCs w:val="21"/>
              </w:rPr>
              <w:t>库存材料</w:t>
            </w:r>
          </w:p>
        </w:tc>
        <w:tc>
          <w:tcPr>
            <w:tcW w:w="1814"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9" w:right="0"/>
              <w:jc w:val="left"/>
              <w:rPr>
                <w:rFonts w:ascii="宋体" w:hAnsi="宋体" w:cs="宋体" w:eastAsia="宋体" w:hint="default"/>
                <w:sz w:val="21"/>
                <w:szCs w:val="21"/>
              </w:rPr>
            </w:pPr>
            <w:r>
              <w:rPr>
                <w:rFonts w:ascii="宋体"/>
                <w:sz w:val="21"/>
              </w:rPr>
              <w:t>77,711.52</w:t>
            </w:r>
          </w:p>
        </w:tc>
        <w:tc>
          <w:tcPr>
            <w:tcW w:w="2096"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21"/>
                <w:szCs w:val="21"/>
              </w:rPr>
            </w:pPr>
            <w:r>
              <w:rPr>
                <w:rFonts w:ascii="宋体"/>
                <w:sz w:val="21"/>
              </w:rPr>
              <w:t>77,711.52</w:t>
            </w:r>
          </w:p>
        </w:tc>
      </w:tr>
      <w:tr>
        <w:trPr>
          <w:trHeight w:val="420"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75"/>
              <w:jc w:val="right"/>
              <w:rPr>
                <w:rFonts w:ascii="宋体" w:hAnsi="宋体" w:cs="宋体" w:eastAsia="宋体" w:hint="default"/>
                <w:sz w:val="21"/>
                <w:szCs w:val="21"/>
              </w:rPr>
            </w:pPr>
            <w:r>
              <w:rPr>
                <w:rFonts w:ascii="宋体" w:hAnsi="宋体" w:cs="宋体" w:eastAsia="宋体" w:hint="default"/>
                <w:sz w:val="21"/>
                <w:szCs w:val="21"/>
              </w:rPr>
              <w:t>库存商品</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2"/>
              <w:jc w:val="right"/>
              <w:rPr>
                <w:rFonts w:ascii="宋体" w:hAnsi="宋体" w:cs="宋体" w:eastAsia="宋体" w:hint="default"/>
                <w:sz w:val="21"/>
                <w:szCs w:val="21"/>
              </w:rPr>
            </w:pPr>
            <w:r>
              <w:rPr>
                <w:rFonts w:ascii="宋体"/>
                <w:sz w:val="21"/>
              </w:rPr>
              <w:t>680,100.06</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85" w:right="0"/>
              <w:jc w:val="left"/>
              <w:rPr>
                <w:rFonts w:ascii="宋体" w:hAnsi="宋体" w:cs="宋体" w:eastAsia="宋体" w:hint="default"/>
                <w:sz w:val="21"/>
                <w:szCs w:val="21"/>
              </w:rPr>
            </w:pPr>
            <w:r>
              <w:rPr>
                <w:rFonts w:ascii="宋体"/>
                <w:sz w:val="21"/>
              </w:rPr>
              <w:t>355,146.36</w:t>
            </w:r>
          </w:p>
        </w:tc>
        <w:tc>
          <w:tcPr>
            <w:tcW w:w="2096"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1,035,246.42</w:t>
            </w:r>
            <w:r>
              <w:rPr>
                <w:rFonts w:ascii="宋体"/>
                <w:sz w:val="21"/>
              </w:rPr>
            </w:r>
          </w:p>
        </w:tc>
      </w:tr>
      <w:tr>
        <w:trPr>
          <w:trHeight w:val="415" w:hRule="exact"/>
        </w:trPr>
        <w:tc>
          <w:tcPr>
            <w:tcW w:w="1453"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40"/>
              <w:ind w:right="57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3"/>
              <w:jc w:val="right"/>
              <w:rPr>
                <w:rFonts w:ascii="宋体" w:hAnsi="宋体" w:cs="宋体" w:eastAsia="宋体" w:hint="default"/>
                <w:sz w:val="21"/>
                <w:szCs w:val="21"/>
              </w:rPr>
            </w:pPr>
            <w:r>
              <w:rPr>
                <w:rFonts w:ascii="宋体"/>
                <w:sz w:val="21"/>
              </w:rPr>
            </w:r>
            <w:r>
              <w:rPr>
                <w:rFonts w:ascii="宋体"/>
                <w:spacing w:val="-1"/>
                <w:sz w:val="21"/>
                <w:u w:val="single" w:color="000000"/>
              </w:rPr>
              <w:t>680,100.06</w:t>
            </w:r>
            <w:r>
              <w:rPr>
                <w:rFonts w:ascii="宋体"/>
                <w:spacing w:val="-1"/>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85" w:right="0"/>
              <w:jc w:val="left"/>
              <w:rPr>
                <w:rFonts w:ascii="宋体" w:hAnsi="宋体" w:cs="宋体" w:eastAsia="宋体" w:hint="default"/>
                <w:sz w:val="21"/>
                <w:szCs w:val="21"/>
              </w:rPr>
            </w:pPr>
            <w:r>
              <w:rPr>
                <w:rFonts w:ascii="宋体"/>
                <w:sz w:val="21"/>
              </w:rPr>
            </w:r>
            <w:r>
              <w:rPr>
                <w:rFonts w:ascii="宋体"/>
                <w:sz w:val="21"/>
                <w:u w:val="single" w:color="000000"/>
              </w:rPr>
              <w:t>432,857.88</w:t>
            </w:r>
            <w:r>
              <w:rPr>
                <w:rFonts w:ascii="宋体"/>
                <w:sz w:val="21"/>
              </w:rPr>
            </w:r>
          </w:p>
        </w:tc>
        <w:tc>
          <w:tcPr>
            <w:tcW w:w="2096"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single" w:color="000000"/>
              </w:rPr>
              <w:t>1,112,957.94</w:t>
            </w:r>
            <w:r>
              <w:rPr>
                <w:rFonts w:ascii="宋体"/>
                <w:spacing w:val="-1"/>
                <w:sz w:val="21"/>
              </w:rPr>
            </w:r>
            <w:r>
              <w:rPr>
                <w:rFonts w:ascii="宋体"/>
                <w:sz w:val="21"/>
              </w:rPr>
            </w:r>
          </w:p>
        </w:tc>
      </w:tr>
    </w:tbl>
    <w:p>
      <w:pPr>
        <w:pStyle w:val="BodyText"/>
        <w:spacing w:line="367" w:lineRule="auto" w:before="45"/>
        <w:ind w:left="537" w:right="719"/>
        <w:jc w:val="left"/>
      </w:pPr>
      <w:r>
        <w:rPr/>
        <w:t>2)</w:t>
      </w:r>
      <w:r>
        <w:rPr>
          <w:spacing w:val="-1"/>
        </w:rPr>
        <w:t> </w:t>
      </w:r>
      <w:r>
        <w:rPr/>
        <w:t>计提存货跌价准备的依据</w:t>
      </w:r>
      <w:r>
        <w:rPr/>
        <w:t> </w:t>
      </w:r>
      <w:r>
        <w:rPr>
          <w:spacing w:val="-2"/>
        </w:rPr>
        <w:t>对存货遭受毁损、全部或部分陈旧过时和销售价格低于成本等原因造成的存货成本不可收</w:t>
      </w:r>
    </w:p>
    <w:p>
      <w:pPr>
        <w:pStyle w:val="BodyText"/>
        <w:spacing w:line="367" w:lineRule="auto" w:before="34"/>
        <w:ind w:right="719"/>
        <w:jc w:val="left"/>
      </w:pPr>
      <w:r>
        <w:rPr>
          <w:spacing w:val="-2"/>
        </w:rPr>
        <w:t>回的部分，期末采用成本与市价孰低计价原则按单个存货项目的成本高于可变现净值的差额提</w:t>
      </w:r>
      <w:r>
        <w:rPr>
          <w:spacing w:val="-82"/>
        </w:rPr>
        <w:t> </w:t>
      </w:r>
      <w:r>
        <w:rPr>
          <w:spacing w:val="-82"/>
        </w:rPr>
      </w:r>
      <w:r>
        <w:rPr/>
        <w:t>取跌价准备。</w:t>
      </w:r>
    </w:p>
    <w:p>
      <w:pPr>
        <w:spacing w:after="0" w:line="367" w:lineRule="auto"/>
        <w:jc w:val="left"/>
        <w:sectPr>
          <w:pgSz w:w="11910" w:h="16840"/>
          <w:pgMar w:header="0" w:footer="1263" w:top="1580" w:bottom="1460" w:left="1680" w:right="820"/>
        </w:sectPr>
      </w:pPr>
    </w:p>
    <w:p>
      <w:pPr>
        <w:pStyle w:val="BodyText"/>
        <w:tabs>
          <w:tab w:pos="5724" w:val="left" w:leader="none"/>
        </w:tabs>
        <w:spacing w:line="240" w:lineRule="auto" w:before="13"/>
        <w:ind w:left="557" w:right="554"/>
        <w:jc w:val="left"/>
      </w:pPr>
      <w:r>
        <w:rPr/>
        <w:t>7.</w:t>
      </w:r>
      <w:r>
        <w:rPr>
          <w:spacing w:val="-2"/>
        </w:rPr>
        <w:t> </w:t>
      </w:r>
      <w:r>
        <w:rPr/>
        <w:t>可供出售金融资产</w:t>
        <w:tab/>
        <w:t>期末数</w:t>
      </w:r>
      <w:r>
        <w:rPr>
          <w:spacing w:val="-53"/>
        </w:rPr>
        <w:t> </w:t>
      </w:r>
      <w:r>
        <w:rPr/>
        <w:t>131,029,074.78</w:t>
      </w:r>
    </w:p>
    <w:p>
      <w:pPr>
        <w:pStyle w:val="BodyText"/>
        <w:spacing w:line="240" w:lineRule="auto"/>
        <w:ind w:left="557" w:right="554"/>
        <w:jc w:val="left"/>
      </w:pPr>
      <w:r>
        <w:rPr/>
        <w:t>(1)</w:t>
      </w:r>
      <w:r>
        <w:rPr>
          <w:spacing w:val="-2"/>
        </w:rPr>
        <w:t> </w:t>
      </w:r>
      <w:r>
        <w:rPr/>
        <w:t>明细情况</w:t>
      </w:r>
    </w:p>
    <w:p>
      <w:pPr>
        <w:spacing w:line="240" w:lineRule="auto" w:before="4"/>
        <w:rPr>
          <w:rFonts w:ascii="宋体" w:hAnsi="宋体" w:cs="宋体" w:eastAsia="宋体" w:hint="default"/>
          <w:sz w:val="16"/>
          <w:szCs w:val="16"/>
        </w:rPr>
      </w:pPr>
    </w:p>
    <w:p>
      <w:pPr>
        <w:tabs>
          <w:tab w:pos="2387" w:val="left" w:leader="none"/>
          <w:tab w:pos="3467" w:val="left" w:leader="none"/>
          <w:tab w:pos="3723" w:val="left" w:leader="none"/>
          <w:tab w:pos="4547" w:val="left" w:leader="none"/>
          <w:tab w:pos="5197" w:val="left" w:leader="none"/>
          <w:tab w:pos="5807" w:val="left" w:leader="none"/>
          <w:tab w:pos="6977" w:val="left" w:leader="none"/>
          <w:tab w:pos="7175" w:val="left" w:leader="none"/>
          <w:tab w:pos="7967" w:val="left" w:leader="none"/>
          <w:tab w:pos="8647" w:val="left" w:leader="none"/>
        </w:tabs>
        <w:spacing w:line="232" w:lineRule="exact" w:before="0"/>
        <w:ind w:left="677" w:right="554" w:firstLine="184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pacing w:val="-3"/>
          <w:sz w:val="18"/>
          <w:szCs w:val="18"/>
          <w:u w:val="single" w:color="000000"/>
        </w:rPr>
        <w:t>期末数</w:t>
        <w:tab/>
        <w:tab/>
      </w:r>
      <w:r>
        <w:rPr>
          <w:rFonts w:ascii="宋体" w:hAnsi="宋体" w:cs="宋体" w:eastAsia="宋体" w:hint="default"/>
          <w:spacing w:val="-3"/>
          <w:sz w:val="18"/>
          <w:szCs w:val="18"/>
        </w:rPr>
        <w:tab/>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pacing w:val="-3"/>
          <w:sz w:val="18"/>
          <w:szCs w:val="18"/>
          <w:u w:val="single" w:color="000000"/>
        </w:rPr>
        <w:t> </w:t>
        <w:tab/>
        <w:tab/>
      </w:r>
      <w:r>
        <w:rPr>
          <w:rFonts w:ascii="宋体" w:hAnsi="宋体" w:cs="宋体" w:eastAsia="宋体" w:hint="default"/>
          <w:spacing w:val="-3"/>
          <w:sz w:val="18"/>
          <w:szCs w:val="18"/>
          <w:u w:val="single" w:color="000000"/>
        </w:rPr>
        <w:t>期初数</w:t>
      </w:r>
      <w:r>
        <w:rPr>
          <w:rFonts w:ascii="宋体" w:hAnsi="宋体" w:cs="宋体" w:eastAsia="宋体" w:hint="default"/>
          <w:sz w:val="18"/>
          <w:szCs w:val="18"/>
          <w:u w:val="single" w:color="000000"/>
        </w:rPr>
        <w:tab/>
        <w:tab/>
      </w:r>
      <w:r>
        <w:rPr>
          <w:rFonts w:ascii="宋体" w:hAnsi="宋体" w:cs="宋体" w:eastAsia="宋体" w:hint="default"/>
          <w:sz w:val="18"/>
          <w:szCs w:val="18"/>
        </w:rPr>
      </w:r>
      <w:r>
        <w:rPr>
          <w:rFonts w:ascii="宋体" w:hAnsi="宋体" w:cs="宋体" w:eastAsia="宋体" w:hint="default"/>
          <w:sz w:val="18"/>
          <w:szCs w:val="18"/>
        </w:rPr>
        <w:t> 项  目</w:t>
        <w:tab/>
        <w:t>账面余额</w:t>
        <w:tab/>
        <w:t>减值准备</w:t>
        <w:tab/>
        <w:t>账面价值</w:t>
        <w:tab/>
        <w:t>账面余额</w:t>
        <w:tab/>
        <w:t>减值准备</w:t>
        <w:tab/>
        <w:t>账面价值</w:t>
      </w:r>
    </w:p>
    <w:p>
      <w:pPr>
        <w:spacing w:line="240" w:lineRule="auto" w:before="8"/>
        <w:rPr>
          <w:rFonts w:ascii="宋体" w:hAnsi="宋体" w:cs="宋体" w:eastAsia="宋体" w:hint="default"/>
          <w:sz w:val="12"/>
          <w:szCs w:val="12"/>
        </w:rPr>
      </w:pPr>
    </w:p>
    <w:p>
      <w:pPr>
        <w:tabs>
          <w:tab w:pos="2297" w:val="left" w:leader="none"/>
          <w:tab w:pos="4277" w:val="left" w:leader="none"/>
        </w:tabs>
        <w:spacing w:before="0"/>
        <w:ind w:left="497" w:right="554" w:firstLine="0"/>
        <w:jc w:val="left"/>
        <w:rPr>
          <w:rFonts w:ascii="宋体" w:hAnsi="宋体" w:cs="宋体" w:eastAsia="宋体" w:hint="default"/>
          <w:sz w:val="18"/>
          <w:szCs w:val="18"/>
        </w:rPr>
      </w:pPr>
      <w:r>
        <w:rPr>
          <w:rFonts w:ascii="宋体" w:hAnsi="宋体" w:cs="宋体" w:eastAsia="宋体" w:hint="default"/>
          <w:sz w:val="18"/>
          <w:szCs w:val="18"/>
        </w:rPr>
        <w:t>可供出售权益工具</w:t>
        <w:tab/>
        <w:t>128,346,307.32[注]</w:t>
        <w:tab/>
        <w:t>128,346,307.32</w:t>
      </w:r>
    </w:p>
    <w:p>
      <w:pPr>
        <w:spacing w:line="240" w:lineRule="auto" w:before="1"/>
        <w:rPr>
          <w:rFonts w:ascii="宋体" w:hAnsi="宋体" w:cs="宋体" w:eastAsia="宋体" w:hint="default"/>
          <w:sz w:val="14"/>
          <w:szCs w:val="14"/>
        </w:rPr>
      </w:pPr>
    </w:p>
    <w:p>
      <w:pPr>
        <w:tabs>
          <w:tab w:pos="2477" w:val="left" w:leader="none"/>
          <w:tab w:pos="4457" w:val="left" w:leader="none"/>
        </w:tabs>
        <w:spacing w:before="0"/>
        <w:ind w:left="497" w:right="554" w:firstLine="0"/>
        <w:jc w:val="left"/>
        <w:rPr>
          <w:rFonts w:ascii="宋体" w:hAnsi="宋体" w:cs="宋体" w:eastAsia="宋体" w:hint="default"/>
          <w:sz w:val="18"/>
          <w:szCs w:val="18"/>
        </w:rPr>
      </w:pPr>
      <w:r>
        <w:rPr>
          <w:rFonts w:ascii="宋体" w:hAnsi="宋体" w:cs="宋体" w:eastAsia="宋体" w:hint="default"/>
          <w:sz w:val="18"/>
          <w:szCs w:val="18"/>
        </w:rPr>
        <w:t>资金信托产品</w:t>
        <w:tab/>
        <w:t>2,682,767.46</w:t>
        <w:tab/>
        <w:t>2,682,767.46</w:t>
      </w:r>
    </w:p>
    <w:p>
      <w:pPr>
        <w:spacing w:line="240" w:lineRule="auto" w:before="1"/>
        <w:rPr>
          <w:rFonts w:ascii="宋体" w:hAnsi="宋体" w:cs="宋体" w:eastAsia="宋体" w:hint="default"/>
          <w:sz w:val="14"/>
          <w:szCs w:val="14"/>
        </w:rPr>
      </w:pPr>
    </w:p>
    <w:p>
      <w:pPr>
        <w:tabs>
          <w:tab w:pos="1619" w:val="left" w:leader="none"/>
          <w:tab w:pos="3599" w:val="left" w:leader="none"/>
        </w:tabs>
        <w:spacing w:before="0"/>
        <w:ind w:left="0" w:right="3027" w:firstLine="0"/>
        <w:jc w:val="center"/>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131,029,074.78</w:t>
      </w:r>
      <w:r>
        <w:rPr>
          <w:rFonts w:ascii="宋体" w:hAnsi="宋体" w:cs="宋体" w:eastAsia="宋体" w:hint="default"/>
          <w:sz w:val="18"/>
          <w:szCs w:val="18"/>
        </w:rPr>
        <w:tab/>
      </w:r>
      <w:r>
        <w:rPr>
          <w:rFonts w:ascii="宋体" w:hAnsi="宋体" w:cs="宋体" w:eastAsia="宋体" w:hint="default"/>
          <w:sz w:val="18"/>
          <w:szCs w:val="18"/>
          <w:u w:val="thick" w:color="000000"/>
        </w:rPr>
        <w:t>131,029,074.78</w:t>
      </w:r>
      <w:r>
        <w:rPr>
          <w:rFonts w:ascii="宋体" w:hAnsi="宋体" w:cs="宋体" w:eastAsia="宋体" w:hint="default"/>
          <w:sz w:val="18"/>
          <w:szCs w:val="18"/>
        </w:rPr>
      </w:r>
    </w:p>
    <w:p>
      <w:pPr>
        <w:pStyle w:val="BodyText"/>
        <w:spacing w:line="367" w:lineRule="auto" w:before="141"/>
        <w:ind w:left="137" w:right="553" w:firstLine="420"/>
        <w:jc w:val="both"/>
      </w:pPr>
      <w:r>
        <w:rPr/>
        <w:t>[注]：公司参股公司长江证券股份有限公司于</w:t>
      </w:r>
      <w:r>
        <w:rPr>
          <w:spacing w:val="-47"/>
        </w:rPr>
        <w:t> </w:t>
      </w:r>
      <w:r>
        <w:rPr/>
        <w:t>2007</w:t>
      </w:r>
      <w:r>
        <w:rPr>
          <w:spacing w:val="-46"/>
        </w:rPr>
        <w:t> </w:t>
      </w:r>
      <w:r>
        <w:rPr/>
        <w:t>年</w:t>
      </w:r>
      <w:r>
        <w:rPr>
          <w:spacing w:val="-48"/>
        </w:rPr>
        <w:t> </w:t>
      </w:r>
      <w:r>
        <w:rPr/>
        <w:t>12</w:t>
      </w:r>
      <w:r>
        <w:rPr>
          <w:spacing w:val="-46"/>
        </w:rPr>
        <w:t> </w:t>
      </w:r>
      <w:r>
        <w:rPr/>
        <w:t>月</w:t>
      </w:r>
      <w:r>
        <w:rPr>
          <w:spacing w:val="-48"/>
        </w:rPr>
        <w:t> </w:t>
      </w:r>
      <w:r>
        <w:rPr/>
        <w:t>27</w:t>
      </w:r>
      <w:r>
        <w:rPr>
          <w:spacing w:val="-46"/>
        </w:rPr>
        <w:t> </w:t>
      </w:r>
      <w:r>
        <w:rPr/>
        <w:t>日借壳石家庄炼油化工股</w:t>
      </w:r>
      <w:r>
        <w:rPr/>
        <w:t> </w:t>
      </w:r>
      <w:r>
        <w:rPr>
          <w:spacing w:val="-2"/>
        </w:rPr>
        <w:t>份有限公司上市，根据原石家庄炼油化工股份有限公司股权分置改革方案，本公司实际持有上</w:t>
      </w:r>
      <w:r>
        <w:rPr>
          <w:spacing w:val="-85"/>
        </w:rPr>
        <w:t> </w:t>
      </w:r>
      <w:r>
        <w:rPr>
          <w:spacing w:val="-85"/>
        </w:rPr>
      </w:r>
      <w:r>
        <w:rPr/>
        <w:t>市后长江证券股份有限公司有限售条件流通股</w:t>
      </w:r>
      <w:r>
        <w:rPr>
          <w:spacing w:val="-52"/>
        </w:rPr>
        <w:t> </w:t>
      </w:r>
      <w:r>
        <w:rPr/>
        <w:t>3,354,582</w:t>
      </w:r>
      <w:r>
        <w:rPr>
          <w:spacing w:val="-51"/>
        </w:rPr>
        <w:t> </w:t>
      </w:r>
      <w:r>
        <w:rPr>
          <w:spacing w:val="-4"/>
        </w:rPr>
        <w:t>股，长江证券股份有限公司期末公允</w:t>
      </w:r>
    </w:p>
    <w:p>
      <w:pPr>
        <w:pStyle w:val="BodyText"/>
        <w:spacing w:line="240" w:lineRule="auto" w:before="34"/>
        <w:ind w:left="137" w:right="554"/>
        <w:jc w:val="left"/>
      </w:pPr>
      <w:r>
        <w:rPr/>
        <w:t>价为每股</w:t>
      </w:r>
      <w:r>
        <w:rPr>
          <w:spacing w:val="-53"/>
        </w:rPr>
        <w:t> </w:t>
      </w:r>
      <w:r>
        <w:rPr/>
        <w:t>38.26</w:t>
      </w:r>
      <w:r>
        <w:rPr>
          <w:spacing w:val="-52"/>
        </w:rPr>
        <w:t> </w:t>
      </w:r>
      <w:r>
        <w:rPr/>
        <w:t>元。</w:t>
      </w:r>
    </w:p>
    <w:p>
      <w:pPr>
        <w:pStyle w:val="BodyText"/>
        <w:spacing w:line="367" w:lineRule="auto"/>
        <w:ind w:left="557" w:right="1529"/>
        <w:jc w:val="left"/>
      </w:pPr>
      <w:r>
        <w:rPr/>
        <w:t>(2)</w:t>
      </w:r>
      <w:r>
        <w:rPr>
          <w:spacing w:val="-2"/>
        </w:rPr>
        <w:t> </w:t>
      </w:r>
      <w:r>
        <w:rPr/>
        <w:t>期末，未发现可供出售金融资产存在明显减值迹象，故未计提减值准备。</w:t>
      </w:r>
      <w:r>
        <w:rPr/>
        <w:t> (3)</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pStyle w:val="BodyText"/>
        <w:spacing w:line="367" w:lineRule="auto" w:before="34"/>
        <w:ind w:left="137" w:right="474" w:firstLine="420"/>
        <w:jc w:val="left"/>
      </w:pPr>
      <w:r>
        <w:rPr>
          <w:spacing w:val="-2"/>
        </w:rPr>
        <w:t>可供出售金融资产账面价值期末数较期初数增加，主要系公司持有的长江证券股份有限公</w:t>
      </w:r>
      <w:r>
        <w:rPr/>
        <w:t> 司有限售条件流通股和“中国龙进取资本市场集合资金信托计划”产品期末市值增加所致。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5828" w:val="left" w:leader="none"/>
        </w:tabs>
        <w:spacing w:line="240" w:lineRule="auto" w:before="0"/>
        <w:ind w:left="557" w:right="554"/>
        <w:jc w:val="left"/>
      </w:pPr>
      <w:r>
        <w:rPr/>
        <w:t>8.</w:t>
      </w:r>
      <w:r>
        <w:rPr>
          <w:spacing w:val="-2"/>
        </w:rPr>
        <w:t> </w:t>
      </w:r>
      <w:r>
        <w:rPr/>
        <w:t>长期股权投资</w:t>
        <w:tab/>
        <w:t>期末数</w:t>
      </w:r>
      <w:r>
        <w:rPr>
          <w:spacing w:val="-53"/>
        </w:rPr>
        <w:t> </w:t>
      </w:r>
      <w:r>
        <w:rPr/>
        <w:t>59,486,098.96</w:t>
      </w:r>
    </w:p>
    <w:p>
      <w:pPr>
        <w:pStyle w:val="BodyText"/>
        <w:spacing w:line="240" w:lineRule="auto"/>
        <w:ind w:left="557" w:right="554"/>
        <w:jc w:val="left"/>
      </w:pPr>
      <w:r>
        <w:rPr/>
        <w:t>(1)</w:t>
      </w:r>
      <w:r>
        <w:rPr>
          <w:spacing w:val="-2"/>
        </w:rPr>
        <w:t> </w:t>
      </w:r>
      <w:r>
        <w:rPr/>
        <w:t>明细情况</w:t>
      </w:r>
    </w:p>
    <w:p>
      <w:pPr>
        <w:spacing w:line="240" w:lineRule="auto" w:before="4"/>
        <w:rPr>
          <w:rFonts w:ascii="宋体" w:hAnsi="宋体" w:cs="宋体" w:eastAsia="宋体" w:hint="default"/>
          <w:sz w:val="16"/>
          <w:szCs w:val="16"/>
        </w:rPr>
      </w:pPr>
    </w:p>
    <w:p>
      <w:pPr>
        <w:tabs>
          <w:tab w:pos="2044" w:val="left" w:leader="none"/>
          <w:tab w:pos="3264" w:val="left" w:leader="none"/>
          <w:tab w:pos="3465" w:val="left" w:leader="none"/>
          <w:tab w:pos="4312" w:val="left" w:leader="none"/>
          <w:tab w:pos="4939" w:val="left" w:leader="none"/>
          <w:tab w:pos="5962" w:val="left" w:leader="none"/>
          <w:tab w:pos="6057" w:val="left" w:leader="none"/>
          <w:tab w:pos="6830" w:val="left" w:leader="none"/>
          <w:tab w:pos="7011" w:val="left" w:leader="none"/>
          <w:tab w:pos="8059" w:val="left" w:leader="none"/>
          <w:tab w:pos="8656" w:val="left" w:leader="none"/>
        </w:tabs>
        <w:spacing w:line="232" w:lineRule="exact" w:before="0"/>
        <w:ind w:left="489" w:right="474" w:firstLine="160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pacing w:val="-3"/>
          <w:sz w:val="18"/>
          <w:szCs w:val="18"/>
          <w:u w:val="single" w:color="000000"/>
        </w:rPr>
        <w:t>期末数</w:t>
        <w:tab/>
        <w:tab/>
      </w:r>
      <w:r>
        <w:rPr>
          <w:rFonts w:ascii="宋体" w:hAnsi="宋体" w:cs="宋体" w:eastAsia="宋体" w:hint="default"/>
          <w:spacing w:val="-3"/>
          <w:sz w:val="18"/>
          <w:szCs w:val="18"/>
        </w:rPr>
        <w:tab/>
        <w:tab/>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pacing w:val="-3"/>
          <w:sz w:val="18"/>
          <w:szCs w:val="18"/>
          <w:u w:val="single" w:color="000000"/>
        </w:rPr>
        <w:t> </w:t>
        <w:tab/>
      </w:r>
      <w:r>
        <w:rPr>
          <w:rFonts w:ascii="宋体" w:hAnsi="宋体" w:cs="宋体" w:eastAsia="宋体" w:hint="default"/>
          <w:spacing w:val="-4"/>
          <w:sz w:val="18"/>
          <w:szCs w:val="18"/>
          <w:u w:val="single" w:color="000000"/>
        </w:rPr>
        <w:t>期初数[注]</w:t>
      </w:r>
      <w:r>
        <w:rPr>
          <w:rFonts w:ascii="宋体" w:hAnsi="宋体" w:cs="宋体" w:eastAsia="宋体" w:hint="default"/>
          <w:sz w:val="18"/>
          <w:szCs w:val="18"/>
          <w:u w:val="single" w:color="000000"/>
        </w:rPr>
        <w:tab/>
        <w:tab/>
      </w:r>
      <w:r>
        <w:rPr>
          <w:rFonts w:ascii="宋体" w:hAnsi="宋体" w:cs="宋体" w:eastAsia="宋体" w:hint="default"/>
          <w:sz w:val="18"/>
          <w:szCs w:val="18"/>
        </w:rPr>
      </w:r>
      <w:r>
        <w:rPr>
          <w:rFonts w:ascii="宋体" w:hAnsi="宋体" w:cs="宋体" w:eastAsia="宋体" w:hint="default"/>
          <w:sz w:val="18"/>
          <w:szCs w:val="18"/>
        </w:rPr>
        <w:t> 项</w:t>
      </w:r>
      <w:r>
        <w:rPr>
          <w:rFonts w:ascii="宋体" w:hAnsi="宋体" w:cs="宋体" w:eastAsia="宋体" w:hint="default"/>
          <w:spacing w:val="77"/>
          <w:sz w:val="18"/>
          <w:szCs w:val="18"/>
        </w:rPr>
        <w:t> </w:t>
      </w:r>
      <w:r>
        <w:rPr>
          <w:rFonts w:ascii="宋体" w:hAnsi="宋体" w:cs="宋体" w:eastAsia="宋体" w:hint="default"/>
          <w:sz w:val="18"/>
          <w:szCs w:val="18"/>
        </w:rPr>
        <w:t>目</w:t>
        <w:tab/>
      </w:r>
      <w:r>
        <w:rPr>
          <w:rFonts w:ascii="宋体" w:hAnsi="宋体" w:cs="宋体" w:eastAsia="宋体" w:hint="default"/>
          <w:spacing w:val="-4"/>
          <w:sz w:val="18"/>
          <w:szCs w:val="18"/>
        </w:rPr>
        <w:t>账面余额</w:t>
        <w:tab/>
        <w:t>减值准备</w:t>
        <w:tab/>
        <w:t>账面价值</w:t>
        <w:tab/>
      </w:r>
      <w:r>
        <w:rPr>
          <w:rFonts w:ascii="宋体" w:hAnsi="宋体" w:cs="宋体" w:eastAsia="宋体" w:hint="default"/>
          <w:spacing w:val="-3"/>
          <w:sz w:val="18"/>
          <w:szCs w:val="18"/>
        </w:rPr>
        <w:t>账面余额</w:t>
        <w:tab/>
        <w:tab/>
      </w:r>
      <w:r>
        <w:rPr>
          <w:rFonts w:ascii="宋体" w:hAnsi="宋体" w:cs="宋体" w:eastAsia="宋体" w:hint="default"/>
          <w:spacing w:val="-4"/>
          <w:sz w:val="18"/>
          <w:szCs w:val="18"/>
        </w:rPr>
        <w:t>减值准备</w:t>
        <w:tab/>
        <w:t>账面价值</w:t>
      </w:r>
    </w:p>
    <w:p>
      <w:pPr>
        <w:spacing w:line="240" w:lineRule="auto" w:before="6"/>
        <w:rPr>
          <w:rFonts w:ascii="宋体" w:hAnsi="宋体" w:cs="宋体" w:eastAsia="宋体" w:hint="default"/>
          <w:sz w:val="12"/>
          <w:szCs w:val="12"/>
        </w:rPr>
      </w:pPr>
    </w:p>
    <w:p>
      <w:pPr>
        <w:tabs>
          <w:tab w:pos="1740" w:val="left" w:leader="none"/>
          <w:tab w:pos="4080" w:val="left" w:leader="none"/>
          <w:tab w:pos="5700" w:val="left" w:leader="none"/>
          <w:tab w:pos="7860" w:val="left" w:leader="none"/>
        </w:tabs>
        <w:spacing w:before="0"/>
        <w:ind w:left="213" w:right="0" w:firstLine="0"/>
        <w:jc w:val="center"/>
        <w:rPr>
          <w:rFonts w:ascii="宋体" w:hAnsi="宋体" w:cs="宋体" w:eastAsia="宋体" w:hint="default"/>
          <w:sz w:val="18"/>
          <w:szCs w:val="18"/>
        </w:rPr>
      </w:pPr>
      <w:r>
        <w:rPr>
          <w:rFonts w:ascii="宋体" w:hAnsi="宋体" w:cs="宋体" w:eastAsia="宋体" w:hint="default"/>
          <w:sz w:val="18"/>
          <w:szCs w:val="18"/>
        </w:rPr>
        <w:t>对联营企业投资</w:t>
        <w:tab/>
        <w:t>56,886,098.96</w:t>
        <w:tab/>
        <w:t>56,886,098.96</w:t>
        <w:tab/>
        <w:t>51,677,862.47</w:t>
        <w:tab/>
        <w:t>51,677,862.47</w:t>
      </w:r>
    </w:p>
    <w:p>
      <w:pPr>
        <w:spacing w:line="240" w:lineRule="auto" w:before="1"/>
        <w:rPr>
          <w:rFonts w:ascii="宋体" w:hAnsi="宋体" w:cs="宋体" w:eastAsia="宋体" w:hint="default"/>
          <w:sz w:val="14"/>
          <w:szCs w:val="14"/>
        </w:rPr>
      </w:pPr>
    </w:p>
    <w:p>
      <w:pPr>
        <w:tabs>
          <w:tab w:pos="1830" w:val="left" w:leader="none"/>
          <w:tab w:pos="4170" w:val="left" w:leader="none"/>
          <w:tab w:pos="5700" w:val="left" w:leader="none"/>
          <w:tab w:pos="7860" w:val="left" w:leader="none"/>
        </w:tabs>
        <w:spacing w:before="0"/>
        <w:ind w:left="213" w:right="0" w:firstLine="0"/>
        <w:jc w:val="center"/>
        <w:rPr>
          <w:rFonts w:ascii="宋体" w:hAnsi="宋体" w:cs="宋体" w:eastAsia="宋体" w:hint="default"/>
          <w:sz w:val="18"/>
          <w:szCs w:val="18"/>
        </w:rPr>
      </w:pPr>
      <w:r>
        <w:rPr>
          <w:rFonts w:ascii="宋体" w:hAnsi="宋体" w:cs="宋体" w:eastAsia="宋体" w:hint="default"/>
          <w:sz w:val="18"/>
          <w:szCs w:val="18"/>
        </w:rPr>
        <w:t>其他股权投资</w:t>
        <w:tab/>
        <w:t>2,600,000.00</w:t>
        <w:tab/>
        <w:t>2,600,000.00</w:t>
        <w:tab/>
        <w:t>26,000,000.00</w:t>
        <w:tab/>
        <w:t>26,000,000.00</w:t>
      </w:r>
    </w:p>
    <w:p>
      <w:pPr>
        <w:spacing w:line="240" w:lineRule="auto" w:before="1"/>
        <w:rPr>
          <w:rFonts w:ascii="宋体" w:hAnsi="宋体" w:cs="宋体" w:eastAsia="宋体" w:hint="default"/>
          <w:sz w:val="14"/>
          <w:szCs w:val="14"/>
        </w:rPr>
      </w:pPr>
    </w:p>
    <w:p>
      <w:pPr>
        <w:tabs>
          <w:tab w:pos="1847" w:val="left" w:leader="none"/>
          <w:tab w:pos="4187" w:val="left" w:leader="none"/>
          <w:tab w:pos="5807" w:val="left" w:leader="none"/>
          <w:tab w:pos="7967" w:val="left" w:leader="none"/>
        </w:tabs>
        <w:spacing w:before="0"/>
        <w:ind w:left="497"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59,486,098.96</w:t>
      </w:r>
      <w:r>
        <w:rPr>
          <w:rFonts w:ascii="宋体" w:hAnsi="宋体" w:cs="宋体" w:eastAsia="宋体" w:hint="default"/>
          <w:sz w:val="18"/>
          <w:szCs w:val="18"/>
        </w:rPr>
        <w:tab/>
      </w:r>
      <w:r>
        <w:rPr>
          <w:rFonts w:ascii="宋体" w:hAnsi="宋体" w:cs="宋体" w:eastAsia="宋体" w:hint="default"/>
          <w:sz w:val="18"/>
          <w:szCs w:val="18"/>
          <w:u w:val="thick" w:color="000000"/>
        </w:rPr>
        <w:t>59,486,098.96</w:t>
      </w:r>
      <w:r>
        <w:rPr>
          <w:rFonts w:ascii="宋体" w:hAnsi="宋体" w:cs="宋体" w:eastAsia="宋体" w:hint="default"/>
          <w:sz w:val="18"/>
          <w:szCs w:val="18"/>
        </w:rPr>
        <w:tab/>
      </w:r>
      <w:r>
        <w:rPr>
          <w:rFonts w:ascii="宋体" w:hAnsi="宋体" w:cs="宋体" w:eastAsia="宋体" w:hint="default"/>
          <w:sz w:val="18"/>
          <w:szCs w:val="18"/>
          <w:u w:val="thick" w:color="000000"/>
        </w:rPr>
        <w:t>77,677,862.47</w:t>
      </w:r>
      <w:r>
        <w:rPr>
          <w:rFonts w:ascii="宋体" w:hAnsi="宋体" w:cs="宋体" w:eastAsia="宋体" w:hint="default"/>
          <w:sz w:val="18"/>
          <w:szCs w:val="18"/>
        </w:rPr>
        <w:tab/>
      </w:r>
      <w:r>
        <w:rPr>
          <w:rFonts w:ascii="宋体" w:hAnsi="宋体" w:cs="宋体" w:eastAsia="宋体" w:hint="default"/>
          <w:sz w:val="18"/>
          <w:szCs w:val="18"/>
          <w:u w:val="thick" w:color="000000"/>
        </w:rPr>
        <w:t>77,677,862.47</w:t>
      </w:r>
      <w:r>
        <w:rPr>
          <w:rFonts w:ascii="宋体" w:hAnsi="宋体" w:cs="宋体" w:eastAsia="宋体" w:hint="default"/>
          <w:sz w:val="18"/>
          <w:szCs w:val="18"/>
        </w:rPr>
      </w:r>
    </w:p>
    <w:p>
      <w:pPr>
        <w:pStyle w:val="BodyText"/>
        <w:spacing w:line="367" w:lineRule="auto" w:before="141"/>
        <w:ind w:left="137" w:right="553" w:firstLine="420"/>
        <w:jc w:val="both"/>
      </w:pPr>
      <w:r>
        <w:rPr>
          <w:spacing w:val="-4"/>
        </w:rPr>
        <w:t>[注]：根据财政部</w:t>
      </w:r>
      <w:r>
        <w:rPr>
          <w:spacing w:val="-58"/>
        </w:rPr>
        <w:t> </w:t>
      </w:r>
      <w:r>
        <w:rPr/>
        <w:t>2008</w:t>
      </w:r>
      <w:r>
        <w:rPr>
          <w:spacing w:val="-58"/>
        </w:rPr>
        <w:t> </w:t>
      </w:r>
      <w:r>
        <w:rPr/>
        <w:t>年</w:t>
      </w:r>
      <w:r>
        <w:rPr>
          <w:spacing w:val="-58"/>
        </w:rPr>
        <w:t> </w:t>
      </w:r>
      <w:r>
        <w:rPr/>
        <w:t>1</w:t>
      </w:r>
      <w:r>
        <w:rPr>
          <w:spacing w:val="-57"/>
        </w:rPr>
        <w:t> </w:t>
      </w:r>
      <w:r>
        <w:rPr/>
        <w:t>月</w:t>
      </w:r>
      <w:r>
        <w:rPr>
          <w:spacing w:val="-59"/>
        </w:rPr>
        <w:t> </w:t>
      </w:r>
      <w:r>
        <w:rPr/>
        <w:t>21</w:t>
      </w:r>
      <w:r>
        <w:rPr>
          <w:spacing w:val="-57"/>
        </w:rPr>
        <w:t> </w:t>
      </w:r>
      <w:r>
        <w:rPr/>
        <w:t>日公布的企业会计准则实施问题专家工作组意见，对于</w:t>
      </w:r>
      <w:r>
        <w:rPr/>
        <w:t> </w:t>
      </w:r>
      <w:r>
        <w:rPr>
          <w:spacing w:val="-2"/>
        </w:rPr>
        <w:t>企业会计准则首次执行日之前已经持有的对子公司长期股权投资，按照《企业会计准则解释第</w:t>
      </w:r>
      <w:r>
        <w:rPr>
          <w:spacing w:val="-85"/>
        </w:rPr>
        <w:t> </w:t>
      </w:r>
      <w:r>
        <w:rPr>
          <w:spacing w:val="-85"/>
        </w:rPr>
      </w:r>
      <w:r>
        <w:rPr/>
        <w:t>1</w:t>
      </w:r>
      <w:r>
        <w:rPr>
          <w:spacing w:val="-48"/>
        </w:rPr>
        <w:t> </w:t>
      </w:r>
      <w:r>
        <w:rPr>
          <w:spacing w:val="-14"/>
        </w:rPr>
        <w:t>号》（财会〔2007〕14</w:t>
      </w:r>
      <w:r>
        <w:rPr>
          <w:spacing w:val="-49"/>
        </w:rPr>
        <w:t> </w:t>
      </w:r>
      <w:r>
        <w:rPr>
          <w:spacing w:val="-2"/>
        </w:rPr>
        <w:t>号）的规定进行追溯调整。公司对子公司股权投资贷方差额</w:t>
      </w:r>
      <w:r>
        <w:rPr>
          <w:spacing w:val="-49"/>
        </w:rPr>
        <w:t> </w:t>
      </w:r>
      <w:r>
        <w:rPr/>
        <w:t>89,714.43</w:t>
      </w:r>
    </w:p>
    <w:p>
      <w:pPr>
        <w:pStyle w:val="BodyText"/>
        <w:spacing w:line="240" w:lineRule="auto" w:before="34"/>
        <w:ind w:left="137" w:right="474"/>
        <w:jc w:val="left"/>
      </w:pPr>
      <w:r>
        <w:rPr/>
        <w:t>元已调整期初留存收益，对股权投资借方差额 775,867.46</w:t>
      </w:r>
      <w:r>
        <w:rPr>
          <w:spacing w:val="-60"/>
        </w:rPr>
        <w:t> </w:t>
      </w:r>
      <w:r>
        <w:rPr/>
        <w:t>元已转入其他非流动资产反映，合</w:t>
      </w:r>
    </w:p>
    <w:p>
      <w:pPr>
        <w:pStyle w:val="BodyText"/>
        <w:spacing w:line="240" w:lineRule="auto"/>
        <w:ind w:left="137" w:right="554"/>
        <w:jc w:val="left"/>
      </w:pPr>
      <w:r>
        <w:rPr/>
        <w:t>计调减期初长期股权投资</w:t>
      </w:r>
      <w:r>
        <w:rPr>
          <w:spacing w:val="-64"/>
        </w:rPr>
        <w:t> </w:t>
      </w:r>
      <w:r>
        <w:rPr/>
        <w:t>686,153.03</w:t>
      </w:r>
      <w:r>
        <w:rPr>
          <w:spacing w:val="-63"/>
        </w:rPr>
        <w:t> </w:t>
      </w:r>
      <w:r>
        <w:rPr/>
        <w:t>元。</w:t>
      </w:r>
    </w:p>
    <w:p>
      <w:pPr>
        <w:pStyle w:val="BodyText"/>
        <w:spacing w:line="240" w:lineRule="auto"/>
        <w:ind w:left="557" w:right="554"/>
        <w:jc w:val="left"/>
      </w:pPr>
      <w:r>
        <w:rPr/>
        <w:t>(2)</w:t>
      </w:r>
      <w:r>
        <w:rPr>
          <w:spacing w:val="-2"/>
        </w:rPr>
        <w:t> </w:t>
      </w:r>
      <w:r>
        <w:rPr/>
        <w:t>权益法核算的长期股权投资</w:t>
      </w:r>
    </w:p>
    <w:p>
      <w:pPr>
        <w:pStyle w:val="BodyText"/>
        <w:spacing w:line="240" w:lineRule="auto"/>
        <w:ind w:left="557" w:right="554"/>
        <w:jc w:val="left"/>
      </w:pPr>
      <w:r>
        <w:rPr/>
        <w:t>①</w:t>
      </w:r>
      <w:r>
        <w:rPr>
          <w:spacing w:val="-2"/>
        </w:rPr>
        <w:t> </w:t>
      </w:r>
      <w:r>
        <w:rPr/>
        <w:t>期末余额构成明细情况</w:t>
      </w:r>
    </w:p>
    <w:p>
      <w:pPr>
        <w:spacing w:line="240" w:lineRule="auto" w:before="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375"/>
        <w:gridCol w:w="698"/>
        <w:gridCol w:w="697"/>
        <w:gridCol w:w="2655"/>
        <w:gridCol w:w="2465"/>
      </w:tblGrid>
      <w:tr>
        <w:trPr>
          <w:trHeight w:val="633"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95" w:right="1258" w:firstLine="90"/>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698"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80" w:right="15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9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202" w:right="134"/>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2655" w:type="dxa"/>
            <w:tcBorders>
              <w:top w:val="nil" w:sz="6" w:space="0" w:color="auto"/>
              <w:left w:val="nil" w:sz="6" w:space="0" w:color="auto"/>
              <w:bottom w:val="nil" w:sz="6" w:space="0" w:color="auto"/>
              <w:right w:val="nil" w:sz="6" w:space="0" w:color="auto"/>
            </w:tcBorders>
          </w:tcPr>
          <w:p>
            <w:pPr>
              <w:pStyle w:val="TableParagraph"/>
              <w:tabs>
                <w:tab w:pos="1754" w:val="left" w:leader="none"/>
              </w:tabs>
              <w:spacing w:line="234" w:lineRule="exact" w:before="44"/>
              <w:ind w:left="675" w:right="0"/>
              <w:jc w:val="left"/>
              <w:rPr>
                <w:rFonts w:ascii="宋体" w:hAnsi="宋体" w:cs="宋体" w:eastAsia="宋体" w:hint="default"/>
                <w:sz w:val="18"/>
                <w:szCs w:val="18"/>
              </w:rPr>
            </w:pPr>
            <w:r>
              <w:rPr>
                <w:rFonts w:ascii="宋体" w:hAnsi="宋体" w:cs="宋体" w:eastAsia="宋体" w:hint="default"/>
                <w:sz w:val="18"/>
                <w:szCs w:val="18"/>
              </w:rPr>
              <w:t>成</w:t>
              <w:tab/>
              <w:t>损益</w:t>
            </w:r>
          </w:p>
          <w:p>
            <w:pPr>
              <w:pStyle w:val="TableParagraph"/>
              <w:tabs>
                <w:tab w:pos="1754" w:val="left" w:leader="none"/>
              </w:tabs>
              <w:spacing w:line="234" w:lineRule="exact"/>
              <w:ind w:left="675" w:right="0"/>
              <w:jc w:val="left"/>
              <w:rPr>
                <w:rFonts w:ascii="宋体" w:hAnsi="宋体" w:cs="宋体" w:eastAsia="宋体" w:hint="default"/>
                <w:sz w:val="18"/>
                <w:szCs w:val="18"/>
              </w:rPr>
            </w:pPr>
            <w:r>
              <w:rPr>
                <w:rFonts w:ascii="宋体" w:hAnsi="宋体" w:cs="宋体" w:eastAsia="宋体" w:hint="default"/>
                <w:sz w:val="18"/>
                <w:szCs w:val="18"/>
              </w:rPr>
              <w:t>本</w:t>
              <w:tab/>
              <w:t>调整</w:t>
            </w:r>
          </w:p>
        </w:tc>
        <w:tc>
          <w:tcPr>
            <w:tcW w:w="2465"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34" w:lineRule="exact" w:before="44"/>
              <w:ind w:left="360" w:right="0"/>
              <w:jc w:val="left"/>
              <w:rPr>
                <w:rFonts w:ascii="宋体" w:hAnsi="宋体" w:cs="宋体" w:eastAsia="宋体" w:hint="default"/>
                <w:sz w:val="18"/>
                <w:szCs w:val="18"/>
              </w:rPr>
            </w:pPr>
            <w:r>
              <w:rPr>
                <w:rFonts w:ascii="宋体" w:hAnsi="宋体" w:cs="宋体" w:eastAsia="宋体" w:hint="default"/>
                <w:sz w:val="18"/>
                <w:szCs w:val="18"/>
              </w:rPr>
              <w:t>其他权</w:t>
              <w:tab/>
              <w:t>期末</w:t>
            </w:r>
          </w:p>
          <w:p>
            <w:pPr>
              <w:pStyle w:val="TableParagraph"/>
              <w:tabs>
                <w:tab w:pos="1889" w:val="left" w:leader="none"/>
              </w:tabs>
              <w:spacing w:line="234" w:lineRule="exact"/>
              <w:ind w:left="360" w:right="0"/>
              <w:jc w:val="left"/>
              <w:rPr>
                <w:rFonts w:ascii="宋体" w:hAnsi="宋体" w:cs="宋体" w:eastAsia="宋体" w:hint="default"/>
                <w:sz w:val="18"/>
                <w:szCs w:val="18"/>
              </w:rPr>
            </w:pPr>
            <w:r>
              <w:rPr>
                <w:rFonts w:ascii="宋体" w:hAnsi="宋体" w:cs="宋体" w:eastAsia="宋体" w:hint="default"/>
                <w:sz w:val="18"/>
                <w:szCs w:val="18"/>
              </w:rPr>
              <w:t>益变动</w:t>
              <w:tab/>
              <w:t>数</w:t>
            </w:r>
          </w:p>
        </w:tc>
      </w:tr>
      <w:tr>
        <w:trPr>
          <w:trHeight w:val="421"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杭州恒生世纪实业有限公司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55"/>
              <w:jc w:val="right"/>
              <w:rPr>
                <w:rFonts w:ascii="宋体" w:hAnsi="宋体" w:cs="宋体" w:eastAsia="宋体" w:hint="default"/>
                <w:sz w:val="18"/>
                <w:szCs w:val="18"/>
              </w:rPr>
            </w:pPr>
            <w:r>
              <w:rPr>
                <w:rFonts w:ascii="宋体"/>
                <w:sz w:val="18"/>
              </w:rPr>
              <w:t>49%</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2"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9"/>
              <w:jc w:val="right"/>
              <w:rPr>
                <w:rFonts w:ascii="宋体" w:hAnsi="宋体" w:cs="宋体" w:eastAsia="宋体" w:hint="default"/>
                <w:sz w:val="18"/>
                <w:szCs w:val="18"/>
              </w:rPr>
            </w:pPr>
            <w:r>
              <w:rPr>
                <w:rFonts w:ascii="宋体"/>
                <w:sz w:val="18"/>
              </w:rPr>
              <w:t>29,400,000.00 -3,089,834.65</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4,696,777.89 31,006,943.24</w:t>
            </w:r>
          </w:p>
        </w:tc>
      </w:tr>
      <w:tr>
        <w:trPr>
          <w:trHeight w:val="400"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浙江维尔科技有限公司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5"/>
              <w:jc w:val="right"/>
              <w:rPr>
                <w:rFonts w:ascii="宋体" w:hAnsi="宋体" w:cs="宋体" w:eastAsia="宋体" w:hint="default"/>
                <w:sz w:val="18"/>
                <w:szCs w:val="18"/>
              </w:rPr>
            </w:pPr>
            <w:r>
              <w:rPr>
                <w:rFonts w:ascii="宋体"/>
                <w:sz w:val="18"/>
              </w:rPr>
              <w:t>21%</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2"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9,403,231.79  3,873,029.45</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6,248,571.42 19,524,832.66</w:t>
            </w:r>
          </w:p>
        </w:tc>
      </w:tr>
    </w:tbl>
    <w:p>
      <w:pPr>
        <w:spacing w:after="0" w:line="240" w:lineRule="auto"/>
        <w:jc w:val="right"/>
        <w:rPr>
          <w:rFonts w:ascii="宋体" w:hAnsi="宋体" w:cs="宋体" w:eastAsia="宋体" w:hint="default"/>
          <w:sz w:val="18"/>
          <w:szCs w:val="18"/>
        </w:rPr>
        <w:sectPr>
          <w:pgSz w:w="11910" w:h="16840"/>
          <w:pgMar w:header="0" w:footer="1263" w:top="1540" w:bottom="1460" w:left="1660" w:right="1000"/>
        </w:sectPr>
      </w:pPr>
    </w:p>
    <w:p>
      <w:pPr>
        <w:tabs>
          <w:tab w:pos="3566" w:val="left" w:leader="none"/>
          <w:tab w:pos="4330" w:val="left" w:leader="none"/>
          <w:tab w:pos="5770" w:val="left" w:leader="none"/>
          <w:tab w:pos="7030" w:val="left" w:leader="none"/>
        </w:tabs>
        <w:spacing w:before="17"/>
        <w:ind w:left="370" w:right="0" w:firstLine="0"/>
        <w:jc w:val="center"/>
        <w:rPr>
          <w:rFonts w:ascii="宋体" w:hAnsi="宋体" w:cs="宋体" w:eastAsia="宋体" w:hint="default"/>
          <w:sz w:val="18"/>
          <w:szCs w:val="18"/>
        </w:rPr>
      </w:pPr>
      <w:r>
        <w:rPr>
          <w:rFonts w:ascii="宋体" w:hAnsi="宋体" w:cs="宋体" w:eastAsia="宋体" w:hint="default"/>
          <w:sz w:val="18"/>
          <w:szCs w:val="18"/>
        </w:rPr>
        <w:t>北京美髯公科技发展有限公司26.63%</w:t>
        <w:tab/>
        <w:t>20</w:t>
      </w:r>
      <w:r>
        <w:rPr>
          <w:rFonts w:ascii="宋体" w:hAnsi="宋体" w:cs="宋体" w:eastAsia="宋体" w:hint="default"/>
          <w:spacing w:val="-46"/>
          <w:sz w:val="18"/>
          <w:szCs w:val="18"/>
        </w:rPr>
        <w:t> </w:t>
      </w:r>
      <w:r>
        <w:rPr>
          <w:rFonts w:ascii="宋体" w:hAnsi="宋体" w:cs="宋体" w:eastAsia="宋体" w:hint="default"/>
          <w:sz w:val="18"/>
          <w:szCs w:val="18"/>
        </w:rPr>
        <w:t>年</w:t>
        <w:tab/>
        <w:t>5,405,225.06</w:t>
        <w:tab/>
        <w:t>591,079.54</w:t>
        <w:tab/>
        <w:t>109,011.29  6,105,315.89</w:t>
      </w:r>
    </w:p>
    <w:p>
      <w:pPr>
        <w:spacing w:line="240" w:lineRule="auto" w:before="1"/>
        <w:rPr>
          <w:rFonts w:ascii="宋体" w:hAnsi="宋体" w:cs="宋体" w:eastAsia="宋体" w:hint="default"/>
          <w:sz w:val="14"/>
          <w:szCs w:val="14"/>
        </w:rPr>
      </w:pPr>
    </w:p>
    <w:p>
      <w:pPr>
        <w:tabs>
          <w:tab w:pos="2980" w:val="left" w:leader="none"/>
          <w:tab w:pos="4510" w:val="left" w:leader="none"/>
          <w:tab w:pos="5680" w:val="left" w:leader="none"/>
          <w:tab w:pos="7030" w:val="left" w:leader="none"/>
          <w:tab w:pos="8290" w:val="left" w:leader="none"/>
        </w:tabs>
        <w:spacing w:before="0"/>
        <w:ind w:left="370" w:right="0" w:firstLine="0"/>
        <w:jc w:val="center"/>
        <w:rPr>
          <w:rFonts w:ascii="宋体" w:hAnsi="宋体" w:cs="宋体" w:eastAsia="宋体" w:hint="default"/>
          <w:sz w:val="18"/>
          <w:szCs w:val="18"/>
        </w:rPr>
      </w:pPr>
      <w:r>
        <w:rPr>
          <w:rFonts w:ascii="宋体" w:hAnsi="宋体" w:cs="宋体" w:eastAsia="宋体" w:hint="default"/>
          <w:sz w:val="18"/>
          <w:szCs w:val="18"/>
        </w:rPr>
        <w:t>杭州易诺信息技术有限公司</w:t>
        <w:tab/>
        <w:t>30%</w:t>
        <w:tab/>
        <w:t>600,000.00</w:t>
        <w:tab/>
        <w:t>-537,373.99</w:t>
        <w:tab/>
        <w:t>186,381.16</w:t>
        <w:tab/>
        <w:t>249,007.17</w:t>
      </w:r>
    </w:p>
    <w:p>
      <w:pPr>
        <w:spacing w:line="240" w:lineRule="auto" w:before="1"/>
        <w:rPr>
          <w:rFonts w:ascii="宋体" w:hAnsi="宋体" w:cs="宋体" w:eastAsia="宋体" w:hint="default"/>
          <w:sz w:val="14"/>
          <w:szCs w:val="14"/>
        </w:rPr>
      </w:pPr>
    </w:p>
    <w:p>
      <w:pPr>
        <w:tabs>
          <w:tab w:pos="5067" w:val="left" w:leader="none"/>
          <w:tab w:pos="6597" w:val="left" w:leader="none"/>
        </w:tabs>
        <w:spacing w:before="0"/>
        <w:ind w:left="1557"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44,808,456.85</w:t>
      </w:r>
      <w:r>
        <w:rPr>
          <w:rFonts w:ascii="宋体" w:hAnsi="宋体" w:cs="宋体" w:eastAsia="宋体" w:hint="default"/>
          <w:sz w:val="18"/>
          <w:szCs w:val="18"/>
        </w:rPr>
        <w:tab/>
      </w:r>
      <w:r>
        <w:rPr>
          <w:rFonts w:ascii="宋体" w:hAnsi="宋体" w:cs="宋体" w:eastAsia="宋体" w:hint="default"/>
          <w:sz w:val="18"/>
          <w:szCs w:val="18"/>
          <w:u w:val="single" w:color="000000"/>
        </w:rPr>
        <w:t>836,900.35 </w:t>
      </w:r>
      <w:r>
        <w:rPr>
          <w:rFonts w:ascii="宋体" w:hAnsi="宋体" w:cs="宋体" w:eastAsia="宋体" w:hint="default"/>
          <w:sz w:val="18"/>
          <w:szCs w:val="18"/>
        </w:rPr>
      </w:r>
      <w:r>
        <w:rPr>
          <w:rFonts w:ascii="宋体" w:hAnsi="宋体" w:cs="宋体" w:eastAsia="宋体" w:hint="default"/>
          <w:sz w:val="18"/>
          <w:szCs w:val="18"/>
          <w:u w:val="single" w:color="000000"/>
        </w:rPr>
        <w:t>11,240,741.76 </w:t>
      </w:r>
      <w:r>
        <w:rPr>
          <w:rFonts w:ascii="宋体" w:hAnsi="宋体" w:cs="宋体" w:eastAsia="宋体" w:hint="default"/>
          <w:sz w:val="18"/>
          <w:szCs w:val="18"/>
        </w:rPr>
      </w:r>
      <w:r>
        <w:rPr>
          <w:rFonts w:ascii="宋体" w:hAnsi="宋体" w:cs="宋体" w:eastAsia="宋体" w:hint="default"/>
          <w:sz w:val="18"/>
          <w:szCs w:val="18"/>
          <w:u w:val="single" w:color="000000"/>
        </w:rPr>
        <w:t>56,886,098.96</w:t>
      </w:r>
      <w:r>
        <w:rPr>
          <w:rFonts w:ascii="宋体" w:hAnsi="宋体" w:cs="宋体" w:eastAsia="宋体" w:hint="default"/>
          <w:sz w:val="18"/>
          <w:szCs w:val="18"/>
        </w:rPr>
      </w:r>
    </w:p>
    <w:p>
      <w:pPr>
        <w:pStyle w:val="BodyText"/>
        <w:spacing w:line="240" w:lineRule="auto" w:before="141"/>
        <w:ind w:left="1617" w:right="0"/>
        <w:jc w:val="left"/>
      </w:pPr>
      <w:r>
        <w:rPr/>
        <w:t>②</w:t>
      </w:r>
      <w:r>
        <w:rPr>
          <w:spacing w:val="-2"/>
        </w:rPr>
        <w:t> </w:t>
      </w:r>
      <w:r>
        <w:rPr/>
        <w:t>本期增减变动明细情况</w:t>
      </w:r>
    </w:p>
    <w:p>
      <w:pPr>
        <w:spacing w:line="240" w:lineRule="auto" w:before="5"/>
        <w:rPr>
          <w:rFonts w:ascii="宋体" w:hAnsi="宋体" w:cs="宋体" w:eastAsia="宋体" w:hint="default"/>
          <w:sz w:val="14"/>
          <w:szCs w:val="14"/>
        </w:rPr>
      </w:pPr>
    </w:p>
    <w:p>
      <w:pPr>
        <w:tabs>
          <w:tab w:pos="3070" w:val="left" w:leader="none"/>
          <w:tab w:pos="4420" w:val="left" w:leader="none"/>
          <w:tab w:pos="5590" w:val="left" w:leader="none"/>
          <w:tab w:pos="6670" w:val="left" w:leader="none"/>
          <w:tab w:pos="7840" w:val="left" w:leader="none"/>
          <w:tab w:pos="9550" w:val="left" w:leader="none"/>
        </w:tabs>
        <w:spacing w:line="234" w:lineRule="exact" w:before="0"/>
        <w:ind w:left="460" w:right="0" w:firstLine="0"/>
        <w:jc w:val="center"/>
        <w:rPr>
          <w:rFonts w:ascii="宋体" w:hAnsi="宋体" w:cs="宋体" w:eastAsia="宋体" w:hint="default"/>
          <w:sz w:val="18"/>
          <w:szCs w:val="18"/>
        </w:rPr>
      </w:pPr>
      <w:r>
        <w:rPr>
          <w:rFonts w:ascii="宋体" w:hAnsi="宋体" w:cs="宋体" w:eastAsia="宋体" w:hint="default"/>
          <w:sz w:val="18"/>
          <w:szCs w:val="18"/>
        </w:rPr>
        <w:t>被投资</w:t>
        <w:tab/>
        <w:t>初始</w:t>
        <w:tab/>
        <w:t>期初</w:t>
        <w:tab/>
        <w:t>本期成本</w:t>
        <w:tab/>
        <w:t>本期损益</w:t>
        <w:tab/>
        <w:t>本期其他权益</w:t>
        <w:tab/>
        <w:t>期末</w:t>
      </w:r>
    </w:p>
    <w:p>
      <w:pPr>
        <w:tabs>
          <w:tab w:pos="3087" w:val="left" w:leader="none"/>
          <w:tab w:pos="4527" w:val="left" w:leader="none"/>
          <w:tab w:pos="5702" w:val="left" w:leader="none"/>
          <w:tab w:pos="6602" w:val="left" w:leader="none"/>
          <w:tab w:pos="7047" w:val="left" w:leader="none"/>
          <w:tab w:pos="7952" w:val="left" w:leader="none"/>
          <w:tab w:pos="9662" w:val="left" w:leader="none"/>
        </w:tabs>
        <w:spacing w:line="429" w:lineRule="auto" w:before="0"/>
        <w:ind w:left="479" w:right="104" w:hanging="88"/>
        <w:jc w:val="center"/>
        <w:rPr>
          <w:rFonts w:ascii="宋体" w:hAnsi="宋体" w:cs="宋体" w:eastAsia="宋体" w:hint="default"/>
          <w:sz w:val="18"/>
          <w:szCs w:val="18"/>
        </w:rPr>
      </w:pPr>
      <w:r>
        <w:rPr>
          <w:rFonts w:ascii="宋体" w:hAnsi="宋体" w:cs="宋体" w:eastAsia="宋体" w:hint="default"/>
          <w:sz w:val="18"/>
          <w:szCs w:val="18"/>
        </w:rPr>
        <w:t>单位名称</w:t>
        <w:tab/>
        <w:t>金额</w:t>
        <w:tab/>
        <w:t>数</w:t>
        <w:tab/>
        <w:t>增减额</w:t>
        <w:tab/>
        <w:t>调整增减额</w:t>
        <w:tab/>
        <w:t>变动增减额</w:t>
        <w:tab/>
        <w:t>数 杭州恒生世纪实业有限公司</w:t>
        <w:tab/>
        <w:t>29,400,000.00</w:t>
        <w:tab/>
        <w:t>29,530,642.16</w:t>
        <w:tab/>
        <w:tab/>
        <w:tab/>
        <w:t>-3,220,476.81  4,696,777.89 31,006,943.24</w:t>
      </w:r>
    </w:p>
    <w:p>
      <w:pPr>
        <w:tabs>
          <w:tab w:pos="2980" w:val="left" w:leader="none"/>
          <w:tab w:pos="4420" w:val="left" w:leader="none"/>
          <w:tab w:pos="7300" w:val="left" w:leader="none"/>
        </w:tabs>
        <w:spacing w:before="42"/>
        <w:ind w:left="373" w:right="0" w:firstLine="0"/>
        <w:jc w:val="center"/>
        <w:rPr>
          <w:rFonts w:ascii="宋体" w:hAnsi="宋体" w:cs="宋体" w:eastAsia="宋体" w:hint="default"/>
          <w:sz w:val="18"/>
          <w:szCs w:val="18"/>
        </w:rPr>
      </w:pPr>
      <w:r>
        <w:rPr>
          <w:rFonts w:ascii="宋体" w:hAnsi="宋体" w:cs="宋体" w:eastAsia="宋体" w:hint="default"/>
          <w:sz w:val="18"/>
          <w:szCs w:val="18"/>
        </w:rPr>
        <w:t>浙江维尔科技有限公司</w:t>
        <w:tab/>
        <w:t>10,285,700.00</w:t>
        <w:tab/>
        <w:t>13,275,604.18</w:t>
        <w:tab/>
        <w:t>96,657.06  6,152,571.42 19,524,832.66</w:t>
      </w:r>
    </w:p>
    <w:p>
      <w:pPr>
        <w:spacing w:line="240" w:lineRule="auto" w:before="1"/>
        <w:rPr>
          <w:rFonts w:ascii="宋体" w:hAnsi="宋体" w:cs="宋体" w:eastAsia="宋体" w:hint="default"/>
          <w:sz w:val="14"/>
          <w:szCs w:val="14"/>
        </w:rPr>
      </w:pPr>
    </w:p>
    <w:p>
      <w:pPr>
        <w:tabs>
          <w:tab w:pos="3070" w:val="left" w:leader="none"/>
          <w:tab w:pos="4510" w:val="left" w:leader="none"/>
          <w:tab w:pos="7210" w:val="left" w:leader="none"/>
          <w:tab w:pos="9550" w:val="left" w:leader="none"/>
        </w:tabs>
        <w:spacing w:before="0"/>
        <w:ind w:left="373" w:right="0" w:firstLine="0"/>
        <w:jc w:val="center"/>
        <w:rPr>
          <w:rFonts w:ascii="宋体" w:hAnsi="宋体" w:cs="宋体" w:eastAsia="宋体" w:hint="default"/>
          <w:sz w:val="18"/>
          <w:szCs w:val="18"/>
        </w:rPr>
      </w:pPr>
      <w:r>
        <w:rPr>
          <w:rFonts w:ascii="宋体" w:hAnsi="宋体" w:cs="宋体" w:eastAsia="宋体" w:hint="default"/>
          <w:sz w:val="18"/>
          <w:szCs w:val="18"/>
        </w:rPr>
        <w:t>北京美髯公科技发展有限公司</w:t>
        <w:tab/>
        <w:t>5,405,225.06</w:t>
        <w:tab/>
        <w:t>8,871,616.13 -3,000,000.00</w:t>
        <w:tab/>
        <w:t>233,699.76</w:t>
        <w:tab/>
        <w:t>6,105,315.89</w:t>
      </w:r>
    </w:p>
    <w:p>
      <w:pPr>
        <w:spacing w:line="240" w:lineRule="auto" w:before="1"/>
        <w:rPr>
          <w:rFonts w:ascii="宋体" w:hAnsi="宋体" w:cs="宋体" w:eastAsia="宋体" w:hint="default"/>
          <w:sz w:val="14"/>
          <w:szCs w:val="14"/>
        </w:rPr>
      </w:pPr>
    </w:p>
    <w:p>
      <w:pPr>
        <w:tabs>
          <w:tab w:pos="3250" w:val="left" w:leader="none"/>
          <w:tab w:pos="5950" w:val="left" w:leader="none"/>
          <w:tab w:pos="7120" w:val="left" w:leader="none"/>
          <w:tab w:pos="8470" w:val="left" w:leader="none"/>
          <w:tab w:pos="9730" w:val="left" w:leader="none"/>
        </w:tabs>
        <w:spacing w:before="0"/>
        <w:ind w:left="373" w:right="0" w:firstLine="0"/>
        <w:jc w:val="center"/>
        <w:rPr>
          <w:rFonts w:ascii="宋体" w:hAnsi="宋体" w:cs="宋体" w:eastAsia="宋体" w:hint="default"/>
          <w:sz w:val="18"/>
          <w:szCs w:val="18"/>
        </w:rPr>
      </w:pPr>
      <w:r>
        <w:rPr>
          <w:rFonts w:ascii="宋体" w:hAnsi="宋体" w:cs="宋体" w:eastAsia="宋体" w:hint="default"/>
          <w:sz w:val="18"/>
          <w:szCs w:val="18"/>
        </w:rPr>
        <w:t>杭州易诺信息技术有限公司</w:t>
        <w:tab/>
        <w:t>600,000.00</w:t>
        <w:tab/>
        <w:t>600,000.00</w:t>
        <w:tab/>
        <w:t>-537,373.99</w:t>
        <w:tab/>
        <w:t>186,381.16</w:t>
        <w:tab/>
        <w:t>249,007.17</w:t>
      </w:r>
    </w:p>
    <w:p>
      <w:pPr>
        <w:spacing w:line="240" w:lineRule="auto" w:before="1"/>
        <w:rPr>
          <w:rFonts w:ascii="宋体" w:hAnsi="宋体" w:cs="宋体" w:eastAsia="宋体" w:hint="default"/>
          <w:sz w:val="14"/>
          <w:szCs w:val="14"/>
        </w:rPr>
      </w:pPr>
    </w:p>
    <w:p>
      <w:pPr>
        <w:tabs>
          <w:tab w:pos="3087" w:val="left" w:leader="none"/>
          <w:tab w:pos="4527" w:val="left" w:leader="none"/>
        </w:tabs>
        <w:spacing w:before="0"/>
        <w:ind w:left="839"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45,690,925.06</w:t>
      </w:r>
      <w:r>
        <w:rPr>
          <w:rFonts w:ascii="宋体" w:hAnsi="宋体" w:cs="宋体" w:eastAsia="宋体" w:hint="default"/>
          <w:sz w:val="18"/>
          <w:szCs w:val="18"/>
        </w:rPr>
        <w:tab/>
      </w:r>
      <w:r>
        <w:rPr>
          <w:rFonts w:ascii="宋体" w:hAnsi="宋体" w:cs="宋体" w:eastAsia="宋体" w:hint="default"/>
          <w:sz w:val="18"/>
          <w:szCs w:val="18"/>
          <w:u w:val="single" w:color="000000"/>
        </w:rPr>
        <w:t>51,677,862.47 </w:t>
      </w:r>
      <w:r>
        <w:rPr>
          <w:rFonts w:ascii="宋体" w:hAnsi="宋体" w:cs="宋体" w:eastAsia="宋体" w:hint="default"/>
          <w:sz w:val="18"/>
          <w:szCs w:val="18"/>
        </w:rPr>
      </w:r>
      <w:r>
        <w:rPr>
          <w:rFonts w:ascii="宋体" w:hAnsi="宋体" w:cs="宋体" w:eastAsia="宋体" w:hint="default"/>
          <w:sz w:val="18"/>
          <w:szCs w:val="18"/>
          <w:u w:val="single" w:color="000000"/>
        </w:rPr>
        <w:t>-2,400,000.00 </w:t>
      </w:r>
      <w:r>
        <w:rPr>
          <w:rFonts w:ascii="宋体" w:hAnsi="宋体" w:cs="宋体" w:eastAsia="宋体" w:hint="default"/>
          <w:sz w:val="18"/>
          <w:szCs w:val="18"/>
        </w:rPr>
      </w:r>
      <w:r>
        <w:rPr>
          <w:rFonts w:ascii="宋体" w:hAnsi="宋体" w:cs="宋体" w:eastAsia="宋体" w:hint="default"/>
          <w:sz w:val="18"/>
          <w:szCs w:val="18"/>
          <w:u w:val="single" w:color="000000"/>
        </w:rPr>
        <w:t>-3,427,493.98 </w:t>
      </w:r>
      <w:r>
        <w:rPr>
          <w:rFonts w:ascii="宋体" w:hAnsi="宋体" w:cs="宋体" w:eastAsia="宋体" w:hint="default"/>
          <w:sz w:val="18"/>
          <w:szCs w:val="18"/>
        </w:rPr>
      </w:r>
      <w:r>
        <w:rPr>
          <w:rFonts w:ascii="宋体" w:hAnsi="宋体" w:cs="宋体" w:eastAsia="宋体" w:hint="default"/>
          <w:sz w:val="18"/>
          <w:szCs w:val="18"/>
          <w:u w:val="single" w:color="000000"/>
        </w:rPr>
        <w:t>11,035,730.47 </w:t>
      </w:r>
      <w:r>
        <w:rPr>
          <w:rFonts w:ascii="宋体" w:hAnsi="宋体" w:cs="宋体" w:eastAsia="宋体" w:hint="default"/>
          <w:sz w:val="18"/>
          <w:szCs w:val="18"/>
        </w:rPr>
      </w:r>
      <w:r>
        <w:rPr>
          <w:rFonts w:ascii="宋体" w:hAnsi="宋体" w:cs="宋体" w:eastAsia="宋体" w:hint="default"/>
          <w:sz w:val="18"/>
          <w:szCs w:val="18"/>
          <w:u w:val="single" w:color="000000"/>
        </w:rPr>
        <w:t>56,886,098.96</w:t>
      </w:r>
      <w:r>
        <w:rPr>
          <w:rFonts w:ascii="宋体" w:hAnsi="宋体" w:cs="宋体" w:eastAsia="宋体" w:hint="default"/>
          <w:sz w:val="18"/>
          <w:szCs w:val="18"/>
        </w:rPr>
      </w:r>
    </w:p>
    <w:p>
      <w:pPr>
        <w:pStyle w:val="BodyText"/>
        <w:spacing w:line="240" w:lineRule="auto" w:before="141"/>
        <w:ind w:left="1617" w:right="0"/>
        <w:jc w:val="left"/>
      </w:pPr>
      <w:r>
        <w:rPr/>
        <w:t>(3)</w:t>
      </w:r>
      <w:r>
        <w:rPr>
          <w:spacing w:val="-2"/>
        </w:rPr>
        <w:t> </w:t>
      </w:r>
      <w:r>
        <w:rPr/>
        <w:t>成本法核算的长期股权投资</w:t>
      </w:r>
    </w:p>
    <w:p>
      <w:pPr>
        <w:spacing w:line="240" w:lineRule="auto" w:before="0"/>
        <w:rPr>
          <w:rFonts w:ascii="宋体" w:hAnsi="宋体" w:cs="宋体" w:eastAsia="宋体" w:hint="default"/>
          <w:sz w:val="11"/>
          <w:szCs w:val="11"/>
        </w:rPr>
      </w:pPr>
    </w:p>
    <w:tbl>
      <w:tblPr>
        <w:tblW w:w="0" w:type="auto"/>
        <w:jc w:val="left"/>
        <w:tblInd w:w="441" w:type="dxa"/>
        <w:tblLayout w:type="fixed"/>
        <w:tblCellMar>
          <w:top w:w="0" w:type="dxa"/>
          <w:left w:w="0" w:type="dxa"/>
          <w:bottom w:w="0" w:type="dxa"/>
          <w:right w:w="0" w:type="dxa"/>
        </w:tblCellMar>
        <w:tblLook w:val="01E0"/>
      </w:tblPr>
      <w:tblGrid>
        <w:gridCol w:w="1609"/>
        <w:gridCol w:w="1395"/>
        <w:gridCol w:w="810"/>
        <w:gridCol w:w="1035"/>
        <w:gridCol w:w="1169"/>
        <w:gridCol w:w="1216"/>
        <w:gridCol w:w="1395"/>
        <w:gridCol w:w="979"/>
      </w:tblGrid>
      <w:tr>
        <w:trPr>
          <w:trHeight w:val="306"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19"/>
              <w:jc w:val="center"/>
              <w:rPr>
                <w:rFonts w:ascii="宋体" w:hAnsi="宋体" w:cs="宋体" w:eastAsia="宋体" w:hint="default"/>
                <w:sz w:val="18"/>
                <w:szCs w:val="18"/>
              </w:rPr>
            </w:pPr>
            <w:r>
              <w:rPr>
                <w:rFonts w:ascii="宋体" w:hAnsi="宋体" w:cs="宋体" w:eastAsia="宋体" w:hint="default"/>
                <w:sz w:val="18"/>
                <w:szCs w:val="18"/>
              </w:rPr>
              <w:t>被投资</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hAnsi="宋体" w:cs="宋体" w:eastAsia="宋体" w:hint="default"/>
                <w:sz w:val="18"/>
                <w:szCs w:val="18"/>
              </w:rPr>
              <w:t>持股</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9" w:right="0"/>
              <w:jc w:val="left"/>
              <w:rPr>
                <w:rFonts w:ascii="宋体" w:hAnsi="宋体" w:cs="宋体" w:eastAsia="宋体" w:hint="default"/>
                <w:sz w:val="18"/>
                <w:szCs w:val="18"/>
              </w:rPr>
            </w:pPr>
            <w:r>
              <w:rPr>
                <w:rFonts w:ascii="宋体" w:hAnsi="宋体" w:cs="宋体" w:eastAsia="宋体" w:hint="default"/>
                <w:sz w:val="18"/>
                <w:szCs w:val="18"/>
              </w:rPr>
              <w:t>初始</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本期</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9"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期末</w:t>
            </w:r>
          </w:p>
        </w:tc>
      </w:tr>
      <w:tr>
        <w:trPr>
          <w:trHeight w:val="306"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06" w:lineRule="exact"/>
              <w:ind w:right="81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5" w:type="dxa"/>
            <w:tcBorders>
              <w:top w:val="nil" w:sz="6" w:space="0" w:color="auto"/>
              <w:left w:val="nil" w:sz="6" w:space="0" w:color="auto"/>
              <w:bottom w:val="nil" w:sz="6" w:space="0" w:color="auto"/>
              <w:right w:val="nil" w:sz="6" w:space="0" w:color="auto"/>
            </w:tcBorders>
          </w:tcPr>
          <w:p>
            <w:pPr>
              <w:pStyle w:val="TableParagraph"/>
              <w:spacing w:line="206" w:lineRule="exact"/>
              <w:ind w:right="177"/>
              <w:jc w:val="right"/>
              <w:rPr>
                <w:rFonts w:ascii="宋体" w:hAnsi="宋体" w:cs="宋体" w:eastAsia="宋体" w:hint="default"/>
                <w:sz w:val="18"/>
                <w:szCs w:val="18"/>
              </w:rPr>
            </w:pPr>
            <w:r>
              <w:rPr>
                <w:rFonts w:ascii="宋体" w:hAnsi="宋体" w:cs="宋体" w:eastAsia="宋体" w:hint="default"/>
                <w:sz w:val="18"/>
                <w:szCs w:val="18"/>
              </w:rPr>
              <w:t>比例</w:t>
            </w:r>
          </w:p>
        </w:tc>
        <w:tc>
          <w:tcPr>
            <w:tcW w:w="810" w:type="dxa"/>
            <w:tcBorders>
              <w:top w:val="nil" w:sz="6" w:space="0" w:color="auto"/>
              <w:left w:val="nil" w:sz="6" w:space="0" w:color="auto"/>
              <w:bottom w:val="nil" w:sz="6" w:space="0" w:color="auto"/>
              <w:right w:val="nil" w:sz="6" w:space="0" w:color="auto"/>
            </w:tcBorders>
          </w:tcPr>
          <w:p>
            <w:pPr>
              <w:pStyle w:val="TableParagraph"/>
              <w:spacing w:line="206" w:lineRule="exact"/>
              <w:ind w:left="180"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035"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69" w:type="dxa"/>
            <w:tcBorders>
              <w:top w:val="nil" w:sz="6" w:space="0" w:color="auto"/>
              <w:left w:val="nil" w:sz="6" w:space="0" w:color="auto"/>
              <w:bottom w:val="nil" w:sz="6" w:space="0" w:color="auto"/>
              <w:right w:val="nil" w:sz="6" w:space="0" w:color="auto"/>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216" w:type="dxa"/>
            <w:tcBorders>
              <w:top w:val="nil" w:sz="6" w:space="0" w:color="auto"/>
              <w:left w:val="nil" w:sz="6" w:space="0" w:color="auto"/>
              <w:bottom w:val="nil" w:sz="6" w:space="0" w:color="auto"/>
              <w:right w:val="nil" w:sz="6" w:space="0" w:color="auto"/>
            </w:tcBorders>
          </w:tcPr>
          <w:p>
            <w:pPr>
              <w:pStyle w:val="TableParagraph"/>
              <w:spacing w:line="206" w:lineRule="exact"/>
              <w:ind w:right="41"/>
              <w:jc w:val="center"/>
              <w:rPr>
                <w:rFonts w:ascii="宋体" w:hAnsi="宋体" w:cs="宋体" w:eastAsia="宋体" w:hint="default"/>
                <w:sz w:val="18"/>
                <w:szCs w:val="18"/>
              </w:rPr>
            </w:pPr>
            <w:r>
              <w:rPr>
                <w:rFonts w:ascii="宋体" w:hAnsi="宋体" w:cs="宋体" w:eastAsia="宋体" w:hint="default"/>
                <w:sz w:val="18"/>
                <w:szCs w:val="18"/>
              </w:rPr>
              <w:t>增加</w:t>
            </w:r>
          </w:p>
        </w:tc>
        <w:tc>
          <w:tcPr>
            <w:tcW w:w="1395" w:type="dxa"/>
            <w:tcBorders>
              <w:top w:val="nil" w:sz="6" w:space="0" w:color="auto"/>
              <w:left w:val="nil" w:sz="6" w:space="0" w:color="auto"/>
              <w:bottom w:val="nil" w:sz="6" w:space="0" w:color="auto"/>
              <w:right w:val="nil" w:sz="6" w:space="0" w:color="auto"/>
            </w:tcBorders>
          </w:tcPr>
          <w:p>
            <w:pPr>
              <w:pStyle w:val="TableParagraph"/>
              <w:spacing w:line="206" w:lineRule="exact"/>
              <w:ind w:left="450"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979" w:type="dxa"/>
            <w:tcBorders>
              <w:top w:val="nil" w:sz="6" w:space="0" w:color="auto"/>
              <w:left w:val="nil" w:sz="6" w:space="0" w:color="auto"/>
              <w:bottom w:val="nil" w:sz="6" w:space="0" w:color="auto"/>
              <w:right w:val="nil" w:sz="6" w:space="0" w:color="auto"/>
            </w:tcBorders>
          </w:tcPr>
          <w:p>
            <w:pPr>
              <w:pStyle w:val="TableParagraph"/>
              <w:spacing w:line="206" w:lineRule="exact"/>
              <w:ind w:right="121"/>
              <w:jc w:val="right"/>
              <w:rPr>
                <w:rFonts w:ascii="宋体" w:hAnsi="宋体" w:cs="宋体" w:eastAsia="宋体" w:hint="default"/>
                <w:sz w:val="18"/>
                <w:szCs w:val="18"/>
              </w:rPr>
            </w:pPr>
            <w:r>
              <w:rPr>
                <w:rFonts w:ascii="宋体" w:hAnsi="宋体" w:cs="宋体" w:eastAsia="宋体" w:hint="default"/>
                <w:sz w:val="18"/>
                <w:szCs w:val="18"/>
              </w:rPr>
              <w:t>数</w:t>
            </w:r>
          </w:p>
        </w:tc>
      </w:tr>
    </w:tbl>
    <w:p>
      <w:pPr>
        <w:tabs>
          <w:tab w:pos="9297" w:val="left" w:leader="none"/>
        </w:tabs>
        <w:spacing w:before="84"/>
        <w:ind w:left="118" w:right="0" w:firstLine="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  10.00%  10 年  2,000,000.00</w:t>
      </w:r>
      <w:r>
        <w:rPr>
          <w:rFonts w:ascii="宋体" w:hAnsi="宋体" w:cs="宋体" w:eastAsia="宋体" w:hint="default"/>
          <w:spacing w:val="-3"/>
          <w:sz w:val="18"/>
          <w:szCs w:val="18"/>
        </w:rPr>
        <w:t> </w:t>
      </w:r>
      <w:r>
        <w:rPr>
          <w:rFonts w:ascii="宋体" w:hAnsi="宋体" w:cs="宋体" w:eastAsia="宋体" w:hint="default"/>
          <w:sz w:val="18"/>
          <w:szCs w:val="18"/>
        </w:rPr>
        <w:t>2,000,000.00</w:t>
        <w:tab/>
        <w:t>2,000,000.00</w:t>
      </w:r>
    </w:p>
    <w:p>
      <w:pPr>
        <w:spacing w:line="240" w:lineRule="auto" w:before="1"/>
        <w:rPr>
          <w:rFonts w:ascii="宋体" w:hAnsi="宋体" w:cs="宋体" w:eastAsia="宋体" w:hint="default"/>
          <w:sz w:val="14"/>
          <w:szCs w:val="14"/>
        </w:rPr>
      </w:pPr>
    </w:p>
    <w:p>
      <w:pPr>
        <w:tabs>
          <w:tab w:pos="2907" w:val="left" w:leader="none"/>
          <w:tab w:pos="3987" w:val="left" w:leader="none"/>
          <w:tab w:pos="7587" w:val="left" w:leader="none"/>
        </w:tabs>
        <w:spacing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长江证券股份有限公司</w:t>
        <w:tab/>
        <w:t>0.20%</w:t>
        <w:tab/>
        <w:t>24,000,000.00 24,000,000.00</w:t>
        <w:tab/>
        <w:t>24,000,000.00[注]</w:t>
      </w:r>
    </w:p>
    <w:p>
      <w:pPr>
        <w:spacing w:line="240" w:lineRule="auto" w:before="1"/>
        <w:rPr>
          <w:rFonts w:ascii="宋体" w:hAnsi="宋体" w:cs="宋体" w:eastAsia="宋体" w:hint="default"/>
          <w:sz w:val="14"/>
          <w:szCs w:val="14"/>
        </w:rPr>
      </w:pPr>
    </w:p>
    <w:p>
      <w:pPr>
        <w:tabs>
          <w:tab w:pos="2907" w:val="left" w:leader="none"/>
          <w:tab w:pos="4257" w:val="left" w:leader="none"/>
          <w:tab w:pos="6597" w:val="left" w:leader="none"/>
          <w:tab w:pos="9477" w:val="left" w:leader="none"/>
        </w:tabs>
        <w:spacing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深圳市嘉资投资有限公司</w:t>
        <w:tab/>
        <w:t>6.00%</w:t>
        <w:tab/>
        <w:t>600,000.00</w:t>
        <w:tab/>
        <w:t>600,000.00</w:t>
        <w:tab/>
        <w:t>600,000.00</w:t>
      </w:r>
    </w:p>
    <w:p>
      <w:pPr>
        <w:spacing w:line="240" w:lineRule="auto" w:before="1"/>
        <w:rPr>
          <w:rFonts w:ascii="宋体" w:hAnsi="宋体" w:cs="宋体" w:eastAsia="宋体" w:hint="default"/>
          <w:sz w:val="14"/>
          <w:szCs w:val="14"/>
        </w:rPr>
      </w:pPr>
    </w:p>
    <w:p>
      <w:pPr>
        <w:tabs>
          <w:tab w:pos="3987" w:val="left" w:leader="none"/>
          <w:tab w:pos="9297" w:val="left" w:leader="none"/>
        </w:tabs>
        <w:spacing w:before="0"/>
        <w:ind w:left="476"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26,600,000.00 </w:t>
      </w:r>
      <w:r>
        <w:rPr>
          <w:rFonts w:ascii="宋体" w:hAnsi="宋体" w:cs="宋体" w:eastAsia="宋体" w:hint="default"/>
          <w:sz w:val="18"/>
          <w:szCs w:val="18"/>
        </w:rPr>
      </w:r>
      <w:r>
        <w:rPr>
          <w:rFonts w:ascii="宋体" w:hAnsi="宋体" w:cs="宋体" w:eastAsia="宋体" w:hint="default"/>
          <w:sz w:val="18"/>
          <w:szCs w:val="18"/>
          <w:u w:val="single" w:color="000000"/>
        </w:rPr>
        <w:t>26,000,000.00  </w:t>
      </w:r>
      <w:r>
        <w:rPr>
          <w:rFonts w:ascii="宋体" w:hAnsi="宋体" w:cs="宋体" w:eastAsia="宋体" w:hint="default"/>
          <w:sz w:val="18"/>
          <w:szCs w:val="18"/>
        </w:rPr>
      </w:r>
      <w:r>
        <w:rPr>
          <w:rFonts w:ascii="宋体" w:hAnsi="宋体" w:cs="宋体" w:eastAsia="宋体" w:hint="default"/>
          <w:sz w:val="18"/>
          <w:szCs w:val="18"/>
          <w:u w:val="single" w:color="000000"/>
        </w:rPr>
        <w:t>600,000.00</w:t>
      </w:r>
      <w:r>
        <w:rPr>
          <w:rFonts w:ascii="宋体" w:hAnsi="宋体" w:cs="宋体" w:eastAsia="宋体" w:hint="default"/>
          <w:spacing w:val="-1"/>
          <w:sz w:val="18"/>
          <w:szCs w:val="18"/>
          <w:u w:val="single" w:color="000000"/>
        </w:rPr>
        <w:t> </w:t>
      </w:r>
      <w:r>
        <w:rPr>
          <w:rFonts w:ascii="宋体" w:hAnsi="宋体" w:cs="宋体" w:eastAsia="宋体" w:hint="default"/>
          <w:spacing w:val="-1"/>
          <w:sz w:val="18"/>
          <w:szCs w:val="18"/>
        </w:rPr>
      </w:r>
      <w:r>
        <w:rPr>
          <w:rFonts w:ascii="宋体" w:hAnsi="宋体" w:cs="宋体" w:eastAsia="宋体" w:hint="default"/>
          <w:sz w:val="18"/>
          <w:szCs w:val="18"/>
          <w:u w:val="single" w:color="000000"/>
        </w:rPr>
        <w:t>24,000,000.00</w:t>
      </w:r>
      <w:r>
        <w:rPr>
          <w:rFonts w:ascii="宋体" w:hAnsi="宋体" w:cs="宋体" w:eastAsia="宋体" w:hint="default"/>
          <w:sz w:val="18"/>
          <w:szCs w:val="18"/>
        </w:rPr>
        <w:tab/>
      </w:r>
      <w:r>
        <w:rPr>
          <w:rFonts w:ascii="宋体" w:hAnsi="宋体" w:cs="宋体" w:eastAsia="宋体" w:hint="default"/>
          <w:sz w:val="18"/>
          <w:szCs w:val="18"/>
          <w:u w:val="single" w:color="000000"/>
        </w:rPr>
        <w:t>2,600,000.00</w:t>
      </w:r>
      <w:r>
        <w:rPr>
          <w:rFonts w:ascii="宋体" w:hAnsi="宋体" w:cs="宋体" w:eastAsia="宋体" w:hint="default"/>
          <w:sz w:val="18"/>
          <w:szCs w:val="18"/>
        </w:rPr>
      </w:r>
    </w:p>
    <w:p>
      <w:pPr>
        <w:pStyle w:val="BodyText"/>
        <w:spacing w:line="367" w:lineRule="auto" w:before="141"/>
        <w:ind w:left="1617" w:right="1493"/>
        <w:jc w:val="left"/>
      </w:pPr>
      <w:r>
        <w:rPr/>
        <w:t>[注]：本期转入可供出售金融资产项目反映，详见本财务报表附注七(一)7</w:t>
      </w:r>
      <w:r>
        <w:rPr>
          <w:spacing w:val="-56"/>
        </w:rPr>
        <w:t> </w:t>
      </w:r>
      <w:r>
        <w:rPr/>
        <w:t>之注释。</w:t>
      </w:r>
      <w:r>
        <w:rPr/>
        <w:t> (4)</w:t>
      </w:r>
      <w:r>
        <w:rPr>
          <w:spacing w:val="-1"/>
        </w:rPr>
        <w:t> </w:t>
      </w:r>
      <w:r>
        <w:rPr/>
        <w:t>长期股权投资减值准备</w:t>
      </w:r>
      <w:r>
        <w:rPr/>
        <w:t> 期末，未发现长期股权投资存在明显减值迹象，故未计提减值准备。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6888" w:val="left" w:leader="none"/>
        </w:tabs>
        <w:spacing w:line="240" w:lineRule="auto" w:before="0"/>
        <w:ind w:left="1617" w:right="0"/>
        <w:jc w:val="left"/>
      </w:pPr>
      <w:r>
        <w:rPr/>
        <w:t>9.</w:t>
      </w:r>
      <w:r>
        <w:rPr>
          <w:spacing w:val="-2"/>
        </w:rPr>
        <w:t> </w:t>
      </w:r>
      <w:r>
        <w:rPr/>
        <w:t>投资性房地产</w:t>
        <w:tab/>
        <w:t>期末数</w:t>
      </w:r>
      <w:r>
        <w:rPr>
          <w:spacing w:val="-53"/>
        </w:rPr>
        <w:t> </w:t>
      </w:r>
      <w:r>
        <w:rPr/>
        <w:t>26,057,903.27</w:t>
      </w:r>
    </w:p>
    <w:p>
      <w:pPr>
        <w:pStyle w:val="BodyText"/>
        <w:spacing w:line="367" w:lineRule="auto"/>
        <w:ind w:left="1617" w:right="7949"/>
        <w:jc w:val="left"/>
      </w:pPr>
      <w:r>
        <w:rPr/>
        <w:t>(1)</w:t>
      </w:r>
      <w:r>
        <w:rPr>
          <w:spacing w:val="-2"/>
        </w:rPr>
        <w:t> </w:t>
      </w:r>
      <w:r>
        <w:rPr/>
        <w:t>明细情况</w:t>
      </w:r>
      <w:r>
        <w:rPr/>
        <w:t> 原价</w:t>
      </w:r>
    </w:p>
    <w:p>
      <w:pPr>
        <w:pStyle w:val="BodyText"/>
        <w:tabs>
          <w:tab w:pos="2457" w:val="left" w:leader="none"/>
          <w:tab w:pos="3863" w:val="left" w:leader="none"/>
          <w:tab w:pos="4242" w:val="left" w:leader="none"/>
          <w:tab w:pos="5606" w:val="left" w:leader="none"/>
          <w:tab w:pos="6884" w:val="left" w:leader="none"/>
          <w:tab w:pos="7076" w:val="left" w:leader="none"/>
          <w:tab w:pos="8364" w:val="left" w:leader="none"/>
          <w:tab w:pos="8755" w:val="left" w:leader="none"/>
        </w:tabs>
        <w:spacing w:line="367" w:lineRule="auto" w:before="34"/>
        <w:ind w:left="1845" w:right="1112" w:firstLine="192"/>
        <w:jc w:val="left"/>
      </w:pPr>
      <w:r>
        <w:rPr/>
        <w:t>项</w:t>
        <w:tab/>
        <w:t>目</w:t>
        <w:tab/>
        <w:tab/>
      </w:r>
      <w:r>
        <w:rPr>
          <w:spacing w:val="-1"/>
        </w:rPr>
        <w:t>期初数</w:t>
        <w:tab/>
        <w:t>本期增加</w:t>
        <w:tab/>
        <w:tab/>
        <w:t>本期减少</w:t>
        <w:tab/>
        <w:tab/>
      </w:r>
      <w:r>
        <w:rPr/>
        <w:t>期末数</w:t>
      </w:r>
      <w:r>
        <w:rPr/>
        <w:t> </w:t>
      </w:r>
      <w:r>
        <w:rPr>
          <w:spacing w:val="-1"/>
        </w:rPr>
        <w:t>房屋及建筑物</w:t>
        <w:tab/>
        <w:t>34,825,976.27</w:t>
        <w:tab/>
        <w:tab/>
        <w:t>5,983,189.28</w:t>
        <w:tab/>
        <w:t>28,842,786.99</w:t>
      </w:r>
      <w:r>
        <w:rPr/>
      </w:r>
    </w:p>
    <w:p>
      <w:pPr>
        <w:pStyle w:val="BodyText"/>
        <w:tabs>
          <w:tab w:pos="2476" w:val="left" w:leader="none"/>
          <w:tab w:pos="3863" w:val="left" w:leader="none"/>
          <w:tab w:pos="6885" w:val="left" w:leader="none"/>
          <w:tab w:pos="8365" w:val="left" w:leader="none"/>
        </w:tabs>
        <w:spacing w:line="240" w:lineRule="auto" w:before="34"/>
        <w:ind w:left="2055" w:right="0"/>
        <w:jc w:val="left"/>
      </w:pPr>
      <w:r>
        <w:rPr/>
        <w:t>小</w:t>
        <w:tab/>
        <w:t>计</w:t>
        <w:tab/>
      </w:r>
      <w:r>
        <w:rPr>
          <w:spacing w:val="-1"/>
          <w:u w:val="single" w:color="000000"/>
        </w:rPr>
        <w:t>34,825,976.27</w:t>
      </w:r>
      <w:r>
        <w:rPr>
          <w:spacing w:val="-1"/>
        </w:rPr>
        <w:tab/>
      </w:r>
      <w:r>
        <w:rPr>
          <w:spacing w:val="-1"/>
          <w:u w:val="single" w:color="000000"/>
        </w:rPr>
        <w:t>5,983,189.28</w:t>
      </w:r>
      <w:r>
        <w:rPr>
          <w:spacing w:val="-1"/>
        </w:rPr>
        <w:tab/>
      </w:r>
      <w:r>
        <w:rPr>
          <w:spacing w:val="-1"/>
          <w:u w:val="single" w:color="000000"/>
        </w:rPr>
        <w:t>28,842,786.99</w:t>
      </w:r>
      <w:r>
        <w:rPr>
          <w:spacing w:val="-1"/>
        </w:rPr>
      </w:r>
    </w:p>
    <w:p>
      <w:pPr>
        <w:pStyle w:val="BodyText"/>
        <w:spacing w:line="240" w:lineRule="auto"/>
        <w:ind w:left="1617" w:right="0"/>
        <w:jc w:val="left"/>
      </w:pPr>
      <w:r>
        <w:rPr/>
        <w:t>累计折旧和累计摊销</w:t>
      </w:r>
    </w:p>
    <w:p>
      <w:pPr>
        <w:pStyle w:val="BodyText"/>
        <w:tabs>
          <w:tab w:pos="2457" w:val="left" w:leader="none"/>
          <w:tab w:pos="3789" w:val="left" w:leader="none"/>
          <w:tab w:pos="4137" w:val="left" w:leader="none"/>
          <w:tab w:pos="5440" w:val="left" w:leader="none"/>
          <w:tab w:pos="6880" w:val="left" w:leader="none"/>
          <w:tab w:pos="8468" w:val="left" w:leader="none"/>
          <w:tab w:pos="8755" w:val="left" w:leader="none"/>
        </w:tabs>
        <w:spacing w:line="367" w:lineRule="auto"/>
        <w:ind w:left="1845" w:right="1114" w:firstLine="191"/>
        <w:jc w:val="left"/>
      </w:pPr>
      <w:r>
        <w:rPr/>
        <w:t>项</w:t>
        <w:tab/>
        <w:t>目</w:t>
        <w:tab/>
        <w:tab/>
      </w:r>
      <w:r>
        <w:rPr>
          <w:spacing w:val="-1"/>
        </w:rPr>
        <w:t>期初数</w:t>
        <w:tab/>
      </w:r>
      <w:r>
        <w:rPr/>
        <w:t>本期增加</w:t>
        <w:tab/>
        <w:t>本期减少</w:t>
        <w:tab/>
        <w:tab/>
      </w:r>
      <w:r>
        <w:rPr>
          <w:spacing w:val="-1"/>
        </w:rPr>
        <w:t>期末数</w:t>
      </w:r>
      <w:r>
        <w:rPr/>
        <w:t> 房屋及建筑物</w:t>
        <w:tab/>
        <w:t>2,539,592.08</w:t>
        <w:tab/>
      </w:r>
      <w:r>
        <w:rPr>
          <w:spacing w:val="-1"/>
        </w:rPr>
        <w:t>681,992.01</w:t>
        <w:tab/>
        <w:t>436,700.37</w:t>
        <w:tab/>
        <w:t>2,784,883.72</w:t>
      </w:r>
      <w:r>
        <w:rPr/>
      </w:r>
    </w:p>
    <w:p>
      <w:pPr>
        <w:pStyle w:val="BodyText"/>
        <w:tabs>
          <w:tab w:pos="2476" w:val="left" w:leader="none"/>
          <w:tab w:pos="3789" w:val="left" w:leader="none"/>
          <w:tab w:pos="5439" w:val="left" w:leader="none"/>
          <w:tab w:pos="6879" w:val="left" w:leader="none"/>
          <w:tab w:pos="8469" w:val="left" w:leader="none"/>
        </w:tabs>
        <w:spacing w:line="240" w:lineRule="auto" w:before="34"/>
        <w:ind w:left="2055" w:right="0"/>
        <w:jc w:val="left"/>
      </w:pPr>
      <w:r>
        <w:rPr/>
        <w:t>小</w:t>
        <w:tab/>
        <w:t>计</w:t>
        <w:tab/>
      </w:r>
      <w:r>
        <w:rPr>
          <w:spacing w:val="-1"/>
          <w:u w:val="single" w:color="000000"/>
        </w:rPr>
        <w:t>2,539,592.08</w:t>
      </w:r>
      <w:r>
        <w:rPr>
          <w:spacing w:val="-1"/>
        </w:rPr>
        <w:tab/>
      </w:r>
      <w:r>
        <w:rPr>
          <w:spacing w:val="-1"/>
          <w:u w:val="single" w:color="000000"/>
        </w:rPr>
        <w:t>681,992.01</w:t>
      </w:r>
      <w:r>
        <w:rPr>
          <w:spacing w:val="-1"/>
        </w:rPr>
        <w:tab/>
      </w:r>
      <w:r>
        <w:rPr>
          <w:spacing w:val="-1"/>
          <w:u w:val="single" w:color="000000"/>
        </w:rPr>
        <w:t>436,700.37</w:t>
      </w:r>
      <w:r>
        <w:rPr>
          <w:spacing w:val="-1"/>
        </w:rPr>
        <w:tab/>
      </w:r>
      <w:r>
        <w:rPr>
          <w:spacing w:val="-1"/>
          <w:u w:val="single" w:color="000000"/>
        </w:rPr>
        <w:t>2,784,883.72</w:t>
      </w:r>
      <w:r>
        <w:rPr>
          <w:spacing w:val="-1"/>
        </w:rPr>
      </w:r>
      <w:r>
        <w:rPr/>
      </w:r>
    </w:p>
    <w:p>
      <w:pPr>
        <w:spacing w:after="0" w:line="240" w:lineRule="auto"/>
        <w:jc w:val="left"/>
        <w:sectPr>
          <w:pgSz w:w="11910" w:h="16840"/>
          <w:pgMar w:header="0" w:footer="1263" w:top="1580" w:bottom="1460" w:left="600" w:right="460"/>
        </w:sectPr>
      </w:pPr>
    </w:p>
    <w:p>
      <w:pPr>
        <w:pStyle w:val="BodyText"/>
        <w:spacing w:line="240" w:lineRule="auto" w:before="13"/>
        <w:ind w:left="537" w:right="0"/>
        <w:jc w:val="left"/>
      </w:pPr>
      <w:r>
        <w:rPr/>
        <w:t>账面价值</w:t>
      </w:r>
    </w:p>
    <w:p>
      <w:pPr>
        <w:pStyle w:val="BodyText"/>
        <w:tabs>
          <w:tab w:pos="1377" w:val="left" w:leader="none"/>
          <w:tab w:pos="3863" w:val="left" w:leader="none"/>
          <w:tab w:pos="4316" w:val="left" w:leader="none"/>
          <w:tab w:pos="5843" w:val="left" w:leader="none"/>
          <w:tab w:pos="6312" w:val="left" w:leader="none"/>
        </w:tabs>
        <w:spacing w:line="367" w:lineRule="auto"/>
        <w:ind w:left="765" w:right="1512" w:firstLine="191"/>
        <w:jc w:val="left"/>
      </w:pPr>
      <w:r>
        <w:rPr/>
        <w:t>项</w:t>
        <w:tab/>
        <w:t>目</w:t>
        <w:tab/>
        <w:tab/>
      </w:r>
      <w:r>
        <w:rPr>
          <w:spacing w:val="-1"/>
        </w:rPr>
        <w:t>期末数</w:t>
        <w:tab/>
        <w:tab/>
        <w:t>期初数</w:t>
      </w:r>
      <w:r>
        <w:rPr/>
        <w:t> </w:t>
      </w:r>
      <w:r>
        <w:rPr>
          <w:spacing w:val="-1"/>
        </w:rPr>
        <w:t>房屋及建筑物</w:t>
        <w:tab/>
        <w:t>26,057,903.27</w:t>
        <w:tab/>
      </w:r>
      <w:r>
        <w:rPr/>
        <w:t>32,286,384.19</w:t>
      </w:r>
    </w:p>
    <w:p>
      <w:pPr>
        <w:pStyle w:val="BodyText"/>
        <w:tabs>
          <w:tab w:pos="1396" w:val="left" w:leader="none"/>
          <w:tab w:pos="3863" w:val="left" w:leader="none"/>
          <w:tab w:pos="5843" w:val="left" w:leader="none"/>
        </w:tabs>
        <w:spacing w:line="240" w:lineRule="auto" w:before="34"/>
        <w:ind w:left="975" w:right="0"/>
        <w:jc w:val="left"/>
      </w:pPr>
      <w:r>
        <w:rPr/>
        <w:t>合</w:t>
        <w:tab/>
        <w:t>计</w:t>
        <w:tab/>
      </w:r>
      <w:r>
        <w:rPr>
          <w:spacing w:val="-1"/>
          <w:u w:val="thick" w:color="000000"/>
        </w:rPr>
        <w:t>26,057,903.27</w:t>
      </w:r>
      <w:r>
        <w:rPr>
          <w:spacing w:val="-1"/>
        </w:rPr>
        <w:tab/>
      </w:r>
      <w:r>
        <w:rPr>
          <w:spacing w:val="-1"/>
          <w:u w:val="thick" w:color="000000"/>
        </w:rPr>
        <w:t>32,286,384.19</w:t>
      </w:r>
      <w:r>
        <w:rPr>
          <w:spacing w:val="-1"/>
        </w:rPr>
      </w:r>
    </w:p>
    <w:p>
      <w:pPr>
        <w:pStyle w:val="BodyText"/>
        <w:spacing w:line="240" w:lineRule="auto"/>
        <w:ind w:left="537" w:right="0"/>
        <w:jc w:val="left"/>
      </w:pPr>
      <w:r>
        <w:rPr/>
        <w:t>(2)</w:t>
      </w:r>
      <w:r>
        <w:rPr>
          <w:spacing w:val="-2"/>
        </w:rPr>
        <w:t> </w:t>
      </w:r>
      <w:r>
        <w:rPr/>
        <w:t>期末，未发现投资性房地产存在明显减值迹象，无需计提减值准备。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809" w:val="left" w:leader="none"/>
        </w:tabs>
        <w:spacing w:line="240" w:lineRule="auto" w:before="0"/>
        <w:ind w:left="537" w:right="0"/>
        <w:jc w:val="left"/>
      </w:pPr>
      <w:r>
        <w:rPr/>
        <w:t>10.</w:t>
      </w:r>
      <w:r>
        <w:rPr>
          <w:spacing w:val="-3"/>
        </w:rPr>
        <w:t> </w:t>
      </w:r>
      <w:r>
        <w:rPr/>
        <w:t>固定资产</w:t>
        <w:tab/>
        <w:t>期末数</w:t>
      </w:r>
      <w:r>
        <w:rPr>
          <w:spacing w:val="-59"/>
        </w:rPr>
        <w:t> </w:t>
      </w:r>
      <w:r>
        <w:rPr/>
        <w:t>82,299,345.27</w:t>
      </w:r>
    </w:p>
    <w:p>
      <w:pPr>
        <w:pStyle w:val="BodyText"/>
        <w:spacing w:line="367" w:lineRule="auto"/>
        <w:ind w:left="537" w:right="6909"/>
        <w:jc w:val="left"/>
      </w:pPr>
      <w:r>
        <w:rPr/>
        <w:t>(1)</w:t>
      </w:r>
      <w:r>
        <w:rPr>
          <w:spacing w:val="-2"/>
        </w:rPr>
        <w:t> </w:t>
      </w:r>
      <w:r>
        <w:rPr/>
        <w:t>明细情况</w:t>
      </w:r>
      <w:r>
        <w:rPr/>
        <w:t> 原价</w:t>
      </w:r>
    </w:p>
    <w:tbl>
      <w:tblPr>
        <w:tblW w:w="0" w:type="auto"/>
        <w:jc w:val="left"/>
        <w:tblInd w:w="502" w:type="dxa"/>
        <w:tblLayout w:type="fixed"/>
        <w:tblCellMar>
          <w:top w:w="0" w:type="dxa"/>
          <w:left w:w="0" w:type="dxa"/>
          <w:bottom w:w="0" w:type="dxa"/>
          <w:right w:w="0" w:type="dxa"/>
        </w:tblCellMar>
        <w:tblLook w:val="01E0"/>
      </w:tblPr>
      <w:tblGrid>
        <w:gridCol w:w="1573"/>
        <w:gridCol w:w="1771"/>
        <w:gridCol w:w="1574"/>
        <w:gridCol w:w="1481"/>
        <w:gridCol w:w="1713"/>
      </w:tblGrid>
      <w:tr>
        <w:trPr>
          <w:trHeight w:val="415" w:hRule="exact"/>
        </w:trPr>
        <w:tc>
          <w:tcPr>
            <w:tcW w:w="157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9"/>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z w:val="21"/>
              </w:rPr>
              <w:t>59,668,024.76</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9"/>
              <w:jc w:val="right"/>
              <w:rPr>
                <w:rFonts w:ascii="宋体" w:hAnsi="宋体" w:cs="宋体" w:eastAsia="宋体" w:hint="default"/>
                <w:sz w:val="21"/>
                <w:szCs w:val="21"/>
              </w:rPr>
            </w:pPr>
            <w:r>
              <w:rPr>
                <w:rFonts w:ascii="宋体"/>
                <w:spacing w:val="-1"/>
                <w:sz w:val="21"/>
              </w:rPr>
              <w:t>7,076,225.27</w:t>
            </w:r>
            <w:r>
              <w:rPr>
                <w:rFonts w:ascii="宋体"/>
                <w:sz w:val="21"/>
              </w:rPr>
            </w:r>
          </w:p>
        </w:tc>
        <w:tc>
          <w:tcPr>
            <w:tcW w:w="1481"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66,744,250.03</w:t>
            </w:r>
            <w:r>
              <w:rPr>
                <w:rFonts w:ascii="宋体"/>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7"/>
              <w:jc w:val="right"/>
              <w:rPr>
                <w:rFonts w:ascii="宋体" w:hAnsi="宋体" w:cs="宋体" w:eastAsia="宋体" w:hint="default"/>
                <w:sz w:val="21"/>
                <w:szCs w:val="21"/>
              </w:rPr>
            </w:pPr>
            <w:r>
              <w:rPr>
                <w:rFonts w:ascii="宋体"/>
                <w:spacing w:val="-1"/>
                <w:sz w:val="21"/>
              </w:rPr>
              <w:t>9,693,568.16</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2"/>
              <w:jc w:val="right"/>
              <w:rPr>
                <w:rFonts w:ascii="宋体" w:hAnsi="宋体" w:cs="宋体" w:eastAsia="宋体" w:hint="default"/>
                <w:sz w:val="21"/>
                <w:szCs w:val="21"/>
              </w:rPr>
            </w:pPr>
            <w:r>
              <w:rPr>
                <w:rFonts w:ascii="宋体"/>
                <w:spacing w:val="-1"/>
                <w:sz w:val="21"/>
              </w:rPr>
              <w:t>7,755,256.53</w:t>
            </w:r>
            <w:r>
              <w:rPr>
                <w:rFonts w:ascii="宋体"/>
                <w:sz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
              <w:jc w:val="right"/>
              <w:rPr>
                <w:rFonts w:ascii="宋体" w:hAnsi="宋体" w:cs="宋体" w:eastAsia="宋体" w:hint="default"/>
                <w:sz w:val="21"/>
                <w:szCs w:val="21"/>
              </w:rPr>
            </w:pPr>
            <w:r>
              <w:rPr>
                <w:rFonts w:ascii="宋体"/>
                <w:spacing w:val="-1"/>
                <w:sz w:val="21"/>
              </w:rPr>
              <w:t>4,270,286.61</w:t>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13,178,538.08</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z w:val="21"/>
              </w:rPr>
              <w:t>10,145,290.45</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0"/>
              <w:jc w:val="right"/>
              <w:rPr>
                <w:rFonts w:ascii="宋体" w:hAnsi="宋体" w:cs="宋体" w:eastAsia="宋体" w:hint="default"/>
                <w:sz w:val="21"/>
                <w:szCs w:val="21"/>
              </w:rPr>
            </w:pPr>
            <w:r>
              <w:rPr>
                <w:rFonts w:ascii="宋体"/>
                <w:spacing w:val="-1"/>
                <w:sz w:val="21"/>
              </w:rPr>
              <w:t>150,300.00</w:t>
            </w:r>
            <w:r>
              <w:rPr>
                <w:rFonts w:ascii="宋体"/>
                <w:sz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5,569,260.38</w:t>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pacing w:val="-1"/>
                <w:sz w:val="21"/>
              </w:rPr>
              <w:t>4,726,330.07</w:t>
            </w:r>
            <w:r>
              <w:rPr>
                <w:rFonts w:ascii="宋体"/>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z w:val="21"/>
              </w:rPr>
              <w:t>16,956,290.26</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0"/>
              <w:jc w:val="right"/>
              <w:rPr>
                <w:rFonts w:ascii="宋体" w:hAnsi="宋体" w:cs="宋体" w:eastAsia="宋体" w:hint="default"/>
                <w:sz w:val="21"/>
                <w:szCs w:val="21"/>
              </w:rPr>
            </w:pPr>
            <w:r>
              <w:rPr>
                <w:rFonts w:ascii="宋体"/>
                <w:spacing w:val="-1"/>
                <w:sz w:val="21"/>
              </w:rPr>
              <w:t>270,542.00</w:t>
            </w:r>
            <w:r>
              <w:rPr>
                <w:rFonts w:ascii="宋体"/>
                <w:sz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
              <w:jc w:val="right"/>
              <w:rPr>
                <w:rFonts w:ascii="宋体" w:hAnsi="宋体" w:cs="宋体" w:eastAsia="宋体" w:hint="default"/>
                <w:sz w:val="21"/>
                <w:szCs w:val="21"/>
              </w:rPr>
            </w:pPr>
            <w:r>
              <w:rPr>
                <w:rFonts w:ascii="宋体"/>
                <w:spacing w:val="-1"/>
                <w:sz w:val="21"/>
              </w:rPr>
              <w:t>16,010.00</w:t>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17,210,822.26</w:t>
            </w:r>
            <w:r>
              <w:rPr>
                <w:rFonts w:ascii="宋体"/>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z w:val="21"/>
              </w:rPr>
            </w:r>
            <w:r>
              <w:rPr>
                <w:rFonts w:ascii="宋体"/>
                <w:spacing w:val="-1"/>
                <w:sz w:val="21"/>
                <w:u w:val="single" w:color="000000"/>
              </w:rPr>
              <w:t>96,463,173.63</w:t>
            </w:r>
            <w:r>
              <w:rPr>
                <w:rFonts w:ascii="宋体"/>
                <w:spacing w:val="-1"/>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9"/>
              <w:jc w:val="right"/>
              <w:rPr>
                <w:rFonts w:ascii="宋体" w:hAnsi="宋体" w:cs="宋体" w:eastAsia="宋体" w:hint="default"/>
                <w:sz w:val="21"/>
                <w:szCs w:val="21"/>
              </w:rPr>
            </w:pPr>
            <w:r>
              <w:rPr>
                <w:rFonts w:ascii="宋体"/>
                <w:sz w:val="21"/>
              </w:rPr>
            </w:r>
            <w:r>
              <w:rPr>
                <w:rFonts w:ascii="宋体"/>
                <w:spacing w:val="-1"/>
                <w:sz w:val="21"/>
                <w:u w:val="single" w:color="000000"/>
              </w:rPr>
              <w:t>15,252,323.80</w:t>
            </w:r>
            <w:r>
              <w:rPr>
                <w:rFonts w:ascii="宋体"/>
                <w:spacing w:val="-1"/>
                <w:sz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single" w:color="000000"/>
              </w:rPr>
              <w:t>9,855,556.99</w:t>
            </w:r>
            <w:r>
              <w:rPr>
                <w:rFonts w:ascii="宋体"/>
                <w:spacing w:val="-1"/>
                <w:sz w:val="21"/>
              </w:rPr>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r>
            <w:r>
              <w:rPr>
                <w:rFonts w:ascii="宋体"/>
                <w:spacing w:val="-1"/>
                <w:sz w:val="21"/>
                <w:u w:val="single" w:color="000000"/>
              </w:rPr>
              <w:t>101,859,940.44</w:t>
            </w:r>
            <w:r>
              <w:rPr>
                <w:rFonts w:ascii="宋体"/>
                <w:spacing w:val="-1"/>
                <w:sz w:val="21"/>
              </w:rPr>
            </w:r>
            <w:r>
              <w:rPr>
                <w:rFonts w:ascii="宋体"/>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77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6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3"/>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6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pacing w:val="-1"/>
                <w:sz w:val="21"/>
              </w:rPr>
              <w:t>5,121,022.71</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0"/>
              <w:jc w:val="right"/>
              <w:rPr>
                <w:rFonts w:ascii="宋体" w:hAnsi="宋体" w:cs="宋体" w:eastAsia="宋体" w:hint="default"/>
                <w:sz w:val="21"/>
                <w:szCs w:val="21"/>
              </w:rPr>
            </w:pPr>
            <w:r>
              <w:rPr>
                <w:rFonts w:ascii="宋体"/>
                <w:spacing w:val="-1"/>
                <w:sz w:val="21"/>
              </w:rPr>
              <w:t>3,009,240.92</w:t>
            </w:r>
            <w:r>
              <w:rPr>
                <w:rFonts w:ascii="宋体"/>
                <w:sz w:val="21"/>
              </w:rPr>
            </w:r>
          </w:p>
        </w:tc>
        <w:tc>
          <w:tcPr>
            <w:tcW w:w="1481"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8,130,263.63</w:t>
            </w:r>
            <w:r>
              <w:rPr>
                <w:rFonts w:ascii="宋体"/>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7"/>
              <w:jc w:val="right"/>
              <w:rPr>
                <w:rFonts w:ascii="宋体" w:hAnsi="宋体" w:cs="宋体" w:eastAsia="宋体" w:hint="default"/>
                <w:sz w:val="21"/>
                <w:szCs w:val="21"/>
              </w:rPr>
            </w:pPr>
            <w:r>
              <w:rPr>
                <w:rFonts w:ascii="宋体"/>
                <w:spacing w:val="-1"/>
                <w:sz w:val="21"/>
              </w:rPr>
              <w:t>3,748,856.75</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1"/>
              <w:jc w:val="right"/>
              <w:rPr>
                <w:rFonts w:ascii="宋体" w:hAnsi="宋体" w:cs="宋体" w:eastAsia="宋体" w:hint="default"/>
                <w:sz w:val="21"/>
                <w:szCs w:val="21"/>
              </w:rPr>
            </w:pPr>
            <w:r>
              <w:rPr>
                <w:rFonts w:ascii="宋体"/>
                <w:spacing w:val="-1"/>
                <w:sz w:val="21"/>
              </w:rPr>
              <w:t>3,705,326.16</w:t>
            </w:r>
            <w:r>
              <w:rPr>
                <w:rFonts w:ascii="宋体"/>
                <w:sz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
              <w:jc w:val="right"/>
              <w:rPr>
                <w:rFonts w:ascii="宋体" w:hAnsi="宋体" w:cs="宋体" w:eastAsia="宋体" w:hint="default"/>
                <w:sz w:val="21"/>
                <w:szCs w:val="21"/>
              </w:rPr>
            </w:pPr>
            <w:r>
              <w:rPr>
                <w:rFonts w:ascii="宋体"/>
                <w:spacing w:val="-1"/>
                <w:sz w:val="21"/>
              </w:rPr>
              <w:t>3,017,613.77</w:t>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4,436,569.14</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7"/>
              <w:jc w:val="right"/>
              <w:rPr>
                <w:rFonts w:ascii="宋体" w:hAnsi="宋体" w:cs="宋体" w:eastAsia="宋体" w:hint="default"/>
                <w:sz w:val="21"/>
                <w:szCs w:val="21"/>
              </w:rPr>
            </w:pPr>
            <w:r>
              <w:rPr>
                <w:rFonts w:ascii="宋体"/>
                <w:spacing w:val="-1"/>
                <w:sz w:val="21"/>
              </w:rPr>
              <w:t>6,705,461.77</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1"/>
              <w:jc w:val="right"/>
              <w:rPr>
                <w:rFonts w:ascii="宋体" w:hAnsi="宋体" w:cs="宋体" w:eastAsia="宋体" w:hint="default"/>
                <w:sz w:val="21"/>
                <w:szCs w:val="21"/>
              </w:rPr>
            </w:pPr>
            <w:r>
              <w:rPr>
                <w:rFonts w:ascii="宋体"/>
                <w:spacing w:val="-1"/>
                <w:sz w:val="21"/>
              </w:rPr>
              <w:t>1,026,976.30</w:t>
            </w:r>
            <w:r>
              <w:rPr>
                <w:rFonts w:ascii="宋体"/>
                <w:sz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
              <w:jc w:val="right"/>
              <w:rPr>
                <w:rFonts w:ascii="宋体" w:hAnsi="宋体" w:cs="宋体" w:eastAsia="宋体" w:hint="default"/>
                <w:sz w:val="21"/>
                <w:szCs w:val="21"/>
              </w:rPr>
            </w:pPr>
            <w:r>
              <w:rPr>
                <w:rFonts w:ascii="宋体"/>
                <w:spacing w:val="-1"/>
                <w:sz w:val="21"/>
              </w:rPr>
              <w:t>5,069,509.72</w:t>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2,662,928.35</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pacing w:val="-1"/>
                <w:sz w:val="21"/>
              </w:rPr>
              <w:t>3,235,232.86</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9"/>
              <w:jc w:val="right"/>
              <w:rPr>
                <w:rFonts w:ascii="宋体" w:hAnsi="宋体" w:cs="宋体" w:eastAsia="宋体" w:hint="default"/>
                <w:sz w:val="21"/>
                <w:szCs w:val="21"/>
              </w:rPr>
            </w:pPr>
            <w:r>
              <w:rPr>
                <w:rFonts w:ascii="宋体"/>
                <w:spacing w:val="-1"/>
                <w:sz w:val="21"/>
              </w:rPr>
              <w:t>1,087,401.90</w:t>
            </w:r>
            <w:r>
              <w:rPr>
                <w:rFonts w:ascii="宋体"/>
                <w:sz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4,890.84</w:t>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pacing w:val="-1"/>
                <w:sz w:val="21"/>
              </w:rPr>
              <w:t>4,317,743.92</w:t>
            </w:r>
            <w:r>
              <w:rPr>
                <w:rFonts w:ascii="宋体"/>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z w:val="21"/>
              </w:rPr>
            </w:r>
            <w:r>
              <w:rPr>
                <w:rFonts w:ascii="宋体"/>
                <w:spacing w:val="-1"/>
                <w:sz w:val="21"/>
                <w:u w:val="single" w:color="000000"/>
              </w:rPr>
              <w:t>18,810,574.09</w:t>
            </w:r>
            <w:r>
              <w:rPr>
                <w:rFonts w:ascii="宋体"/>
                <w:spacing w:val="-1"/>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9"/>
              <w:jc w:val="right"/>
              <w:rPr>
                <w:rFonts w:ascii="宋体" w:hAnsi="宋体" w:cs="宋体" w:eastAsia="宋体" w:hint="default"/>
                <w:sz w:val="21"/>
                <w:szCs w:val="21"/>
              </w:rPr>
            </w:pPr>
            <w:r>
              <w:rPr>
                <w:rFonts w:ascii="宋体"/>
                <w:sz w:val="21"/>
              </w:rPr>
            </w:r>
            <w:r>
              <w:rPr>
                <w:rFonts w:ascii="宋体"/>
                <w:spacing w:val="-1"/>
                <w:sz w:val="21"/>
                <w:u w:val="single" w:color="000000"/>
              </w:rPr>
              <w:t>8,828,945.28</w:t>
            </w:r>
            <w:r>
              <w:rPr>
                <w:rFonts w:ascii="宋体"/>
                <w:spacing w:val="-1"/>
                <w:sz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1"/>
              <w:jc w:val="right"/>
              <w:rPr>
                <w:rFonts w:ascii="宋体" w:hAnsi="宋体" w:cs="宋体" w:eastAsia="宋体" w:hint="default"/>
                <w:sz w:val="21"/>
                <w:szCs w:val="21"/>
              </w:rPr>
            </w:pPr>
            <w:r>
              <w:rPr>
                <w:rFonts w:ascii="宋体"/>
                <w:sz w:val="21"/>
              </w:rPr>
            </w:r>
            <w:r>
              <w:rPr>
                <w:rFonts w:ascii="宋体"/>
                <w:spacing w:val="-1"/>
                <w:sz w:val="21"/>
                <w:u w:val="single" w:color="000000"/>
              </w:rPr>
              <w:t>8,092,014.33</w:t>
            </w:r>
            <w:r>
              <w:rPr>
                <w:rFonts w:ascii="宋体"/>
                <w:spacing w:val="-1"/>
                <w:sz w:val="21"/>
              </w:rPr>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r>
            <w:r>
              <w:rPr>
                <w:rFonts w:ascii="宋体"/>
                <w:spacing w:val="-1"/>
                <w:sz w:val="21"/>
                <w:u w:val="single" w:color="000000"/>
              </w:rPr>
              <w:t>19,547,505.04</w:t>
            </w:r>
            <w:r>
              <w:rPr>
                <w:rFonts w:ascii="宋体"/>
                <w:spacing w:val="-1"/>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1"/>
              <w:jc w:val="right"/>
              <w:rPr>
                <w:rFonts w:ascii="宋体" w:hAnsi="宋体" w:cs="宋体" w:eastAsia="宋体" w:hint="default"/>
                <w:sz w:val="21"/>
                <w:szCs w:val="21"/>
              </w:rPr>
            </w:pPr>
            <w:r>
              <w:rPr>
                <w:rFonts w:ascii="宋体" w:hAnsi="宋体" w:cs="宋体" w:eastAsia="宋体" w:hint="default"/>
                <w:sz w:val="21"/>
                <w:szCs w:val="21"/>
              </w:rPr>
              <w:t>期初数</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4"/>
              <w:jc w:val="right"/>
              <w:rPr>
                <w:rFonts w:ascii="宋体" w:hAnsi="宋体" w:cs="宋体" w:eastAsia="宋体" w:hint="default"/>
                <w:sz w:val="21"/>
                <w:szCs w:val="21"/>
              </w:rPr>
            </w:pPr>
            <w:r>
              <w:rPr>
                <w:rFonts w:ascii="宋体" w:hAnsi="宋体" w:cs="宋体" w:eastAsia="宋体" w:hint="default"/>
                <w:sz w:val="21"/>
                <w:szCs w:val="21"/>
              </w:rPr>
              <w:t>本期增加</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4"/>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6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7"/>
              <w:jc w:val="right"/>
              <w:rPr>
                <w:rFonts w:ascii="宋体" w:hAnsi="宋体" w:cs="宋体" w:eastAsia="宋体" w:hint="default"/>
                <w:sz w:val="21"/>
                <w:szCs w:val="21"/>
              </w:rPr>
            </w:pPr>
            <w:r>
              <w:rPr>
                <w:rFonts w:ascii="宋体"/>
                <w:spacing w:val="-1"/>
                <w:sz w:val="21"/>
              </w:rPr>
              <w:t>11,198.82</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
              <w:jc w:val="right"/>
              <w:rPr>
                <w:rFonts w:ascii="宋体" w:hAnsi="宋体" w:cs="宋体" w:eastAsia="宋体" w:hint="default"/>
                <w:sz w:val="21"/>
                <w:szCs w:val="21"/>
              </w:rPr>
            </w:pPr>
            <w:r>
              <w:rPr>
                <w:rFonts w:ascii="宋体"/>
                <w:spacing w:val="-1"/>
                <w:sz w:val="21"/>
              </w:rPr>
              <w:t>6,030.46</w:t>
            </w:r>
            <w:r>
              <w:rPr>
                <w:rFonts w:ascii="宋体"/>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pacing w:val="-1"/>
                <w:sz w:val="21"/>
              </w:rPr>
              <w:t>5,168.36</w:t>
            </w:r>
            <w:r>
              <w:rPr>
                <w:rFonts w:ascii="宋体"/>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6"/>
              <w:jc w:val="right"/>
              <w:rPr>
                <w:rFonts w:ascii="宋体" w:hAnsi="宋体" w:cs="宋体" w:eastAsia="宋体" w:hint="default"/>
                <w:sz w:val="21"/>
                <w:szCs w:val="21"/>
              </w:rPr>
            </w:pPr>
            <w:r>
              <w:rPr>
                <w:rFonts w:ascii="宋体"/>
                <w:sz w:val="21"/>
              </w:rPr>
              <w:t>380,974.85</w:t>
            </w:r>
          </w:p>
        </w:tc>
        <w:tc>
          <w:tcPr>
            <w:tcW w:w="1574"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380,974.85</w:t>
            </w:r>
          </w:p>
        </w:tc>
        <w:tc>
          <w:tcPr>
            <w:tcW w:w="1713" w:type="dxa"/>
            <w:tcBorders>
              <w:top w:val="nil" w:sz="6" w:space="0" w:color="auto"/>
              <w:left w:val="nil" w:sz="6" w:space="0" w:color="auto"/>
              <w:bottom w:val="nil" w:sz="6" w:space="0" w:color="auto"/>
              <w:right w:val="nil" w:sz="6" w:space="0" w:color="auto"/>
            </w:tcBorders>
          </w:tcPr>
          <w:p>
            <w:pP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z w:val="21"/>
              </w:rPr>
              <w:t>7,921.77</w:t>
            </w:r>
          </w:p>
        </w:tc>
        <w:tc>
          <w:tcPr>
            <w:tcW w:w="1574"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7,921.77</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7"/>
              <w:jc w:val="right"/>
              <w:rPr>
                <w:rFonts w:ascii="宋体" w:hAnsi="宋体" w:cs="宋体" w:eastAsia="宋体" w:hint="default"/>
                <w:sz w:val="21"/>
                <w:szCs w:val="21"/>
              </w:rPr>
            </w:pPr>
            <w:r>
              <w:rPr>
                <w:rFonts w:ascii="宋体"/>
                <w:sz w:val="21"/>
              </w:rPr>
            </w:r>
            <w:r>
              <w:rPr>
                <w:rFonts w:ascii="宋体"/>
                <w:spacing w:val="-1"/>
                <w:sz w:val="21"/>
                <w:u w:val="single" w:color="000000"/>
              </w:rPr>
              <w:t>400,095.44</w:t>
            </w:r>
            <w:r>
              <w:rPr>
                <w:rFonts w:ascii="宋体"/>
                <w:spacing w:val="-1"/>
                <w:sz w:val="21"/>
              </w:rPr>
            </w:r>
          </w:p>
        </w:tc>
        <w:tc>
          <w:tcPr>
            <w:tcW w:w="1574"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
              <w:jc w:val="right"/>
              <w:rPr>
                <w:rFonts w:ascii="宋体" w:hAnsi="宋体" w:cs="宋体" w:eastAsia="宋体" w:hint="default"/>
                <w:sz w:val="21"/>
                <w:szCs w:val="21"/>
              </w:rPr>
            </w:pPr>
            <w:r>
              <w:rPr>
                <w:rFonts w:ascii="宋体"/>
                <w:sz w:val="21"/>
              </w:rPr>
            </w:r>
            <w:r>
              <w:rPr>
                <w:rFonts w:ascii="宋体"/>
                <w:spacing w:val="-1"/>
                <w:sz w:val="21"/>
                <w:u w:val="single" w:color="000000"/>
              </w:rPr>
              <w:t>387,005.31</w:t>
            </w:r>
            <w:r>
              <w:rPr>
                <w:rFonts w:ascii="宋体"/>
                <w:spacing w:val="-1"/>
                <w:sz w:val="21"/>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r>
            <w:r>
              <w:rPr>
                <w:rFonts w:ascii="宋体"/>
                <w:spacing w:val="-1"/>
                <w:sz w:val="21"/>
                <w:u w:val="single" w:color="000000"/>
              </w:rPr>
              <w:t>13,090.13</w:t>
            </w:r>
            <w:r>
              <w:rPr>
                <w:rFonts w:ascii="宋体"/>
                <w:spacing w:val="-1"/>
                <w:sz w:val="21"/>
              </w:rPr>
            </w:r>
            <w:r>
              <w:rPr>
                <w:rFonts w:ascii="宋体"/>
                <w:sz w:val="21"/>
              </w:rPr>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7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33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29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36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3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997" w:right="0"/>
              <w:jc w:val="left"/>
              <w:rPr>
                <w:rFonts w:ascii="宋体" w:hAnsi="宋体" w:cs="宋体" w:eastAsia="宋体" w:hint="default"/>
                <w:sz w:val="21"/>
                <w:szCs w:val="21"/>
              </w:rPr>
            </w:pPr>
            <w:r>
              <w:rPr>
                <w:rFonts w:ascii="宋体"/>
                <w:sz w:val="21"/>
              </w:rPr>
              <w:t>58,613,986.40</w:t>
            </w:r>
          </w:p>
        </w:tc>
        <w:tc>
          <w:tcPr>
            <w:tcW w:w="3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81" w:right="0"/>
              <w:jc w:val="left"/>
              <w:rPr>
                <w:rFonts w:ascii="宋体" w:hAnsi="宋体" w:cs="宋体" w:eastAsia="宋体" w:hint="default"/>
                <w:sz w:val="21"/>
                <w:szCs w:val="21"/>
              </w:rPr>
            </w:pPr>
            <w:r>
              <w:rPr>
                <w:rFonts w:ascii="宋体"/>
                <w:sz w:val="21"/>
              </w:rPr>
              <w:t>54,547,002.05</w:t>
            </w:r>
          </w:p>
        </w:tc>
      </w:tr>
      <w:tr>
        <w:trPr>
          <w:trHeight w:val="420"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33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1103" w:right="0"/>
              <w:jc w:val="left"/>
              <w:rPr>
                <w:rFonts w:ascii="宋体" w:hAnsi="宋体" w:cs="宋体" w:eastAsia="宋体" w:hint="default"/>
                <w:sz w:val="21"/>
                <w:szCs w:val="21"/>
              </w:rPr>
            </w:pPr>
            <w:r>
              <w:rPr>
                <w:rFonts w:ascii="宋体"/>
                <w:sz w:val="21"/>
              </w:rPr>
              <w:t>8,736,800.58</w:t>
            </w:r>
          </w:p>
        </w:tc>
        <w:tc>
          <w:tcPr>
            <w:tcW w:w="3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185" w:right="0"/>
              <w:jc w:val="left"/>
              <w:rPr>
                <w:rFonts w:ascii="宋体" w:hAnsi="宋体" w:cs="宋体" w:eastAsia="宋体" w:hint="default"/>
                <w:sz w:val="21"/>
                <w:szCs w:val="21"/>
              </w:rPr>
            </w:pPr>
            <w:r>
              <w:rPr>
                <w:rFonts w:ascii="宋体"/>
                <w:sz w:val="21"/>
              </w:rPr>
              <w:t>5,933,512.59</w:t>
            </w:r>
          </w:p>
        </w:tc>
      </w:tr>
      <w:tr>
        <w:trPr>
          <w:trHeight w:val="384"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33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1103" w:right="0"/>
              <w:jc w:val="left"/>
              <w:rPr>
                <w:rFonts w:ascii="宋体" w:hAnsi="宋体" w:cs="宋体" w:eastAsia="宋体" w:hint="default"/>
                <w:sz w:val="21"/>
                <w:szCs w:val="21"/>
              </w:rPr>
            </w:pPr>
            <w:r>
              <w:rPr>
                <w:rFonts w:ascii="宋体"/>
                <w:sz w:val="21"/>
              </w:rPr>
              <w:t>2,063,401.72</w:t>
            </w:r>
          </w:p>
        </w:tc>
        <w:tc>
          <w:tcPr>
            <w:tcW w:w="3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185" w:right="0"/>
              <w:jc w:val="left"/>
              <w:rPr>
                <w:rFonts w:ascii="宋体" w:hAnsi="宋体" w:cs="宋体" w:eastAsia="宋体" w:hint="default"/>
                <w:sz w:val="21"/>
                <w:szCs w:val="21"/>
              </w:rPr>
            </w:pPr>
            <w:r>
              <w:rPr>
                <w:rFonts w:ascii="宋体"/>
                <w:sz w:val="21"/>
              </w:rPr>
              <w:t>3,058,853.83</w:t>
            </w:r>
          </w:p>
        </w:tc>
      </w:tr>
    </w:tbl>
    <w:p>
      <w:pPr>
        <w:spacing w:after="0" w:line="240" w:lineRule="auto"/>
        <w:jc w:val="left"/>
        <w:rPr>
          <w:rFonts w:ascii="宋体" w:hAnsi="宋体" w:cs="宋体" w:eastAsia="宋体" w:hint="default"/>
          <w:sz w:val="21"/>
          <w:szCs w:val="21"/>
        </w:rPr>
        <w:sectPr>
          <w:pgSz w:w="11910" w:h="16840"/>
          <w:pgMar w:header="0" w:footer="1263" w:top="1540" w:bottom="1460" w:left="1680" w:right="1500"/>
        </w:sectPr>
      </w:pPr>
    </w:p>
    <w:p>
      <w:pPr>
        <w:spacing w:line="240" w:lineRule="auto" w:before="13"/>
        <w:rPr>
          <w:rFonts w:ascii="宋体" w:hAnsi="宋体" w:cs="宋体" w:eastAsia="宋体" w:hint="default"/>
          <w:sz w:val="5"/>
          <w:szCs w:val="5"/>
        </w:rPr>
      </w:pPr>
    </w:p>
    <w:tbl>
      <w:tblPr>
        <w:tblW w:w="0" w:type="auto"/>
        <w:jc w:val="left"/>
        <w:tblInd w:w="882" w:type="dxa"/>
        <w:tblLayout w:type="fixed"/>
        <w:tblCellMar>
          <w:top w:w="0" w:type="dxa"/>
          <w:left w:w="0" w:type="dxa"/>
          <w:bottom w:w="0" w:type="dxa"/>
          <w:right w:w="0" w:type="dxa"/>
        </w:tblCellMar>
        <w:tblLook w:val="01E0"/>
      </w:tblPr>
      <w:tblGrid>
        <w:gridCol w:w="1723"/>
        <w:gridCol w:w="2744"/>
        <w:gridCol w:w="1932"/>
      </w:tblGrid>
      <w:tr>
        <w:trPr>
          <w:trHeight w:val="415"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46"/>
              <w:jc w:val="right"/>
              <w:rPr>
                <w:rFonts w:ascii="宋体" w:hAnsi="宋体" w:cs="宋体" w:eastAsia="宋体" w:hint="default"/>
                <w:sz w:val="21"/>
                <w:szCs w:val="21"/>
              </w:rPr>
            </w:pPr>
            <w:r>
              <w:rPr>
                <w:rFonts w:ascii="宋体" w:hAnsi="宋体" w:cs="宋体" w:eastAsia="宋体" w:hint="default"/>
                <w:spacing w:val="-1"/>
                <w:w w:val="95"/>
                <w:sz w:val="21"/>
                <w:szCs w:val="21"/>
              </w:rPr>
              <w:t>其他设备</w:t>
            </w:r>
            <w:r>
              <w:rPr>
                <w:rFonts w:ascii="宋体" w:hAnsi="宋体" w:cs="宋体" w:eastAsia="宋体" w:hint="default"/>
                <w:w w:val="95"/>
                <w:sz w:val="21"/>
                <w:szCs w:val="21"/>
              </w:rPr>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30"/>
              <w:jc w:val="right"/>
              <w:rPr>
                <w:rFonts w:ascii="宋体" w:hAnsi="宋体" w:cs="宋体" w:eastAsia="宋体" w:hint="default"/>
                <w:sz w:val="21"/>
                <w:szCs w:val="21"/>
              </w:rPr>
            </w:pPr>
            <w:r>
              <w:rPr>
                <w:rFonts w:ascii="宋体"/>
                <w:spacing w:val="-1"/>
                <w:sz w:val="21"/>
              </w:rPr>
              <w:t>12,885,156.57</w:t>
            </w:r>
            <w:r>
              <w:rPr>
                <w:rFonts w:ascii="宋体"/>
                <w:sz w:val="21"/>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宋体" w:hAnsi="宋体" w:cs="宋体" w:eastAsia="宋体" w:hint="default"/>
                <w:sz w:val="21"/>
                <w:szCs w:val="21"/>
              </w:rPr>
            </w:pPr>
            <w:r>
              <w:rPr>
                <w:rFonts w:ascii="宋体"/>
                <w:spacing w:val="-1"/>
                <w:sz w:val="21"/>
              </w:rPr>
              <w:t>13,713,135.63</w:t>
            </w:r>
            <w:r>
              <w:rPr>
                <w:rFonts w:ascii="宋体"/>
                <w:sz w:val="21"/>
              </w:rPr>
            </w:r>
          </w:p>
        </w:tc>
      </w:tr>
      <w:tr>
        <w:trPr>
          <w:trHeight w:val="415" w:hRule="exact"/>
        </w:trPr>
        <w:tc>
          <w:tcPr>
            <w:tcW w:w="1723"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40"/>
              <w:ind w:right="84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28"/>
              <w:jc w:val="right"/>
              <w:rPr>
                <w:rFonts w:ascii="宋体" w:hAnsi="宋体" w:cs="宋体" w:eastAsia="宋体" w:hint="default"/>
                <w:sz w:val="21"/>
                <w:szCs w:val="21"/>
              </w:rPr>
            </w:pPr>
            <w:r>
              <w:rPr>
                <w:rFonts w:ascii="宋体"/>
                <w:sz w:val="21"/>
              </w:rPr>
            </w:r>
            <w:r>
              <w:rPr>
                <w:rFonts w:ascii="宋体"/>
                <w:spacing w:val="-1"/>
                <w:sz w:val="21"/>
                <w:u w:val="thick" w:color="000000"/>
              </w:rPr>
              <w:t>82,299,345.27</w:t>
            </w:r>
            <w:r>
              <w:rPr>
                <w:rFonts w:ascii="宋体"/>
                <w:spacing w:val="-1"/>
                <w:sz w:val="21"/>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thick" w:color="000000"/>
              </w:rPr>
              <w:t>77,252,504.10</w:t>
            </w:r>
            <w:r>
              <w:rPr>
                <w:rFonts w:ascii="宋体"/>
                <w:spacing w:val="-1"/>
                <w:sz w:val="21"/>
              </w:rPr>
            </w:r>
          </w:p>
        </w:tc>
      </w:tr>
    </w:tbl>
    <w:p>
      <w:pPr>
        <w:pStyle w:val="BodyText"/>
        <w:spacing w:line="240" w:lineRule="auto" w:before="45"/>
        <w:ind w:left="917" w:right="1660"/>
        <w:jc w:val="left"/>
      </w:pPr>
      <w:r>
        <w:rPr/>
        <w:t>(2)</w:t>
      </w:r>
      <w:r>
        <w:rPr>
          <w:spacing w:val="-2"/>
        </w:rPr>
        <w:t> </w:t>
      </w:r>
      <w:r>
        <w:rPr/>
        <w:t>本期增加均系外购。</w:t>
      </w:r>
    </w:p>
    <w:p>
      <w:pPr>
        <w:pStyle w:val="BodyText"/>
        <w:spacing w:line="240" w:lineRule="auto"/>
        <w:ind w:left="917" w:right="1660"/>
        <w:jc w:val="left"/>
      </w:pPr>
      <w:r>
        <w:rPr/>
        <w:t>(3)</w:t>
      </w:r>
      <w:r>
        <w:rPr>
          <w:spacing w:val="-2"/>
        </w:rPr>
        <w:t> </w:t>
      </w:r>
      <w:r>
        <w:rPr/>
        <w:t>期末固定资产未用于债务担保。</w:t>
      </w:r>
    </w:p>
    <w:p>
      <w:pPr>
        <w:pStyle w:val="BodyText"/>
        <w:spacing w:line="240" w:lineRule="auto"/>
        <w:ind w:left="917" w:right="1660"/>
        <w:jc w:val="left"/>
      </w:pPr>
      <w:r>
        <w:rPr/>
        <w:t>(4)</w:t>
      </w:r>
      <w:r>
        <w:rPr>
          <w:spacing w:val="-2"/>
        </w:rPr>
        <w:t> </w:t>
      </w:r>
      <w:r>
        <w:rPr/>
        <w:t>固定资产减值准备详见本财务报表附注九(二)之说明。</w:t>
      </w:r>
    </w:p>
    <w:p>
      <w:pPr>
        <w:pStyle w:val="BodyText"/>
        <w:spacing w:line="240" w:lineRule="auto"/>
        <w:ind w:left="917" w:right="1660"/>
        <w:jc w:val="left"/>
      </w:pPr>
      <w:r>
        <w:rPr/>
        <w:t>(5)</w:t>
      </w:r>
      <w:r>
        <w:rPr>
          <w:spacing w:val="-2"/>
        </w:rPr>
        <w:t> </w:t>
      </w:r>
      <w:r>
        <w:rPr/>
        <w:t>未办妥产权证书的固定资产的情况说明</w:t>
      </w:r>
    </w:p>
    <w:p>
      <w:pPr>
        <w:pStyle w:val="BodyText"/>
        <w:spacing w:line="240" w:lineRule="auto"/>
        <w:ind w:left="917" w:right="1660"/>
        <w:jc w:val="left"/>
      </w:pPr>
      <w:r>
        <w:rPr/>
        <w:t>截至</w:t>
      </w:r>
      <w:r>
        <w:rPr>
          <w:spacing w:val="-58"/>
        </w:rPr>
        <w:t> </w:t>
      </w:r>
      <w:r>
        <w:rPr/>
        <w:t>2007</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日，公司房屋及建筑物原价</w:t>
      </w:r>
      <w:r>
        <w:rPr>
          <w:spacing w:val="-58"/>
        </w:rPr>
        <w:t> </w:t>
      </w:r>
      <w:r>
        <w:rPr/>
        <w:t>108.00</w:t>
      </w:r>
      <w:r>
        <w:rPr>
          <w:spacing w:val="-57"/>
        </w:rPr>
        <w:t> </w:t>
      </w:r>
      <w:r>
        <w:rPr/>
        <w:t>万元尚未办妥产权证书。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6189" w:val="left" w:leader="none"/>
        </w:tabs>
        <w:spacing w:line="240" w:lineRule="auto" w:before="0"/>
        <w:ind w:left="917" w:right="1660"/>
        <w:jc w:val="left"/>
      </w:pPr>
      <w:r>
        <w:rPr/>
        <w:t>11.</w:t>
      </w:r>
      <w:r>
        <w:rPr>
          <w:spacing w:val="-3"/>
        </w:rPr>
        <w:t> </w:t>
      </w:r>
      <w:r>
        <w:rPr/>
        <w:t>在建工程</w:t>
        <w:tab/>
        <w:t>期末数</w:t>
      </w:r>
      <w:r>
        <w:rPr>
          <w:spacing w:val="-59"/>
        </w:rPr>
        <w:t> </w:t>
      </w:r>
      <w:r>
        <w:rPr/>
        <w:t>58,476,313.50</w:t>
      </w:r>
    </w:p>
    <w:p>
      <w:pPr>
        <w:pStyle w:val="BodyText"/>
        <w:spacing w:line="240" w:lineRule="auto"/>
        <w:ind w:left="903" w:right="1660"/>
        <w:jc w:val="left"/>
      </w:pPr>
      <w:r>
        <w:rPr/>
        <w:t>(1)</w:t>
      </w:r>
      <w:r>
        <w:rPr>
          <w:spacing w:val="-7"/>
        </w:rPr>
        <w:t> </w:t>
      </w:r>
      <w:r>
        <w:rPr>
          <w:spacing w:val="-4"/>
        </w:rPr>
        <w:t>明细情况</w:t>
      </w:r>
    </w:p>
    <w:p>
      <w:pPr>
        <w:spacing w:line="240" w:lineRule="auto" w:before="4"/>
        <w:rPr>
          <w:rFonts w:ascii="宋体" w:hAnsi="宋体" w:cs="宋体" w:eastAsia="宋体" w:hint="default"/>
          <w:sz w:val="16"/>
          <w:szCs w:val="16"/>
        </w:rPr>
      </w:pPr>
    </w:p>
    <w:p>
      <w:pPr>
        <w:tabs>
          <w:tab w:pos="2667" w:val="left" w:leader="none"/>
          <w:tab w:pos="3628" w:val="left" w:leader="none"/>
          <w:tab w:pos="4589" w:val="left" w:leader="none"/>
          <w:tab w:pos="5213" w:val="left" w:leader="none"/>
          <w:tab w:pos="5981" w:val="left" w:leader="none"/>
          <w:tab w:pos="6072" w:val="left" w:leader="none"/>
          <w:tab w:pos="6943" w:val="left" w:leader="none"/>
          <w:tab w:pos="7017" w:val="left" w:leader="none"/>
          <w:tab w:pos="7992" w:val="left" w:leader="none"/>
          <w:tab w:pos="8577" w:val="left" w:leader="none"/>
        </w:tabs>
        <w:spacing w:line="232" w:lineRule="exact" w:before="0"/>
        <w:ind w:left="673" w:right="1660" w:firstLine="212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w w:val="123"/>
          <w:sz w:val="18"/>
          <w:szCs w:val="18"/>
          <w:u w:val="single" w:color="000000"/>
        </w:rPr>
        <w:t>  </w:t>
      </w:r>
      <w:r>
        <w:rPr>
          <w:rFonts w:ascii="Times New Roman" w:hAnsi="Times New Roman" w:cs="Times New Roman" w:eastAsia="Times New Roman" w:hint="default"/>
          <w:sz w:val="18"/>
          <w:szCs w:val="18"/>
          <w:u w:val="single" w:color="000000"/>
        </w:rPr>
      </w:r>
      <w:r>
        <w:rPr>
          <w:rFonts w:ascii="宋体" w:hAnsi="宋体" w:cs="宋体" w:eastAsia="宋体" w:hint="default"/>
          <w:spacing w:val="-3"/>
          <w:sz w:val="18"/>
          <w:szCs w:val="18"/>
          <w:u w:val="single" w:color="000000"/>
        </w:rPr>
        <w:t>期末数</w:t>
        <w:tab/>
        <w:tab/>
      </w:r>
      <w:r>
        <w:rPr>
          <w:rFonts w:ascii="宋体" w:hAnsi="宋体" w:cs="宋体" w:eastAsia="宋体" w:hint="default"/>
          <w:spacing w:val="-3"/>
          <w:sz w:val="18"/>
          <w:szCs w:val="18"/>
        </w:rPr>
        <w:tab/>
        <w:tab/>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pacing w:val="-3"/>
          <w:sz w:val="18"/>
          <w:szCs w:val="18"/>
          <w:u w:val="single" w:color="000000"/>
        </w:rPr>
        <w:t> </w:t>
        <w:tab/>
        <w:tab/>
      </w:r>
      <w:r>
        <w:rPr>
          <w:rFonts w:ascii="宋体" w:hAnsi="宋体" w:cs="宋体" w:eastAsia="宋体" w:hint="default"/>
          <w:spacing w:val="-3"/>
          <w:sz w:val="18"/>
          <w:szCs w:val="18"/>
          <w:u w:val="single" w:color="000000"/>
        </w:rPr>
        <w:t>期初数</w:t>
      </w:r>
      <w:r>
        <w:rPr>
          <w:rFonts w:ascii="宋体" w:hAnsi="宋体" w:cs="宋体" w:eastAsia="宋体" w:hint="default"/>
          <w:sz w:val="18"/>
          <w:szCs w:val="18"/>
          <w:u w:val="single" w:color="000000"/>
        </w:rPr>
        <w:tab/>
        <w:tab/>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4"/>
          <w:sz w:val="18"/>
          <w:szCs w:val="18"/>
        </w:rPr>
        <w:t>工程名称</w:t>
        <w:tab/>
        <w:t>账面余额</w:t>
        <w:tab/>
        <w:t>减值准备</w:t>
        <w:tab/>
        <w:t>账面价值</w:t>
        <w:tab/>
      </w:r>
      <w:r>
        <w:rPr>
          <w:rFonts w:ascii="宋体" w:hAnsi="宋体" w:cs="宋体" w:eastAsia="宋体" w:hint="default"/>
          <w:spacing w:val="-3"/>
          <w:sz w:val="18"/>
          <w:szCs w:val="18"/>
        </w:rPr>
        <w:t>账面余额</w:t>
        <w:tab/>
      </w:r>
      <w:r>
        <w:rPr>
          <w:rFonts w:ascii="宋体" w:hAnsi="宋体" w:cs="宋体" w:eastAsia="宋体" w:hint="default"/>
          <w:spacing w:val="-4"/>
          <w:sz w:val="18"/>
          <w:szCs w:val="18"/>
        </w:rPr>
        <w:t>减值准备</w:t>
        <w:tab/>
      </w:r>
      <w:r>
        <w:rPr>
          <w:rFonts w:ascii="宋体" w:hAnsi="宋体" w:cs="宋体" w:eastAsia="宋体" w:hint="default"/>
          <w:spacing w:val="-3"/>
          <w:sz w:val="18"/>
          <w:szCs w:val="18"/>
        </w:rPr>
        <w:t>账面价值</w:t>
      </w:r>
    </w:p>
    <w:p>
      <w:pPr>
        <w:spacing w:line="240" w:lineRule="auto" w:before="8"/>
        <w:rPr>
          <w:rFonts w:ascii="宋体" w:hAnsi="宋体" w:cs="宋体" w:eastAsia="宋体" w:hint="default"/>
          <w:sz w:val="12"/>
          <w:szCs w:val="12"/>
        </w:rPr>
      </w:pPr>
    </w:p>
    <w:p>
      <w:pPr>
        <w:tabs>
          <w:tab w:pos="1979" w:val="left" w:leader="none"/>
          <w:tab w:pos="3869" w:val="left" w:leader="none"/>
          <w:tab w:pos="5429" w:val="left" w:leader="none"/>
          <w:tab w:pos="7379" w:val="left" w:leader="none"/>
        </w:tabs>
        <w:spacing w:before="0"/>
        <w:ind w:left="0" w:right="907" w:firstLine="0"/>
        <w:jc w:val="center"/>
        <w:rPr>
          <w:rFonts w:ascii="宋体" w:hAnsi="宋体" w:cs="宋体" w:eastAsia="宋体" w:hint="default"/>
          <w:sz w:val="18"/>
          <w:szCs w:val="18"/>
        </w:rPr>
      </w:pPr>
      <w:r>
        <w:rPr>
          <w:rFonts w:ascii="宋体" w:hAnsi="宋体" w:cs="宋体" w:eastAsia="宋体" w:hint="default"/>
          <w:sz w:val="18"/>
          <w:szCs w:val="18"/>
        </w:rPr>
        <w:t>无锡恒华科技园</w:t>
        <w:tab/>
        <w:t>58,069,644.89</w:t>
        <w:tab/>
        <w:t>58,069,644.89</w:t>
        <w:tab/>
        <w:t>8,672,747.37</w:t>
        <w:tab/>
        <w:t>8,672,747.37</w:t>
      </w:r>
    </w:p>
    <w:p>
      <w:pPr>
        <w:spacing w:line="240" w:lineRule="auto" w:before="1"/>
        <w:rPr>
          <w:rFonts w:ascii="宋体" w:hAnsi="宋体" w:cs="宋体" w:eastAsia="宋体" w:hint="default"/>
          <w:sz w:val="14"/>
          <w:szCs w:val="14"/>
        </w:rPr>
      </w:pPr>
    </w:p>
    <w:p>
      <w:pPr>
        <w:tabs>
          <w:tab w:pos="2747" w:val="left" w:leader="none"/>
          <w:tab w:pos="4637" w:val="left" w:leader="none"/>
        </w:tabs>
        <w:spacing w:before="0"/>
        <w:ind w:left="497" w:right="1660" w:firstLine="0"/>
        <w:jc w:val="left"/>
        <w:rPr>
          <w:rFonts w:ascii="宋体" w:hAnsi="宋体" w:cs="宋体" w:eastAsia="宋体" w:hint="default"/>
          <w:sz w:val="18"/>
          <w:szCs w:val="18"/>
        </w:rPr>
      </w:pPr>
      <w:r>
        <w:rPr>
          <w:rFonts w:ascii="宋体" w:hAnsi="宋体" w:cs="宋体" w:eastAsia="宋体" w:hint="default"/>
          <w:sz w:val="18"/>
          <w:szCs w:val="18"/>
        </w:rPr>
        <w:t>机房设备安装</w:t>
        <w:tab/>
        <w:t>406,668.61</w:t>
        <w:tab/>
        <w:t>406,668.61</w:t>
      </w:r>
    </w:p>
    <w:p>
      <w:pPr>
        <w:spacing w:line="240" w:lineRule="auto" w:before="1"/>
        <w:rPr>
          <w:rFonts w:ascii="宋体" w:hAnsi="宋体" w:cs="宋体" w:eastAsia="宋体" w:hint="default"/>
          <w:sz w:val="14"/>
          <w:szCs w:val="14"/>
        </w:rPr>
      </w:pPr>
    </w:p>
    <w:p>
      <w:pPr>
        <w:tabs>
          <w:tab w:pos="1799" w:val="left" w:leader="none"/>
          <w:tab w:pos="3689" w:val="left" w:leader="none"/>
          <w:tab w:pos="5250" w:val="left" w:leader="none"/>
          <w:tab w:pos="7199" w:val="left" w:leader="none"/>
        </w:tabs>
        <w:spacing w:before="0"/>
        <w:ind w:left="0" w:right="727" w:firstLine="0"/>
        <w:jc w:val="center"/>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58,476,313.50</w:t>
      </w:r>
      <w:r>
        <w:rPr>
          <w:rFonts w:ascii="宋体" w:hAnsi="宋体" w:cs="宋体" w:eastAsia="宋体" w:hint="default"/>
          <w:sz w:val="18"/>
          <w:szCs w:val="18"/>
        </w:rPr>
        <w:tab/>
      </w:r>
      <w:r>
        <w:rPr>
          <w:rFonts w:ascii="宋体" w:hAnsi="宋体" w:cs="宋体" w:eastAsia="宋体" w:hint="default"/>
          <w:sz w:val="18"/>
          <w:szCs w:val="18"/>
          <w:u w:val="thick" w:color="000000"/>
        </w:rPr>
        <w:t>58,476,313.50</w:t>
      </w:r>
      <w:r>
        <w:rPr>
          <w:rFonts w:ascii="宋体" w:hAnsi="宋体" w:cs="宋体" w:eastAsia="宋体" w:hint="default"/>
          <w:sz w:val="18"/>
          <w:szCs w:val="18"/>
        </w:rPr>
        <w:tab/>
      </w:r>
      <w:r>
        <w:rPr>
          <w:rFonts w:ascii="宋体" w:hAnsi="宋体" w:cs="宋体" w:eastAsia="宋体" w:hint="default"/>
          <w:sz w:val="18"/>
          <w:szCs w:val="18"/>
          <w:u w:val="thick" w:color="000000"/>
        </w:rPr>
        <w:t>8,672,747.37</w:t>
      </w:r>
      <w:r>
        <w:rPr>
          <w:rFonts w:ascii="宋体" w:hAnsi="宋体" w:cs="宋体" w:eastAsia="宋体" w:hint="default"/>
          <w:sz w:val="18"/>
          <w:szCs w:val="18"/>
        </w:rPr>
        <w:tab/>
      </w:r>
      <w:r>
        <w:rPr>
          <w:rFonts w:ascii="宋体" w:hAnsi="宋体" w:cs="宋体" w:eastAsia="宋体" w:hint="default"/>
          <w:sz w:val="18"/>
          <w:szCs w:val="18"/>
          <w:u w:val="thick" w:color="000000"/>
        </w:rPr>
        <w:t>8,672,747.37</w:t>
      </w:r>
      <w:r>
        <w:rPr>
          <w:rFonts w:ascii="宋体" w:hAnsi="宋体" w:cs="宋体" w:eastAsia="宋体" w:hint="default"/>
          <w:sz w:val="18"/>
          <w:szCs w:val="18"/>
        </w:rPr>
      </w:r>
    </w:p>
    <w:p>
      <w:pPr>
        <w:pStyle w:val="BodyText"/>
        <w:spacing w:line="240" w:lineRule="auto" w:before="141"/>
        <w:ind w:left="917" w:right="1660"/>
        <w:jc w:val="left"/>
      </w:pPr>
      <w:r>
        <w:rPr/>
        <w:t>(2)</w:t>
      </w:r>
      <w:r>
        <w:rPr>
          <w:spacing w:val="-2"/>
        </w:rPr>
        <w:t> </w:t>
      </w:r>
      <w:r>
        <w:rPr/>
        <w:t>在建工程增减变动情况</w:t>
      </w:r>
    </w:p>
    <w:p>
      <w:pPr>
        <w:spacing w:line="240" w:lineRule="auto" w:before="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467"/>
        <w:gridCol w:w="1360"/>
        <w:gridCol w:w="1358"/>
        <w:gridCol w:w="935"/>
        <w:gridCol w:w="895"/>
        <w:gridCol w:w="1305"/>
        <w:gridCol w:w="1085"/>
        <w:gridCol w:w="720"/>
        <w:gridCol w:w="1025"/>
      </w:tblGrid>
      <w:tr>
        <w:trPr>
          <w:trHeight w:val="633"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5"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58"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48" w:right="54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93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80" w:right="133"/>
              <w:jc w:val="left"/>
              <w:rPr>
                <w:rFonts w:ascii="宋体" w:hAnsi="宋体" w:cs="宋体" w:eastAsia="宋体" w:hint="default"/>
                <w:sz w:val="18"/>
                <w:szCs w:val="18"/>
              </w:rPr>
            </w:pPr>
            <w:r>
              <w:rPr>
                <w:rFonts w:ascii="宋体" w:hAnsi="宋体" w:cs="宋体" w:eastAsia="宋体" w:hint="default"/>
                <w:sz w:val="18"/>
                <w:szCs w:val="18"/>
              </w:rPr>
              <w:t>本期转入 固定资产</w:t>
            </w:r>
          </w:p>
        </w:tc>
        <w:tc>
          <w:tcPr>
            <w:tcW w:w="89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15" w:right="38" w:hanging="180"/>
              <w:jc w:val="left"/>
              <w:rPr>
                <w:rFonts w:ascii="宋体" w:hAnsi="宋体" w:cs="宋体" w:eastAsia="宋体" w:hint="default"/>
                <w:sz w:val="18"/>
                <w:szCs w:val="18"/>
              </w:rPr>
            </w:pPr>
            <w:r>
              <w:rPr>
                <w:rFonts w:ascii="宋体" w:hAnsi="宋体" w:cs="宋体" w:eastAsia="宋体" w:hint="default"/>
                <w:sz w:val="18"/>
                <w:szCs w:val="18"/>
              </w:rPr>
              <w:t>本期其他 减少</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8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275" w:right="44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2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90" w:right="89"/>
              <w:jc w:val="left"/>
              <w:rPr>
                <w:rFonts w:ascii="宋体" w:hAnsi="宋体" w:cs="宋体" w:eastAsia="宋体" w:hint="default"/>
                <w:sz w:val="18"/>
                <w:szCs w:val="18"/>
              </w:rPr>
            </w:pPr>
            <w:r>
              <w:rPr>
                <w:rFonts w:ascii="宋体" w:hAnsi="宋体" w:cs="宋体" w:eastAsia="宋体" w:hint="default"/>
                <w:sz w:val="18"/>
                <w:szCs w:val="18"/>
              </w:rPr>
              <w:t>预算数 (万元)</w:t>
            </w:r>
          </w:p>
        </w:tc>
        <w:tc>
          <w:tcPr>
            <w:tcW w:w="102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90" w:right="33"/>
              <w:jc w:val="left"/>
              <w:rPr>
                <w:rFonts w:ascii="宋体" w:hAnsi="宋体" w:cs="宋体" w:eastAsia="宋体" w:hint="default"/>
                <w:sz w:val="18"/>
                <w:szCs w:val="18"/>
              </w:rPr>
            </w:pPr>
            <w:r>
              <w:rPr>
                <w:rFonts w:ascii="宋体" w:hAnsi="宋体" w:cs="宋体" w:eastAsia="宋体" w:hint="default"/>
                <w:sz w:val="18"/>
                <w:szCs w:val="18"/>
              </w:rPr>
              <w:t>工程投入占 预算的比例</w:t>
            </w:r>
          </w:p>
        </w:tc>
      </w:tr>
      <w:tr>
        <w:trPr>
          <w:trHeight w:val="420"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无锡恒华科技园</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71" w:right="0"/>
              <w:jc w:val="left"/>
              <w:rPr>
                <w:rFonts w:ascii="宋体" w:hAnsi="宋体" w:cs="宋体" w:eastAsia="宋体" w:hint="default"/>
                <w:sz w:val="18"/>
                <w:szCs w:val="18"/>
              </w:rPr>
            </w:pPr>
            <w:r>
              <w:rPr>
                <w:rFonts w:ascii="宋体"/>
                <w:sz w:val="18"/>
              </w:rPr>
              <w:t>8,672,747.37</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宋体" w:hAnsi="宋体" w:cs="宋体" w:eastAsia="宋体" w:hint="default"/>
                <w:sz w:val="18"/>
                <w:szCs w:val="18"/>
              </w:rPr>
            </w:pPr>
            <w:r>
              <w:rPr>
                <w:rFonts w:ascii="宋体"/>
                <w:sz w:val="18"/>
              </w:rPr>
              <w:t>49,396,897.52</w:t>
            </w:r>
          </w:p>
        </w:tc>
        <w:tc>
          <w:tcPr>
            <w:tcW w:w="935"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2"/>
              <w:jc w:val="right"/>
              <w:rPr>
                <w:rFonts w:ascii="宋体" w:hAnsi="宋体" w:cs="宋体" w:eastAsia="宋体" w:hint="default"/>
                <w:sz w:val="18"/>
                <w:szCs w:val="18"/>
              </w:rPr>
            </w:pPr>
            <w:r>
              <w:rPr>
                <w:rFonts w:ascii="宋体"/>
                <w:sz w:val="18"/>
              </w:rPr>
              <w:t>58,069,644.89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 w:right="0"/>
              <w:jc w:val="center"/>
              <w:rPr>
                <w:rFonts w:ascii="宋体" w:hAnsi="宋体" w:cs="宋体" w:eastAsia="宋体" w:hint="default"/>
                <w:sz w:val="18"/>
                <w:szCs w:val="18"/>
              </w:rPr>
            </w:pPr>
            <w:r>
              <w:rPr>
                <w:rFonts w:ascii="宋体" w:hAnsi="宋体" w:cs="宋体" w:eastAsia="宋体" w:hint="default"/>
                <w:sz w:val="18"/>
                <w:szCs w:val="18"/>
              </w:rPr>
              <w:t>自筹、贷款</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6,200</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7"/>
              <w:jc w:val="right"/>
              <w:rPr>
                <w:rFonts w:ascii="宋体" w:hAnsi="宋体" w:cs="宋体" w:eastAsia="宋体" w:hint="default"/>
                <w:sz w:val="18"/>
                <w:szCs w:val="18"/>
              </w:rPr>
            </w:pPr>
            <w:r>
              <w:rPr>
                <w:rFonts w:ascii="宋体"/>
                <w:sz w:val="18"/>
              </w:rPr>
              <w:t>93.66%</w:t>
            </w:r>
          </w:p>
        </w:tc>
      </w:tr>
      <w:tr>
        <w:trPr>
          <w:trHeight w:val="400"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机房设备安装</w:t>
            </w:r>
          </w:p>
        </w:tc>
        <w:tc>
          <w:tcPr>
            <w:tcW w:w="1360"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right"/>
              <w:rPr>
                <w:rFonts w:ascii="宋体" w:hAnsi="宋体" w:cs="宋体" w:eastAsia="宋体" w:hint="default"/>
                <w:sz w:val="18"/>
                <w:szCs w:val="18"/>
              </w:rPr>
            </w:pPr>
            <w:r>
              <w:rPr>
                <w:rFonts w:ascii="宋体"/>
                <w:sz w:val="18"/>
              </w:rPr>
              <w:t>406,668.61</w:t>
            </w:r>
          </w:p>
        </w:tc>
        <w:tc>
          <w:tcPr>
            <w:tcW w:w="935"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2"/>
              <w:jc w:val="right"/>
              <w:rPr>
                <w:rFonts w:ascii="宋体" w:hAnsi="宋体" w:cs="宋体" w:eastAsia="宋体" w:hint="default"/>
                <w:sz w:val="18"/>
                <w:szCs w:val="18"/>
              </w:rPr>
            </w:pPr>
            <w:r>
              <w:rPr>
                <w:rFonts w:ascii="宋体"/>
                <w:sz w:val="18"/>
              </w:rPr>
              <w:t>406,668.61</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
              <w:jc w:val="center"/>
              <w:rPr>
                <w:rFonts w:ascii="宋体" w:hAnsi="宋体" w:cs="宋体" w:eastAsia="宋体" w:hint="default"/>
                <w:sz w:val="18"/>
                <w:szCs w:val="18"/>
              </w:rPr>
            </w:pPr>
            <w:r>
              <w:rPr>
                <w:rFonts w:ascii="宋体" w:hAnsi="宋体" w:cs="宋体" w:eastAsia="宋体" w:hint="default"/>
                <w:sz w:val="18"/>
                <w:szCs w:val="18"/>
              </w:rPr>
              <w:t>自筹</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400</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6"/>
              <w:jc w:val="right"/>
              <w:rPr>
                <w:rFonts w:ascii="宋体" w:hAnsi="宋体" w:cs="宋体" w:eastAsia="宋体" w:hint="default"/>
                <w:sz w:val="18"/>
                <w:szCs w:val="18"/>
              </w:rPr>
            </w:pPr>
            <w:r>
              <w:rPr>
                <w:rFonts w:ascii="宋体"/>
                <w:sz w:val="18"/>
              </w:rPr>
              <w:t>10.17%</w:t>
            </w:r>
          </w:p>
        </w:tc>
      </w:tr>
    </w:tbl>
    <w:p>
      <w:pPr>
        <w:tabs>
          <w:tab w:pos="1741" w:val="left" w:leader="none"/>
          <w:tab w:pos="3037" w:val="left" w:leader="none"/>
          <w:tab w:pos="6159" w:val="left" w:leader="none"/>
        </w:tabs>
        <w:spacing w:before="84"/>
        <w:ind w:left="318" w:right="166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8,672,747.37</w:t>
      </w:r>
      <w:r>
        <w:rPr>
          <w:rFonts w:ascii="宋体" w:hAnsi="宋体" w:cs="宋体" w:eastAsia="宋体" w:hint="default"/>
          <w:sz w:val="18"/>
          <w:szCs w:val="18"/>
        </w:rPr>
        <w:tab/>
      </w:r>
      <w:r>
        <w:rPr>
          <w:rFonts w:ascii="宋体" w:hAnsi="宋体" w:cs="宋体" w:eastAsia="宋体" w:hint="default"/>
          <w:sz w:val="18"/>
          <w:szCs w:val="18"/>
          <w:u w:val="thick" w:color="000000"/>
        </w:rPr>
        <w:t>49,803,566.13</w:t>
      </w:r>
      <w:r>
        <w:rPr>
          <w:rFonts w:ascii="宋体" w:hAnsi="宋体" w:cs="宋体" w:eastAsia="宋体" w:hint="default"/>
          <w:sz w:val="18"/>
          <w:szCs w:val="18"/>
        </w:rPr>
        <w:tab/>
      </w:r>
      <w:r>
        <w:rPr>
          <w:rFonts w:ascii="宋体" w:hAnsi="宋体" w:cs="宋体" w:eastAsia="宋体" w:hint="default"/>
          <w:sz w:val="18"/>
          <w:szCs w:val="18"/>
          <w:u w:val="thick" w:color="000000"/>
        </w:rPr>
        <w:t>58,476,313.50</w:t>
      </w:r>
      <w:r>
        <w:rPr>
          <w:rFonts w:ascii="宋体" w:hAnsi="宋体" w:cs="宋体" w:eastAsia="宋体" w:hint="default"/>
          <w:sz w:val="18"/>
          <w:szCs w:val="18"/>
        </w:rPr>
      </w:r>
    </w:p>
    <w:p>
      <w:pPr>
        <w:pStyle w:val="BodyText"/>
        <w:spacing w:line="240" w:lineRule="auto" w:before="141"/>
        <w:ind w:left="917" w:right="1660"/>
        <w:jc w:val="left"/>
      </w:pPr>
      <w:r>
        <w:rPr/>
        <w:t>(3)</w:t>
      </w:r>
      <w:r>
        <w:rPr>
          <w:spacing w:val="-2"/>
        </w:rPr>
        <w:t> </w:t>
      </w:r>
      <w:r>
        <w:rPr/>
        <w:t>借款费用资本化金额</w:t>
      </w:r>
    </w:p>
    <w:p>
      <w:pPr>
        <w:spacing w:line="240" w:lineRule="auto" w:before="0"/>
        <w:rPr>
          <w:rFonts w:ascii="宋体" w:hAnsi="宋体" w:cs="宋体" w:eastAsia="宋体" w:hint="default"/>
          <w:sz w:val="11"/>
          <w:szCs w:val="11"/>
        </w:rPr>
      </w:pPr>
    </w:p>
    <w:tbl>
      <w:tblPr>
        <w:tblW w:w="0" w:type="auto"/>
        <w:jc w:val="left"/>
        <w:tblInd w:w="967" w:type="dxa"/>
        <w:tblLayout w:type="fixed"/>
        <w:tblCellMar>
          <w:top w:w="0" w:type="dxa"/>
          <w:left w:w="0" w:type="dxa"/>
          <w:bottom w:w="0" w:type="dxa"/>
          <w:right w:w="0" w:type="dxa"/>
        </w:tblCellMar>
        <w:tblLook w:val="01E0"/>
      </w:tblPr>
      <w:tblGrid>
        <w:gridCol w:w="1085"/>
        <w:gridCol w:w="1171"/>
        <w:gridCol w:w="1392"/>
        <w:gridCol w:w="1271"/>
        <w:gridCol w:w="1212"/>
        <w:gridCol w:w="1167"/>
        <w:gridCol w:w="1042"/>
      </w:tblGrid>
      <w:tr>
        <w:trPr>
          <w:trHeight w:val="306"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4"/>
                <w:sz w:val="18"/>
                <w:szCs w:val="18"/>
              </w:rPr>
              <w:t>工程名称</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2" w:right="0"/>
              <w:jc w:val="left"/>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7"/>
              <w:jc w:val="right"/>
              <w:rPr>
                <w:rFonts w:ascii="宋体" w:hAnsi="宋体" w:cs="宋体" w:eastAsia="宋体" w:hint="default"/>
                <w:sz w:val="18"/>
                <w:szCs w:val="18"/>
              </w:rPr>
            </w:pPr>
            <w:r>
              <w:rPr>
                <w:rFonts w:ascii="宋体" w:hAnsi="宋体" w:cs="宋体" w:eastAsia="宋体" w:hint="default"/>
                <w:spacing w:val="-5"/>
                <w:sz w:val="18"/>
                <w:szCs w:val="18"/>
              </w:rPr>
              <w:t>本期转入</w:t>
            </w:r>
            <w:r>
              <w:rPr>
                <w:rFonts w:ascii="宋体" w:hAnsi="宋体" w:cs="宋体" w:eastAsia="宋体" w:hint="default"/>
                <w:sz w:val="18"/>
                <w:szCs w:val="18"/>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4"/>
              <w:jc w:val="center"/>
              <w:rPr>
                <w:rFonts w:ascii="宋体" w:hAnsi="宋体" w:cs="宋体" w:eastAsia="宋体" w:hint="default"/>
                <w:sz w:val="18"/>
                <w:szCs w:val="18"/>
              </w:rPr>
            </w:pPr>
            <w:r>
              <w:rPr>
                <w:rFonts w:ascii="宋体" w:hAnsi="宋体" w:cs="宋体" w:eastAsia="宋体" w:hint="default"/>
                <w:spacing w:val="-4"/>
                <w:sz w:val="18"/>
                <w:szCs w:val="18"/>
              </w:rPr>
              <w:t>本期</w:t>
            </w:r>
            <w:r>
              <w:rPr>
                <w:rFonts w:ascii="宋体" w:hAnsi="宋体" w:cs="宋体" w:eastAsia="宋体" w:hint="default"/>
                <w:sz w:val="18"/>
                <w:szCs w:val="18"/>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6" w:right="0"/>
              <w:jc w:val="left"/>
              <w:rPr>
                <w:rFonts w:ascii="宋体" w:hAnsi="宋体" w:cs="宋体" w:eastAsia="宋体" w:hint="default"/>
                <w:sz w:val="18"/>
                <w:szCs w:val="18"/>
              </w:rPr>
            </w:pPr>
            <w:r>
              <w:rPr>
                <w:rFonts w:ascii="宋体" w:hAnsi="宋体" w:cs="宋体" w:eastAsia="宋体" w:hint="default"/>
                <w:spacing w:val="-3"/>
                <w:sz w:val="18"/>
                <w:szCs w:val="18"/>
              </w:rPr>
              <w:t>期末数</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pacing w:val="-4"/>
                <w:sz w:val="18"/>
                <w:szCs w:val="18"/>
              </w:rPr>
              <w:t>资本化率</w:t>
            </w:r>
          </w:p>
        </w:tc>
      </w:tr>
      <w:tr>
        <w:trPr>
          <w:trHeight w:val="306" w:hRule="exact"/>
        </w:trPr>
        <w:tc>
          <w:tcPr>
            <w:tcW w:w="1085"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06" w:lineRule="exact"/>
              <w:ind w:right="169"/>
              <w:jc w:val="right"/>
              <w:rPr>
                <w:rFonts w:ascii="宋体" w:hAnsi="宋体" w:cs="宋体" w:eastAsia="宋体" w:hint="default"/>
                <w:sz w:val="18"/>
                <w:szCs w:val="18"/>
              </w:rPr>
            </w:pPr>
            <w:r>
              <w:rPr>
                <w:rFonts w:ascii="宋体" w:hAnsi="宋体" w:cs="宋体" w:eastAsia="宋体" w:hint="default"/>
                <w:spacing w:val="-5"/>
                <w:sz w:val="18"/>
                <w:szCs w:val="18"/>
              </w:rPr>
              <w:t>固定资产</w:t>
            </w:r>
            <w:r>
              <w:rPr>
                <w:rFonts w:ascii="宋体" w:hAnsi="宋体" w:cs="宋体" w:eastAsia="宋体" w:hint="default"/>
                <w:sz w:val="18"/>
                <w:szCs w:val="18"/>
              </w:rPr>
            </w:r>
          </w:p>
        </w:tc>
        <w:tc>
          <w:tcPr>
            <w:tcW w:w="1212" w:type="dxa"/>
            <w:tcBorders>
              <w:top w:val="nil" w:sz="6" w:space="0" w:color="auto"/>
              <w:left w:val="nil" w:sz="6" w:space="0" w:color="auto"/>
              <w:bottom w:val="nil" w:sz="6" w:space="0" w:color="auto"/>
              <w:right w:val="nil" w:sz="6" w:space="0" w:color="auto"/>
            </w:tcBorders>
          </w:tcPr>
          <w:p>
            <w:pPr>
              <w:pStyle w:val="TableParagraph"/>
              <w:spacing w:line="206" w:lineRule="exact"/>
              <w:ind w:right="162"/>
              <w:jc w:val="center"/>
              <w:rPr>
                <w:rFonts w:ascii="宋体" w:hAnsi="宋体" w:cs="宋体" w:eastAsia="宋体" w:hint="default"/>
                <w:sz w:val="18"/>
                <w:szCs w:val="18"/>
              </w:rPr>
            </w:pPr>
            <w:r>
              <w:rPr>
                <w:rFonts w:ascii="宋体" w:hAnsi="宋体" w:cs="宋体" w:eastAsia="宋体" w:hint="default"/>
                <w:spacing w:val="-5"/>
                <w:sz w:val="18"/>
                <w:szCs w:val="18"/>
              </w:rPr>
              <w:t>其他减少</w:t>
            </w:r>
            <w:r>
              <w:rPr>
                <w:rFonts w:ascii="宋体" w:hAnsi="宋体" w:cs="宋体" w:eastAsia="宋体" w:hint="default"/>
                <w:sz w:val="18"/>
                <w:szCs w:val="18"/>
              </w:rPr>
            </w:r>
          </w:p>
        </w:tc>
        <w:tc>
          <w:tcPr>
            <w:tcW w:w="116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r>
    </w:tbl>
    <w:p>
      <w:pPr>
        <w:tabs>
          <w:tab w:pos="3377" w:val="left" w:leader="none"/>
          <w:tab w:pos="7157" w:val="left" w:leader="none"/>
          <w:tab w:pos="8597" w:val="left" w:leader="none"/>
        </w:tabs>
        <w:spacing w:before="85"/>
        <w:ind w:left="858" w:right="684" w:firstLine="0"/>
        <w:jc w:val="left"/>
        <w:rPr>
          <w:rFonts w:ascii="宋体" w:hAnsi="宋体" w:cs="宋体" w:eastAsia="宋体" w:hint="default"/>
          <w:sz w:val="18"/>
          <w:szCs w:val="18"/>
        </w:rPr>
      </w:pPr>
      <w:r>
        <w:rPr>
          <w:rFonts w:ascii="宋体" w:hAnsi="宋体" w:cs="宋体" w:eastAsia="宋体" w:hint="default"/>
          <w:sz w:val="18"/>
          <w:szCs w:val="18"/>
        </w:rPr>
        <w:t>无锡恒华科技园</w:t>
        <w:tab/>
        <w:t>2,384,723.99</w:t>
        <w:tab/>
        <w:t>2,384,723.99</w:t>
        <w:tab/>
        <w:t>6.75-7.74%</w:t>
      </w:r>
    </w:p>
    <w:p>
      <w:pPr>
        <w:spacing w:line="240" w:lineRule="auto" w:before="1"/>
        <w:rPr>
          <w:rFonts w:ascii="宋体" w:hAnsi="宋体" w:cs="宋体" w:eastAsia="宋体" w:hint="default"/>
          <w:sz w:val="14"/>
          <w:szCs w:val="14"/>
        </w:rPr>
      </w:pPr>
    </w:p>
    <w:p>
      <w:pPr>
        <w:tabs>
          <w:tab w:pos="2338" w:val="left" w:leader="none"/>
          <w:tab w:pos="6118" w:val="left" w:leader="none"/>
        </w:tabs>
        <w:spacing w:before="0"/>
        <w:ind w:left="0" w:right="1085" w:firstLine="0"/>
        <w:jc w:val="center"/>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2,384,723.99</w:t>
      </w:r>
      <w:r>
        <w:rPr>
          <w:rFonts w:ascii="宋体" w:hAnsi="宋体" w:cs="宋体" w:eastAsia="宋体" w:hint="default"/>
          <w:sz w:val="18"/>
          <w:szCs w:val="18"/>
        </w:rPr>
        <w:tab/>
      </w:r>
      <w:r>
        <w:rPr>
          <w:rFonts w:ascii="宋体" w:hAnsi="宋体" w:cs="宋体" w:eastAsia="宋体" w:hint="default"/>
          <w:sz w:val="18"/>
          <w:szCs w:val="18"/>
          <w:u w:val="single" w:color="000000"/>
        </w:rPr>
        <w:t>2,384,723.99</w:t>
      </w:r>
      <w:r>
        <w:rPr>
          <w:rFonts w:ascii="宋体" w:hAnsi="宋体" w:cs="宋体" w:eastAsia="宋体" w:hint="default"/>
          <w:sz w:val="18"/>
          <w:szCs w:val="18"/>
        </w:rPr>
      </w:r>
    </w:p>
    <w:p>
      <w:pPr>
        <w:pStyle w:val="BodyText"/>
        <w:spacing w:line="240" w:lineRule="auto" w:before="141"/>
        <w:ind w:left="917" w:right="1660"/>
        <w:jc w:val="left"/>
      </w:pPr>
      <w:r>
        <w:rPr/>
        <w:t>(4)</w:t>
      </w:r>
      <w:r>
        <w:rPr>
          <w:spacing w:val="-2"/>
        </w:rPr>
        <w:t> </w:t>
      </w:r>
      <w:r>
        <w:rPr/>
        <w:t>期末，未发现在建工程存在明显减值迹象，无需计提减值准备。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6189" w:val="left" w:leader="none"/>
        </w:tabs>
        <w:spacing w:line="240" w:lineRule="auto" w:before="0"/>
        <w:ind w:left="917" w:right="1660"/>
        <w:jc w:val="left"/>
      </w:pPr>
      <w:r>
        <w:rPr/>
        <w:t>12.</w:t>
      </w:r>
      <w:r>
        <w:rPr>
          <w:spacing w:val="-3"/>
        </w:rPr>
        <w:t> </w:t>
      </w:r>
      <w:r>
        <w:rPr/>
        <w:t>无形资产</w:t>
        <w:tab/>
        <w:t>期末数</w:t>
      </w:r>
      <w:r>
        <w:rPr>
          <w:spacing w:val="-59"/>
        </w:rPr>
        <w:t> </w:t>
      </w:r>
      <w:r>
        <w:rPr/>
        <w:t>34,865,632.78</w:t>
      </w:r>
    </w:p>
    <w:p>
      <w:pPr>
        <w:pStyle w:val="BodyText"/>
        <w:tabs>
          <w:tab w:pos="1338" w:val="left" w:leader="none"/>
        </w:tabs>
        <w:spacing w:line="367" w:lineRule="auto"/>
        <w:ind w:left="917" w:right="8185"/>
        <w:jc w:val="left"/>
      </w:pPr>
      <w:r>
        <w:rPr/>
        <w:t>(1)</w:t>
      </w:r>
      <w:r>
        <w:rPr>
          <w:spacing w:val="-2"/>
        </w:rPr>
        <w:t> </w:t>
      </w:r>
      <w:r>
        <w:rPr/>
        <w:t>明细情况</w:t>
      </w:r>
      <w:r>
        <w:rPr/>
        <w:t> 原</w:t>
        <w:tab/>
        <w:t>价</w:t>
      </w:r>
    </w:p>
    <w:tbl>
      <w:tblPr>
        <w:tblW w:w="0" w:type="auto"/>
        <w:jc w:val="left"/>
        <w:tblInd w:w="882" w:type="dxa"/>
        <w:tblLayout w:type="fixed"/>
        <w:tblCellMar>
          <w:top w:w="0" w:type="dxa"/>
          <w:left w:w="0" w:type="dxa"/>
          <w:bottom w:w="0" w:type="dxa"/>
          <w:right w:w="0" w:type="dxa"/>
        </w:tblCellMar>
        <w:tblLook w:val="01E0"/>
      </w:tblPr>
      <w:tblGrid>
        <w:gridCol w:w="1468"/>
        <w:gridCol w:w="1928"/>
        <w:gridCol w:w="1663"/>
        <w:gridCol w:w="1267"/>
        <w:gridCol w:w="1604"/>
      </w:tblGrid>
      <w:tr>
        <w:trPr>
          <w:trHeight w:val="415" w:hRule="exact"/>
        </w:trPr>
        <w:tc>
          <w:tcPr>
            <w:tcW w:w="146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3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8"/>
              <w:jc w:val="right"/>
              <w:rPr>
                <w:rFonts w:ascii="宋体" w:hAnsi="宋体" w:cs="宋体" w:eastAsia="宋体" w:hint="default"/>
                <w:sz w:val="21"/>
                <w:szCs w:val="21"/>
              </w:rPr>
            </w:pPr>
            <w:r>
              <w:rPr>
                <w:rFonts w:ascii="宋体"/>
                <w:sz w:val="21"/>
              </w:rPr>
              <w:t>27,748,920.00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80" w:right="0"/>
              <w:jc w:val="left"/>
              <w:rPr>
                <w:rFonts w:ascii="宋体" w:hAnsi="宋体" w:cs="宋体" w:eastAsia="宋体" w:hint="default"/>
                <w:sz w:val="21"/>
                <w:szCs w:val="21"/>
              </w:rPr>
            </w:pPr>
            <w:r>
              <w:rPr>
                <w:rFonts w:ascii="宋体"/>
                <w:sz w:val="21"/>
              </w:rPr>
              <w:t>1,172,203.20</w:t>
            </w:r>
          </w:p>
        </w:tc>
        <w:tc>
          <w:tcPr>
            <w:tcW w:w="1267"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28,921,123.20</w:t>
            </w:r>
            <w:r>
              <w:rPr>
                <w:rFonts w:ascii="宋体"/>
                <w:sz w:val="21"/>
              </w:rPr>
            </w:r>
          </w:p>
        </w:tc>
      </w:tr>
      <w:tr>
        <w:trPr>
          <w:trHeight w:val="415"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恒生商标</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9"/>
              <w:jc w:val="right"/>
              <w:rPr>
                <w:rFonts w:ascii="宋体" w:hAnsi="宋体" w:cs="宋体" w:eastAsia="宋体" w:hint="default"/>
                <w:sz w:val="21"/>
                <w:szCs w:val="21"/>
              </w:rPr>
            </w:pPr>
            <w:r>
              <w:rPr>
                <w:rFonts w:ascii="宋体"/>
                <w:spacing w:val="-1"/>
                <w:sz w:val="21"/>
              </w:rPr>
              <w:t>6,946,400.00</w:t>
            </w:r>
            <w:r>
              <w:rPr>
                <w:rFonts w:ascii="宋体"/>
                <w:sz w:val="21"/>
              </w:rPr>
            </w:r>
          </w:p>
        </w:tc>
        <w:tc>
          <w:tcPr>
            <w:tcW w:w="166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6,946,400.00</w:t>
            </w:r>
          </w:p>
        </w:tc>
      </w:tr>
    </w:tbl>
    <w:p>
      <w:pPr>
        <w:spacing w:after="0" w:line="240" w:lineRule="auto"/>
        <w:jc w:val="right"/>
        <w:rPr>
          <w:rFonts w:ascii="宋体" w:hAnsi="宋体" w:cs="宋体" w:eastAsia="宋体" w:hint="default"/>
          <w:sz w:val="21"/>
          <w:szCs w:val="21"/>
        </w:rPr>
        <w:sectPr>
          <w:footerReference w:type="default" r:id="rId21"/>
          <w:pgSz w:w="11910" w:h="16840"/>
          <w:pgMar w:footer="1263" w:header="0" w:top="1440" w:bottom="1460" w:left="1300" w:right="240"/>
          <w:pgNumType w:start="76"/>
        </w:sectPr>
      </w:pPr>
    </w:p>
    <w:p>
      <w:pPr>
        <w:spacing w:line="240" w:lineRule="auto" w:before="13"/>
        <w:rPr>
          <w:rFonts w:ascii="宋体" w:hAnsi="宋体" w:cs="宋体" w:eastAsia="宋体" w:hint="default"/>
          <w:sz w:val="5"/>
          <w:szCs w:val="5"/>
        </w:rPr>
      </w:pPr>
    </w:p>
    <w:tbl>
      <w:tblPr>
        <w:tblW w:w="0" w:type="auto"/>
        <w:jc w:val="left"/>
        <w:tblInd w:w="502" w:type="dxa"/>
        <w:tblLayout w:type="fixed"/>
        <w:tblCellMar>
          <w:top w:w="0" w:type="dxa"/>
          <w:left w:w="0" w:type="dxa"/>
          <w:bottom w:w="0" w:type="dxa"/>
          <w:right w:w="0" w:type="dxa"/>
        </w:tblCellMar>
        <w:tblLook w:val="01E0"/>
      </w:tblPr>
      <w:tblGrid>
        <w:gridCol w:w="1678"/>
        <w:gridCol w:w="4648"/>
        <w:gridCol w:w="1605"/>
      </w:tblGrid>
      <w:tr>
        <w:trPr>
          <w:trHeight w:val="415"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支付密码器系统</w:t>
            </w:r>
          </w:p>
        </w:tc>
        <w:tc>
          <w:tcPr>
            <w:tcW w:w="46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8" w:right="0"/>
              <w:jc w:val="left"/>
              <w:rPr>
                <w:rFonts w:ascii="宋体" w:hAnsi="宋体" w:cs="宋体" w:eastAsia="宋体" w:hint="default"/>
                <w:sz w:val="21"/>
                <w:szCs w:val="21"/>
              </w:rPr>
            </w:pPr>
            <w:r>
              <w:rPr>
                <w:rFonts w:ascii="宋体"/>
                <w:sz w:val="21"/>
              </w:rPr>
              <w:t>2,776,666.83</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2,776,666.83</w:t>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64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898" w:right="0"/>
              <w:jc w:val="left"/>
              <w:rPr>
                <w:rFonts w:ascii="宋体" w:hAnsi="宋体" w:cs="宋体" w:eastAsia="宋体" w:hint="default"/>
                <w:sz w:val="21"/>
                <w:szCs w:val="21"/>
              </w:rPr>
            </w:pPr>
            <w:r>
              <w:rPr>
                <w:rFonts w:ascii="宋体"/>
                <w:sz w:val="21"/>
              </w:rPr>
              <w:t>2,000,000.00</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2,000,000.00</w:t>
            </w:r>
            <w:r>
              <w:rPr>
                <w:rFonts w:ascii="宋体"/>
                <w:sz w:val="21"/>
              </w:rPr>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4648" w:type="dxa"/>
            <w:tcBorders>
              <w:top w:val="nil" w:sz="6" w:space="0" w:color="auto"/>
              <w:left w:val="nil" w:sz="6" w:space="0" w:color="auto"/>
              <w:bottom w:val="nil" w:sz="6" w:space="0" w:color="auto"/>
              <w:right w:val="nil" w:sz="6" w:space="0" w:color="auto"/>
            </w:tcBorders>
          </w:tcPr>
          <w:p>
            <w:pPr>
              <w:pStyle w:val="TableParagraph"/>
              <w:tabs>
                <w:tab w:pos="1898" w:val="left" w:leader="none"/>
              </w:tabs>
              <w:spacing w:line="240" w:lineRule="auto" w:before="40"/>
              <w:ind w:left="172" w:right="0"/>
              <w:jc w:val="left"/>
              <w:rPr>
                <w:rFonts w:ascii="宋体" w:hAnsi="宋体" w:cs="宋体" w:eastAsia="宋体" w:hint="default"/>
                <w:sz w:val="21"/>
                <w:szCs w:val="21"/>
              </w:rPr>
            </w:pPr>
            <w:r>
              <w:rPr>
                <w:rFonts w:ascii="宋体"/>
                <w:sz w:val="21"/>
              </w:rPr>
            </w:r>
            <w:r>
              <w:rPr>
                <w:rFonts w:ascii="宋体"/>
                <w:spacing w:val="-1"/>
                <w:sz w:val="21"/>
                <w:u w:val="single" w:color="000000"/>
              </w:rPr>
              <w:t>37,471,986.83</w:t>
            </w:r>
            <w:r>
              <w:rPr>
                <w:rFonts w:ascii="宋体"/>
                <w:spacing w:val="-1"/>
                <w:sz w:val="21"/>
              </w:rPr>
              <w:tab/>
            </w:r>
            <w:r>
              <w:rPr>
                <w:rFonts w:ascii="宋体"/>
                <w:spacing w:val="-1"/>
                <w:sz w:val="21"/>
                <w:u w:val="single" w:color="000000"/>
              </w:rPr>
              <w:t>3,172,203.20</w:t>
            </w:r>
            <w:r>
              <w:rPr>
                <w:rFonts w:ascii="宋体"/>
                <w:spacing w:val="-1"/>
                <w:sz w:val="21"/>
              </w:rPr>
            </w:r>
            <w:r>
              <w:rPr>
                <w:rFonts w:ascii="宋体"/>
                <w:sz w:val="21"/>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single" w:color="000000"/>
              </w:rPr>
              <w:t>40,644,190.03</w:t>
            </w:r>
            <w:r>
              <w:rPr>
                <w:rFonts w:ascii="宋体"/>
                <w:spacing w:val="-1"/>
                <w:sz w:val="21"/>
              </w:rPr>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4648"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648" w:type="dxa"/>
            <w:tcBorders>
              <w:top w:val="nil" w:sz="6" w:space="0" w:color="auto"/>
              <w:left w:val="nil" w:sz="6" w:space="0" w:color="auto"/>
              <w:bottom w:val="nil" w:sz="6" w:space="0" w:color="auto"/>
              <w:right w:val="nil" w:sz="6" w:space="0" w:color="auto"/>
            </w:tcBorders>
          </w:tcPr>
          <w:p>
            <w:pPr>
              <w:pStyle w:val="TableParagraph"/>
              <w:tabs>
                <w:tab w:pos="1363" w:val="left" w:leader="none"/>
                <w:tab w:pos="2937" w:val="left" w:leader="none"/>
              </w:tabs>
              <w:spacing w:line="240" w:lineRule="auto" w:before="40"/>
              <w:ind w:right="201"/>
              <w:jc w:val="right"/>
              <w:rPr>
                <w:rFonts w:ascii="宋体" w:hAnsi="宋体" w:cs="宋体" w:eastAsia="宋体" w:hint="default"/>
                <w:sz w:val="21"/>
                <w:szCs w:val="21"/>
              </w:rPr>
            </w:pPr>
            <w:r>
              <w:rPr>
                <w:rFonts w:ascii="宋体" w:hAnsi="宋体" w:cs="宋体" w:eastAsia="宋体" w:hint="default"/>
                <w:spacing w:val="-1"/>
                <w:sz w:val="21"/>
                <w:szCs w:val="21"/>
              </w:rPr>
              <w:t>期初数</w:t>
              <w:tab/>
              <w:t>本期增加</w:t>
              <w:tab/>
              <w:t>本期减少</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3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648" w:type="dxa"/>
            <w:tcBorders>
              <w:top w:val="nil" w:sz="6" w:space="0" w:color="auto"/>
              <w:left w:val="nil" w:sz="6" w:space="0" w:color="auto"/>
              <w:bottom w:val="nil" w:sz="6" w:space="0" w:color="auto"/>
              <w:right w:val="nil" w:sz="6" w:space="0" w:color="auto"/>
            </w:tcBorders>
          </w:tcPr>
          <w:p>
            <w:pPr>
              <w:pStyle w:val="TableParagraph"/>
              <w:tabs>
                <w:tab w:pos="2106" w:val="left" w:leader="none"/>
              </w:tabs>
              <w:spacing w:line="240" w:lineRule="auto" w:before="40"/>
              <w:ind w:left="487" w:right="0"/>
              <w:jc w:val="left"/>
              <w:rPr>
                <w:rFonts w:ascii="宋体" w:hAnsi="宋体" w:cs="宋体" w:eastAsia="宋体" w:hint="default"/>
                <w:sz w:val="21"/>
                <w:szCs w:val="21"/>
              </w:rPr>
            </w:pPr>
            <w:r>
              <w:rPr>
                <w:rFonts w:ascii="宋体"/>
                <w:spacing w:val="-1"/>
                <w:sz w:val="21"/>
              </w:rPr>
              <w:t>230,804.40</w:t>
              <w:tab/>
              <w:t>809,932.60</w:t>
            </w:r>
            <w:r>
              <w:rPr>
                <w:rFonts w:ascii="宋体"/>
                <w:sz w:val="21"/>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1,040,737.00</w:t>
            </w:r>
            <w:r>
              <w:rPr>
                <w:rFonts w:ascii="宋体"/>
                <w:sz w:val="21"/>
              </w:rPr>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恒生商标</w:t>
            </w:r>
          </w:p>
        </w:tc>
        <w:tc>
          <w:tcPr>
            <w:tcW w:w="4648" w:type="dxa"/>
            <w:tcBorders>
              <w:top w:val="nil" w:sz="6" w:space="0" w:color="auto"/>
              <w:left w:val="nil" w:sz="6" w:space="0" w:color="auto"/>
              <w:bottom w:val="nil" w:sz="6" w:space="0" w:color="auto"/>
              <w:right w:val="nil" w:sz="6" w:space="0" w:color="auto"/>
            </w:tcBorders>
          </w:tcPr>
          <w:p>
            <w:pPr>
              <w:pStyle w:val="TableParagraph"/>
              <w:tabs>
                <w:tab w:pos="2108" w:val="left" w:leader="none"/>
              </w:tabs>
              <w:spacing w:line="240" w:lineRule="auto" w:before="40"/>
              <w:ind w:left="278" w:right="0"/>
              <w:jc w:val="left"/>
              <w:rPr>
                <w:rFonts w:ascii="宋体" w:hAnsi="宋体" w:cs="宋体" w:eastAsia="宋体" w:hint="default"/>
                <w:sz w:val="21"/>
                <w:szCs w:val="21"/>
              </w:rPr>
            </w:pPr>
            <w:r>
              <w:rPr>
                <w:rFonts w:ascii="宋体"/>
                <w:spacing w:val="-1"/>
                <w:sz w:val="21"/>
              </w:rPr>
              <w:t>1,099,846.73</w:t>
              <w:tab/>
              <w:t>694,640.04</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1,794,486.77</w:t>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64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107" w:right="0"/>
              <w:jc w:val="left"/>
              <w:rPr>
                <w:rFonts w:ascii="宋体" w:hAnsi="宋体" w:cs="宋体" w:eastAsia="宋体" w:hint="default"/>
                <w:sz w:val="21"/>
                <w:szCs w:val="21"/>
              </w:rPr>
            </w:pPr>
            <w:r>
              <w:rPr>
                <w:rFonts w:ascii="宋体"/>
                <w:sz w:val="21"/>
              </w:rPr>
              <w:t>166,666.65</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166,666.65</w:t>
            </w:r>
            <w:r>
              <w:rPr>
                <w:rFonts w:ascii="宋体"/>
                <w:sz w:val="21"/>
              </w:rPr>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4648" w:type="dxa"/>
            <w:tcBorders>
              <w:top w:val="nil" w:sz="6" w:space="0" w:color="auto"/>
              <w:left w:val="nil" w:sz="6" w:space="0" w:color="auto"/>
              <w:bottom w:val="nil" w:sz="6" w:space="0" w:color="auto"/>
              <w:right w:val="nil" w:sz="6" w:space="0" w:color="auto"/>
            </w:tcBorders>
          </w:tcPr>
          <w:p>
            <w:pPr>
              <w:pStyle w:val="TableParagraph"/>
              <w:tabs>
                <w:tab w:pos="1898" w:val="left" w:leader="none"/>
              </w:tabs>
              <w:spacing w:line="240" w:lineRule="auto" w:before="40"/>
              <w:ind w:left="278" w:right="0"/>
              <w:jc w:val="left"/>
              <w:rPr>
                <w:rFonts w:ascii="宋体" w:hAnsi="宋体" w:cs="宋体" w:eastAsia="宋体" w:hint="default"/>
                <w:sz w:val="21"/>
                <w:szCs w:val="21"/>
              </w:rPr>
            </w:pPr>
            <w:r>
              <w:rPr>
                <w:rFonts w:ascii="宋体"/>
                <w:sz w:val="21"/>
              </w:rPr>
            </w:r>
            <w:r>
              <w:rPr>
                <w:rFonts w:ascii="宋体"/>
                <w:spacing w:val="-1"/>
                <w:sz w:val="21"/>
                <w:u w:val="single" w:color="000000"/>
              </w:rPr>
              <w:t>1,330,651.13</w:t>
            </w:r>
            <w:r>
              <w:rPr>
                <w:rFonts w:ascii="宋体"/>
                <w:spacing w:val="-1"/>
                <w:sz w:val="21"/>
              </w:rPr>
              <w:tab/>
            </w:r>
            <w:r>
              <w:rPr>
                <w:rFonts w:ascii="宋体"/>
                <w:spacing w:val="-1"/>
                <w:sz w:val="21"/>
                <w:u w:val="single" w:color="000000"/>
              </w:rPr>
              <w:t>1,671,239.29</w:t>
            </w:r>
            <w:r>
              <w:rPr>
                <w:rFonts w:ascii="宋体"/>
                <w:spacing w:val="-1"/>
                <w:sz w:val="21"/>
              </w:rPr>
            </w:r>
            <w:r>
              <w:rPr>
                <w:rFonts w:ascii="宋体"/>
                <w:sz w:val="21"/>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r>
            <w:r>
              <w:rPr>
                <w:rFonts w:ascii="宋体"/>
                <w:spacing w:val="-1"/>
                <w:sz w:val="21"/>
                <w:u w:val="single" w:color="000000"/>
              </w:rPr>
              <w:t>3,001,890.42</w:t>
            </w:r>
            <w:r>
              <w:rPr>
                <w:rFonts w:ascii="宋体"/>
                <w:spacing w:val="-1"/>
                <w:sz w:val="21"/>
              </w:rPr>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4648"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648" w:type="dxa"/>
            <w:tcBorders>
              <w:top w:val="nil" w:sz="6" w:space="0" w:color="auto"/>
              <w:left w:val="nil" w:sz="6" w:space="0" w:color="auto"/>
              <w:bottom w:val="nil" w:sz="6" w:space="0" w:color="auto"/>
              <w:right w:val="nil" w:sz="6" w:space="0" w:color="auto"/>
            </w:tcBorders>
          </w:tcPr>
          <w:p>
            <w:pPr>
              <w:pStyle w:val="TableParagraph"/>
              <w:tabs>
                <w:tab w:pos="1363" w:val="left" w:leader="none"/>
                <w:tab w:pos="2937" w:val="left" w:leader="none"/>
              </w:tabs>
              <w:spacing w:line="240" w:lineRule="auto" w:before="40"/>
              <w:ind w:right="201"/>
              <w:jc w:val="right"/>
              <w:rPr>
                <w:rFonts w:ascii="宋体" w:hAnsi="宋体" w:cs="宋体" w:eastAsia="宋体" w:hint="default"/>
                <w:sz w:val="21"/>
                <w:szCs w:val="21"/>
              </w:rPr>
            </w:pPr>
            <w:r>
              <w:rPr>
                <w:rFonts w:ascii="宋体" w:hAnsi="宋体" w:cs="宋体" w:eastAsia="宋体" w:hint="default"/>
                <w:spacing w:val="-1"/>
                <w:sz w:val="21"/>
                <w:szCs w:val="21"/>
              </w:rPr>
              <w:t>期初数</w:t>
              <w:tab/>
              <w:t>本期增加</w:t>
              <w:tab/>
              <w:t>本期减少</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3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支付密码器系统</w:t>
            </w:r>
          </w:p>
        </w:tc>
        <w:tc>
          <w:tcPr>
            <w:tcW w:w="464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78" w:right="0"/>
              <w:jc w:val="left"/>
              <w:rPr>
                <w:rFonts w:ascii="宋体" w:hAnsi="宋体" w:cs="宋体" w:eastAsia="宋体" w:hint="default"/>
                <w:sz w:val="21"/>
                <w:szCs w:val="21"/>
              </w:rPr>
            </w:pPr>
            <w:r>
              <w:rPr>
                <w:rFonts w:ascii="宋体"/>
                <w:sz w:val="21"/>
              </w:rPr>
              <w:t>2,776,666.83</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2,776,666.83</w:t>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464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78" w:right="0"/>
              <w:jc w:val="left"/>
              <w:rPr>
                <w:rFonts w:ascii="宋体" w:hAnsi="宋体" w:cs="宋体" w:eastAsia="宋体" w:hint="default"/>
                <w:sz w:val="21"/>
                <w:szCs w:val="21"/>
              </w:rPr>
            </w:pPr>
            <w:r>
              <w:rPr>
                <w:rFonts w:ascii="宋体"/>
                <w:sz w:val="21"/>
              </w:rPr>
            </w:r>
            <w:r>
              <w:rPr>
                <w:rFonts w:ascii="宋体"/>
                <w:sz w:val="21"/>
                <w:u w:val="single" w:color="000000"/>
              </w:rPr>
              <w:t>2,776,666.83</w:t>
            </w:r>
            <w:r>
              <w:rPr>
                <w:rFonts w:ascii="宋体"/>
                <w:sz w:val="21"/>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r>
            <w:r>
              <w:rPr>
                <w:rFonts w:ascii="宋体"/>
                <w:spacing w:val="-1"/>
                <w:sz w:val="21"/>
                <w:u w:val="single" w:color="000000"/>
              </w:rPr>
              <w:t>2,776,666.83</w:t>
            </w:r>
            <w:r>
              <w:rPr>
                <w:rFonts w:ascii="宋体"/>
                <w:spacing w:val="-1"/>
                <w:sz w:val="21"/>
              </w:rPr>
            </w:r>
            <w:r>
              <w:rPr>
                <w:rFonts w:ascii="宋体"/>
                <w:sz w:val="21"/>
              </w:rPr>
            </w: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4648"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tabs>
                <w:tab w:pos="680" w:val="left" w:leader="none"/>
              </w:tabs>
              <w:spacing w:line="240" w:lineRule="auto" w:before="40"/>
              <w:ind w:left="26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648" w:type="dxa"/>
            <w:tcBorders>
              <w:top w:val="nil" w:sz="6" w:space="0" w:color="auto"/>
              <w:left w:val="nil" w:sz="6" w:space="0" w:color="auto"/>
              <w:bottom w:val="nil" w:sz="6" w:space="0" w:color="auto"/>
              <w:right w:val="nil" w:sz="6" w:space="0" w:color="auto"/>
            </w:tcBorders>
          </w:tcPr>
          <w:p>
            <w:pPr>
              <w:pStyle w:val="TableParagraph"/>
              <w:tabs>
                <w:tab w:pos="3411" w:val="left" w:leader="none"/>
              </w:tabs>
              <w:spacing w:line="240" w:lineRule="auto" w:before="40"/>
              <w:ind w:left="1207" w:right="0"/>
              <w:jc w:val="left"/>
              <w:rPr>
                <w:rFonts w:ascii="宋体" w:hAnsi="宋体" w:cs="宋体" w:eastAsia="宋体" w:hint="default"/>
                <w:sz w:val="21"/>
                <w:szCs w:val="21"/>
              </w:rPr>
            </w:pPr>
            <w:r>
              <w:rPr>
                <w:rFonts w:ascii="宋体" w:hAnsi="宋体" w:cs="宋体" w:eastAsia="宋体" w:hint="default"/>
                <w:spacing w:val="-1"/>
                <w:sz w:val="21"/>
                <w:szCs w:val="21"/>
              </w:rPr>
              <w:t>期末数</w:t>
              <w:tab/>
            </w:r>
            <w:r>
              <w:rPr>
                <w:rFonts w:ascii="宋体" w:hAnsi="宋体" w:cs="宋体" w:eastAsia="宋体" w:hint="default"/>
                <w:sz w:val="21"/>
                <w:szCs w:val="21"/>
              </w:rPr>
              <w:t>期初数</w:t>
            </w:r>
          </w:p>
        </w:tc>
        <w:tc>
          <w:tcPr>
            <w:tcW w:w="1605" w:type="dxa"/>
            <w:tcBorders>
              <w:top w:val="nil" w:sz="6" w:space="0" w:color="auto"/>
              <w:left w:val="nil" w:sz="6" w:space="0" w:color="auto"/>
              <w:bottom w:val="nil" w:sz="6" w:space="0" w:color="auto"/>
              <w:right w:val="nil" w:sz="6" w:space="0" w:color="auto"/>
            </w:tcBorders>
          </w:tcPr>
          <w:p>
            <w:pP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648" w:type="dxa"/>
            <w:tcBorders>
              <w:top w:val="nil" w:sz="6" w:space="0" w:color="auto"/>
              <w:left w:val="nil" w:sz="6" w:space="0" w:color="auto"/>
              <w:bottom w:val="nil" w:sz="6" w:space="0" w:color="auto"/>
              <w:right w:val="nil" w:sz="6" w:space="0" w:color="auto"/>
            </w:tcBorders>
          </w:tcPr>
          <w:p>
            <w:pPr>
              <w:pStyle w:val="TableParagraph"/>
              <w:tabs>
                <w:tab w:pos="2340" w:val="left" w:leader="none"/>
              </w:tabs>
              <w:spacing w:line="240" w:lineRule="auto" w:before="40"/>
              <w:ind w:right="229"/>
              <w:jc w:val="right"/>
              <w:rPr>
                <w:rFonts w:ascii="宋体" w:hAnsi="宋体" w:cs="宋体" w:eastAsia="宋体" w:hint="default"/>
                <w:sz w:val="21"/>
                <w:szCs w:val="21"/>
              </w:rPr>
            </w:pPr>
            <w:r>
              <w:rPr>
                <w:rFonts w:ascii="宋体"/>
                <w:spacing w:val="-1"/>
                <w:sz w:val="21"/>
              </w:rPr>
              <w:t>27,880,386.20</w:t>
              <w:tab/>
              <w:t>27,518,115.60</w:t>
            </w:r>
            <w:r>
              <w:rPr>
                <w:rFonts w:ascii="宋体"/>
                <w:sz w:val="21"/>
              </w:rPr>
            </w:r>
          </w:p>
        </w:tc>
        <w:tc>
          <w:tcPr>
            <w:tcW w:w="1605" w:type="dxa"/>
            <w:tcBorders>
              <w:top w:val="nil" w:sz="6" w:space="0" w:color="auto"/>
              <w:left w:val="nil" w:sz="6" w:space="0" w:color="auto"/>
              <w:bottom w:val="nil" w:sz="6" w:space="0" w:color="auto"/>
              <w:right w:val="nil" w:sz="6" w:space="0" w:color="auto"/>
            </w:tcBorders>
          </w:tcPr>
          <w:p>
            <w:pP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恒生商标</w:t>
            </w:r>
          </w:p>
        </w:tc>
        <w:tc>
          <w:tcPr>
            <w:tcW w:w="4648" w:type="dxa"/>
            <w:tcBorders>
              <w:top w:val="nil" w:sz="6" w:space="0" w:color="auto"/>
              <w:left w:val="nil" w:sz="6" w:space="0" w:color="auto"/>
              <w:bottom w:val="nil" w:sz="6" w:space="0" w:color="auto"/>
              <w:right w:val="nil" w:sz="6" w:space="0" w:color="auto"/>
            </w:tcBorders>
          </w:tcPr>
          <w:p>
            <w:pPr>
              <w:pStyle w:val="TableParagraph"/>
              <w:tabs>
                <w:tab w:pos="2339" w:val="left" w:leader="none"/>
              </w:tabs>
              <w:spacing w:line="240" w:lineRule="auto" w:before="40"/>
              <w:ind w:right="229"/>
              <w:jc w:val="right"/>
              <w:rPr>
                <w:rFonts w:ascii="宋体" w:hAnsi="宋体" w:cs="宋体" w:eastAsia="宋体" w:hint="default"/>
                <w:sz w:val="21"/>
                <w:szCs w:val="21"/>
              </w:rPr>
            </w:pPr>
            <w:r>
              <w:rPr>
                <w:rFonts w:ascii="宋体"/>
                <w:spacing w:val="-1"/>
                <w:sz w:val="21"/>
              </w:rPr>
              <w:t>5,151,913.23</w:t>
              <w:tab/>
              <w:t>5,846,553.27</w:t>
            </w:r>
            <w:r>
              <w:rPr>
                <w:rFonts w:ascii="宋体"/>
                <w:sz w:val="21"/>
              </w:rPr>
            </w:r>
          </w:p>
        </w:tc>
        <w:tc>
          <w:tcPr>
            <w:tcW w:w="1605" w:type="dxa"/>
            <w:tcBorders>
              <w:top w:val="nil" w:sz="6" w:space="0" w:color="auto"/>
              <w:left w:val="nil" w:sz="6" w:space="0" w:color="auto"/>
              <w:bottom w:val="nil" w:sz="6" w:space="0" w:color="auto"/>
              <w:right w:val="nil" w:sz="6" w:space="0" w:color="auto"/>
            </w:tcBorders>
          </w:tcPr>
          <w:p>
            <w:pPr/>
          </w:p>
        </w:tc>
      </w:tr>
      <w:tr>
        <w:trPr>
          <w:trHeight w:val="42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64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7" w:right="0"/>
              <w:jc w:val="left"/>
              <w:rPr>
                <w:rFonts w:ascii="宋体" w:hAnsi="宋体" w:cs="宋体" w:eastAsia="宋体" w:hint="default"/>
                <w:sz w:val="21"/>
                <w:szCs w:val="21"/>
              </w:rPr>
            </w:pPr>
            <w:r>
              <w:rPr>
                <w:rFonts w:ascii="宋体"/>
                <w:sz w:val="21"/>
              </w:rPr>
              <w:t>1,833,333.35</w:t>
            </w:r>
          </w:p>
        </w:tc>
        <w:tc>
          <w:tcPr>
            <w:tcW w:w="1605" w:type="dxa"/>
            <w:tcBorders>
              <w:top w:val="nil" w:sz="6" w:space="0" w:color="auto"/>
              <w:left w:val="nil" w:sz="6" w:space="0" w:color="auto"/>
              <w:bottom w:val="nil" w:sz="6" w:space="0" w:color="auto"/>
              <w:right w:val="nil" w:sz="6" w:space="0" w:color="auto"/>
            </w:tcBorders>
          </w:tcPr>
          <w:p>
            <w:pPr/>
          </w:p>
        </w:tc>
      </w:tr>
      <w:tr>
        <w:trPr>
          <w:trHeight w:val="415" w:hRule="exact"/>
        </w:trPr>
        <w:tc>
          <w:tcPr>
            <w:tcW w:w="167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648" w:type="dxa"/>
            <w:tcBorders>
              <w:top w:val="nil" w:sz="6" w:space="0" w:color="auto"/>
              <w:left w:val="nil" w:sz="6" w:space="0" w:color="auto"/>
              <w:bottom w:val="nil" w:sz="6" w:space="0" w:color="auto"/>
              <w:right w:val="nil" w:sz="6" w:space="0" w:color="auto"/>
            </w:tcBorders>
          </w:tcPr>
          <w:p>
            <w:pPr>
              <w:pStyle w:val="TableParagraph"/>
              <w:tabs>
                <w:tab w:pos="2340" w:val="left" w:leader="none"/>
              </w:tabs>
              <w:spacing w:line="240" w:lineRule="auto" w:before="40"/>
              <w:ind w:right="227"/>
              <w:jc w:val="right"/>
              <w:rPr>
                <w:rFonts w:ascii="宋体" w:hAnsi="宋体" w:cs="宋体" w:eastAsia="宋体" w:hint="default"/>
                <w:sz w:val="21"/>
                <w:szCs w:val="21"/>
              </w:rPr>
            </w:pPr>
            <w:r>
              <w:rPr>
                <w:rFonts w:ascii="宋体"/>
                <w:sz w:val="21"/>
              </w:rPr>
            </w:r>
            <w:r>
              <w:rPr>
                <w:rFonts w:ascii="宋体"/>
                <w:spacing w:val="-1"/>
                <w:sz w:val="21"/>
                <w:u w:val="thick" w:color="000000"/>
              </w:rPr>
              <w:t>34,865,632.78</w:t>
            </w:r>
            <w:r>
              <w:rPr>
                <w:rFonts w:ascii="宋体"/>
                <w:spacing w:val="-1"/>
                <w:sz w:val="21"/>
              </w:rPr>
              <w:tab/>
            </w:r>
            <w:r>
              <w:rPr>
                <w:rFonts w:ascii="宋体"/>
                <w:spacing w:val="-1"/>
                <w:sz w:val="21"/>
                <w:u w:val="thick" w:color="000000"/>
              </w:rPr>
              <w:t>33,364,668.87</w:t>
            </w:r>
            <w:r>
              <w:rPr>
                <w:rFonts w:ascii="宋体"/>
                <w:spacing w:val="-1"/>
                <w:sz w:val="21"/>
              </w:rPr>
            </w:r>
          </w:p>
        </w:tc>
        <w:tc>
          <w:tcPr>
            <w:tcW w:w="1605" w:type="dxa"/>
            <w:tcBorders>
              <w:top w:val="nil" w:sz="6" w:space="0" w:color="auto"/>
              <w:left w:val="nil" w:sz="6" w:space="0" w:color="auto"/>
              <w:bottom w:val="nil" w:sz="6" w:space="0" w:color="auto"/>
              <w:right w:val="nil" w:sz="6" w:space="0" w:color="auto"/>
            </w:tcBorders>
          </w:tcPr>
          <w:p>
            <w:pPr/>
          </w:p>
        </w:tc>
      </w:tr>
    </w:tbl>
    <w:p>
      <w:pPr>
        <w:pStyle w:val="BodyText"/>
        <w:spacing w:line="367" w:lineRule="auto" w:before="45"/>
        <w:ind w:right="102" w:firstLine="420"/>
        <w:jc w:val="left"/>
      </w:pPr>
      <w:r>
        <w:rPr/>
        <w:t>(2)</w:t>
      </w:r>
      <w:r>
        <w:rPr>
          <w:spacing w:val="1"/>
        </w:rPr>
        <w:t> </w:t>
      </w:r>
      <w:r>
        <w:rPr/>
        <w:t>期末无形资产中有土地使用权账面原价</w:t>
      </w:r>
      <w:r>
        <w:rPr>
          <w:spacing w:val="-53"/>
        </w:rPr>
        <w:t> </w:t>
      </w:r>
      <w:r>
        <w:rPr/>
        <w:t>23,151,013.20</w:t>
      </w:r>
      <w:r>
        <w:rPr>
          <w:spacing w:val="-53"/>
        </w:rPr>
        <w:t> </w:t>
      </w:r>
      <w:r>
        <w:rPr>
          <w:spacing w:val="-5"/>
        </w:rPr>
        <w:t>元已用于担保，详见本财务报</w:t>
      </w:r>
      <w:r>
        <w:rPr/>
        <w:t> 表附注十一(一)1</w:t>
      </w:r>
      <w:r>
        <w:rPr>
          <w:spacing w:val="-54"/>
        </w:rPr>
        <w:t> </w:t>
      </w:r>
      <w:r>
        <w:rPr/>
        <w:t>之说明。</w:t>
      </w:r>
    </w:p>
    <w:p>
      <w:pPr>
        <w:pStyle w:val="BodyText"/>
        <w:spacing w:line="240" w:lineRule="auto" w:before="34"/>
        <w:ind w:left="537" w:right="804"/>
        <w:jc w:val="left"/>
      </w:pPr>
      <w:r>
        <w:rPr/>
        <w:t>(3)</w:t>
      </w:r>
      <w:r>
        <w:rPr>
          <w:spacing w:val="-7"/>
        </w:rPr>
        <w:t> </w:t>
      </w:r>
      <w:r>
        <w:rPr/>
        <w:t>截至</w:t>
      </w:r>
      <w:r>
        <w:rPr>
          <w:spacing w:val="-57"/>
        </w:rPr>
        <w:t> </w:t>
      </w:r>
      <w:r>
        <w:rPr/>
        <w:t>2007</w:t>
      </w:r>
      <w:r>
        <w:rPr>
          <w:spacing w:val="-56"/>
        </w:rPr>
        <w:t> </w:t>
      </w:r>
      <w:r>
        <w:rPr/>
        <w:t>年</w:t>
      </w:r>
      <w:r>
        <w:rPr>
          <w:spacing w:val="-57"/>
        </w:rPr>
        <w:t> </w:t>
      </w:r>
      <w:r>
        <w:rPr/>
        <w:t>12</w:t>
      </w:r>
      <w:r>
        <w:rPr>
          <w:spacing w:val="-56"/>
        </w:rPr>
        <w:t> </w:t>
      </w:r>
      <w:r>
        <w:rPr/>
        <w:t>月</w:t>
      </w:r>
      <w:r>
        <w:rPr>
          <w:spacing w:val="-56"/>
        </w:rPr>
        <w:t> </w:t>
      </w:r>
      <w:r>
        <w:rPr/>
        <w:t>31</w:t>
      </w:r>
      <w:r>
        <w:rPr>
          <w:spacing w:val="-56"/>
        </w:rPr>
        <w:t> </w:t>
      </w:r>
      <w:r>
        <w:rPr/>
        <w:t>日，公司土地使用权均已办妥产权手续。</w:t>
      </w:r>
    </w:p>
    <w:p>
      <w:pPr>
        <w:pStyle w:val="BodyText"/>
        <w:spacing w:line="240" w:lineRule="auto"/>
        <w:ind w:left="537" w:right="804"/>
        <w:jc w:val="left"/>
      </w:pPr>
      <w:r>
        <w:rPr/>
        <w:t>(4)</w:t>
      </w:r>
      <w:r>
        <w:rPr>
          <w:spacing w:val="-2"/>
        </w:rPr>
        <w:t> </w:t>
      </w:r>
      <w:r>
        <w:rPr/>
        <w:t>无形资产减值准备详见本财务报表附注九(二)之说明。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502" w:type="dxa"/>
        <w:tblLayout w:type="fixed"/>
        <w:tblCellMar>
          <w:top w:w="0" w:type="dxa"/>
          <w:left w:w="0" w:type="dxa"/>
          <w:bottom w:w="0" w:type="dxa"/>
          <w:right w:w="0" w:type="dxa"/>
        </w:tblCellMar>
        <w:tblLook w:val="01E0"/>
      </w:tblPr>
      <w:tblGrid>
        <w:gridCol w:w="2570"/>
        <w:gridCol w:w="2356"/>
        <w:gridCol w:w="3174"/>
      </w:tblGrid>
      <w:tr>
        <w:trPr>
          <w:trHeight w:val="41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2"/>
                <w:sz w:val="21"/>
                <w:szCs w:val="21"/>
              </w:rPr>
              <w:t> </w:t>
            </w:r>
            <w:r>
              <w:rPr>
                <w:rFonts w:ascii="宋体" w:hAnsi="宋体" w:cs="宋体" w:eastAsia="宋体" w:hint="default"/>
                <w:sz w:val="21"/>
                <w:szCs w:val="21"/>
              </w:rPr>
              <w:t>递延所得税资产</w:t>
            </w:r>
          </w:p>
        </w:tc>
        <w:tc>
          <w:tcPr>
            <w:tcW w:w="2356" w:type="dxa"/>
            <w:tcBorders>
              <w:top w:val="nil" w:sz="6" w:space="0" w:color="auto"/>
              <w:left w:val="nil" w:sz="6" w:space="0" w:color="auto"/>
              <w:bottom w:val="nil" w:sz="6" w:space="0" w:color="auto"/>
              <w:right w:val="nil" w:sz="6" w:space="0" w:color="auto"/>
            </w:tcBorders>
          </w:tcPr>
          <w:p>
            <w:pP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98"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7"/>
                <w:sz w:val="21"/>
                <w:szCs w:val="21"/>
              </w:rPr>
              <w:t> </w:t>
            </w:r>
            <w:r>
              <w:rPr>
                <w:rFonts w:ascii="宋体" w:hAnsi="宋体" w:cs="宋体" w:eastAsia="宋体" w:hint="default"/>
                <w:sz w:val="21"/>
                <w:szCs w:val="21"/>
              </w:rPr>
              <w:t>3,607,432.97</w:t>
            </w:r>
          </w:p>
        </w:tc>
      </w:tr>
      <w:tr>
        <w:trPr>
          <w:trHeight w:val="420" w:hRule="exact"/>
        </w:trPr>
        <w:tc>
          <w:tcPr>
            <w:tcW w:w="2570"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8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8"/>
              <w:jc w:val="right"/>
              <w:rPr>
                <w:rFonts w:ascii="宋体" w:hAnsi="宋体" w:cs="宋体" w:eastAsia="宋体" w:hint="default"/>
                <w:sz w:val="21"/>
                <w:szCs w:val="21"/>
              </w:rPr>
            </w:pPr>
            <w:r>
              <w:rPr>
                <w:rFonts w:ascii="宋体"/>
                <w:spacing w:val="-1"/>
                <w:sz w:val="21"/>
              </w:rPr>
              <w:t>3,241,936.44</w:t>
            </w:r>
            <w:r>
              <w:rPr>
                <w:rFonts w:ascii="宋体"/>
                <w:sz w:val="21"/>
              </w:rPr>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49" w:right="0"/>
              <w:jc w:val="left"/>
              <w:rPr>
                <w:rFonts w:ascii="宋体" w:hAnsi="宋体" w:cs="宋体" w:eastAsia="宋体" w:hint="default"/>
                <w:sz w:val="21"/>
                <w:szCs w:val="21"/>
              </w:rPr>
            </w:pPr>
            <w:r>
              <w:rPr>
                <w:rFonts w:ascii="宋体"/>
                <w:sz w:val="21"/>
              </w:rPr>
              <w:t>2,656,422.51</w:t>
            </w:r>
          </w:p>
        </w:tc>
      </w:tr>
      <w:tr>
        <w:trPr>
          <w:trHeight w:val="42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8"/>
              <w:jc w:val="right"/>
              <w:rPr>
                <w:rFonts w:ascii="宋体" w:hAnsi="宋体" w:cs="宋体" w:eastAsia="宋体" w:hint="default"/>
                <w:sz w:val="21"/>
                <w:szCs w:val="21"/>
              </w:rPr>
            </w:pPr>
            <w:r>
              <w:rPr>
                <w:rFonts w:ascii="宋体"/>
                <w:spacing w:val="-1"/>
                <w:sz w:val="21"/>
              </w:rPr>
              <w:t>149,351.49</w:t>
            </w:r>
            <w:r>
              <w:rPr>
                <w:rFonts w:ascii="宋体"/>
                <w:sz w:val="21"/>
              </w:rPr>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59" w:right="0"/>
              <w:jc w:val="left"/>
              <w:rPr>
                <w:rFonts w:ascii="宋体" w:hAnsi="宋体" w:cs="宋体" w:eastAsia="宋体" w:hint="default"/>
                <w:sz w:val="21"/>
                <w:szCs w:val="21"/>
              </w:rPr>
            </w:pPr>
            <w:r>
              <w:rPr>
                <w:rFonts w:ascii="宋体"/>
                <w:sz w:val="21"/>
              </w:rPr>
              <w:t>115,358.88</w:t>
            </w:r>
          </w:p>
        </w:tc>
      </w:tr>
      <w:tr>
        <w:trPr>
          <w:trHeight w:val="42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7"/>
              <w:jc w:val="right"/>
              <w:rPr>
                <w:rFonts w:ascii="宋体" w:hAnsi="宋体" w:cs="宋体" w:eastAsia="宋体" w:hint="default"/>
                <w:sz w:val="21"/>
                <w:szCs w:val="21"/>
              </w:rPr>
            </w:pPr>
            <w:r>
              <w:rPr>
                <w:rFonts w:ascii="宋体"/>
                <w:sz w:val="21"/>
              </w:rPr>
              <w:t>216,145.04</w:t>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64" w:right="0"/>
              <w:jc w:val="left"/>
              <w:rPr>
                <w:rFonts w:ascii="宋体" w:hAnsi="宋体" w:cs="宋体" w:eastAsia="宋体" w:hint="default"/>
                <w:sz w:val="21"/>
                <w:szCs w:val="21"/>
              </w:rPr>
            </w:pPr>
            <w:r>
              <w:rPr>
                <w:rFonts w:ascii="宋体"/>
                <w:sz w:val="21"/>
              </w:rPr>
              <w:t>78,986.88</w:t>
            </w:r>
          </w:p>
        </w:tc>
      </w:tr>
      <w:tr>
        <w:trPr>
          <w:trHeight w:val="415" w:hRule="exact"/>
        </w:trPr>
        <w:tc>
          <w:tcPr>
            <w:tcW w:w="2570"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7"/>
              <w:jc w:val="right"/>
              <w:rPr>
                <w:rFonts w:ascii="宋体" w:hAnsi="宋体" w:cs="宋体" w:eastAsia="宋体" w:hint="default"/>
                <w:sz w:val="21"/>
                <w:szCs w:val="21"/>
              </w:rPr>
            </w:pPr>
            <w:r>
              <w:rPr>
                <w:rFonts w:ascii="宋体"/>
                <w:sz w:val="21"/>
              </w:rPr>
            </w:r>
            <w:r>
              <w:rPr>
                <w:rFonts w:ascii="宋体"/>
                <w:spacing w:val="-1"/>
                <w:sz w:val="21"/>
                <w:u w:val="thick" w:color="000000"/>
              </w:rPr>
              <w:t>3,607,432.97</w:t>
            </w:r>
            <w:r>
              <w:rPr>
                <w:rFonts w:ascii="宋体"/>
                <w:spacing w:val="-1"/>
                <w:sz w:val="21"/>
              </w:rPr>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49" w:right="0"/>
              <w:jc w:val="left"/>
              <w:rPr>
                <w:rFonts w:ascii="宋体" w:hAnsi="宋体" w:cs="宋体" w:eastAsia="宋体" w:hint="default"/>
                <w:sz w:val="21"/>
                <w:szCs w:val="21"/>
              </w:rPr>
            </w:pPr>
            <w:r>
              <w:rPr>
                <w:rFonts w:ascii="宋体"/>
                <w:sz w:val="21"/>
              </w:rPr>
            </w:r>
            <w:r>
              <w:rPr>
                <w:rFonts w:ascii="宋体"/>
                <w:sz w:val="21"/>
                <w:u w:val="thick" w:color="000000"/>
              </w:rPr>
              <w:t>2,850,768.27</w:t>
            </w:r>
            <w:r>
              <w:rPr>
                <w:rFonts w:ascii="宋体"/>
                <w:sz w:val="21"/>
              </w:rPr>
            </w:r>
          </w:p>
        </w:tc>
      </w:tr>
    </w:tbl>
    <w:p>
      <w:pPr>
        <w:pStyle w:val="BodyText"/>
        <w:tabs>
          <w:tab w:pos="1167" w:val="left" w:leader="none"/>
          <w:tab w:pos="3791" w:val="left" w:leader="none"/>
        </w:tabs>
        <w:spacing w:line="367" w:lineRule="auto" w:before="45"/>
        <w:ind w:left="747" w:right="2574" w:hanging="210"/>
        <w:jc w:val="left"/>
      </w:pPr>
      <w:r>
        <w:rPr/>
        <w:t>(2)</w:t>
      </w:r>
      <w:r>
        <w:rPr>
          <w:spacing w:val="-2"/>
        </w:rPr>
        <w:t> </w:t>
      </w:r>
      <w:r>
        <w:rPr/>
        <w:t>引起暂时性差异的资产和负债项目对应的暂时性差异金额</w:t>
      </w:r>
      <w:r>
        <w:rPr/>
        <w:t> 项</w:t>
        <w:tab/>
        <w:t>目</w:t>
        <w:tab/>
        <w:t>暂时性差异金额</w:t>
      </w:r>
    </w:p>
    <w:p>
      <w:pPr>
        <w:pStyle w:val="BodyText"/>
        <w:tabs>
          <w:tab w:pos="3792" w:val="left" w:leader="none"/>
        </w:tabs>
        <w:spacing w:line="240" w:lineRule="auto" w:before="34"/>
        <w:ind w:left="537" w:right="804"/>
        <w:jc w:val="left"/>
      </w:pPr>
      <w:r>
        <w:rPr/>
        <w:t>应收账款坏账准备</w:t>
        <w:tab/>
        <w:t>17,771,592.85</w:t>
      </w:r>
    </w:p>
    <w:p>
      <w:pPr>
        <w:spacing w:after="0" w:line="240" w:lineRule="auto"/>
        <w:jc w:val="left"/>
        <w:sectPr>
          <w:footerReference w:type="default" r:id="rId22"/>
          <w:pgSz w:w="11910" w:h="16840"/>
          <w:pgMar w:footer="1263" w:header="0" w:top="1440" w:bottom="1460" w:left="1680" w:right="1440"/>
          <w:pgNumType w:start="77"/>
        </w:sectPr>
      </w:pPr>
    </w:p>
    <w:p>
      <w:pPr>
        <w:spacing w:line="240" w:lineRule="auto" w:before="13"/>
        <w:rPr>
          <w:rFonts w:ascii="宋体" w:hAnsi="宋体" w:cs="宋体" w:eastAsia="宋体" w:hint="default"/>
          <w:sz w:val="5"/>
          <w:szCs w:val="5"/>
        </w:rPr>
      </w:pPr>
    </w:p>
    <w:tbl>
      <w:tblPr>
        <w:tblW w:w="0" w:type="auto"/>
        <w:jc w:val="left"/>
        <w:tblInd w:w="502" w:type="dxa"/>
        <w:tblLayout w:type="fixed"/>
        <w:tblCellMar>
          <w:top w:w="0" w:type="dxa"/>
          <w:left w:w="0" w:type="dxa"/>
          <w:bottom w:w="0" w:type="dxa"/>
          <w:right w:w="0" w:type="dxa"/>
        </w:tblCellMar>
        <w:tblLook w:val="01E0"/>
      </w:tblPr>
      <w:tblGrid>
        <w:gridCol w:w="2292"/>
        <w:gridCol w:w="2398"/>
      </w:tblGrid>
      <w:tr>
        <w:trPr>
          <w:trHeight w:val="415"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789,034.39</w:t>
            </w:r>
          </w:p>
        </w:tc>
      </w:tr>
      <w:tr>
        <w:trPr>
          <w:trHeight w:val="420"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1,200,805.83</w:t>
            </w:r>
          </w:p>
        </w:tc>
      </w:tr>
      <w:tr>
        <w:trPr>
          <w:trHeight w:val="415" w:hRule="exact"/>
        </w:trPr>
        <w:tc>
          <w:tcPr>
            <w:tcW w:w="229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thick" w:color="000000"/>
              </w:rPr>
              <w:t>19,761,433.07</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502" w:type="dxa"/>
        <w:tblLayout w:type="fixed"/>
        <w:tblCellMar>
          <w:top w:w="0" w:type="dxa"/>
          <w:left w:w="0" w:type="dxa"/>
          <w:bottom w:w="0" w:type="dxa"/>
          <w:right w:w="0" w:type="dxa"/>
        </w:tblCellMar>
        <w:tblLook w:val="01E0"/>
      </w:tblPr>
      <w:tblGrid>
        <w:gridCol w:w="2631"/>
        <w:gridCol w:w="2066"/>
        <w:gridCol w:w="3402"/>
      </w:tblGrid>
      <w:tr>
        <w:trPr>
          <w:trHeight w:val="415"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2"/>
                <w:sz w:val="21"/>
                <w:szCs w:val="21"/>
              </w:rPr>
              <w:t> </w:t>
            </w:r>
            <w:r>
              <w:rPr>
                <w:rFonts w:ascii="宋体" w:hAnsi="宋体" w:cs="宋体" w:eastAsia="宋体" w:hint="default"/>
                <w:sz w:val="21"/>
                <w:szCs w:val="21"/>
              </w:rPr>
              <w:t>其他非流动资产</w:t>
            </w:r>
          </w:p>
        </w:tc>
        <w:tc>
          <w:tcPr>
            <w:tcW w:w="2066"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65"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8"/>
                <w:sz w:val="21"/>
                <w:szCs w:val="21"/>
              </w:rPr>
              <w:t> </w:t>
            </w:r>
            <w:r>
              <w:rPr>
                <w:rFonts w:ascii="宋体" w:hAnsi="宋体" w:cs="宋体" w:eastAsia="宋体" w:hint="default"/>
                <w:sz w:val="21"/>
                <w:szCs w:val="21"/>
              </w:rPr>
              <w:t>0.00</w:t>
            </w:r>
          </w:p>
        </w:tc>
      </w:tr>
      <w:tr>
        <w:trPr>
          <w:trHeight w:val="42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066"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
        </w:tc>
      </w:tr>
      <w:tr>
        <w:trPr>
          <w:trHeight w:val="420" w:hRule="exact"/>
        </w:trPr>
        <w:tc>
          <w:tcPr>
            <w:tcW w:w="2631"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5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9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原股权投资借方差额</w:t>
            </w:r>
          </w:p>
        </w:tc>
        <w:tc>
          <w:tcPr>
            <w:tcW w:w="2066"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80" w:right="0"/>
              <w:jc w:val="left"/>
              <w:rPr>
                <w:rFonts w:ascii="宋体" w:hAnsi="宋体" w:cs="宋体" w:eastAsia="宋体" w:hint="default"/>
                <w:sz w:val="21"/>
                <w:szCs w:val="21"/>
              </w:rPr>
            </w:pPr>
            <w:r>
              <w:rPr>
                <w:rFonts w:ascii="宋体"/>
                <w:sz w:val="21"/>
              </w:rPr>
              <w:t>775,867.46</w:t>
            </w:r>
          </w:p>
        </w:tc>
      </w:tr>
      <w:tr>
        <w:trPr>
          <w:trHeight w:val="415" w:hRule="exact"/>
        </w:trPr>
        <w:tc>
          <w:tcPr>
            <w:tcW w:w="2631"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40"/>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66"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80" w:right="0"/>
              <w:jc w:val="left"/>
              <w:rPr>
                <w:rFonts w:ascii="宋体" w:hAnsi="宋体" w:cs="宋体" w:eastAsia="宋体" w:hint="default"/>
                <w:sz w:val="21"/>
                <w:szCs w:val="21"/>
              </w:rPr>
            </w:pPr>
            <w:r>
              <w:rPr>
                <w:rFonts w:ascii="宋体"/>
                <w:sz w:val="21"/>
              </w:rPr>
            </w:r>
            <w:r>
              <w:rPr>
                <w:rFonts w:ascii="宋体"/>
                <w:sz w:val="21"/>
                <w:u w:val="thick" w:color="000000"/>
              </w:rPr>
              <w:t>775,867.46</w:t>
            </w:r>
            <w:r>
              <w:rPr>
                <w:rFonts w:ascii="宋体"/>
                <w:sz w:val="21"/>
              </w:rPr>
            </w:r>
          </w:p>
        </w:tc>
      </w:tr>
    </w:tbl>
    <w:p>
      <w:pPr>
        <w:pStyle w:val="BodyText"/>
        <w:spacing w:line="367" w:lineRule="auto" w:before="45"/>
        <w:ind w:left="529" w:right="95" w:firstLine="8"/>
        <w:jc w:val="left"/>
      </w:pPr>
      <w:r>
        <w:rPr/>
        <w:t>(2)</w:t>
      </w:r>
      <w:r>
        <w:rPr>
          <w:spacing w:val="-1"/>
        </w:rPr>
        <w:t> </w:t>
      </w:r>
      <w:r>
        <w:rPr/>
        <w:t>金额较大的其他非流动资产的内容说明</w:t>
      </w:r>
      <w:r>
        <w:rPr/>
        <w:t> </w:t>
      </w:r>
      <w:r>
        <w:rPr>
          <w:spacing w:val="-2"/>
        </w:rPr>
        <w:t>公司以前年度溢价增资控股子公司杭州恒生数据安全技术有限公司和日本恒生软件株式会</w:t>
      </w:r>
      <w:r>
        <w:rPr/>
      </w:r>
    </w:p>
    <w:p>
      <w:pPr>
        <w:pStyle w:val="BodyText"/>
        <w:spacing w:line="240" w:lineRule="auto" w:before="34"/>
        <w:ind w:right="95"/>
        <w:jc w:val="left"/>
      </w:pPr>
      <w:r>
        <w:rPr>
          <w:spacing w:val="3"/>
        </w:rPr>
        <w:t>社，产生股权投资借方差额。截至 </w:t>
      </w:r>
      <w:r>
        <w:rPr/>
        <w:t>2006</w:t>
      </w:r>
      <w:r>
        <w:rPr>
          <w:spacing w:val="12"/>
        </w:rPr>
        <w:t> </w:t>
      </w:r>
      <w:r>
        <w:rPr>
          <w:spacing w:val="3"/>
        </w:rPr>
        <w:t>年末，原股权投资借方差额尚未摊销完毕的余额为</w:t>
      </w:r>
    </w:p>
    <w:p>
      <w:pPr>
        <w:pStyle w:val="BodyText"/>
        <w:spacing w:line="240" w:lineRule="auto"/>
        <w:ind w:right="95"/>
        <w:jc w:val="left"/>
      </w:pPr>
      <w:r>
        <w:rPr>
          <w:spacing w:val="-3"/>
        </w:rPr>
        <w:t>775,867.46</w:t>
      </w:r>
      <w:r>
        <w:rPr>
          <w:spacing w:val="-41"/>
        </w:rPr>
        <w:t> </w:t>
      </w:r>
      <w:r>
        <w:rPr>
          <w:spacing w:val="-6"/>
        </w:rPr>
        <w:t>元，记入合并资产负债表中其他流动资产项目，本期一次性摊销记入当期投资收益。</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502" w:type="dxa"/>
        <w:tblLayout w:type="fixed"/>
        <w:tblCellMar>
          <w:top w:w="0" w:type="dxa"/>
          <w:left w:w="0" w:type="dxa"/>
          <w:bottom w:w="0" w:type="dxa"/>
          <w:right w:w="0" w:type="dxa"/>
        </w:tblCellMar>
        <w:tblLook w:val="01E0"/>
      </w:tblPr>
      <w:tblGrid>
        <w:gridCol w:w="1910"/>
        <w:gridCol w:w="2826"/>
        <w:gridCol w:w="2653"/>
      </w:tblGrid>
      <w:tr>
        <w:trPr>
          <w:trHeight w:val="415" w:hRule="exact"/>
        </w:trPr>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3"/>
                <w:sz w:val="21"/>
                <w:szCs w:val="21"/>
              </w:rPr>
              <w:t> </w:t>
            </w:r>
            <w:r>
              <w:rPr>
                <w:rFonts w:ascii="宋体" w:hAnsi="宋体" w:cs="宋体" w:eastAsia="宋体" w:hint="default"/>
                <w:sz w:val="21"/>
                <w:szCs w:val="21"/>
              </w:rPr>
              <w:t>短期借款</w:t>
            </w:r>
          </w:p>
        </w:tc>
        <w:tc>
          <w:tcPr>
            <w:tcW w:w="282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0"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51,000,000.00</w:t>
            </w:r>
          </w:p>
        </w:tc>
      </w:tr>
      <w:tr>
        <w:trPr>
          <w:trHeight w:val="420" w:hRule="exact"/>
        </w:trPr>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借款条件</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5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15" w:right="0"/>
              <w:jc w:val="left"/>
              <w:rPr>
                <w:rFonts w:ascii="宋体" w:hAnsi="宋体" w:cs="宋体" w:eastAsia="宋体" w:hint="default"/>
                <w:sz w:val="21"/>
                <w:szCs w:val="21"/>
              </w:rPr>
            </w:pPr>
            <w:r>
              <w:rPr>
                <w:rFonts w:ascii="宋体" w:hAnsi="宋体" w:cs="宋体" w:eastAsia="宋体" w:hint="default"/>
                <w:sz w:val="21"/>
                <w:szCs w:val="21"/>
              </w:rPr>
              <w:t>51,000,000.00[注]</w:t>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25" w:right="0"/>
              <w:jc w:val="left"/>
              <w:rPr>
                <w:rFonts w:ascii="宋体" w:hAnsi="宋体" w:cs="宋体" w:eastAsia="宋体" w:hint="default"/>
                <w:sz w:val="21"/>
                <w:szCs w:val="21"/>
              </w:rPr>
            </w:pPr>
            <w:r>
              <w:rPr>
                <w:rFonts w:ascii="宋体"/>
                <w:sz w:val="21"/>
              </w:rPr>
              <w:t>60,000,000.00</w:t>
            </w:r>
          </w:p>
        </w:tc>
      </w:tr>
      <w:tr>
        <w:trPr>
          <w:trHeight w:val="415" w:hRule="exact"/>
        </w:trPr>
        <w:tc>
          <w:tcPr>
            <w:tcW w:w="1910"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40"/>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15" w:right="0"/>
              <w:jc w:val="left"/>
              <w:rPr>
                <w:rFonts w:ascii="宋体" w:hAnsi="宋体" w:cs="宋体" w:eastAsia="宋体" w:hint="default"/>
                <w:sz w:val="21"/>
                <w:szCs w:val="21"/>
              </w:rPr>
            </w:pPr>
            <w:r>
              <w:rPr>
                <w:rFonts w:ascii="宋体"/>
                <w:sz w:val="21"/>
              </w:rPr>
            </w:r>
            <w:r>
              <w:rPr>
                <w:rFonts w:ascii="宋体"/>
                <w:sz w:val="21"/>
                <w:u w:val="thick" w:color="000000"/>
              </w:rPr>
              <w:t>51,000,000.00</w:t>
            </w:r>
            <w:r>
              <w:rPr>
                <w:rFonts w:ascii="宋体"/>
                <w:sz w:val="21"/>
              </w:rPr>
            </w: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25" w:right="0"/>
              <w:jc w:val="left"/>
              <w:rPr>
                <w:rFonts w:ascii="宋体" w:hAnsi="宋体" w:cs="宋体" w:eastAsia="宋体" w:hint="default"/>
                <w:sz w:val="21"/>
                <w:szCs w:val="21"/>
              </w:rPr>
            </w:pPr>
            <w:r>
              <w:rPr>
                <w:rFonts w:ascii="宋体"/>
                <w:sz w:val="21"/>
              </w:rPr>
            </w:r>
            <w:r>
              <w:rPr>
                <w:rFonts w:ascii="宋体"/>
                <w:sz w:val="21"/>
                <w:u w:val="thick" w:color="000000"/>
              </w:rPr>
              <w:t>60,000,000.00</w:t>
            </w:r>
            <w:r>
              <w:rPr>
                <w:rFonts w:ascii="宋体"/>
                <w:sz w:val="21"/>
              </w:rPr>
            </w:r>
          </w:p>
        </w:tc>
      </w:tr>
    </w:tbl>
    <w:p>
      <w:pPr>
        <w:pStyle w:val="BodyText"/>
        <w:spacing w:line="240" w:lineRule="auto" w:before="45"/>
        <w:ind w:left="537" w:right="95"/>
        <w:jc w:val="left"/>
      </w:pPr>
      <w:r>
        <w:rPr/>
        <w:t>[注]：均系关联方担保借款，详见本财务报表附注十(三)2(4)1)之说明。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502" w:type="dxa"/>
        <w:tblLayout w:type="fixed"/>
        <w:tblCellMar>
          <w:top w:w="0" w:type="dxa"/>
          <w:left w:w="0" w:type="dxa"/>
          <w:bottom w:w="0" w:type="dxa"/>
          <w:right w:w="0" w:type="dxa"/>
        </w:tblCellMar>
        <w:tblLook w:val="01E0"/>
      </w:tblPr>
      <w:tblGrid>
        <w:gridCol w:w="1835"/>
        <w:gridCol w:w="2645"/>
        <w:gridCol w:w="2910"/>
      </w:tblGrid>
      <w:tr>
        <w:trPr>
          <w:trHeight w:val="415"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4"/>
                <w:sz w:val="21"/>
                <w:szCs w:val="21"/>
              </w:rPr>
              <w:t> </w:t>
            </w:r>
            <w:r>
              <w:rPr>
                <w:rFonts w:ascii="宋体" w:hAnsi="宋体" w:cs="宋体" w:eastAsia="宋体" w:hint="default"/>
                <w:sz w:val="21"/>
                <w:szCs w:val="21"/>
              </w:rPr>
              <w:t>应付票据</w:t>
            </w:r>
          </w:p>
        </w:tc>
        <w:tc>
          <w:tcPr>
            <w:tcW w:w="2645" w:type="dxa"/>
            <w:tcBorders>
              <w:top w:val="nil" w:sz="6" w:space="0" w:color="auto"/>
              <w:left w:val="nil" w:sz="6" w:space="0" w:color="auto"/>
              <w:bottom w:val="nil" w:sz="6" w:space="0" w:color="auto"/>
              <w:right w:val="nil" w:sz="6" w:space="0" w:color="auto"/>
            </w:tcBorders>
          </w:tcPr>
          <w:p>
            <w:pP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32"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2"/>
                <w:sz w:val="21"/>
                <w:szCs w:val="21"/>
              </w:rPr>
              <w:t> </w:t>
            </w:r>
            <w:r>
              <w:rPr>
                <w:rFonts w:ascii="宋体" w:hAnsi="宋体" w:cs="宋体" w:eastAsia="宋体" w:hint="default"/>
                <w:sz w:val="21"/>
                <w:szCs w:val="21"/>
              </w:rPr>
              <w:t>7,156,046.60</w:t>
            </w:r>
          </w:p>
        </w:tc>
      </w:tr>
      <w:tr>
        <w:trPr>
          <w:trHeight w:val="42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645" w:type="dxa"/>
            <w:tcBorders>
              <w:top w:val="nil" w:sz="6" w:space="0" w:color="auto"/>
              <w:left w:val="nil" w:sz="6" w:space="0" w:color="auto"/>
              <w:bottom w:val="nil" w:sz="6" w:space="0" w:color="auto"/>
              <w:right w:val="nil" w:sz="6" w:space="0" w:color="auto"/>
            </w:tcBorders>
          </w:tcPr>
          <w:p>
            <w:pPr/>
          </w:p>
        </w:tc>
        <w:tc>
          <w:tcPr>
            <w:tcW w:w="2910" w:type="dxa"/>
            <w:tcBorders>
              <w:top w:val="nil" w:sz="6" w:space="0" w:color="auto"/>
              <w:left w:val="nil" w:sz="6" w:space="0" w:color="auto"/>
              <w:bottom w:val="nil" w:sz="6" w:space="0" w:color="auto"/>
              <w:right w:val="nil" w:sz="6" w:space="0" w:color="auto"/>
            </w:tcBorders>
          </w:tcPr>
          <w:p>
            <w:pPr/>
          </w:p>
        </w:tc>
      </w:tr>
      <w:tr>
        <w:trPr>
          <w:trHeight w:val="420" w:hRule="exact"/>
        </w:trPr>
        <w:tc>
          <w:tcPr>
            <w:tcW w:w="183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0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92" w:right="0"/>
              <w:jc w:val="left"/>
              <w:rPr>
                <w:rFonts w:ascii="宋体" w:hAnsi="宋体" w:cs="宋体" w:eastAsia="宋体" w:hint="default"/>
                <w:sz w:val="21"/>
                <w:szCs w:val="21"/>
              </w:rPr>
            </w:pPr>
            <w:r>
              <w:rPr>
                <w:rFonts w:ascii="宋体" w:hAnsi="宋体" w:cs="宋体" w:eastAsia="宋体" w:hint="default"/>
                <w:sz w:val="21"/>
                <w:szCs w:val="21"/>
              </w:rPr>
              <w:t>7,156,046.60[注]</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74" w:right="0"/>
              <w:jc w:val="left"/>
              <w:rPr>
                <w:rFonts w:ascii="宋体" w:hAnsi="宋体" w:cs="宋体" w:eastAsia="宋体" w:hint="default"/>
                <w:sz w:val="21"/>
                <w:szCs w:val="21"/>
              </w:rPr>
            </w:pPr>
            <w:r>
              <w:rPr>
                <w:rFonts w:ascii="宋体"/>
                <w:sz w:val="21"/>
              </w:rPr>
              <w:t>2,259,026.40</w:t>
            </w:r>
          </w:p>
        </w:tc>
      </w:tr>
      <w:tr>
        <w:trPr>
          <w:trHeight w:val="415" w:hRule="exact"/>
        </w:trPr>
        <w:tc>
          <w:tcPr>
            <w:tcW w:w="1835"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40"/>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91" w:right="0"/>
              <w:jc w:val="left"/>
              <w:rPr>
                <w:rFonts w:ascii="宋体" w:hAnsi="宋体" w:cs="宋体" w:eastAsia="宋体" w:hint="default"/>
                <w:sz w:val="21"/>
                <w:szCs w:val="21"/>
              </w:rPr>
            </w:pPr>
            <w:r>
              <w:rPr>
                <w:rFonts w:ascii="宋体"/>
                <w:sz w:val="21"/>
              </w:rPr>
            </w:r>
            <w:r>
              <w:rPr>
                <w:rFonts w:ascii="宋体"/>
                <w:sz w:val="21"/>
                <w:u w:val="thick" w:color="000000"/>
              </w:rPr>
              <w:t>7,156,046.60</w:t>
            </w:r>
            <w:r>
              <w:rPr>
                <w:rFonts w:ascii="宋体"/>
                <w:sz w:val="21"/>
              </w:rPr>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75" w:right="0"/>
              <w:jc w:val="left"/>
              <w:rPr>
                <w:rFonts w:ascii="宋体" w:hAnsi="宋体" w:cs="宋体" w:eastAsia="宋体" w:hint="default"/>
                <w:sz w:val="21"/>
                <w:szCs w:val="21"/>
              </w:rPr>
            </w:pPr>
            <w:r>
              <w:rPr>
                <w:rFonts w:ascii="宋体"/>
                <w:sz w:val="21"/>
              </w:rPr>
            </w:r>
            <w:r>
              <w:rPr>
                <w:rFonts w:ascii="宋体"/>
                <w:sz w:val="21"/>
                <w:u w:val="thick" w:color="000000"/>
              </w:rPr>
              <w:t>2,259,026.40</w:t>
            </w:r>
            <w:r>
              <w:rPr>
                <w:rFonts w:ascii="宋体"/>
                <w:sz w:val="21"/>
              </w:rPr>
            </w:r>
          </w:p>
        </w:tc>
      </w:tr>
    </w:tbl>
    <w:p>
      <w:pPr>
        <w:pStyle w:val="BodyText"/>
        <w:spacing w:line="240" w:lineRule="auto" w:before="45"/>
        <w:ind w:left="537" w:right="95"/>
        <w:jc w:val="left"/>
      </w:pPr>
      <w:r>
        <w:rPr/>
        <w:t>(2)</w:t>
      </w:r>
      <w:r>
        <w:rPr>
          <w:spacing w:val="-4"/>
        </w:rPr>
        <w:t> </w:t>
      </w:r>
      <w:r>
        <w:rPr/>
        <w:t>无持有本公司</w:t>
      </w:r>
      <w:r>
        <w:rPr>
          <w:spacing w:val="-55"/>
        </w:rPr>
        <w:t> </w:t>
      </w:r>
      <w:r>
        <w:rPr/>
        <w:t>5%以上(含</w:t>
      </w:r>
      <w:r>
        <w:rPr>
          <w:spacing w:val="-55"/>
        </w:rPr>
        <w:t> </w:t>
      </w:r>
      <w:r>
        <w:rPr/>
        <w:t>5%)表决权股份的股东票据。</w:t>
      </w:r>
    </w:p>
    <w:p>
      <w:pPr>
        <w:pStyle w:val="BodyText"/>
        <w:spacing w:line="367" w:lineRule="auto"/>
        <w:ind w:left="537" w:right="822"/>
        <w:jc w:val="left"/>
      </w:pPr>
      <w:r>
        <w:rPr/>
        <w:t>(3)</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应付票据期末数较期初数增加了</w:t>
      </w:r>
      <w:r>
        <w:rPr>
          <w:spacing w:val="-55"/>
        </w:rPr>
        <w:t> </w:t>
      </w:r>
      <w:r>
        <w:rPr/>
        <w:t>216.78%，系公司期末未结清银行承兑汇票增加。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5809" w:val="left" w:leader="none"/>
        </w:tabs>
        <w:spacing w:line="240" w:lineRule="auto" w:before="0"/>
        <w:ind w:left="537" w:right="95"/>
        <w:jc w:val="left"/>
      </w:pPr>
      <w:r>
        <w:rPr/>
        <w:t>17.</w:t>
      </w:r>
      <w:r>
        <w:rPr>
          <w:spacing w:val="-3"/>
        </w:rPr>
        <w:t> </w:t>
      </w:r>
      <w:r>
        <w:rPr/>
        <w:t>应付账款</w:t>
        <w:tab/>
        <w:t>期末数</w:t>
      </w:r>
      <w:r>
        <w:rPr>
          <w:spacing w:val="-59"/>
        </w:rPr>
        <w:t> </w:t>
      </w:r>
      <w:r>
        <w:rPr/>
        <w:t>23,407,551.06</w:t>
      </w:r>
    </w:p>
    <w:p>
      <w:pPr>
        <w:pStyle w:val="BodyText"/>
        <w:spacing w:line="367" w:lineRule="auto"/>
        <w:ind w:left="537" w:right="2557"/>
        <w:jc w:val="left"/>
      </w:pPr>
      <w:r>
        <w:rPr/>
        <w:t>(1)</w:t>
      </w:r>
      <w:r>
        <w:rPr>
          <w:spacing w:val="-1"/>
        </w:rPr>
        <w:t> </w:t>
      </w:r>
      <w:r>
        <w:rPr/>
        <w:t>无应付持有本公司</w:t>
      </w:r>
      <w:r>
        <w:rPr>
          <w:spacing w:val="-54"/>
        </w:rPr>
        <w:t> </w:t>
      </w:r>
      <w:r>
        <w:rPr/>
        <w:t>5%以上(含</w:t>
      </w:r>
      <w:r>
        <w:rPr>
          <w:spacing w:val="-55"/>
        </w:rPr>
        <w:t> </w:t>
      </w:r>
      <w:r>
        <w:rPr/>
        <w:t>5%)表决权股份的股东账款。</w:t>
      </w:r>
      <w:r>
        <w:rPr/>
        <w:t> (2)</w:t>
      </w:r>
      <w:r>
        <w:rPr>
          <w:spacing w:val="-2"/>
        </w:rPr>
        <w:t> </w:t>
      </w:r>
      <w:r>
        <w:rPr/>
        <w:t>账龄超过</w:t>
      </w:r>
      <w:r>
        <w:rPr>
          <w:spacing w:val="-54"/>
        </w:rPr>
        <w:t> </w:t>
      </w:r>
      <w:r>
        <w:rPr/>
        <w:t>1</w:t>
      </w:r>
      <w:r>
        <w:rPr>
          <w:spacing w:val="-53"/>
        </w:rPr>
        <w:t> </w:t>
      </w:r>
      <w:r>
        <w:rPr/>
        <w:t>年的大额应付账款未偿还原因</w:t>
      </w:r>
    </w:p>
    <w:p>
      <w:pPr>
        <w:pStyle w:val="BodyText"/>
        <w:spacing w:line="240" w:lineRule="auto" w:before="34"/>
        <w:ind w:left="537" w:right="95"/>
        <w:jc w:val="left"/>
      </w:pPr>
      <w:r>
        <w:rPr/>
        <w:t>账龄</w:t>
      </w:r>
      <w:r>
        <w:rPr>
          <w:spacing w:val="-62"/>
        </w:rPr>
        <w:t> </w:t>
      </w:r>
      <w:r>
        <w:rPr/>
        <w:t>1</w:t>
      </w:r>
      <w:r>
        <w:rPr>
          <w:spacing w:val="-61"/>
        </w:rPr>
        <w:t> </w:t>
      </w:r>
      <w:r>
        <w:rPr/>
        <w:t>年以上应付账款合计金额</w:t>
      </w:r>
      <w:r>
        <w:rPr>
          <w:spacing w:val="-62"/>
        </w:rPr>
        <w:t> </w:t>
      </w:r>
      <w:r>
        <w:rPr/>
        <w:t>568,933.39</w:t>
      </w:r>
      <w:r>
        <w:rPr>
          <w:spacing w:val="-61"/>
        </w:rPr>
        <w:t> </w:t>
      </w:r>
      <w:r>
        <w:rPr/>
        <w:t>元,主要系采购设备的尾款。</w:t>
      </w:r>
    </w:p>
    <w:p>
      <w:pPr>
        <w:spacing w:after="0" w:line="240" w:lineRule="auto"/>
        <w:jc w:val="left"/>
        <w:sectPr>
          <w:footerReference w:type="default" r:id="rId23"/>
          <w:pgSz w:w="11910" w:h="16840"/>
          <w:pgMar w:footer="1263" w:header="0" w:top="1440" w:bottom="1460" w:left="1680" w:right="1340"/>
          <w:pgNumType w:start="78"/>
        </w:sectPr>
      </w:pPr>
    </w:p>
    <w:p>
      <w:pPr>
        <w:pStyle w:val="BodyText"/>
        <w:spacing w:line="240" w:lineRule="auto" w:before="10"/>
        <w:ind w:left="537" w:right="95"/>
        <w:jc w:val="left"/>
      </w:pPr>
      <w:r>
        <w:rPr/>
        <w:t>(3)</w:t>
      </w:r>
      <w:r>
        <w:rPr>
          <w:spacing w:val="-2"/>
        </w:rPr>
        <w:t> </w:t>
      </w:r>
      <w:r>
        <w:rPr/>
        <w:t>应付账款——外币应付账款</w:t>
      </w:r>
    </w:p>
    <w:p>
      <w:pPr>
        <w:spacing w:line="240" w:lineRule="auto" w:before="10"/>
        <w:rPr>
          <w:rFonts w:ascii="宋体" w:hAnsi="宋体" w:cs="宋体" w:eastAsia="宋体" w:hint="default"/>
          <w:sz w:val="13"/>
          <w:szCs w:val="13"/>
        </w:rPr>
      </w:pPr>
    </w:p>
    <w:p>
      <w:pPr>
        <w:tabs>
          <w:tab w:pos="2877" w:val="left" w:leader="none"/>
          <w:tab w:pos="4857" w:val="left" w:leader="none"/>
          <w:tab w:pos="5757" w:val="left" w:leader="none"/>
          <w:tab w:pos="6747" w:val="left" w:leader="none"/>
          <w:tab w:pos="8547" w:val="left" w:leader="none"/>
        </w:tabs>
        <w:spacing w:before="0"/>
        <w:ind w:left="1977"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tab/>
      </w:r>
      <w:r>
        <w:rPr>
          <w:rFonts w:ascii="宋体" w:hAnsi="宋体" w:cs="宋体" w:eastAsia="宋体" w:hint="default"/>
          <w:sz w:val="18"/>
          <w:szCs w:val="18"/>
        </w:rPr>
      </w:r>
    </w:p>
    <w:p>
      <w:pPr>
        <w:tabs>
          <w:tab w:pos="1647" w:val="left" w:leader="none"/>
          <w:tab w:pos="1887" w:val="left" w:leader="none"/>
          <w:tab w:pos="3147" w:val="left" w:leader="none"/>
          <w:tab w:pos="3867" w:val="left" w:leader="none"/>
          <w:tab w:pos="5427" w:val="left" w:leader="none"/>
          <w:tab w:pos="5667" w:val="left" w:leader="none"/>
          <w:tab w:pos="6837" w:val="left" w:leader="none"/>
          <w:tab w:pos="7647" w:val="left" w:leader="none"/>
          <w:tab w:pos="7857" w:val="left" w:leader="none"/>
        </w:tabs>
        <w:spacing w:line="429" w:lineRule="auto" w:before="28"/>
        <w:ind w:left="537" w:right="124" w:firstLine="180"/>
        <w:jc w:val="left"/>
        <w:rPr>
          <w:rFonts w:ascii="宋体" w:hAnsi="宋体" w:cs="宋体" w:eastAsia="宋体" w:hint="default"/>
          <w:sz w:val="18"/>
          <w:szCs w:val="18"/>
        </w:rPr>
      </w:pPr>
      <w:r>
        <w:rPr>
          <w:rFonts w:ascii="宋体" w:hAnsi="宋体" w:cs="宋体" w:eastAsia="宋体" w:hint="default"/>
          <w:sz w:val="18"/>
          <w:szCs w:val="18"/>
        </w:rPr>
        <w:t>币  种</w:t>
        <w:tab/>
        <w:tab/>
        <w:t>原币金额</w:t>
        <w:tab/>
        <w:t>汇率</w:t>
        <w:tab/>
        <w:t>折人民币金额</w:t>
        <w:tab/>
        <w:tab/>
        <w:t>原币金额</w:t>
        <w:tab/>
        <w:t>汇率</w:t>
        <w:tab/>
        <w:t>折人民币金额 日  元</w:t>
        <w:tab/>
        <w:t>16,944,770.00  0.064064</w:t>
      </w:r>
      <w:r>
        <w:rPr>
          <w:rFonts w:ascii="宋体" w:hAnsi="宋体" w:cs="宋体" w:eastAsia="宋体" w:hint="default"/>
          <w:spacing w:val="89"/>
          <w:sz w:val="18"/>
          <w:szCs w:val="18"/>
        </w:rPr>
        <w:t> </w:t>
      </w:r>
      <w:r>
        <w:rPr>
          <w:rFonts w:ascii="宋体" w:hAnsi="宋体" w:cs="宋体" w:eastAsia="宋体" w:hint="default"/>
          <w:sz w:val="18"/>
          <w:szCs w:val="18"/>
        </w:rPr>
        <w:t>1,085,549.75</w:t>
        <w:tab/>
        <w:t>10,762,895.02</w:t>
        <w:tab/>
        <w:t>0.06563</w:t>
        <w:tab/>
        <w:tab/>
        <w:t>706,368.80</w:t>
      </w:r>
    </w:p>
    <w:p>
      <w:pPr>
        <w:tabs>
          <w:tab w:pos="3897" w:val="left" w:leader="none"/>
          <w:tab w:pos="7857" w:val="left" w:leader="none"/>
        </w:tabs>
        <w:spacing w:before="42"/>
        <w:ind w:left="717"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1,085,549.75</w:t>
      </w:r>
      <w:r>
        <w:rPr>
          <w:rFonts w:ascii="宋体" w:hAnsi="宋体" w:cs="宋体" w:eastAsia="宋体" w:hint="default"/>
          <w:sz w:val="18"/>
          <w:szCs w:val="18"/>
        </w:rPr>
        <w:tab/>
      </w:r>
      <w:r>
        <w:rPr>
          <w:rFonts w:ascii="宋体" w:hAnsi="宋体" w:cs="宋体" w:eastAsia="宋体" w:hint="default"/>
          <w:sz w:val="18"/>
          <w:szCs w:val="18"/>
          <w:u w:val="single" w:color="000000"/>
        </w:rPr>
        <w:t>706,368.80</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5809" w:val="left" w:leader="none"/>
        </w:tabs>
        <w:spacing w:line="240" w:lineRule="auto" w:before="35"/>
        <w:ind w:left="537" w:right="95"/>
        <w:jc w:val="left"/>
      </w:pPr>
      <w:r>
        <w:rPr/>
        <w:t>18.</w:t>
      </w:r>
      <w:r>
        <w:rPr>
          <w:spacing w:val="-3"/>
        </w:rPr>
        <w:t> </w:t>
      </w:r>
      <w:r>
        <w:rPr/>
        <w:t>预收款项</w:t>
        <w:tab/>
        <w:t>期末数</w:t>
      </w:r>
      <w:r>
        <w:rPr>
          <w:spacing w:val="-59"/>
        </w:rPr>
        <w:t> </w:t>
      </w:r>
      <w:r>
        <w:rPr/>
        <w:t>62,533,461.90</w:t>
      </w:r>
    </w:p>
    <w:p>
      <w:pPr>
        <w:pStyle w:val="BodyText"/>
        <w:spacing w:line="240" w:lineRule="auto"/>
        <w:ind w:left="537" w:right="95"/>
        <w:jc w:val="left"/>
      </w:pPr>
      <w:r>
        <w:rPr/>
        <w:t>(1)</w:t>
      </w:r>
      <w:r>
        <w:rPr>
          <w:spacing w:val="-4"/>
        </w:rPr>
        <w:t> </w:t>
      </w:r>
      <w:r>
        <w:rPr/>
        <w:t>无持有本公司</w:t>
      </w:r>
      <w:r>
        <w:rPr>
          <w:spacing w:val="-55"/>
        </w:rPr>
        <w:t> </w:t>
      </w:r>
      <w:r>
        <w:rPr/>
        <w:t>5%以上(含</w:t>
      </w:r>
      <w:r>
        <w:rPr>
          <w:spacing w:val="-55"/>
        </w:rPr>
        <w:t> </w:t>
      </w:r>
      <w:r>
        <w:rPr/>
        <w:t>5%)表决权股份的股东款项</w:t>
      </w:r>
    </w:p>
    <w:p>
      <w:pPr>
        <w:pStyle w:val="BodyText"/>
        <w:spacing w:line="367" w:lineRule="auto"/>
        <w:ind w:left="537" w:right="102"/>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w:t>
      </w:r>
      <w:r>
        <w:rPr>
          <w:spacing w:val="-5"/>
        </w:rPr>
        <w:t>预收款项期末数较期初数增长</w:t>
      </w:r>
      <w:r>
        <w:rPr>
          <w:spacing w:val="-41"/>
        </w:rPr>
        <w:t> </w:t>
      </w:r>
      <w:r>
        <w:rPr>
          <w:spacing w:val="-9"/>
        </w:rPr>
        <w:t>164.68%，主要系公司本期业务规模扩大，预收的销售款增加。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6310" w:val="left" w:leader="none"/>
        </w:tabs>
        <w:spacing w:line="240" w:lineRule="auto" w:before="0"/>
        <w:ind w:left="537" w:right="95"/>
        <w:jc w:val="left"/>
      </w:pPr>
      <w:r>
        <w:rPr/>
        <w:t>19.</w:t>
      </w:r>
      <w:r>
        <w:rPr>
          <w:spacing w:val="-2"/>
        </w:rPr>
        <w:t> </w:t>
      </w:r>
      <w:r>
        <w:rPr/>
        <w:t>应付职工薪酬</w:t>
        <w:tab/>
        <w:t>期末数</w:t>
      </w:r>
      <w:r>
        <w:rPr>
          <w:spacing w:val="-66"/>
        </w:rPr>
        <w:t> </w:t>
      </w:r>
      <w:r>
        <w:rPr/>
        <w:t>32,498,344.43</w:t>
      </w:r>
    </w:p>
    <w:p>
      <w:pPr>
        <w:pStyle w:val="BodyText"/>
        <w:spacing w:line="240" w:lineRule="auto"/>
        <w:ind w:left="537" w:right="95"/>
        <w:jc w:val="left"/>
      </w:pPr>
      <w:r>
        <w:rPr/>
        <w:t>(1)</w:t>
      </w:r>
      <w:r>
        <w:rPr>
          <w:spacing w:val="-2"/>
        </w:rPr>
        <w:t> </w:t>
      </w:r>
      <w:r>
        <w:rPr/>
        <w:t>明细情况</w:t>
      </w:r>
    </w:p>
    <w:p>
      <w:pPr>
        <w:spacing w:line="240" w:lineRule="auto" w:before="0"/>
        <w:rPr>
          <w:rFonts w:ascii="宋体" w:hAnsi="宋体" w:cs="宋体" w:eastAsia="宋体" w:hint="default"/>
          <w:sz w:val="11"/>
          <w:szCs w:val="11"/>
        </w:rPr>
      </w:pPr>
    </w:p>
    <w:tbl>
      <w:tblPr>
        <w:tblW w:w="0" w:type="auto"/>
        <w:jc w:val="left"/>
        <w:tblInd w:w="550" w:type="dxa"/>
        <w:tblLayout w:type="fixed"/>
        <w:tblCellMar>
          <w:top w:w="0" w:type="dxa"/>
          <w:left w:w="0" w:type="dxa"/>
          <w:bottom w:w="0" w:type="dxa"/>
          <w:right w:w="0" w:type="dxa"/>
        </w:tblCellMar>
        <w:tblLook w:val="01E0"/>
      </w:tblPr>
      <w:tblGrid>
        <w:gridCol w:w="2208"/>
        <w:gridCol w:w="1471"/>
        <w:gridCol w:w="1476"/>
        <w:gridCol w:w="1553"/>
        <w:gridCol w:w="1390"/>
      </w:tblGrid>
      <w:tr>
        <w:trPr>
          <w:trHeight w:val="40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2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5,175,114.50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97,205,347.88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3"/>
              <w:jc w:val="right"/>
              <w:rPr>
                <w:rFonts w:ascii="宋体" w:hAnsi="宋体" w:cs="宋体" w:eastAsia="宋体" w:hint="default"/>
                <w:sz w:val="18"/>
                <w:szCs w:val="18"/>
              </w:rPr>
            </w:pPr>
            <w:r>
              <w:rPr>
                <w:rFonts w:ascii="宋体"/>
                <w:sz w:val="18"/>
              </w:rPr>
              <w:t>75,296,668.76</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27,083,793.62</w:t>
            </w:r>
          </w:p>
        </w:tc>
      </w:tr>
      <w:tr>
        <w:trPr>
          <w:trHeight w:val="42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职工福利</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11,100,442.30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4,296,004.81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3"/>
              <w:jc w:val="right"/>
              <w:rPr>
                <w:rFonts w:ascii="宋体" w:hAnsi="宋体" w:cs="宋体" w:eastAsia="宋体" w:hint="default"/>
                <w:sz w:val="18"/>
                <w:szCs w:val="18"/>
              </w:rPr>
            </w:pPr>
            <w:r>
              <w:rPr>
                <w:rFonts w:ascii="宋体"/>
                <w:sz w:val="18"/>
              </w:rPr>
              <w:t>15,396,447.11</w:t>
            </w:r>
          </w:p>
        </w:tc>
        <w:tc>
          <w:tcPr>
            <w:tcW w:w="1390" w:type="dxa"/>
            <w:tcBorders>
              <w:top w:val="nil" w:sz="6" w:space="0" w:color="auto"/>
              <w:left w:val="nil" w:sz="6" w:space="0" w:color="auto"/>
              <w:bottom w:val="nil" w:sz="6" w:space="0" w:color="auto"/>
              <w:right w:val="nil" w:sz="6" w:space="0" w:color="auto"/>
            </w:tcBorders>
          </w:tcPr>
          <w:p>
            <w:pPr/>
          </w:p>
        </w:tc>
      </w:tr>
      <w:tr>
        <w:trPr>
          <w:trHeight w:val="42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20,072.37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6,638,247.33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3"/>
              <w:jc w:val="right"/>
              <w:rPr>
                <w:rFonts w:ascii="宋体" w:hAnsi="宋体" w:cs="宋体" w:eastAsia="宋体" w:hint="default"/>
                <w:sz w:val="18"/>
                <w:szCs w:val="18"/>
              </w:rPr>
            </w:pPr>
            <w:r>
              <w:rPr>
                <w:rFonts w:ascii="宋体"/>
                <w:sz w:val="18"/>
              </w:rPr>
              <w:t>6,644,408.31</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13,911.39</w:t>
            </w:r>
          </w:p>
        </w:tc>
      </w:tr>
      <w:tr>
        <w:trPr>
          <w:trHeight w:val="42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71"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3,006,975.76</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3"/>
              <w:jc w:val="right"/>
              <w:rPr>
                <w:rFonts w:ascii="宋体" w:hAnsi="宋体" w:cs="宋体" w:eastAsia="宋体" w:hint="default"/>
                <w:sz w:val="18"/>
                <w:szCs w:val="18"/>
              </w:rPr>
            </w:pPr>
            <w:r>
              <w:rPr>
                <w:rFonts w:ascii="宋体"/>
                <w:sz w:val="18"/>
              </w:rPr>
              <w:t>3,003,605.00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3,370.76</w:t>
            </w:r>
          </w:p>
        </w:tc>
      </w:tr>
      <w:tr>
        <w:trPr>
          <w:trHeight w:val="42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719,653.37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1,811,326.72</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3"/>
              <w:jc w:val="right"/>
              <w:rPr>
                <w:rFonts w:ascii="宋体" w:hAnsi="宋体" w:cs="宋体" w:eastAsia="宋体" w:hint="default"/>
                <w:sz w:val="18"/>
                <w:szCs w:val="18"/>
              </w:rPr>
            </w:pPr>
            <w:r>
              <w:rPr>
                <w:rFonts w:ascii="宋体"/>
                <w:sz w:val="18"/>
              </w:rPr>
              <w:t>1,729,511.90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801,468.19</w:t>
            </w:r>
          </w:p>
        </w:tc>
      </w:tr>
      <w:tr>
        <w:trPr>
          <w:trHeight w:val="42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3,273,979.93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t>1,549,552.54</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3"/>
              <w:jc w:val="right"/>
              <w:rPr>
                <w:rFonts w:ascii="宋体" w:hAnsi="宋体" w:cs="宋体" w:eastAsia="宋体" w:hint="default"/>
                <w:sz w:val="18"/>
                <w:szCs w:val="18"/>
              </w:rPr>
            </w:pPr>
            <w:r>
              <w:rPr>
                <w:rFonts w:ascii="宋体"/>
                <w:sz w:val="18"/>
              </w:rPr>
              <w:t>227,732.00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4,595,800.47</w:t>
            </w:r>
          </w:p>
        </w:tc>
      </w:tr>
      <w:tr>
        <w:trPr>
          <w:trHeight w:val="400"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z w:val="18"/>
              </w:rPr>
            </w:r>
            <w:r>
              <w:rPr>
                <w:rFonts w:ascii="宋体"/>
                <w:sz w:val="18"/>
                <w:u w:val="thick" w:color="000000"/>
              </w:rPr>
              <w:t>20,289,262.47</w:t>
            </w:r>
            <w:r>
              <w:rPr>
                <w:rFonts w:ascii="宋体"/>
                <w:sz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z w:val="18"/>
              </w:rPr>
            </w:r>
            <w:r>
              <w:rPr>
                <w:rFonts w:ascii="宋体"/>
                <w:sz w:val="18"/>
                <w:u w:val="thick" w:color="000000"/>
              </w:rPr>
              <w:t>114,507,455.04</w:t>
            </w:r>
            <w:r>
              <w:rPr>
                <w:rFonts w:ascii="宋体"/>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83"/>
              <w:jc w:val="right"/>
              <w:rPr>
                <w:rFonts w:ascii="宋体" w:hAnsi="宋体" w:cs="宋体" w:eastAsia="宋体" w:hint="default"/>
                <w:sz w:val="18"/>
                <w:szCs w:val="18"/>
              </w:rPr>
            </w:pPr>
            <w:r>
              <w:rPr>
                <w:rFonts w:ascii="宋体"/>
                <w:sz w:val="18"/>
              </w:rPr>
            </w:r>
            <w:r>
              <w:rPr>
                <w:rFonts w:ascii="宋体"/>
                <w:sz w:val="18"/>
                <w:u w:val="thick" w:color="000000"/>
              </w:rPr>
              <w:t>102,298,373.08</w:t>
            </w:r>
            <w:r>
              <w:rPr>
                <w:rFonts w:ascii="宋体"/>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r>
            <w:r>
              <w:rPr>
                <w:rFonts w:ascii="宋体"/>
                <w:sz w:val="18"/>
                <w:u w:val="thick" w:color="000000"/>
              </w:rPr>
              <w:t>32,498,344.43</w:t>
            </w:r>
            <w:r>
              <w:rPr>
                <w:rFonts w:ascii="宋体"/>
                <w:sz w:val="18"/>
              </w:rPr>
            </w:r>
          </w:p>
        </w:tc>
      </w:tr>
    </w:tbl>
    <w:p>
      <w:pPr>
        <w:pStyle w:val="BodyText"/>
        <w:spacing w:line="367" w:lineRule="auto" w:before="41"/>
        <w:ind w:left="537" w:right="297"/>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应付职工薪酬期末数较期初数增长</w:t>
      </w:r>
      <w:r>
        <w:rPr>
          <w:spacing w:val="-55"/>
        </w:rPr>
        <w:t> </w:t>
      </w:r>
      <w:r>
        <w:rPr/>
        <w:t>60.18%，主要系公司本期实现的利润增加，尚未发放</w:t>
      </w:r>
    </w:p>
    <w:p>
      <w:pPr>
        <w:pStyle w:val="BodyText"/>
        <w:spacing w:line="240" w:lineRule="auto" w:before="34"/>
        <w:ind w:right="95"/>
        <w:jc w:val="left"/>
      </w:pPr>
      <w:r>
        <w:rPr/>
        <w:t>的考核工资增加。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502" w:type="dxa"/>
        <w:tblLayout w:type="fixed"/>
        <w:tblCellMar>
          <w:top w:w="0" w:type="dxa"/>
          <w:left w:w="0" w:type="dxa"/>
          <w:bottom w:w="0" w:type="dxa"/>
          <w:right w:w="0" w:type="dxa"/>
        </w:tblCellMar>
        <w:tblLook w:val="01E0"/>
      </w:tblPr>
      <w:tblGrid>
        <w:gridCol w:w="2307"/>
        <w:gridCol w:w="2330"/>
        <w:gridCol w:w="2752"/>
      </w:tblGrid>
      <w:tr>
        <w:trPr>
          <w:trHeight w:val="415"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3"/>
                <w:sz w:val="21"/>
                <w:szCs w:val="21"/>
              </w:rPr>
              <w:t> </w:t>
            </w:r>
            <w:r>
              <w:rPr>
                <w:rFonts w:ascii="宋体" w:hAnsi="宋体" w:cs="宋体" w:eastAsia="宋体" w:hint="default"/>
                <w:sz w:val="21"/>
                <w:szCs w:val="21"/>
              </w:rPr>
              <w:t>应交税费</w:t>
            </w:r>
          </w:p>
        </w:tc>
        <w:tc>
          <w:tcPr>
            <w:tcW w:w="2330" w:type="dxa"/>
            <w:tcBorders>
              <w:top w:val="nil" w:sz="6" w:space="0" w:color="auto"/>
              <w:left w:val="nil" w:sz="6" w:space="0" w:color="auto"/>
              <w:bottom w:val="nil" w:sz="6" w:space="0" w:color="auto"/>
              <w:right w:val="nil" w:sz="6" w:space="0" w:color="auto"/>
            </w:tcBorders>
          </w:tcPr>
          <w:p>
            <w:pP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18,282,907.30</w:t>
            </w:r>
          </w:p>
        </w:tc>
      </w:tr>
      <w:tr>
        <w:trPr>
          <w:trHeight w:val="420"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30" w:type="dxa"/>
            <w:tcBorders>
              <w:top w:val="nil" w:sz="6" w:space="0" w:color="auto"/>
              <w:left w:val="nil" w:sz="6" w:space="0" w:color="auto"/>
              <w:bottom w:val="nil" w:sz="6" w:space="0" w:color="auto"/>
              <w:right w:val="nil" w:sz="6" w:space="0" w:color="auto"/>
            </w:tcBorders>
          </w:tcPr>
          <w:p>
            <w:pPr/>
          </w:p>
        </w:tc>
        <w:tc>
          <w:tcPr>
            <w:tcW w:w="2752" w:type="dxa"/>
            <w:tcBorders>
              <w:top w:val="nil" w:sz="6" w:space="0" w:color="auto"/>
              <w:left w:val="nil" w:sz="6" w:space="0" w:color="auto"/>
              <w:bottom w:val="nil" w:sz="6" w:space="0" w:color="auto"/>
              <w:right w:val="nil" w:sz="6" w:space="0" w:color="auto"/>
            </w:tcBorders>
          </w:tcPr>
          <w:p>
            <w:pPr/>
          </w:p>
        </w:tc>
      </w:tr>
      <w:tr>
        <w:trPr>
          <w:trHeight w:val="420" w:hRule="exact"/>
        </w:trPr>
        <w:tc>
          <w:tcPr>
            <w:tcW w:w="2307"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7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5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8"/>
              <w:jc w:val="right"/>
              <w:rPr>
                <w:rFonts w:ascii="宋体" w:hAnsi="宋体" w:cs="宋体" w:eastAsia="宋体" w:hint="default"/>
                <w:sz w:val="21"/>
                <w:szCs w:val="21"/>
              </w:rPr>
            </w:pPr>
            <w:r>
              <w:rPr>
                <w:rFonts w:ascii="宋体"/>
                <w:spacing w:val="-1"/>
                <w:sz w:val="21"/>
              </w:rPr>
              <w:t>10,920,351.39</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29" w:right="0"/>
              <w:jc w:val="left"/>
              <w:rPr>
                <w:rFonts w:ascii="宋体" w:hAnsi="宋体" w:cs="宋体" w:eastAsia="宋体" w:hint="default"/>
                <w:sz w:val="21"/>
                <w:szCs w:val="21"/>
              </w:rPr>
            </w:pPr>
            <w:r>
              <w:rPr>
                <w:rFonts w:ascii="宋体"/>
                <w:sz w:val="21"/>
              </w:rPr>
              <w:t>4,586,375.34</w:t>
            </w:r>
          </w:p>
        </w:tc>
      </w:tr>
      <w:tr>
        <w:trPr>
          <w:trHeight w:val="420"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9"/>
              <w:jc w:val="right"/>
              <w:rPr>
                <w:rFonts w:ascii="宋体" w:hAnsi="宋体" w:cs="宋体" w:eastAsia="宋体" w:hint="default"/>
                <w:sz w:val="21"/>
                <w:szCs w:val="21"/>
              </w:rPr>
            </w:pPr>
            <w:r>
              <w:rPr>
                <w:rFonts w:ascii="宋体"/>
                <w:spacing w:val="-1"/>
                <w:sz w:val="21"/>
              </w:rPr>
              <w:t>2,333,089.19</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29" w:right="0"/>
              <w:jc w:val="left"/>
              <w:rPr>
                <w:rFonts w:ascii="宋体" w:hAnsi="宋体" w:cs="宋体" w:eastAsia="宋体" w:hint="default"/>
                <w:sz w:val="21"/>
                <w:szCs w:val="21"/>
              </w:rPr>
            </w:pPr>
            <w:r>
              <w:rPr>
                <w:rFonts w:ascii="宋体"/>
                <w:sz w:val="21"/>
              </w:rPr>
              <w:t>1,493,395.28</w:t>
            </w:r>
          </w:p>
        </w:tc>
      </w:tr>
      <w:tr>
        <w:trPr>
          <w:trHeight w:val="420"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7"/>
              <w:jc w:val="right"/>
              <w:rPr>
                <w:rFonts w:ascii="宋体" w:hAnsi="宋体" w:cs="宋体" w:eastAsia="宋体" w:hint="default"/>
                <w:sz w:val="21"/>
                <w:szCs w:val="21"/>
              </w:rPr>
            </w:pPr>
            <w:r>
              <w:rPr>
                <w:rFonts w:ascii="宋体"/>
                <w:spacing w:val="-1"/>
                <w:sz w:val="21"/>
              </w:rPr>
              <w:t>889,043.25</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9" w:right="0"/>
              <w:jc w:val="left"/>
              <w:rPr>
                <w:rFonts w:ascii="宋体" w:hAnsi="宋体" w:cs="宋体" w:eastAsia="宋体" w:hint="default"/>
                <w:sz w:val="21"/>
                <w:szCs w:val="21"/>
              </w:rPr>
            </w:pPr>
            <w:r>
              <w:rPr>
                <w:rFonts w:ascii="宋体"/>
                <w:sz w:val="21"/>
              </w:rPr>
              <w:t>412,796.49</w:t>
            </w:r>
          </w:p>
        </w:tc>
      </w:tr>
      <w:tr>
        <w:trPr>
          <w:trHeight w:val="420"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9"/>
              <w:jc w:val="right"/>
              <w:rPr>
                <w:rFonts w:ascii="宋体" w:hAnsi="宋体" w:cs="宋体" w:eastAsia="宋体" w:hint="default"/>
                <w:sz w:val="21"/>
                <w:szCs w:val="21"/>
              </w:rPr>
            </w:pPr>
            <w:r>
              <w:rPr>
                <w:rFonts w:ascii="宋体"/>
                <w:spacing w:val="-1"/>
                <w:sz w:val="21"/>
              </w:rPr>
              <w:t>2,652,140.49</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29" w:right="0"/>
              <w:jc w:val="left"/>
              <w:rPr>
                <w:rFonts w:ascii="宋体" w:hAnsi="宋体" w:cs="宋体" w:eastAsia="宋体" w:hint="default"/>
                <w:sz w:val="21"/>
                <w:szCs w:val="21"/>
              </w:rPr>
            </w:pPr>
            <w:r>
              <w:rPr>
                <w:rFonts w:ascii="宋体"/>
                <w:sz w:val="21"/>
              </w:rPr>
              <w:t>5,823,672.12</w:t>
            </w:r>
          </w:p>
        </w:tc>
      </w:tr>
      <w:tr>
        <w:trPr>
          <w:trHeight w:val="415"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7"/>
              <w:jc w:val="right"/>
              <w:rPr>
                <w:rFonts w:ascii="宋体" w:hAnsi="宋体" w:cs="宋体" w:eastAsia="宋体" w:hint="default"/>
                <w:sz w:val="21"/>
                <w:szCs w:val="21"/>
              </w:rPr>
            </w:pPr>
            <w:r>
              <w:rPr>
                <w:rFonts w:ascii="宋体"/>
                <w:spacing w:val="-1"/>
                <w:sz w:val="21"/>
              </w:rPr>
              <w:t>448,897.74</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9" w:right="0"/>
              <w:jc w:val="left"/>
              <w:rPr>
                <w:rFonts w:ascii="宋体" w:hAnsi="宋体" w:cs="宋体" w:eastAsia="宋体" w:hint="default"/>
                <w:sz w:val="21"/>
                <w:szCs w:val="21"/>
              </w:rPr>
            </w:pPr>
            <w:r>
              <w:rPr>
                <w:rFonts w:ascii="宋体"/>
                <w:sz w:val="21"/>
              </w:rPr>
              <w:t>364,466.20</w:t>
            </w:r>
          </w:p>
        </w:tc>
      </w:tr>
    </w:tbl>
    <w:p>
      <w:pPr>
        <w:spacing w:after="0" w:line="240" w:lineRule="auto"/>
        <w:jc w:val="left"/>
        <w:rPr>
          <w:rFonts w:ascii="宋体" w:hAnsi="宋体" w:cs="宋体" w:eastAsia="宋体" w:hint="default"/>
          <w:sz w:val="21"/>
          <w:szCs w:val="21"/>
        </w:rPr>
        <w:sectPr>
          <w:footerReference w:type="default" r:id="rId24"/>
          <w:pgSz w:w="11910" w:h="16840"/>
          <w:pgMar w:footer="1263" w:header="0" w:top="1520" w:bottom="1460" w:left="1680" w:right="1340"/>
          <w:pgNumType w:start="79"/>
        </w:sectPr>
      </w:pPr>
    </w:p>
    <w:p>
      <w:pPr>
        <w:spacing w:line="240" w:lineRule="auto" w:before="13"/>
        <w:rPr>
          <w:rFonts w:ascii="宋体" w:hAnsi="宋体" w:cs="宋体" w:eastAsia="宋体" w:hint="default"/>
          <w:sz w:val="5"/>
          <w:szCs w:val="5"/>
        </w:rPr>
      </w:pPr>
    </w:p>
    <w:tbl>
      <w:tblPr>
        <w:tblW w:w="0" w:type="auto"/>
        <w:jc w:val="left"/>
        <w:tblInd w:w="550" w:type="dxa"/>
        <w:tblLayout w:type="fixed"/>
        <w:tblCellMar>
          <w:top w:w="0" w:type="dxa"/>
          <w:left w:w="0" w:type="dxa"/>
          <w:bottom w:w="0" w:type="dxa"/>
          <w:right w:w="0" w:type="dxa"/>
        </w:tblCellMar>
        <w:tblLook w:val="01E0"/>
      </w:tblPr>
      <w:tblGrid>
        <w:gridCol w:w="1945"/>
        <w:gridCol w:w="2592"/>
        <w:gridCol w:w="1977"/>
      </w:tblGrid>
      <w:tr>
        <w:trPr>
          <w:trHeight w:val="415"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8"/>
              <w:jc w:val="right"/>
              <w:rPr>
                <w:rFonts w:ascii="宋体" w:hAnsi="宋体" w:cs="宋体" w:eastAsia="宋体" w:hint="default"/>
                <w:sz w:val="21"/>
                <w:szCs w:val="21"/>
              </w:rPr>
            </w:pPr>
            <w:r>
              <w:rPr>
                <w:rFonts w:ascii="宋体"/>
                <w:sz w:val="21"/>
              </w:rPr>
              <w:t>25,630.35</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41,027.93</w:t>
            </w:r>
          </w:p>
        </w:tc>
      </w:tr>
      <w:tr>
        <w:trPr>
          <w:trHeight w:val="420"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76"/>
              <w:jc w:val="right"/>
              <w:rPr>
                <w:rFonts w:ascii="宋体" w:hAnsi="宋体" w:cs="宋体" w:eastAsia="宋体" w:hint="default"/>
                <w:sz w:val="21"/>
                <w:szCs w:val="21"/>
              </w:rPr>
            </w:pPr>
            <w:r>
              <w:rPr>
                <w:rFonts w:ascii="宋体"/>
                <w:sz w:val="21"/>
              </w:rPr>
              <w:t>4,607.44</w:t>
            </w:r>
          </w:p>
        </w:tc>
        <w:tc>
          <w:tcPr>
            <w:tcW w:w="1977" w:type="dxa"/>
            <w:tcBorders>
              <w:top w:val="nil" w:sz="6" w:space="0" w:color="auto"/>
              <w:left w:val="nil" w:sz="6" w:space="0" w:color="auto"/>
              <w:bottom w:val="nil" w:sz="6" w:space="0" w:color="auto"/>
              <w:right w:val="nil" w:sz="6" w:space="0" w:color="auto"/>
            </w:tcBorders>
          </w:tcPr>
          <w:p>
            <w:pPr/>
          </w:p>
        </w:tc>
      </w:tr>
      <w:tr>
        <w:trPr>
          <w:trHeight w:val="420"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75"/>
              <w:jc w:val="right"/>
              <w:rPr>
                <w:rFonts w:ascii="宋体" w:hAnsi="宋体" w:cs="宋体" w:eastAsia="宋体" w:hint="default"/>
                <w:sz w:val="21"/>
                <w:szCs w:val="21"/>
              </w:rPr>
            </w:pPr>
            <w:r>
              <w:rPr>
                <w:rFonts w:ascii="宋体"/>
                <w:sz w:val="21"/>
              </w:rPr>
              <w:t>499,198.85</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203,146.85</w:t>
            </w:r>
          </w:p>
        </w:tc>
      </w:tr>
      <w:tr>
        <w:trPr>
          <w:trHeight w:val="420"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75"/>
              <w:jc w:val="right"/>
              <w:rPr>
                <w:rFonts w:ascii="宋体" w:hAnsi="宋体" w:cs="宋体" w:eastAsia="宋体" w:hint="default"/>
                <w:sz w:val="21"/>
                <w:szCs w:val="21"/>
              </w:rPr>
            </w:pPr>
            <w:r>
              <w:rPr>
                <w:rFonts w:ascii="宋体"/>
                <w:sz w:val="21"/>
              </w:rPr>
              <w:t>258,754.01</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102,883.92</w:t>
            </w:r>
          </w:p>
        </w:tc>
      </w:tr>
      <w:tr>
        <w:trPr>
          <w:trHeight w:val="420"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75"/>
              <w:jc w:val="right"/>
              <w:rPr>
                <w:rFonts w:ascii="宋体" w:hAnsi="宋体" w:cs="宋体" w:eastAsia="宋体" w:hint="default"/>
                <w:sz w:val="21"/>
                <w:szCs w:val="21"/>
              </w:rPr>
            </w:pPr>
            <w:r>
              <w:rPr>
                <w:rFonts w:ascii="宋体"/>
                <w:sz w:val="21"/>
              </w:rPr>
              <w:t>251,194.59</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258,341.52</w:t>
            </w:r>
          </w:p>
        </w:tc>
      </w:tr>
      <w:tr>
        <w:trPr>
          <w:trHeight w:val="415" w:hRule="exact"/>
        </w:trPr>
        <w:tc>
          <w:tcPr>
            <w:tcW w:w="1945"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75"/>
              <w:jc w:val="right"/>
              <w:rPr>
                <w:rFonts w:ascii="宋体" w:hAnsi="宋体" w:cs="宋体" w:eastAsia="宋体" w:hint="default"/>
                <w:sz w:val="21"/>
                <w:szCs w:val="21"/>
              </w:rPr>
            </w:pPr>
            <w:r>
              <w:rPr>
                <w:rFonts w:ascii="宋体"/>
                <w:sz w:val="21"/>
              </w:rPr>
            </w:r>
            <w:r>
              <w:rPr>
                <w:rFonts w:ascii="宋体"/>
                <w:spacing w:val="-1"/>
                <w:sz w:val="21"/>
                <w:u w:val="thick" w:color="000000"/>
              </w:rPr>
              <w:t>18,282,907.30</w:t>
            </w:r>
            <w:r>
              <w:rPr>
                <w:rFonts w:ascii="宋体"/>
                <w:spacing w:val="-1"/>
                <w:sz w:val="21"/>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thick" w:color="000000"/>
              </w:rPr>
              <w:t>13,286,105.65</w:t>
            </w:r>
            <w:r>
              <w:rPr>
                <w:rFonts w:ascii="宋体"/>
                <w:spacing w:val="-1"/>
                <w:sz w:val="21"/>
              </w:rPr>
            </w:r>
          </w:p>
        </w:tc>
      </w:tr>
    </w:tbl>
    <w:p>
      <w:pPr>
        <w:pStyle w:val="BodyText"/>
        <w:spacing w:line="367" w:lineRule="auto" w:before="45"/>
        <w:ind w:left="522" w:right="95" w:firstLine="15"/>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w:t>
      </w:r>
      <w:r>
        <w:rPr>
          <w:spacing w:val="-8"/>
        </w:rPr>
        <w:t>应交税费期末数较期初数增长</w:t>
      </w:r>
      <w:r>
        <w:rPr>
          <w:spacing w:val="-52"/>
        </w:rPr>
        <w:t> </w:t>
      </w:r>
      <w:r>
        <w:rPr>
          <w:spacing w:val="-11"/>
        </w:rPr>
        <w:t>37.61%，主要系公司本期业务规模扩大，期末应交增值税增加。</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126"/>
        <w:gridCol w:w="2669"/>
        <w:gridCol w:w="2595"/>
      </w:tblGrid>
      <w:tr>
        <w:trPr>
          <w:trHeight w:val="415"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21.应付利息</w:t>
            </w:r>
          </w:p>
        </w:tc>
        <w:tc>
          <w:tcPr>
            <w:tcW w:w="2669"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7"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183,105.00</w:t>
            </w:r>
          </w:p>
        </w:tc>
      </w:tr>
      <w:tr>
        <w:trPr>
          <w:trHeight w:val="42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669"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
        </w:tc>
      </w:tr>
      <w:tr>
        <w:trPr>
          <w:trHeight w:val="420" w:hRule="exact"/>
        </w:trPr>
        <w:tc>
          <w:tcPr>
            <w:tcW w:w="2126"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3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0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84"/>
              <w:jc w:val="right"/>
              <w:rPr>
                <w:rFonts w:ascii="宋体" w:hAnsi="宋体" w:cs="宋体" w:eastAsia="宋体" w:hint="default"/>
                <w:sz w:val="21"/>
                <w:szCs w:val="21"/>
              </w:rPr>
            </w:pPr>
            <w:r>
              <w:rPr>
                <w:rFonts w:ascii="宋体"/>
                <w:spacing w:val="-1"/>
                <w:sz w:val="21"/>
              </w:rPr>
              <w:t>101,292.50</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86" w:right="0"/>
              <w:jc w:val="left"/>
              <w:rPr>
                <w:rFonts w:ascii="宋体" w:hAnsi="宋体" w:cs="宋体" w:eastAsia="宋体" w:hint="default"/>
                <w:sz w:val="21"/>
                <w:szCs w:val="21"/>
              </w:rPr>
            </w:pPr>
            <w:r>
              <w:rPr>
                <w:rFonts w:ascii="宋体"/>
                <w:sz w:val="21"/>
              </w:rPr>
              <w:t>69,600.00</w:t>
            </w:r>
          </w:p>
        </w:tc>
      </w:tr>
      <w:tr>
        <w:trPr>
          <w:trHeight w:val="42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86"/>
              <w:jc w:val="right"/>
              <w:rPr>
                <w:rFonts w:ascii="宋体" w:hAnsi="宋体" w:cs="宋体" w:eastAsia="宋体" w:hint="default"/>
                <w:sz w:val="21"/>
                <w:szCs w:val="21"/>
              </w:rPr>
            </w:pPr>
            <w:r>
              <w:rPr>
                <w:rFonts w:ascii="宋体"/>
                <w:spacing w:val="-1"/>
                <w:sz w:val="21"/>
              </w:rPr>
              <w:t>81,812.50</w:t>
            </w:r>
          </w:p>
        </w:tc>
        <w:tc>
          <w:tcPr>
            <w:tcW w:w="2595" w:type="dxa"/>
            <w:tcBorders>
              <w:top w:val="nil" w:sz="6" w:space="0" w:color="auto"/>
              <w:left w:val="nil" w:sz="6" w:space="0" w:color="auto"/>
              <w:bottom w:val="nil" w:sz="6" w:space="0" w:color="auto"/>
              <w:right w:val="nil" w:sz="6" w:space="0" w:color="auto"/>
            </w:tcBorders>
          </w:tcPr>
          <w:p>
            <w:pPr/>
          </w:p>
        </w:tc>
      </w:tr>
      <w:tr>
        <w:trPr>
          <w:trHeight w:val="415" w:hRule="exact"/>
        </w:trPr>
        <w:tc>
          <w:tcPr>
            <w:tcW w:w="2126"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40"/>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84"/>
              <w:jc w:val="right"/>
              <w:rPr>
                <w:rFonts w:ascii="宋体" w:hAnsi="宋体" w:cs="宋体" w:eastAsia="宋体" w:hint="default"/>
                <w:sz w:val="21"/>
                <w:szCs w:val="21"/>
              </w:rPr>
            </w:pPr>
            <w:r>
              <w:rPr>
                <w:rFonts w:ascii="宋体"/>
                <w:sz w:val="21"/>
              </w:rPr>
            </w:r>
            <w:r>
              <w:rPr>
                <w:rFonts w:ascii="宋体"/>
                <w:spacing w:val="-1"/>
                <w:sz w:val="21"/>
                <w:u w:val="thick" w:color="000000"/>
              </w:rPr>
              <w:t>183,105.00</w:t>
            </w:r>
            <w:r>
              <w:rPr>
                <w:rFonts w:ascii="宋体"/>
                <w:spacing w:val="-1"/>
                <w:sz w:val="21"/>
              </w:rPr>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86" w:right="0"/>
              <w:jc w:val="left"/>
              <w:rPr>
                <w:rFonts w:ascii="宋体" w:hAnsi="宋体" w:cs="宋体" w:eastAsia="宋体" w:hint="default"/>
                <w:sz w:val="21"/>
                <w:szCs w:val="21"/>
              </w:rPr>
            </w:pPr>
            <w:r>
              <w:rPr>
                <w:rFonts w:ascii="宋体"/>
                <w:sz w:val="21"/>
              </w:rPr>
            </w:r>
            <w:r>
              <w:rPr>
                <w:rFonts w:ascii="宋体"/>
                <w:sz w:val="21"/>
                <w:u w:val="thick" w:color="000000"/>
              </w:rPr>
              <w:t>69,600.00</w:t>
            </w:r>
            <w:r>
              <w:rPr>
                <w:rFonts w:ascii="宋体"/>
                <w:sz w:val="21"/>
              </w:rPr>
            </w:r>
          </w:p>
        </w:tc>
      </w:tr>
    </w:tbl>
    <w:p>
      <w:pPr>
        <w:pStyle w:val="BodyText"/>
        <w:spacing w:line="367" w:lineRule="auto" w:before="45"/>
        <w:ind w:left="537" w:right="192" w:firstLine="105"/>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应付利息期末数较期初数增长</w:t>
      </w:r>
      <w:r>
        <w:rPr>
          <w:spacing w:val="-55"/>
        </w:rPr>
        <w:t> </w:t>
      </w:r>
      <w:r>
        <w:rPr/>
        <w:t>163.08%，主要系公司期末短期借款及长期借款余额增加。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5809" w:val="left" w:leader="none"/>
        </w:tabs>
        <w:spacing w:line="240" w:lineRule="auto" w:before="0"/>
        <w:ind w:left="537" w:right="95"/>
        <w:jc w:val="left"/>
      </w:pPr>
      <w:r>
        <w:rPr/>
        <w:t>22.</w:t>
      </w:r>
      <w:r>
        <w:rPr>
          <w:spacing w:val="-3"/>
        </w:rPr>
        <w:t> </w:t>
      </w:r>
      <w:r>
        <w:rPr/>
        <w:t>其他应付款</w:t>
        <w:tab/>
        <w:t>期末数</w:t>
      </w:r>
      <w:r>
        <w:rPr>
          <w:spacing w:val="-59"/>
        </w:rPr>
        <w:t> </w:t>
      </w:r>
      <w:r>
        <w:rPr/>
        <w:t>33,910,931.41</w:t>
      </w:r>
    </w:p>
    <w:p>
      <w:pPr>
        <w:pStyle w:val="BodyText"/>
        <w:spacing w:line="240" w:lineRule="auto"/>
        <w:ind w:left="537" w:right="95"/>
        <w:jc w:val="left"/>
      </w:pPr>
      <w:r>
        <w:rPr/>
        <w:t>(1)</w:t>
      </w:r>
      <w:r>
        <w:rPr>
          <w:spacing w:val="-2"/>
        </w:rPr>
        <w:t> </w:t>
      </w:r>
      <w:r>
        <w:rPr/>
        <w:t>明细情况</w:t>
      </w:r>
    </w:p>
    <w:p>
      <w:pPr>
        <w:pStyle w:val="BodyText"/>
        <w:tabs>
          <w:tab w:pos="1168" w:val="left" w:leader="none"/>
          <w:tab w:pos="3896" w:val="left" w:leader="none"/>
          <w:tab w:pos="5889" w:val="left" w:leader="none"/>
        </w:tabs>
        <w:spacing w:line="240" w:lineRule="auto"/>
        <w:ind w:left="747" w:right="95"/>
        <w:jc w:val="left"/>
      </w:pPr>
      <w:r>
        <w:rPr/>
        <w:t>项</w:t>
        <w:tab/>
        <w:t>目</w:t>
        <w:tab/>
      </w:r>
      <w:r>
        <w:rPr>
          <w:spacing w:val="-1"/>
        </w:rPr>
        <w:t>期末数</w:t>
        <w:tab/>
        <w:t>期初数</w:t>
      </w:r>
      <w:r>
        <w:rPr/>
      </w:r>
    </w:p>
    <w:p>
      <w:pPr>
        <w:spacing w:line="240" w:lineRule="auto" w:before="5"/>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2754"/>
        <w:gridCol w:w="1874"/>
        <w:gridCol w:w="1708"/>
      </w:tblGrid>
      <w:tr>
        <w:trPr>
          <w:trHeight w:val="415"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7"/>
              <w:jc w:val="right"/>
              <w:rPr>
                <w:rFonts w:ascii="宋体" w:hAnsi="宋体" w:cs="宋体" w:eastAsia="宋体" w:hint="default"/>
                <w:sz w:val="21"/>
                <w:szCs w:val="21"/>
              </w:rPr>
            </w:pPr>
            <w:r>
              <w:rPr>
                <w:rFonts w:ascii="宋体"/>
                <w:spacing w:val="-1"/>
                <w:sz w:val="21"/>
              </w:rPr>
              <w:t>8,329,672.44</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宋体" w:hAnsi="宋体" w:cs="宋体" w:eastAsia="宋体" w:hint="default"/>
                <w:sz w:val="21"/>
                <w:szCs w:val="21"/>
              </w:rPr>
            </w:pPr>
            <w:r>
              <w:rPr>
                <w:rFonts w:ascii="宋体"/>
                <w:spacing w:val="-1"/>
                <w:sz w:val="21"/>
              </w:rPr>
              <w:t>4,826,574.04</w:t>
            </w:r>
          </w:p>
        </w:tc>
      </w:tr>
      <w:tr>
        <w:trPr>
          <w:trHeight w:val="420"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07"/>
              <w:jc w:val="right"/>
              <w:rPr>
                <w:rFonts w:ascii="宋体" w:hAnsi="宋体" w:cs="宋体" w:eastAsia="宋体" w:hint="default"/>
                <w:sz w:val="21"/>
                <w:szCs w:val="21"/>
              </w:rPr>
            </w:pPr>
            <w:r>
              <w:rPr>
                <w:rFonts w:ascii="宋体"/>
                <w:spacing w:val="-1"/>
                <w:sz w:val="21"/>
              </w:rPr>
              <w:t>1,635,941.48</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right"/>
              <w:rPr>
                <w:rFonts w:ascii="宋体" w:hAnsi="宋体" w:cs="宋体" w:eastAsia="宋体" w:hint="default"/>
                <w:sz w:val="21"/>
                <w:szCs w:val="21"/>
              </w:rPr>
            </w:pPr>
            <w:r>
              <w:rPr>
                <w:rFonts w:ascii="宋体"/>
                <w:spacing w:val="-1"/>
                <w:sz w:val="21"/>
              </w:rPr>
              <w:t>5,804,572.69</w:t>
            </w:r>
          </w:p>
        </w:tc>
      </w:tr>
      <w:tr>
        <w:trPr>
          <w:trHeight w:val="420"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已结算尚未支付的经营费用</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06"/>
              <w:jc w:val="right"/>
              <w:rPr>
                <w:rFonts w:ascii="宋体" w:hAnsi="宋体" w:cs="宋体" w:eastAsia="宋体" w:hint="default"/>
                <w:sz w:val="21"/>
                <w:szCs w:val="21"/>
              </w:rPr>
            </w:pPr>
            <w:r>
              <w:rPr>
                <w:rFonts w:ascii="宋体"/>
                <w:spacing w:val="-1"/>
                <w:sz w:val="21"/>
              </w:rPr>
              <w:t>23,288,652.27</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pacing w:val="-1"/>
                <w:sz w:val="21"/>
              </w:rPr>
              <w:t>6,644,669.04</w:t>
            </w:r>
            <w:r>
              <w:rPr>
                <w:rFonts w:ascii="宋体"/>
                <w:sz w:val="21"/>
              </w:rPr>
            </w:r>
          </w:p>
        </w:tc>
      </w:tr>
      <w:tr>
        <w:trPr>
          <w:trHeight w:val="420" w:hRule="exact"/>
        </w:trPr>
        <w:tc>
          <w:tcPr>
            <w:tcW w:w="2754"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05"/>
              <w:jc w:val="right"/>
              <w:rPr>
                <w:rFonts w:ascii="宋体" w:hAnsi="宋体" w:cs="宋体" w:eastAsia="宋体" w:hint="default"/>
                <w:sz w:val="21"/>
                <w:szCs w:val="21"/>
              </w:rPr>
            </w:pPr>
            <w:r>
              <w:rPr>
                <w:rFonts w:ascii="宋体"/>
                <w:spacing w:val="-1"/>
                <w:sz w:val="21"/>
              </w:rPr>
              <w:t>656,665.22</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222,016.49</w:t>
            </w:r>
          </w:p>
        </w:tc>
      </w:tr>
      <w:tr>
        <w:trPr>
          <w:trHeight w:val="415" w:hRule="exact"/>
        </w:trPr>
        <w:tc>
          <w:tcPr>
            <w:tcW w:w="2754"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05"/>
              <w:jc w:val="right"/>
              <w:rPr>
                <w:rFonts w:ascii="宋体" w:hAnsi="宋体" w:cs="宋体" w:eastAsia="宋体" w:hint="default"/>
                <w:sz w:val="21"/>
                <w:szCs w:val="21"/>
              </w:rPr>
            </w:pPr>
            <w:r>
              <w:rPr>
                <w:rFonts w:ascii="宋体"/>
                <w:sz w:val="21"/>
              </w:rPr>
            </w:r>
            <w:r>
              <w:rPr>
                <w:rFonts w:ascii="宋体"/>
                <w:spacing w:val="-1"/>
                <w:sz w:val="21"/>
                <w:u w:val="thick" w:color="000000"/>
              </w:rPr>
              <w:t>33,910,931.41</w:t>
            </w:r>
            <w:r>
              <w:rPr>
                <w:rFonts w:ascii="宋体"/>
                <w:spacing w:val="-1"/>
                <w:sz w:val="21"/>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thick" w:color="000000"/>
              </w:rPr>
              <w:t>17,497,832.26</w:t>
            </w:r>
            <w:r>
              <w:rPr>
                <w:rFonts w:ascii="宋体"/>
                <w:spacing w:val="-1"/>
                <w:sz w:val="21"/>
              </w:rPr>
            </w:r>
          </w:p>
        </w:tc>
      </w:tr>
    </w:tbl>
    <w:p>
      <w:pPr>
        <w:pStyle w:val="BodyText"/>
        <w:spacing w:line="240" w:lineRule="auto" w:before="45"/>
        <w:ind w:left="537" w:right="95"/>
        <w:jc w:val="left"/>
      </w:pPr>
      <w:r>
        <w:rPr/>
        <w:t>(2)</w:t>
      </w:r>
      <w:r>
        <w:rPr>
          <w:spacing w:val="-4"/>
        </w:rPr>
        <w:t> </w:t>
      </w:r>
      <w:r>
        <w:rPr/>
        <w:t>持有本公司</w:t>
      </w:r>
      <w:r>
        <w:rPr>
          <w:spacing w:val="-55"/>
        </w:rPr>
        <w:t> </w:t>
      </w:r>
      <w:r>
        <w:rPr/>
        <w:t>5%以上(含</w:t>
      </w:r>
      <w:r>
        <w:rPr>
          <w:spacing w:val="-55"/>
        </w:rPr>
        <w:t> </w:t>
      </w:r>
      <w:r>
        <w:rPr/>
        <w:t>5%)表决权股份的股东款项</w:t>
      </w:r>
    </w:p>
    <w:p>
      <w:pPr>
        <w:pStyle w:val="BodyText"/>
        <w:tabs>
          <w:tab w:pos="3791" w:val="left" w:leader="none"/>
          <w:tab w:pos="3961" w:val="left" w:leader="none"/>
          <w:tab w:pos="5912" w:val="left" w:leader="none"/>
        </w:tabs>
        <w:spacing w:line="367" w:lineRule="auto"/>
        <w:ind w:left="585" w:right="1921" w:firstLine="162"/>
        <w:jc w:val="left"/>
      </w:pPr>
      <w:r>
        <w:rPr>
          <w:spacing w:val="-1"/>
        </w:rPr>
        <w:t>股东名称</w:t>
        <w:tab/>
        <w:t>期末数</w:t>
        <w:tab/>
        <w:t>期初数</w:t>
      </w:r>
      <w:r>
        <w:rPr/>
        <w:t> 杭州恒生电子集团有限公司</w:t>
        <w:tab/>
        <w:tab/>
        <w:t>7,824.50</w:t>
        <w:tab/>
        <w:t>750,000.00</w:t>
      </w:r>
    </w:p>
    <w:p>
      <w:pPr>
        <w:pStyle w:val="BodyText"/>
        <w:tabs>
          <w:tab w:pos="1215" w:val="left" w:leader="none"/>
          <w:tab w:pos="3958" w:val="left" w:leader="none"/>
          <w:tab w:pos="5911" w:val="left" w:leader="none"/>
        </w:tabs>
        <w:spacing w:line="240" w:lineRule="auto" w:before="34"/>
        <w:ind w:left="795" w:right="95"/>
        <w:jc w:val="left"/>
      </w:pPr>
      <w:r>
        <w:rPr/>
        <w:t>小</w:t>
        <w:tab/>
        <w:t>计</w:t>
        <w:tab/>
      </w:r>
      <w:r>
        <w:rPr>
          <w:spacing w:val="-1"/>
          <w:u w:val="single" w:color="000000"/>
        </w:rPr>
        <w:t>7,824.50</w:t>
      </w:r>
      <w:r>
        <w:rPr>
          <w:spacing w:val="-1"/>
        </w:rPr>
        <w:tab/>
      </w:r>
      <w:r>
        <w:rPr>
          <w:spacing w:val="-1"/>
          <w:u w:val="single" w:color="000000"/>
        </w:rPr>
        <w:t>750,000.00</w:t>
      </w:r>
      <w:r>
        <w:rPr>
          <w:spacing w:val="-1"/>
        </w:rPr>
      </w:r>
    </w:p>
    <w:p>
      <w:pPr>
        <w:pStyle w:val="BodyText"/>
        <w:spacing w:line="240" w:lineRule="auto"/>
        <w:ind w:left="537" w:right="95"/>
        <w:jc w:val="left"/>
      </w:pPr>
      <w:r>
        <w:rPr/>
        <w:t>(3)</w:t>
      </w:r>
      <w:r>
        <w:rPr>
          <w:spacing w:val="-2"/>
        </w:rPr>
        <w:t> </w:t>
      </w:r>
      <w:r>
        <w:rPr/>
        <w:t>金额较大的其他应付款性质或内容的说明</w:t>
      </w:r>
    </w:p>
    <w:p>
      <w:pPr>
        <w:pStyle w:val="BodyText"/>
        <w:tabs>
          <w:tab w:pos="3717" w:val="left" w:leader="none"/>
          <w:tab w:pos="5576" w:val="left" w:leader="none"/>
          <w:tab w:pos="5907" w:val="left" w:leader="none"/>
        </w:tabs>
        <w:spacing w:line="420" w:lineRule="atLeast" w:before="0"/>
        <w:ind w:right="1837" w:firstLine="420"/>
        <w:jc w:val="left"/>
      </w:pPr>
      <w:r>
        <w:rPr>
          <w:spacing w:val="-1"/>
        </w:rPr>
        <w:t>单位名称</w:t>
        <w:tab/>
        <w:t>期末数</w:t>
        <w:tab/>
        <w:t>款项性质及内容</w:t>
      </w:r>
      <w:r>
        <w:rPr/>
        <w:t> </w:t>
      </w:r>
      <w:r>
        <w:rPr>
          <w:spacing w:val="-1"/>
        </w:rPr>
        <w:t>浙江海天建设集团有限公司</w:t>
        <w:tab/>
        <w:t>2,803,000.00</w:t>
        <w:tab/>
        <w:tab/>
        <w:t>押金保证金</w:t>
      </w:r>
      <w:r>
        <w:rPr/>
      </w:r>
    </w:p>
    <w:p>
      <w:pPr>
        <w:spacing w:after="0" w:line="420" w:lineRule="atLeast"/>
        <w:jc w:val="left"/>
        <w:sectPr>
          <w:footerReference w:type="default" r:id="rId25"/>
          <w:pgSz w:w="11910" w:h="16840"/>
          <w:pgMar w:footer="1263" w:header="0" w:top="1440" w:bottom="1460" w:left="1680" w:right="1340"/>
          <w:pgNumType w:start="80"/>
        </w:sectPr>
      </w:pPr>
    </w:p>
    <w:p>
      <w:pPr>
        <w:pStyle w:val="BodyText"/>
        <w:spacing w:line="273" w:lineRule="exact" w:before="13"/>
        <w:ind w:right="504"/>
        <w:jc w:val="left"/>
      </w:pPr>
      <w:r>
        <w:rPr/>
        <w:t>深圳金粤幕墙装饰工程有限公司</w:t>
      </w:r>
    </w:p>
    <w:p>
      <w:pPr>
        <w:pStyle w:val="BodyText"/>
        <w:tabs>
          <w:tab w:pos="3927" w:val="left" w:leader="none"/>
          <w:tab w:pos="5907" w:val="left" w:leader="none"/>
        </w:tabs>
        <w:spacing w:line="273" w:lineRule="exact" w:before="0"/>
        <w:ind w:right="504"/>
        <w:jc w:val="left"/>
      </w:pPr>
      <w:r>
        <w:rPr/>
        <w:t>华中分公司</w:t>
        <w:tab/>
        <w:t>873,000.00</w:t>
        <w:tab/>
        <w:t>押金保证金</w:t>
      </w:r>
    </w:p>
    <w:p>
      <w:pPr>
        <w:pStyle w:val="BodyText"/>
        <w:tabs>
          <w:tab w:pos="3927" w:val="left" w:leader="none"/>
          <w:tab w:pos="5907" w:val="left" w:leader="none"/>
        </w:tabs>
        <w:spacing w:line="367" w:lineRule="auto" w:before="146"/>
        <w:ind w:right="2184"/>
        <w:jc w:val="left"/>
      </w:pPr>
      <w:r>
        <w:rPr/>
        <w:t>杭州三江园林绿地工程有限公司</w:t>
        <w:tab/>
        <w:t>382,000.00</w:t>
        <w:tab/>
        <w:t>押金保证金 </w:t>
      </w:r>
      <w:r>
        <w:rPr>
          <w:spacing w:val="-1"/>
        </w:rPr>
        <w:t>INTEL</w:t>
      </w:r>
      <w:r>
        <w:rPr/>
        <w:t> </w:t>
      </w:r>
      <w:r>
        <w:rPr>
          <w:spacing w:val="-1"/>
        </w:rPr>
        <w:t>SEMICONDUCTOR</w:t>
      </w:r>
      <w:r>
        <w:rPr/>
        <w:t> </w:t>
      </w:r>
      <w:r>
        <w:rPr>
          <w:spacing w:val="-1"/>
        </w:rPr>
        <w:t>LTD.</w:t>
      </w:r>
      <w:r>
        <w:rPr>
          <w:spacing w:val="3"/>
        </w:rPr>
        <w:t> </w:t>
      </w:r>
      <w:r>
        <w:rPr>
          <w:spacing w:val="-1"/>
        </w:rPr>
        <w:t>US</w:t>
        <w:tab/>
        <w:t>333,118.26</w:t>
        <w:tab/>
        <w:t>押金保证金</w:t>
      </w:r>
      <w:r>
        <w:rPr/>
      </w:r>
    </w:p>
    <w:p>
      <w:pPr>
        <w:pStyle w:val="BodyText"/>
        <w:tabs>
          <w:tab w:pos="3927" w:val="left" w:leader="none"/>
          <w:tab w:pos="5907" w:val="left" w:leader="none"/>
        </w:tabs>
        <w:spacing w:line="240" w:lineRule="auto" w:before="34"/>
        <w:ind w:right="504"/>
        <w:jc w:val="left"/>
      </w:pPr>
      <w:r>
        <w:rPr/>
        <w:t>北京中天联科科技有限公司</w:t>
        <w:tab/>
        <w:t>280,000.00</w:t>
        <w:tab/>
        <w:t>押金保证金</w:t>
      </w:r>
    </w:p>
    <w:p>
      <w:pPr>
        <w:pStyle w:val="BodyText"/>
        <w:tabs>
          <w:tab w:pos="958" w:val="left" w:leader="none"/>
          <w:tab w:pos="3717" w:val="left" w:leader="none"/>
        </w:tabs>
        <w:spacing w:line="240" w:lineRule="auto"/>
        <w:ind w:left="537" w:right="504"/>
        <w:jc w:val="left"/>
        <w:rPr>
          <w:rFonts w:ascii="隶书" w:hAnsi="隶书" w:cs="隶书" w:eastAsia="隶书" w:hint="default"/>
        </w:rPr>
      </w:pPr>
      <w:r>
        <w:rPr/>
        <w:t>小</w:t>
        <w:tab/>
        <w:t>计</w:t>
        <w:tab/>
      </w:r>
      <w:r>
        <w:rPr>
          <w:rFonts w:ascii="隶书" w:hAnsi="隶书" w:cs="隶书" w:eastAsia="隶书" w:hint="default"/>
        </w:rPr>
      </w:r>
      <w:r>
        <w:rPr>
          <w:rFonts w:ascii="隶书" w:hAnsi="隶书" w:cs="隶书" w:eastAsia="隶书" w:hint="default"/>
          <w:u w:val="single" w:color="000000"/>
        </w:rPr>
        <w:t>4,671,118.26</w:t>
      </w:r>
      <w:r>
        <w:rPr>
          <w:rFonts w:ascii="隶书" w:hAnsi="隶书" w:cs="隶书" w:eastAsia="隶书" w:hint="default"/>
        </w:rPr>
      </w:r>
    </w:p>
    <w:p>
      <w:pPr>
        <w:spacing w:line="240" w:lineRule="auto" w:before="5"/>
        <w:rPr>
          <w:rFonts w:ascii="隶书" w:hAnsi="隶书" w:cs="隶书" w:eastAsia="隶书" w:hint="default"/>
          <w:sz w:val="8"/>
          <w:szCs w:val="8"/>
        </w:rPr>
      </w:pPr>
    </w:p>
    <w:p>
      <w:pPr>
        <w:pStyle w:val="BodyText"/>
        <w:spacing w:line="240" w:lineRule="auto" w:before="35"/>
        <w:ind w:left="541" w:right="504"/>
        <w:jc w:val="left"/>
      </w:pPr>
      <w:r>
        <w:rPr/>
        <w:t>(4)</w:t>
      </w:r>
      <w:r>
        <w:rPr>
          <w:spacing w:val="-2"/>
        </w:rPr>
        <w:t> </w:t>
      </w:r>
      <w:r>
        <w:rPr/>
        <w:t>无账龄超过</w:t>
      </w:r>
      <w:r>
        <w:rPr>
          <w:spacing w:val="-54"/>
        </w:rPr>
        <w:t> </w:t>
      </w:r>
      <w:r>
        <w:rPr/>
        <w:t>1</w:t>
      </w:r>
      <w:r>
        <w:rPr>
          <w:spacing w:val="-53"/>
        </w:rPr>
        <w:t> </w:t>
      </w:r>
      <w:r>
        <w:rPr/>
        <w:t>年的大额其他应付款。</w:t>
      </w:r>
    </w:p>
    <w:p>
      <w:pPr>
        <w:pStyle w:val="BodyText"/>
        <w:spacing w:line="240" w:lineRule="auto"/>
        <w:ind w:left="537" w:right="504"/>
        <w:jc w:val="left"/>
      </w:pPr>
      <w:r>
        <w:rPr/>
        <w:t>(5)</w:t>
      </w:r>
      <w:r>
        <w:rPr>
          <w:spacing w:val="-2"/>
        </w:rPr>
        <w:t> </w:t>
      </w:r>
      <w:r>
        <w:rPr/>
        <w:t>其他应付款——外币其他应付款</w:t>
      </w:r>
    </w:p>
    <w:p>
      <w:pPr>
        <w:spacing w:line="240" w:lineRule="auto" w:before="4"/>
        <w:rPr>
          <w:rFonts w:ascii="宋体" w:hAnsi="宋体" w:cs="宋体" w:eastAsia="宋体" w:hint="default"/>
          <w:sz w:val="16"/>
          <w:szCs w:val="16"/>
        </w:rPr>
      </w:pPr>
    </w:p>
    <w:p>
      <w:pPr>
        <w:tabs>
          <w:tab w:pos="2067" w:val="left" w:leader="none"/>
          <w:tab w:pos="2967" w:val="left" w:leader="none"/>
          <w:tab w:pos="3237" w:val="left" w:leader="none"/>
          <w:tab w:pos="3867" w:val="left" w:leader="none"/>
          <w:tab w:pos="4857" w:val="left" w:leader="none"/>
          <w:tab w:pos="5847" w:val="left" w:leader="none"/>
          <w:tab w:pos="6747" w:val="left" w:leader="none"/>
          <w:tab w:pos="6927" w:val="left" w:leader="none"/>
          <w:tab w:pos="7557" w:val="left" w:leader="none"/>
          <w:tab w:pos="8547" w:val="left" w:leader="none"/>
        </w:tabs>
        <w:spacing w:line="232" w:lineRule="exact" w:before="0"/>
        <w:ind w:left="807" w:right="504" w:firstLine="135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tab/>
        <w:tab/>
      </w:r>
      <w:r>
        <w:rPr>
          <w:rFonts w:ascii="宋体" w:hAnsi="宋体" w:cs="宋体" w:eastAsia="宋体" w:hint="default"/>
          <w:sz w:val="18"/>
          <w:szCs w:val="18"/>
        </w:rPr>
      </w:r>
      <w:r>
        <w:rPr>
          <w:rFonts w:ascii="宋体" w:hAnsi="宋体" w:cs="宋体" w:eastAsia="宋体" w:hint="default"/>
          <w:sz w:val="18"/>
          <w:szCs w:val="18"/>
        </w:rPr>
        <w:t> 币  种</w:t>
        <w:tab/>
        <w:t>原币金额</w:t>
        <w:tab/>
        <w:tab/>
        <w:t>汇率</w:t>
        <w:tab/>
        <w:t>折人民币金额</w:t>
        <w:tab/>
        <w:t>原币金额</w:t>
        <w:tab/>
        <w:tab/>
        <w:t>汇率</w:t>
        <w:tab/>
        <w:t>折人民币金额</w:t>
      </w:r>
    </w:p>
    <w:p>
      <w:pPr>
        <w:spacing w:line="240" w:lineRule="auto" w:before="6"/>
        <w:rPr>
          <w:rFonts w:ascii="宋体" w:hAnsi="宋体" w:cs="宋体" w:eastAsia="宋体" w:hint="default"/>
          <w:sz w:val="12"/>
          <w:szCs w:val="12"/>
        </w:rPr>
      </w:pPr>
    </w:p>
    <w:p>
      <w:pPr>
        <w:tabs>
          <w:tab w:pos="1793" w:val="left" w:leader="none"/>
          <w:tab w:pos="3029" w:val="left" w:leader="none"/>
          <w:tab w:pos="4142" w:val="left" w:leader="none"/>
          <w:tab w:pos="5699" w:val="left" w:leader="none"/>
          <w:tab w:pos="7143" w:val="left" w:leader="none"/>
          <w:tab w:pos="8138" w:val="left" w:leader="none"/>
        </w:tabs>
        <w:spacing w:before="0"/>
        <w:ind w:left="585" w:right="0" w:firstLine="0"/>
        <w:jc w:val="left"/>
        <w:rPr>
          <w:rFonts w:ascii="宋体" w:hAnsi="宋体" w:cs="宋体" w:eastAsia="宋体" w:hint="default"/>
          <w:sz w:val="18"/>
          <w:szCs w:val="18"/>
        </w:rPr>
      </w:pPr>
      <w:r>
        <w:rPr>
          <w:rFonts w:ascii="宋体" w:hAnsi="宋体" w:cs="宋体" w:eastAsia="宋体" w:hint="default"/>
          <w:sz w:val="18"/>
          <w:szCs w:val="18"/>
        </w:rPr>
        <w:t>日元</w:t>
        <w:tab/>
        <w:t>192,139.00</w:t>
        <w:tab/>
        <w:t>0.064064</w:t>
        <w:tab/>
        <w:t>12,309.19</w:t>
        <w:tab/>
        <w:t>6,436,639.04</w:t>
        <w:tab/>
        <w:t>0.06563</w:t>
        <w:tab/>
        <w:t>422,436.62</w:t>
      </w:r>
    </w:p>
    <w:p>
      <w:pPr>
        <w:spacing w:line="240" w:lineRule="auto" w:before="1"/>
        <w:rPr>
          <w:rFonts w:ascii="宋体" w:hAnsi="宋体" w:cs="宋体" w:eastAsia="宋体" w:hint="default"/>
          <w:sz w:val="14"/>
          <w:szCs w:val="14"/>
        </w:rPr>
      </w:pPr>
    </w:p>
    <w:p>
      <w:pPr>
        <w:tabs>
          <w:tab w:pos="4142" w:val="left" w:leader="none"/>
          <w:tab w:pos="8138" w:val="left" w:leader="none"/>
        </w:tabs>
        <w:spacing w:before="0"/>
        <w:ind w:left="788"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12,309.19</w:t>
      </w:r>
      <w:r>
        <w:rPr>
          <w:rFonts w:ascii="宋体" w:hAnsi="宋体" w:cs="宋体" w:eastAsia="宋体" w:hint="default"/>
          <w:sz w:val="18"/>
          <w:szCs w:val="18"/>
        </w:rPr>
        <w:tab/>
      </w:r>
      <w:r>
        <w:rPr>
          <w:rFonts w:ascii="宋体" w:hAnsi="宋体" w:cs="宋体" w:eastAsia="宋体" w:hint="default"/>
          <w:sz w:val="18"/>
          <w:szCs w:val="18"/>
          <w:u w:val="single" w:color="000000"/>
        </w:rPr>
        <w:t>422,436.62</w:t>
      </w:r>
      <w:r>
        <w:rPr>
          <w:rFonts w:ascii="宋体" w:hAnsi="宋体" w:cs="宋体" w:eastAsia="宋体" w:hint="default"/>
          <w:sz w:val="18"/>
          <w:szCs w:val="18"/>
        </w:rPr>
      </w:r>
    </w:p>
    <w:p>
      <w:pPr>
        <w:pStyle w:val="BodyText"/>
        <w:spacing w:line="367" w:lineRule="auto" w:before="141"/>
        <w:ind w:left="537" w:right="466"/>
        <w:jc w:val="left"/>
      </w:pPr>
      <w:r>
        <w:rPr/>
        <w:t>(6)</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其他应付款期末数较期初数增长</w:t>
      </w:r>
      <w:r>
        <w:rPr>
          <w:spacing w:val="36"/>
        </w:rPr>
        <w:t> </w:t>
      </w:r>
      <w:r>
        <w:rPr/>
        <w:t>93.80%，主要系本期业务规模扩大，期末已结算尚未支</w:t>
      </w:r>
    </w:p>
    <w:p>
      <w:pPr>
        <w:pStyle w:val="BodyText"/>
        <w:spacing w:line="240" w:lineRule="auto" w:before="34"/>
        <w:ind w:right="504"/>
        <w:jc w:val="left"/>
      </w:pPr>
      <w:r>
        <w:rPr/>
        <w:t>付的差旅费、交通费等经营费用增加。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502" w:type="dxa"/>
        <w:tblLayout w:type="fixed"/>
        <w:tblCellMar>
          <w:top w:w="0" w:type="dxa"/>
          <w:left w:w="0" w:type="dxa"/>
          <w:bottom w:w="0" w:type="dxa"/>
          <w:right w:w="0" w:type="dxa"/>
        </w:tblCellMar>
        <w:tblLook w:val="01E0"/>
      </w:tblPr>
      <w:tblGrid>
        <w:gridCol w:w="2435"/>
        <w:gridCol w:w="2200"/>
        <w:gridCol w:w="2754"/>
      </w:tblGrid>
      <w:tr>
        <w:trPr>
          <w:trHeight w:val="415"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其他流动负债</w:t>
            </w:r>
          </w:p>
        </w:tc>
        <w:tc>
          <w:tcPr>
            <w:tcW w:w="2200"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75"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1,502,307.51</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00"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投资者名称</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4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51" w:right="0"/>
              <w:jc w:val="left"/>
              <w:rPr>
                <w:rFonts w:ascii="宋体" w:hAnsi="宋体" w:cs="宋体" w:eastAsia="宋体" w:hint="default"/>
                <w:sz w:val="21"/>
                <w:szCs w:val="21"/>
              </w:rPr>
            </w:pPr>
            <w:r>
              <w:rPr>
                <w:rFonts w:ascii="宋体" w:hAnsi="宋体" w:cs="宋体" w:eastAsia="宋体" w:hint="default"/>
                <w:sz w:val="21"/>
                <w:szCs w:val="21"/>
              </w:rPr>
              <w:t>1,491,226.40[注]</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70" w:right="0"/>
              <w:jc w:val="left"/>
              <w:rPr>
                <w:rFonts w:ascii="宋体" w:hAnsi="宋体" w:cs="宋体" w:eastAsia="宋体" w:hint="default"/>
                <w:sz w:val="21"/>
                <w:szCs w:val="21"/>
              </w:rPr>
            </w:pPr>
            <w:r>
              <w:rPr>
                <w:rFonts w:ascii="宋体"/>
                <w:sz w:val="21"/>
              </w:rPr>
              <w:t>2,634,426.40</w:t>
            </w:r>
          </w:p>
        </w:tc>
      </w:tr>
      <w:tr>
        <w:trPr>
          <w:trHeight w:val="42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无限售条件流通股股利</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66" w:right="0"/>
              <w:jc w:val="left"/>
              <w:rPr>
                <w:rFonts w:ascii="宋体" w:hAnsi="宋体" w:cs="宋体" w:eastAsia="宋体" w:hint="default"/>
                <w:sz w:val="21"/>
                <w:szCs w:val="21"/>
              </w:rPr>
            </w:pPr>
            <w:r>
              <w:rPr>
                <w:rFonts w:ascii="宋体"/>
                <w:sz w:val="21"/>
              </w:rPr>
              <w:t>11,081.11</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85" w:right="0"/>
              <w:jc w:val="left"/>
              <w:rPr>
                <w:rFonts w:ascii="宋体" w:hAnsi="宋体" w:cs="宋体" w:eastAsia="宋体" w:hint="default"/>
                <w:sz w:val="21"/>
                <w:szCs w:val="21"/>
              </w:rPr>
            </w:pPr>
            <w:r>
              <w:rPr>
                <w:rFonts w:ascii="宋体"/>
                <w:sz w:val="21"/>
              </w:rPr>
              <w:t>11,081.11</w:t>
            </w:r>
          </w:p>
        </w:tc>
      </w:tr>
      <w:tr>
        <w:trPr>
          <w:trHeight w:val="415" w:hRule="exact"/>
        </w:trPr>
        <w:tc>
          <w:tcPr>
            <w:tcW w:w="2435"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40"/>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51" w:right="0"/>
              <w:jc w:val="left"/>
              <w:rPr>
                <w:rFonts w:ascii="宋体" w:hAnsi="宋体" w:cs="宋体" w:eastAsia="宋体" w:hint="default"/>
                <w:sz w:val="21"/>
                <w:szCs w:val="21"/>
              </w:rPr>
            </w:pPr>
            <w:r>
              <w:rPr>
                <w:rFonts w:ascii="宋体"/>
                <w:sz w:val="21"/>
              </w:rPr>
            </w:r>
            <w:r>
              <w:rPr>
                <w:rFonts w:ascii="宋体"/>
                <w:sz w:val="21"/>
                <w:u w:val="thick" w:color="000000"/>
              </w:rPr>
              <w:t>1,502,307.51</w:t>
            </w:r>
            <w:r>
              <w:rPr>
                <w:rFonts w:ascii="宋体"/>
                <w:sz w:val="21"/>
              </w:rPr>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71" w:right="0"/>
              <w:jc w:val="left"/>
              <w:rPr>
                <w:rFonts w:ascii="宋体" w:hAnsi="宋体" w:cs="宋体" w:eastAsia="宋体" w:hint="default"/>
                <w:sz w:val="21"/>
                <w:szCs w:val="21"/>
              </w:rPr>
            </w:pPr>
            <w:r>
              <w:rPr>
                <w:rFonts w:ascii="宋体"/>
                <w:sz w:val="21"/>
              </w:rPr>
            </w:r>
            <w:r>
              <w:rPr>
                <w:rFonts w:ascii="宋体"/>
                <w:sz w:val="21"/>
                <w:u w:val="thick" w:color="000000"/>
              </w:rPr>
              <w:t>2,645,507.51</w:t>
            </w:r>
            <w:r>
              <w:rPr>
                <w:rFonts w:ascii="宋体"/>
                <w:sz w:val="21"/>
              </w:rPr>
            </w:r>
          </w:p>
        </w:tc>
      </w:tr>
    </w:tbl>
    <w:p>
      <w:pPr>
        <w:pStyle w:val="BodyText"/>
        <w:spacing w:line="240" w:lineRule="auto" w:before="45"/>
        <w:ind w:left="537" w:right="504"/>
        <w:jc w:val="left"/>
      </w:pPr>
      <w:r>
        <w:rPr/>
        <w:t>[注]：详见本财务报表附注十四(五)2</w:t>
      </w:r>
      <w:r>
        <w:rPr>
          <w:spacing w:val="-56"/>
        </w:rPr>
        <w:t> </w:t>
      </w:r>
      <w:r>
        <w:rPr/>
        <w:t>之说明。</w:t>
      </w:r>
    </w:p>
    <w:p>
      <w:pPr>
        <w:pStyle w:val="BodyText"/>
        <w:spacing w:line="367" w:lineRule="auto"/>
        <w:ind w:left="537" w:right="466"/>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其他流动负债期末数较期初数下降</w:t>
      </w:r>
      <w:r>
        <w:rPr>
          <w:spacing w:val="36"/>
        </w:rPr>
        <w:t> </w:t>
      </w:r>
      <w:r>
        <w:rPr/>
        <w:t>43.21%，主要系公司本期部分科研开发项目完工验收</w:t>
      </w:r>
    </w:p>
    <w:p>
      <w:pPr>
        <w:pStyle w:val="BodyText"/>
        <w:spacing w:line="240" w:lineRule="auto" w:before="34"/>
        <w:ind w:right="504"/>
        <w:jc w:val="left"/>
      </w:pPr>
      <w:r>
        <w:rPr/>
        <w:t>后转入相关科目。</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809" w:val="left" w:leader="none"/>
        </w:tabs>
        <w:spacing w:line="240" w:lineRule="auto" w:before="0"/>
        <w:ind w:left="537" w:right="504"/>
        <w:jc w:val="left"/>
      </w:pPr>
      <w:r>
        <w:rPr/>
        <w:t>24.</w:t>
      </w:r>
      <w:r>
        <w:rPr>
          <w:spacing w:val="-3"/>
        </w:rPr>
        <w:t> </w:t>
      </w:r>
      <w:r>
        <w:rPr/>
        <w:t>长期借款</w:t>
        <w:tab/>
        <w:t>期末数</w:t>
      </w:r>
      <w:r>
        <w:rPr>
          <w:spacing w:val="-59"/>
        </w:rPr>
        <w:t> </w:t>
      </w:r>
      <w:r>
        <w:rPr/>
        <w:t>35,000,000.00</w:t>
      </w:r>
    </w:p>
    <w:p>
      <w:pPr>
        <w:pStyle w:val="BodyText"/>
        <w:spacing w:line="240" w:lineRule="auto"/>
        <w:ind w:left="537" w:right="504"/>
        <w:jc w:val="left"/>
      </w:pPr>
      <w:r>
        <w:rPr/>
        <w:t>(1)</w:t>
      </w:r>
      <w:r>
        <w:rPr>
          <w:spacing w:val="-2"/>
        </w:rPr>
        <w:t> </w:t>
      </w:r>
      <w:r>
        <w:rPr/>
        <w:t>明细情况</w:t>
      </w:r>
    </w:p>
    <w:p>
      <w:pPr>
        <w:pStyle w:val="BodyText"/>
        <w:tabs>
          <w:tab w:pos="2637" w:val="left" w:leader="none"/>
          <w:tab w:pos="4315" w:val="left" w:leader="none"/>
          <w:tab w:pos="6205" w:val="left" w:leader="none"/>
        </w:tabs>
        <w:spacing w:line="240" w:lineRule="auto"/>
        <w:ind w:left="537" w:right="504"/>
        <w:jc w:val="left"/>
      </w:pPr>
      <w:r>
        <w:rPr/>
        <w:t>贷款单位</w:t>
        <w:tab/>
      </w:r>
      <w:r>
        <w:rPr>
          <w:spacing w:val="-1"/>
        </w:rPr>
        <w:t>借款条件</w:t>
        <w:tab/>
        <w:t>期末数</w:t>
        <w:tab/>
        <w:t>期初数</w:t>
      </w:r>
      <w:r>
        <w:rPr/>
      </w:r>
    </w:p>
    <w:p>
      <w:pPr>
        <w:pStyle w:val="BodyText"/>
        <w:tabs>
          <w:tab w:pos="2532" w:val="left" w:leader="none"/>
          <w:tab w:pos="3897" w:val="left" w:leader="none"/>
        </w:tabs>
        <w:spacing w:line="272" w:lineRule="exact" w:before="173"/>
        <w:ind w:left="327" w:right="3460"/>
        <w:jc w:val="left"/>
      </w:pPr>
      <w:r>
        <w:rPr/>
        <w:t>中国农业银行无</w:t>
        <w:tab/>
        <w:t>抵押、保证</w:t>
        <w:tab/>
        <w:t>35,000,000.00[注] 锡市锡山支行</w:t>
      </w:r>
    </w:p>
    <w:p>
      <w:pPr>
        <w:pStyle w:val="BodyText"/>
        <w:tabs>
          <w:tab w:pos="958" w:val="left" w:leader="none"/>
          <w:tab w:pos="3896" w:val="left" w:leader="none"/>
        </w:tabs>
        <w:spacing w:line="240" w:lineRule="auto" w:before="121"/>
        <w:ind w:left="537" w:right="504"/>
        <w:jc w:val="left"/>
      </w:pPr>
      <w:r>
        <w:rPr/>
        <w:t>合</w:t>
        <w:tab/>
        <w:t>计</w:t>
        <w:tab/>
      </w:r>
      <w:r>
        <w:rPr>
          <w:u w:val="thick" w:color="000000"/>
        </w:rPr>
        <w:t>35,000,000.00</w:t>
      </w:r>
      <w:r>
        <w:rPr/>
      </w:r>
    </w:p>
    <w:p>
      <w:pPr>
        <w:spacing w:line="240" w:lineRule="auto" w:before="5"/>
        <w:rPr>
          <w:rFonts w:ascii="宋体" w:hAnsi="宋体" w:cs="宋体" w:eastAsia="宋体" w:hint="default"/>
          <w:sz w:val="8"/>
          <w:szCs w:val="8"/>
        </w:rPr>
      </w:pPr>
    </w:p>
    <w:p>
      <w:pPr>
        <w:pStyle w:val="BodyText"/>
        <w:spacing w:line="240" w:lineRule="auto" w:before="35"/>
        <w:ind w:left="543" w:right="0"/>
        <w:jc w:val="left"/>
      </w:pPr>
      <w:r>
        <w:rPr/>
        <w:t>[注]：公司以土地使用权抵押外，同时由关联方提供连带责任保证，详见本财务报表附注</w:t>
      </w:r>
    </w:p>
    <w:p>
      <w:pPr>
        <w:spacing w:after="0" w:line="240" w:lineRule="auto"/>
        <w:jc w:val="left"/>
        <w:sectPr>
          <w:pgSz w:w="11910" w:h="16840"/>
          <w:pgMar w:header="0" w:footer="1263" w:top="1540" w:bottom="1460" w:left="1680" w:right="1080"/>
        </w:sectPr>
      </w:pPr>
    </w:p>
    <w:p>
      <w:pPr>
        <w:pStyle w:val="BodyText"/>
        <w:spacing w:line="240" w:lineRule="auto" w:before="13"/>
        <w:ind w:right="804"/>
        <w:jc w:val="left"/>
      </w:pPr>
      <w:r>
        <w:rPr/>
        <w:t>十(三)2(4)1)①、十一(一)1</w:t>
      </w:r>
      <w:r>
        <w:rPr>
          <w:spacing w:val="-54"/>
        </w:rPr>
        <w:t> </w:t>
      </w:r>
      <w:r>
        <w:rPr/>
        <w:t>之说明。</w:t>
      </w:r>
    </w:p>
    <w:p>
      <w:pPr>
        <w:pStyle w:val="BodyText"/>
        <w:spacing w:line="367" w:lineRule="auto"/>
        <w:ind w:left="537" w:right="0"/>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w:t>
      </w:r>
      <w:r>
        <w:rPr>
          <w:spacing w:val="-2"/>
        </w:rPr>
        <w:t>长期借款期末数较期初数增长，主要系公司控股子公司无锡恒华科技发展有限公司本期建</w:t>
      </w:r>
    </w:p>
    <w:p>
      <w:pPr>
        <w:pStyle w:val="BodyText"/>
        <w:spacing w:line="240" w:lineRule="auto" w:before="34"/>
        <w:ind w:right="804"/>
        <w:jc w:val="left"/>
      </w:pPr>
      <w:r>
        <w:rPr/>
        <w:t>设无锡恒华科技园新增的项目贷款。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914" w:val="left" w:leader="none"/>
        </w:tabs>
        <w:spacing w:line="240" w:lineRule="auto" w:before="0"/>
        <w:ind w:left="537" w:right="804"/>
        <w:jc w:val="left"/>
      </w:pPr>
      <w:r>
        <w:rPr/>
        <w:t>25.</w:t>
      </w:r>
      <w:r>
        <w:rPr>
          <w:spacing w:val="-3"/>
        </w:rPr>
        <w:t> </w:t>
      </w:r>
      <w:r>
        <w:rPr/>
        <w:t>预计负债</w:t>
        <w:tab/>
        <w:t>期末数</w:t>
      </w:r>
      <w:r>
        <w:rPr>
          <w:spacing w:val="-62"/>
        </w:rPr>
        <w:t> </w:t>
      </w:r>
      <w:r>
        <w:rPr/>
        <w:t>1,200,805.83</w:t>
      </w:r>
    </w:p>
    <w:p>
      <w:pPr>
        <w:pStyle w:val="BodyText"/>
        <w:spacing w:line="240" w:lineRule="auto"/>
        <w:ind w:left="537" w:right="804"/>
        <w:jc w:val="left"/>
      </w:pPr>
      <w:r>
        <w:rPr/>
        <w:t>(1)</w:t>
      </w:r>
      <w:r>
        <w:rPr>
          <w:spacing w:val="-2"/>
        </w:rPr>
        <w:t> </w:t>
      </w:r>
      <w:r>
        <w:rPr/>
        <w:t>明细情况</w:t>
      </w:r>
    </w:p>
    <w:p>
      <w:pPr>
        <w:pStyle w:val="BodyText"/>
        <w:tabs>
          <w:tab w:pos="1167" w:val="left" w:leader="none"/>
          <w:tab w:pos="2739" w:val="left" w:leader="none"/>
          <w:tab w:pos="2952" w:val="left" w:leader="none"/>
          <w:tab w:pos="4316" w:val="left" w:leader="none"/>
          <w:tab w:pos="5891" w:val="left" w:leader="none"/>
          <w:tab w:pos="7173" w:val="left" w:leader="none"/>
          <w:tab w:pos="7465" w:val="left" w:leader="none"/>
        </w:tabs>
        <w:spacing w:line="367" w:lineRule="auto"/>
        <w:ind w:left="585" w:right="348" w:firstLine="162"/>
        <w:jc w:val="left"/>
      </w:pPr>
      <w:r>
        <w:rPr/>
        <w:t>项</w:t>
        <w:tab/>
        <w:t>目</w:t>
        <w:tab/>
        <w:tab/>
      </w:r>
      <w:r>
        <w:rPr>
          <w:spacing w:val="-1"/>
        </w:rPr>
        <w:t>期初数</w:t>
        <w:tab/>
        <w:t>本期增加</w:t>
        <w:tab/>
        <w:t>本期减少</w:t>
        <w:tab/>
        <w:tab/>
      </w:r>
      <w:r>
        <w:rPr/>
        <w:t>期末数</w:t>
      </w:r>
      <w:r>
        <w:rPr/>
        <w:t> 产品质量保证</w:t>
        <w:tab/>
        <w:t>526,658.41</w:t>
        <w:tab/>
      </w:r>
      <w:r>
        <w:rPr>
          <w:spacing w:val="-1"/>
        </w:rPr>
        <w:t>674,147.42</w:t>
        <w:tab/>
        <w:tab/>
        <w:t>1,200,805.83</w:t>
      </w:r>
      <w:r>
        <w:rPr/>
      </w:r>
    </w:p>
    <w:p>
      <w:pPr>
        <w:pStyle w:val="BodyText"/>
        <w:tabs>
          <w:tab w:pos="1215" w:val="left" w:leader="none"/>
          <w:tab w:pos="2738" w:val="left" w:leader="none"/>
          <w:tab w:pos="4359" w:val="left" w:leader="none"/>
          <w:tab w:pos="7174" w:val="left" w:leader="none"/>
        </w:tabs>
        <w:spacing w:line="240" w:lineRule="auto" w:before="34"/>
        <w:ind w:left="795" w:right="0"/>
        <w:jc w:val="left"/>
      </w:pPr>
      <w:r>
        <w:rPr/>
        <w:t>合</w:t>
        <w:tab/>
        <w:t>计</w:t>
        <w:tab/>
      </w:r>
      <w:r>
        <w:rPr>
          <w:spacing w:val="-1"/>
          <w:u w:val="thick" w:color="000000"/>
        </w:rPr>
        <w:t>526,658.41</w:t>
      </w:r>
      <w:r>
        <w:rPr>
          <w:spacing w:val="-1"/>
        </w:rPr>
        <w:tab/>
      </w:r>
      <w:r>
        <w:rPr>
          <w:spacing w:val="-1"/>
          <w:u w:val="thick" w:color="000000"/>
        </w:rPr>
        <w:t>674,147.42</w:t>
      </w:r>
      <w:r>
        <w:rPr>
          <w:spacing w:val="-1"/>
        </w:rPr>
        <w:tab/>
      </w:r>
      <w:r>
        <w:rPr>
          <w:spacing w:val="-1"/>
          <w:u w:val="thick" w:color="000000"/>
        </w:rPr>
        <w:t>1,200,805.83</w:t>
      </w:r>
      <w:r>
        <w:rPr>
          <w:spacing w:val="-1"/>
        </w:rPr>
      </w:r>
      <w:r>
        <w:rPr/>
      </w:r>
    </w:p>
    <w:p>
      <w:pPr>
        <w:pStyle w:val="BodyText"/>
        <w:spacing w:line="240" w:lineRule="auto"/>
        <w:ind w:left="537" w:right="804"/>
        <w:jc w:val="left"/>
      </w:pPr>
      <w:r>
        <w:rPr/>
        <w:t>(2)</w:t>
      </w:r>
      <w:r>
        <w:rPr>
          <w:spacing w:val="-2"/>
        </w:rPr>
        <w:t> </w:t>
      </w:r>
      <w:r>
        <w:rPr/>
        <w:t>形成原因、本期确认的预期补偿金额等说明</w:t>
      </w:r>
    </w:p>
    <w:p>
      <w:pPr>
        <w:pStyle w:val="BodyText"/>
        <w:spacing w:line="367" w:lineRule="auto"/>
        <w:ind w:right="99" w:firstLine="420"/>
        <w:jc w:val="left"/>
      </w:pPr>
      <w:r>
        <w:rPr/>
        <w:t>根据公司与客户签订的软件销售合同中关于承诺</w:t>
      </w:r>
      <w:r>
        <w:rPr>
          <w:spacing w:val="-50"/>
        </w:rPr>
        <w:t> </w:t>
      </w:r>
      <w:r>
        <w:rPr/>
        <w:t>1</w:t>
      </w:r>
      <w:r>
        <w:rPr>
          <w:spacing w:val="-49"/>
        </w:rPr>
        <w:t> </w:t>
      </w:r>
      <w:r>
        <w:rPr>
          <w:spacing w:val="-4"/>
        </w:rPr>
        <w:t>年免费维护的条款，公司按软件收入的</w:t>
      </w:r>
      <w:r>
        <w:rPr/>
        <w:t> 0.5%（根据以往实际发生数据测算）计提软件维护费用。</w:t>
      </w:r>
    </w:p>
    <w:p>
      <w:pPr>
        <w:pStyle w:val="BodyText"/>
        <w:spacing w:line="367" w:lineRule="auto" w:before="34"/>
        <w:ind w:left="537" w:right="1144" w:hanging="1"/>
        <w:jc w:val="left"/>
      </w:pPr>
      <w:r>
        <w:rPr/>
        <w:t>(3)</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预计负债期末数较期初数增长</w:t>
      </w:r>
      <w:r>
        <w:rPr>
          <w:spacing w:val="-57"/>
        </w:rPr>
        <w:t> </w:t>
      </w:r>
      <w:r>
        <w:rPr/>
        <w:t>128.00%，主要系公司本期软件收入增加所致。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463"/>
        <w:gridCol w:w="2374"/>
        <w:gridCol w:w="2554"/>
      </w:tblGrid>
      <w:tr>
        <w:trPr>
          <w:trHeight w:val="415"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2"/>
                <w:sz w:val="21"/>
                <w:szCs w:val="21"/>
              </w:rPr>
              <w:t> </w:t>
            </w:r>
            <w:r>
              <w:rPr>
                <w:rFonts w:ascii="宋体" w:hAnsi="宋体" w:cs="宋体" w:eastAsia="宋体" w:hint="default"/>
                <w:sz w:val="21"/>
                <w:szCs w:val="21"/>
              </w:rPr>
              <w:t>递延所得税负债</w:t>
            </w:r>
          </w:p>
        </w:tc>
        <w:tc>
          <w:tcPr>
            <w:tcW w:w="2374"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23,573,820.27</w:t>
            </w:r>
          </w:p>
        </w:tc>
      </w:tr>
      <w:tr>
        <w:trPr>
          <w:trHeight w:val="420"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74"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r>
      <w:tr>
        <w:trPr>
          <w:trHeight w:val="420" w:hRule="exact"/>
        </w:trPr>
        <w:tc>
          <w:tcPr>
            <w:tcW w:w="246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68"/>
              <w:jc w:val="right"/>
              <w:rPr>
                <w:rFonts w:ascii="宋体" w:hAnsi="宋体" w:cs="宋体" w:eastAsia="宋体" w:hint="default"/>
                <w:sz w:val="21"/>
                <w:szCs w:val="21"/>
              </w:rPr>
            </w:pPr>
            <w:r>
              <w:rPr>
                <w:rFonts w:ascii="宋体"/>
                <w:spacing w:val="-1"/>
                <w:sz w:val="21"/>
              </w:rPr>
              <w:t>23,573,820.27</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10" w:right="0"/>
              <w:jc w:val="left"/>
              <w:rPr>
                <w:rFonts w:ascii="宋体" w:hAnsi="宋体" w:cs="宋体" w:eastAsia="宋体" w:hint="default"/>
                <w:sz w:val="21"/>
                <w:szCs w:val="21"/>
              </w:rPr>
            </w:pPr>
            <w:r>
              <w:rPr>
                <w:rFonts w:ascii="宋体"/>
                <w:sz w:val="21"/>
              </w:rPr>
              <w:t>2,446,776.93</w:t>
            </w:r>
          </w:p>
        </w:tc>
      </w:tr>
      <w:tr>
        <w:trPr>
          <w:trHeight w:val="415" w:hRule="exact"/>
        </w:trPr>
        <w:tc>
          <w:tcPr>
            <w:tcW w:w="2463"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40"/>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67"/>
              <w:jc w:val="right"/>
              <w:rPr>
                <w:rFonts w:ascii="宋体" w:hAnsi="宋体" w:cs="宋体" w:eastAsia="宋体" w:hint="default"/>
                <w:sz w:val="21"/>
                <w:szCs w:val="21"/>
              </w:rPr>
            </w:pPr>
            <w:r>
              <w:rPr>
                <w:rFonts w:ascii="宋体"/>
                <w:sz w:val="21"/>
              </w:rPr>
            </w:r>
            <w:r>
              <w:rPr>
                <w:rFonts w:ascii="宋体"/>
                <w:spacing w:val="-1"/>
                <w:sz w:val="21"/>
                <w:u w:val="thick" w:color="000000"/>
              </w:rPr>
              <w:t>23,573,820.27</w:t>
            </w:r>
            <w:r>
              <w:rPr>
                <w:rFonts w:ascii="宋体"/>
                <w:spacing w:val="-1"/>
                <w:sz w:val="21"/>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10" w:right="0"/>
              <w:jc w:val="left"/>
              <w:rPr>
                <w:rFonts w:ascii="宋体" w:hAnsi="宋体" w:cs="宋体" w:eastAsia="宋体" w:hint="default"/>
                <w:sz w:val="21"/>
                <w:szCs w:val="21"/>
              </w:rPr>
            </w:pPr>
            <w:r>
              <w:rPr>
                <w:rFonts w:ascii="宋体"/>
                <w:sz w:val="21"/>
              </w:rPr>
            </w:r>
            <w:r>
              <w:rPr>
                <w:rFonts w:ascii="宋体"/>
                <w:sz w:val="21"/>
                <w:u w:val="thick" w:color="000000"/>
              </w:rPr>
              <w:t>2,446,776.93</w:t>
            </w:r>
            <w:r>
              <w:rPr>
                <w:rFonts w:ascii="宋体"/>
                <w:sz w:val="21"/>
              </w:rPr>
            </w:r>
          </w:p>
        </w:tc>
      </w:tr>
    </w:tbl>
    <w:p>
      <w:pPr>
        <w:pStyle w:val="BodyText"/>
        <w:tabs>
          <w:tab w:pos="1166" w:val="left" w:leader="none"/>
          <w:tab w:pos="3896" w:val="left" w:leader="none"/>
        </w:tabs>
        <w:spacing w:line="367" w:lineRule="auto" w:before="45"/>
        <w:ind w:left="747" w:right="2574" w:hanging="211"/>
        <w:jc w:val="left"/>
      </w:pPr>
      <w:r>
        <w:rPr/>
        <w:t>(2)</w:t>
      </w:r>
      <w:r>
        <w:rPr>
          <w:spacing w:val="-2"/>
        </w:rPr>
        <w:t> </w:t>
      </w:r>
      <w:r>
        <w:rPr/>
        <w:t>引起暂时性差异的资产和负债项目对应的暂时性差异金额</w:t>
      </w:r>
      <w:r>
        <w:rPr/>
        <w:t> 项</w:t>
        <w:tab/>
        <w:t>目</w:t>
        <w:tab/>
        <w:t>暂时性差异金额</w:t>
      </w:r>
    </w:p>
    <w:p>
      <w:pPr>
        <w:pStyle w:val="BodyText"/>
        <w:tabs>
          <w:tab w:pos="3759" w:val="left" w:leader="none"/>
        </w:tabs>
        <w:spacing w:line="240" w:lineRule="auto" w:before="34"/>
        <w:ind w:left="585" w:right="804"/>
        <w:jc w:val="left"/>
      </w:pPr>
      <w:r>
        <w:rPr>
          <w:spacing w:val="-1"/>
        </w:rPr>
        <w:t>公允价值变动损益</w:t>
        <w:tab/>
        <w:t>129,029,940.52</w:t>
      </w:r>
      <w:r>
        <w:rPr/>
      </w:r>
    </w:p>
    <w:p>
      <w:pPr>
        <w:pStyle w:val="BodyText"/>
        <w:tabs>
          <w:tab w:pos="1216" w:val="left" w:leader="none"/>
          <w:tab w:pos="3759" w:val="left" w:leader="none"/>
        </w:tabs>
        <w:spacing w:line="240" w:lineRule="auto"/>
        <w:ind w:left="795" w:right="804"/>
        <w:jc w:val="left"/>
      </w:pPr>
      <w:r>
        <w:rPr/>
        <w:t>小</w:t>
        <w:tab/>
        <w:t>计</w:t>
        <w:tab/>
      </w:r>
      <w:r>
        <w:rPr>
          <w:u w:val="single" w:color="000000"/>
        </w:rPr>
        <w:t>129,029,940.52</w:t>
      </w:r>
      <w:r>
        <w:rPr/>
      </w:r>
    </w:p>
    <w:p>
      <w:pPr>
        <w:spacing w:line="240" w:lineRule="auto" w:before="5"/>
        <w:rPr>
          <w:rFonts w:ascii="宋体" w:hAnsi="宋体" w:cs="宋体" w:eastAsia="宋体" w:hint="default"/>
          <w:sz w:val="8"/>
          <w:szCs w:val="8"/>
        </w:rPr>
      </w:pPr>
    </w:p>
    <w:p>
      <w:pPr>
        <w:pStyle w:val="BodyText"/>
        <w:spacing w:line="367" w:lineRule="auto" w:before="35"/>
        <w:ind w:left="537" w:right="98"/>
        <w:jc w:val="left"/>
      </w:pPr>
      <w:r>
        <w:rPr/>
        <w:t>(3)</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递延所得税负债期末数较期初数增长</w:t>
      </w:r>
      <w:r>
        <w:rPr>
          <w:spacing w:val="-61"/>
        </w:rPr>
        <w:t> </w:t>
      </w:r>
      <w:r>
        <w:rPr/>
        <w:t>863.46%，主要系公司期末交易性金融资产以及可供</w:t>
      </w:r>
    </w:p>
    <w:p>
      <w:pPr>
        <w:pStyle w:val="BodyText"/>
        <w:spacing w:line="240" w:lineRule="auto" w:before="34"/>
        <w:ind w:right="804"/>
        <w:jc w:val="left"/>
      </w:pPr>
      <w:r>
        <w:rPr/>
        <w:t>出售金融资产公允价值变动较大。</w:t>
      </w:r>
    </w:p>
    <w:p>
      <w:pPr>
        <w:spacing w:after="0" w:line="240" w:lineRule="auto"/>
        <w:jc w:val="left"/>
        <w:sectPr>
          <w:pgSz w:w="11910" w:h="16840"/>
          <w:pgMar w:header="0" w:footer="1263" w:top="1540" w:bottom="1460" w:left="1680" w:right="1440"/>
        </w:sectPr>
      </w:pPr>
    </w:p>
    <w:p>
      <w:pPr>
        <w:pStyle w:val="BodyText"/>
        <w:tabs>
          <w:tab w:pos="7243" w:val="left" w:leader="none"/>
        </w:tabs>
        <w:spacing w:line="240" w:lineRule="auto" w:before="13"/>
        <w:ind w:left="1257" w:right="0"/>
        <w:jc w:val="left"/>
      </w:pPr>
      <w:r>
        <w:rPr/>
        <w:t>27. 股本</w:t>
        <w:tab/>
        <w:t>期末数</w:t>
      </w:r>
      <w:r>
        <w:rPr>
          <w:spacing w:val="-69"/>
        </w:rPr>
        <w:t> </w:t>
      </w:r>
      <w:r>
        <w:rPr/>
        <w:t>185,640,000.00</w:t>
      </w:r>
    </w:p>
    <w:p>
      <w:pPr>
        <w:pStyle w:val="BodyText"/>
        <w:spacing w:line="240" w:lineRule="auto"/>
        <w:ind w:left="1257" w:right="0"/>
        <w:jc w:val="left"/>
      </w:pPr>
      <w:r>
        <w:rPr/>
        <w:t>(1)</w:t>
      </w:r>
      <w:r>
        <w:rPr>
          <w:spacing w:val="-3"/>
        </w:rPr>
        <w:t> </w:t>
      </w:r>
      <w:r>
        <w:rPr/>
        <w:t>明细情况</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64"/>
        <w:gridCol w:w="1512"/>
        <w:gridCol w:w="1128"/>
        <w:gridCol w:w="776"/>
        <w:gridCol w:w="360"/>
        <w:gridCol w:w="382"/>
        <w:gridCol w:w="1238"/>
        <w:gridCol w:w="1260"/>
        <w:gridCol w:w="1147"/>
        <w:gridCol w:w="1193"/>
        <w:gridCol w:w="868"/>
      </w:tblGrid>
      <w:tr>
        <w:trPr>
          <w:trHeight w:val="350" w:hRule="exact"/>
        </w:trPr>
        <w:tc>
          <w:tcPr>
            <w:tcW w:w="1876"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tabs>
                <w:tab w:pos="1157" w:val="left" w:leader="none"/>
              </w:tabs>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04"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43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88" w:right="0"/>
              <w:jc w:val="left"/>
              <w:rPr>
                <w:rFonts w:ascii="宋体" w:hAnsi="宋体" w:cs="宋体" w:eastAsia="宋体" w:hint="default"/>
                <w:sz w:val="18"/>
                <w:szCs w:val="18"/>
              </w:rPr>
            </w:pPr>
            <w:r>
              <w:rPr>
                <w:rFonts w:ascii="宋体" w:hAnsi="宋体" w:cs="宋体" w:eastAsia="宋体" w:hint="default"/>
                <w:sz w:val="18"/>
                <w:szCs w:val="18"/>
              </w:rPr>
              <w:t>本期增减变动（+，-）</w:t>
            </w:r>
          </w:p>
        </w:tc>
        <w:tc>
          <w:tcPr>
            <w:tcW w:w="206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9" w:hRule="exact"/>
        </w:trPr>
        <w:tc>
          <w:tcPr>
            <w:tcW w:w="1876" w:type="dxa"/>
            <w:gridSpan w:val="2"/>
            <w:vMerge/>
            <w:tcBorders>
              <w:left w:val="single" w:sz="4" w:space="0" w:color="000000"/>
              <w:right w:val="single" w:sz="4" w:space="0" w:color="000000"/>
            </w:tcBorders>
          </w:tcPr>
          <w:p>
            <w:pPr/>
          </w:p>
        </w:tc>
        <w:tc>
          <w:tcPr>
            <w:tcW w:w="1904" w:type="dxa"/>
            <w:gridSpan w:val="2"/>
            <w:vMerge/>
            <w:tcBorders>
              <w:left w:val="single" w:sz="4" w:space="0" w:color="000000"/>
              <w:bottom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Style w:val="TableParagraph"/>
              <w:spacing w:line="204" w:lineRule="exact"/>
              <w:ind w:left="137"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ind w:left="137" w:right="30"/>
              <w:jc w:val="both"/>
              <w:rPr>
                <w:rFonts w:ascii="宋体" w:hAnsi="宋体" w:cs="宋体" w:eastAsia="宋体" w:hint="default"/>
                <w:sz w:val="18"/>
                <w:szCs w:val="18"/>
              </w:rPr>
            </w:pPr>
            <w:r>
              <w:rPr>
                <w:rFonts w:ascii="宋体" w:hAnsi="宋体" w:cs="宋体" w:eastAsia="宋体" w:hint="default"/>
                <w:sz w:val="18"/>
                <w:szCs w:val="18"/>
              </w:rPr>
              <w:t>行 新 股</w:t>
            </w:r>
          </w:p>
        </w:tc>
        <w:tc>
          <w:tcPr>
            <w:tcW w:w="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3" w:right="86"/>
              <w:jc w:val="left"/>
              <w:rPr>
                <w:rFonts w:ascii="宋体" w:hAnsi="宋体" w:cs="宋体" w:eastAsia="宋体" w:hint="default"/>
                <w:sz w:val="18"/>
                <w:szCs w:val="18"/>
              </w:rPr>
            </w:pPr>
            <w:r>
              <w:rPr>
                <w:rFonts w:ascii="宋体" w:hAnsi="宋体" w:cs="宋体" w:eastAsia="宋体" w:hint="default"/>
                <w:sz w:val="18"/>
                <w:szCs w:val="18"/>
              </w:rPr>
              <w:t>送 股</w:t>
            </w:r>
          </w:p>
        </w:tc>
        <w:tc>
          <w:tcPr>
            <w:tcW w:w="12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60" w:type="dxa"/>
            <w:gridSpan w:val="2"/>
            <w:vMerge/>
            <w:tcBorders>
              <w:left w:val="single" w:sz="4" w:space="0" w:color="000000"/>
              <w:bottom w:val="single" w:sz="4" w:space="0" w:color="000000"/>
              <w:right w:val="single" w:sz="4" w:space="0" w:color="000000"/>
            </w:tcBorders>
          </w:tcPr>
          <w:p>
            <w:pPr/>
          </w:p>
        </w:tc>
      </w:tr>
      <w:tr>
        <w:trPr>
          <w:trHeight w:val="594" w:hRule="exact"/>
        </w:trPr>
        <w:tc>
          <w:tcPr>
            <w:tcW w:w="1876" w:type="dxa"/>
            <w:gridSpan w:val="2"/>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60"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50" w:hRule="exact"/>
        </w:trPr>
        <w:tc>
          <w:tcPr>
            <w:tcW w:w="3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4" w:lineRule="auto"/>
              <w:ind w:left="103" w:right="2" w:hanging="53"/>
              <w:jc w:val="left"/>
              <w:rPr>
                <w:rFonts w:ascii="宋体" w:hAnsi="宋体" w:cs="宋体" w:eastAsia="宋体" w:hint="default"/>
                <w:sz w:val="18"/>
                <w:szCs w:val="18"/>
              </w:rPr>
            </w:pPr>
            <w:r>
              <w:rPr>
                <w:rFonts w:ascii="宋体" w:hAnsi="宋体" w:cs="宋体" w:eastAsia="宋体" w:hint="default"/>
                <w:spacing w:val="-21"/>
                <w:sz w:val="18"/>
                <w:szCs w:val="18"/>
              </w:rPr>
              <w:t>(一)</w:t>
            </w:r>
            <w:r>
              <w:rPr>
                <w:rFonts w:ascii="宋体" w:hAnsi="宋体" w:cs="宋体" w:eastAsia="宋体" w:hint="default"/>
                <w:sz w:val="18"/>
                <w:szCs w:val="18"/>
              </w:rPr>
              <w:t> 有 限 售 条 件 股 份</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7"/>
                <w:sz w:val="18"/>
                <w:szCs w:val="18"/>
              </w:rPr>
              <w:t>2．国有法人持股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3,462,900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2.43</w:t>
            </w: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1,038,870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-4,501,770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-3,462,900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7"/>
                <w:sz w:val="18"/>
                <w:szCs w:val="18"/>
              </w:rPr>
              <w:t>3．其他内资持股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29,618,777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20.74</w:t>
            </w: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8,885,633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-10,639,846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-1,754,213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27,864,564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4"/>
              <w:jc w:val="right"/>
              <w:rPr>
                <w:rFonts w:ascii="宋体" w:hAnsi="宋体" w:cs="宋体" w:eastAsia="宋体" w:hint="default"/>
                <w:sz w:val="18"/>
                <w:szCs w:val="18"/>
              </w:rPr>
            </w:pPr>
            <w:r>
              <w:rPr>
                <w:rFonts w:ascii="宋体"/>
                <w:sz w:val="18"/>
              </w:rPr>
              <w:t>15.01</w:t>
            </w:r>
          </w:p>
        </w:tc>
      </w:tr>
      <w:tr>
        <w:trPr>
          <w:trHeight w:val="350"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28,574,280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20.01</w:t>
            </w: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8,572,284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-9,282,000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-709,716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27,864,564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4"/>
              <w:jc w:val="right"/>
              <w:rPr>
                <w:rFonts w:ascii="宋体" w:hAnsi="宋体" w:cs="宋体" w:eastAsia="宋体" w:hint="default"/>
                <w:sz w:val="18"/>
                <w:szCs w:val="18"/>
              </w:rPr>
            </w:pPr>
            <w:r>
              <w:rPr>
                <w:rFonts w:ascii="宋体"/>
                <w:sz w:val="18"/>
              </w:rPr>
              <w:t>15.01</w:t>
            </w:r>
          </w:p>
        </w:tc>
      </w:tr>
      <w:tr>
        <w:trPr>
          <w:trHeight w:val="350"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1,044,497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0.73</w:t>
            </w: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313,349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-1,357,846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3"/>
              <w:jc w:val="right"/>
              <w:rPr>
                <w:rFonts w:ascii="宋体" w:hAnsi="宋体" w:cs="宋体" w:eastAsia="宋体" w:hint="default"/>
                <w:sz w:val="18"/>
                <w:szCs w:val="18"/>
              </w:rPr>
            </w:pPr>
            <w:r>
              <w:rPr>
                <w:rFonts w:ascii="宋体"/>
                <w:sz w:val="18"/>
              </w:rPr>
              <w:t>-1,044,497</w:t>
            </w: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4"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6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有限售条件股份</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z w:val="18"/>
              </w:rPr>
              <w:t>33,081,677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z w:val="18"/>
              </w:rPr>
              <w:t>23.17</w:t>
            </w: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z w:val="18"/>
              </w:rPr>
              <w:t>9,924,503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z w:val="18"/>
              </w:rPr>
              <w:t>-15,141,616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z w:val="18"/>
              </w:rPr>
              <w:t>-5,217,113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z w:val="18"/>
              </w:rPr>
              <w:t>27,864,564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sz w:val="18"/>
              </w:rPr>
              <w:t>15.01</w:t>
            </w:r>
          </w:p>
        </w:tc>
      </w:tr>
      <w:tr>
        <w:trPr>
          <w:trHeight w:val="350" w:hRule="exact"/>
        </w:trPr>
        <w:tc>
          <w:tcPr>
            <w:tcW w:w="364" w:type="dxa"/>
            <w:vMerge w:val="restart"/>
            <w:tcBorders>
              <w:top w:val="single" w:sz="4" w:space="0" w:color="000000"/>
              <w:left w:val="single" w:sz="4" w:space="0" w:color="000000"/>
              <w:right w:val="single" w:sz="4" w:space="0" w:color="000000"/>
            </w:tcBorders>
          </w:tcPr>
          <w:p>
            <w:pPr>
              <w:pStyle w:val="TableParagraph"/>
              <w:spacing w:line="237" w:lineRule="auto" w:before="29"/>
              <w:ind w:left="103" w:right="2" w:hanging="53"/>
              <w:jc w:val="left"/>
              <w:rPr>
                <w:rFonts w:ascii="宋体" w:hAnsi="宋体" w:cs="宋体" w:eastAsia="宋体" w:hint="default"/>
                <w:sz w:val="18"/>
                <w:szCs w:val="18"/>
              </w:rPr>
            </w:pPr>
            <w:r>
              <w:rPr>
                <w:rFonts w:ascii="宋体" w:hAnsi="宋体" w:cs="宋体" w:eastAsia="宋体" w:hint="default"/>
                <w:spacing w:val="-21"/>
                <w:sz w:val="18"/>
                <w:szCs w:val="18"/>
              </w:rPr>
              <w:t>(二)</w:t>
            </w:r>
            <w:r>
              <w:rPr>
                <w:rFonts w:ascii="宋体" w:hAnsi="宋体" w:cs="宋体" w:eastAsia="宋体" w:hint="default"/>
                <w:sz w:val="18"/>
                <w:szCs w:val="18"/>
              </w:rPr>
              <w:t> 无 限 售 条 件 股 份</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7"/>
                <w:sz w:val="18"/>
                <w:szCs w:val="18"/>
              </w:rPr>
              <w:t>1．人民币普通股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109,718,323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76.83</w:t>
            </w: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32,915,497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15,141,616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48,057,113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157,775,436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84.99</w:t>
            </w:r>
          </w:p>
        </w:tc>
      </w:tr>
      <w:tr>
        <w:trPr>
          <w:trHeight w:val="476"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2．境内上市的外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3．境外上市的外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64"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2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4"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已流通股份合计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109,718,323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76.83</w:t>
            </w: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
              <w:jc w:val="right"/>
              <w:rPr>
                <w:rFonts w:ascii="宋体" w:hAnsi="宋体" w:cs="宋体" w:eastAsia="宋体" w:hint="default"/>
                <w:sz w:val="18"/>
                <w:szCs w:val="18"/>
              </w:rPr>
            </w:pPr>
            <w:r>
              <w:rPr>
                <w:rFonts w:ascii="宋体"/>
                <w:sz w:val="18"/>
              </w:rPr>
              <w:t>32,915,497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15,141,616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48,057,113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157,775,436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
              <w:jc w:val="right"/>
              <w:rPr>
                <w:rFonts w:ascii="宋体" w:hAnsi="宋体" w:cs="宋体" w:eastAsia="宋体" w:hint="default"/>
                <w:sz w:val="18"/>
                <w:szCs w:val="18"/>
              </w:rPr>
            </w:pPr>
            <w:r>
              <w:rPr>
                <w:rFonts w:ascii="宋体"/>
                <w:sz w:val="18"/>
              </w:rPr>
              <w:t>84.99</w:t>
            </w:r>
          </w:p>
        </w:tc>
      </w:tr>
      <w:tr>
        <w:trPr>
          <w:trHeight w:val="350" w:hRule="exact"/>
        </w:trPr>
        <w:tc>
          <w:tcPr>
            <w:tcW w:w="1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
              <w:jc w:val="right"/>
              <w:rPr>
                <w:rFonts w:ascii="宋体" w:hAnsi="宋体" w:cs="宋体" w:eastAsia="宋体" w:hint="default"/>
                <w:sz w:val="18"/>
                <w:szCs w:val="18"/>
              </w:rPr>
            </w:pPr>
            <w:r>
              <w:rPr>
                <w:rFonts w:ascii="宋体"/>
                <w:sz w:val="18"/>
              </w:rPr>
              <w:t>142,800,000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
              <w:jc w:val="right"/>
              <w:rPr>
                <w:rFonts w:ascii="宋体" w:hAnsi="宋体" w:cs="宋体" w:eastAsia="宋体" w:hint="default"/>
                <w:sz w:val="18"/>
                <w:szCs w:val="18"/>
              </w:rPr>
            </w:pPr>
            <w:r>
              <w:rPr>
                <w:rFonts w:ascii="宋体"/>
                <w:sz w:val="18"/>
              </w:rPr>
              <w:t>100.00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
              <w:jc w:val="right"/>
              <w:rPr>
                <w:rFonts w:ascii="宋体" w:hAnsi="宋体" w:cs="宋体" w:eastAsia="宋体" w:hint="default"/>
                <w:sz w:val="18"/>
                <w:szCs w:val="18"/>
              </w:rPr>
            </w:pPr>
            <w:r>
              <w:rPr>
                <w:rFonts w:ascii="宋体"/>
                <w:sz w:val="18"/>
              </w:rPr>
              <w:t>42,840,000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
              <w:jc w:val="right"/>
              <w:rPr>
                <w:rFonts w:ascii="宋体" w:hAnsi="宋体" w:cs="宋体" w:eastAsia="宋体" w:hint="default"/>
                <w:sz w:val="18"/>
                <w:szCs w:val="18"/>
              </w:rPr>
            </w:pPr>
            <w:r>
              <w:rPr>
                <w:rFonts w:ascii="宋体"/>
                <w:sz w:val="18"/>
              </w:rPr>
              <w:t>42,840,000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
              <w:jc w:val="right"/>
              <w:rPr>
                <w:rFonts w:ascii="宋体" w:hAnsi="宋体" w:cs="宋体" w:eastAsia="宋体" w:hint="default"/>
                <w:sz w:val="18"/>
                <w:szCs w:val="18"/>
              </w:rPr>
            </w:pPr>
            <w:r>
              <w:rPr>
                <w:rFonts w:ascii="宋体"/>
                <w:sz w:val="18"/>
              </w:rPr>
              <w:t>185,640,000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4"/>
              <w:jc w:val="right"/>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5"/>
          <w:szCs w:val="5"/>
        </w:rPr>
      </w:pPr>
    </w:p>
    <w:p>
      <w:pPr>
        <w:pStyle w:val="BodyText"/>
        <w:spacing w:line="240" w:lineRule="auto" w:before="35"/>
        <w:ind w:left="1257" w:right="0"/>
        <w:jc w:val="left"/>
      </w:pPr>
      <w:r>
        <w:rPr/>
        <w:t>(2)</w:t>
      </w:r>
      <w:r>
        <w:rPr>
          <w:spacing w:val="-1"/>
        </w:rPr>
        <w:t> </w:t>
      </w:r>
      <w:r>
        <w:rPr/>
        <w:t>公司前</w:t>
      </w:r>
      <w:r>
        <w:rPr>
          <w:spacing w:val="-55"/>
        </w:rPr>
        <w:t> </w:t>
      </w:r>
      <w:r>
        <w:rPr/>
        <w:t>10</w:t>
      </w:r>
      <w:r>
        <w:rPr>
          <w:spacing w:val="-53"/>
        </w:rPr>
        <w:t> </w:t>
      </w:r>
      <w:r>
        <w:rPr/>
        <w:t>名股东中原非流通股股东持有股份的限售条件的说明</w:t>
      </w:r>
    </w:p>
    <w:p>
      <w:pPr>
        <w:spacing w:line="240" w:lineRule="auto" w:before="8"/>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880"/>
        <w:gridCol w:w="1800"/>
        <w:gridCol w:w="1980"/>
        <w:gridCol w:w="1786"/>
        <w:gridCol w:w="1814"/>
      </w:tblGrid>
      <w:tr>
        <w:trPr>
          <w:trHeight w:val="47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期初有限售条件的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本期增加的有限售条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件的股份</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本期可上市流通的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期末有限售条件的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股份</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9" w:right="0"/>
              <w:jc w:val="left"/>
              <w:rPr>
                <w:rFonts w:ascii="宋体" w:hAnsi="宋体" w:cs="宋体" w:eastAsia="宋体" w:hint="default"/>
                <w:sz w:val="18"/>
                <w:szCs w:val="18"/>
              </w:rPr>
            </w:pPr>
            <w:r>
              <w:rPr>
                <w:rFonts w:ascii="宋体"/>
                <w:sz w:val="18"/>
              </w:rPr>
              <w:t>28,574,280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73"/>
              <w:jc w:val="right"/>
              <w:rPr>
                <w:rFonts w:ascii="宋体" w:hAnsi="宋体" w:cs="宋体" w:eastAsia="宋体" w:hint="default"/>
                <w:sz w:val="18"/>
                <w:szCs w:val="18"/>
              </w:rPr>
            </w:pPr>
            <w:r>
              <w:rPr>
                <w:rFonts w:ascii="宋体"/>
                <w:sz w:val="18"/>
              </w:rPr>
              <w:t>8,572,284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7" w:right="0"/>
              <w:jc w:val="left"/>
              <w:rPr>
                <w:rFonts w:ascii="宋体" w:hAnsi="宋体" w:cs="宋体" w:eastAsia="宋体" w:hint="default"/>
                <w:sz w:val="18"/>
                <w:szCs w:val="18"/>
              </w:rPr>
            </w:pPr>
            <w:r>
              <w:rPr>
                <w:rFonts w:ascii="宋体"/>
                <w:sz w:val="18"/>
              </w:rPr>
              <w:t>9,282,000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6" w:right="0"/>
              <w:jc w:val="left"/>
              <w:rPr>
                <w:rFonts w:ascii="宋体" w:hAnsi="宋体" w:cs="宋体" w:eastAsia="宋体" w:hint="default"/>
                <w:sz w:val="18"/>
                <w:szCs w:val="18"/>
              </w:rPr>
            </w:pPr>
            <w:r>
              <w:rPr>
                <w:rFonts w:ascii="宋体"/>
                <w:sz w:val="18"/>
              </w:rPr>
              <w:t>27,864,564</w:t>
            </w:r>
          </w:p>
        </w:tc>
      </w:tr>
      <w:tr>
        <w:trPr>
          <w:trHeight w:val="46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中国投资担保有限公司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sz w:val="18"/>
              </w:rPr>
              <w:t>3,462,900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73"/>
              <w:jc w:val="right"/>
              <w:rPr>
                <w:rFonts w:ascii="宋体" w:hAnsi="宋体" w:cs="宋体" w:eastAsia="宋体" w:hint="default"/>
                <w:sz w:val="18"/>
                <w:szCs w:val="18"/>
              </w:rPr>
            </w:pPr>
            <w:r>
              <w:rPr>
                <w:rFonts w:ascii="宋体"/>
                <w:sz w:val="18"/>
              </w:rPr>
              <w:t>1,038,870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7" w:right="0"/>
              <w:jc w:val="left"/>
              <w:rPr>
                <w:rFonts w:ascii="宋体" w:hAnsi="宋体" w:cs="宋体" w:eastAsia="宋体" w:hint="default"/>
                <w:sz w:val="18"/>
                <w:szCs w:val="18"/>
              </w:rPr>
            </w:pPr>
            <w:r>
              <w:rPr>
                <w:rFonts w:ascii="宋体"/>
                <w:sz w:val="18"/>
              </w:rPr>
              <w:t>4,501,770</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黄大成[注]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sz w:val="18"/>
              </w:rPr>
              <w:t>1,044,497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19"/>
              <w:jc w:val="right"/>
              <w:rPr>
                <w:rFonts w:ascii="宋体" w:hAnsi="宋体" w:cs="宋体" w:eastAsia="宋体" w:hint="default"/>
                <w:sz w:val="18"/>
                <w:szCs w:val="18"/>
              </w:rPr>
            </w:pPr>
            <w:r>
              <w:rPr>
                <w:rFonts w:ascii="宋体"/>
                <w:sz w:val="18"/>
              </w:rPr>
              <w:t>313,349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7" w:right="0"/>
              <w:jc w:val="left"/>
              <w:rPr>
                <w:rFonts w:ascii="宋体" w:hAnsi="宋体" w:cs="宋体" w:eastAsia="宋体" w:hint="default"/>
                <w:sz w:val="18"/>
                <w:szCs w:val="18"/>
              </w:rPr>
            </w:pPr>
            <w:r>
              <w:rPr>
                <w:rFonts w:ascii="宋体"/>
                <w:sz w:val="18"/>
              </w:rPr>
              <w:t>1,357,846</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9" w:right="0"/>
              <w:jc w:val="left"/>
              <w:rPr>
                <w:rFonts w:ascii="宋体" w:hAnsi="宋体" w:cs="宋体" w:eastAsia="宋体" w:hint="default"/>
                <w:sz w:val="18"/>
                <w:szCs w:val="18"/>
              </w:rPr>
            </w:pPr>
            <w:r>
              <w:rPr>
                <w:rFonts w:ascii="宋体"/>
                <w:sz w:val="18"/>
              </w:rPr>
              <w:t>33,081,677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73"/>
              <w:jc w:val="right"/>
              <w:rPr>
                <w:rFonts w:ascii="宋体" w:hAnsi="宋体" w:cs="宋体" w:eastAsia="宋体" w:hint="default"/>
                <w:sz w:val="18"/>
                <w:szCs w:val="18"/>
              </w:rPr>
            </w:pPr>
            <w:r>
              <w:rPr>
                <w:rFonts w:ascii="宋体"/>
                <w:sz w:val="18"/>
              </w:rPr>
              <w:t>9,924,503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2" w:right="0"/>
              <w:jc w:val="left"/>
              <w:rPr>
                <w:rFonts w:ascii="宋体" w:hAnsi="宋体" w:cs="宋体" w:eastAsia="宋体" w:hint="default"/>
                <w:sz w:val="18"/>
                <w:szCs w:val="18"/>
              </w:rPr>
            </w:pPr>
            <w:r>
              <w:rPr>
                <w:rFonts w:ascii="宋体"/>
                <w:sz w:val="18"/>
              </w:rPr>
              <w:t>15,141,616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6" w:right="0"/>
              <w:jc w:val="left"/>
              <w:rPr>
                <w:rFonts w:ascii="宋体" w:hAnsi="宋体" w:cs="宋体" w:eastAsia="宋体" w:hint="default"/>
                <w:sz w:val="18"/>
                <w:szCs w:val="18"/>
              </w:rPr>
            </w:pPr>
            <w:r>
              <w:rPr>
                <w:rFonts w:ascii="宋体"/>
                <w:sz w:val="18"/>
              </w:rPr>
              <w:t>27,864,564</w:t>
            </w:r>
          </w:p>
        </w:tc>
      </w:tr>
    </w:tbl>
    <w:p>
      <w:pPr>
        <w:spacing w:line="240" w:lineRule="auto" w:before="13"/>
        <w:rPr>
          <w:rFonts w:ascii="宋体" w:hAnsi="宋体" w:cs="宋体" w:eastAsia="宋体" w:hint="default"/>
          <w:sz w:val="5"/>
          <w:szCs w:val="5"/>
        </w:rPr>
      </w:pPr>
    </w:p>
    <w:p>
      <w:pPr>
        <w:pStyle w:val="BodyText"/>
        <w:spacing w:line="367" w:lineRule="auto" w:before="35"/>
        <w:ind w:left="837" w:right="0" w:firstLine="420"/>
        <w:jc w:val="left"/>
      </w:pPr>
      <w:r>
        <w:rPr>
          <w:spacing w:val="3"/>
        </w:rPr>
        <w:t>[注]：公司第三大股东黄大成先生，本期通过上海证券交易所挂牌累计抛售本公司股票</w:t>
      </w:r>
      <w:r>
        <w:rPr/>
        <w:t> 2,705,730.00</w:t>
      </w:r>
      <w:r>
        <w:rPr>
          <w:spacing w:val="-58"/>
        </w:rPr>
        <w:t> </w:t>
      </w:r>
      <w:r>
        <w:rPr/>
        <w:t>股。</w:t>
      </w:r>
    </w:p>
    <w:p>
      <w:pPr>
        <w:pStyle w:val="BodyText"/>
        <w:spacing w:line="367" w:lineRule="auto" w:before="34"/>
        <w:ind w:left="837" w:right="1093" w:firstLine="420"/>
        <w:jc w:val="left"/>
      </w:pPr>
      <w:r>
        <w:rPr/>
        <w:t>(3)</w:t>
      </w:r>
      <w:r>
        <w:rPr>
          <w:spacing w:val="-56"/>
        </w:rPr>
        <w:t> </w:t>
      </w:r>
      <w:r>
        <w:rPr/>
        <w:t>股份变动的批准情况和股份总额、股份结构变动情况及执行验资的会计师事务所名称</w:t>
      </w:r>
      <w:r>
        <w:rPr/>
        <w:t> 和验资报告文号的说明</w:t>
      </w:r>
    </w:p>
    <w:p>
      <w:pPr>
        <w:pStyle w:val="BodyText"/>
        <w:spacing w:line="240" w:lineRule="auto" w:before="34"/>
        <w:ind w:left="1257" w:right="0"/>
        <w:jc w:val="left"/>
      </w:pPr>
      <w:r>
        <w:rPr/>
        <w:t>根据公司</w:t>
      </w:r>
      <w:r>
        <w:rPr>
          <w:spacing w:val="-42"/>
        </w:rPr>
        <w:t> </w:t>
      </w:r>
      <w:r>
        <w:rPr/>
        <w:t>2006</w:t>
      </w:r>
      <w:r>
        <w:rPr>
          <w:spacing w:val="-41"/>
        </w:rPr>
        <w:t> </w:t>
      </w:r>
      <w:r>
        <w:rPr/>
        <w:t>年度股东大会决议通过的《公司资本公积转增股本的议案</w:t>
      </w:r>
      <w:r>
        <w:rPr>
          <w:spacing w:val="-106"/>
        </w:rPr>
        <w:t>》</w:t>
      </w:r>
      <w:r>
        <w:rPr/>
        <w:t>，以</w:t>
      </w:r>
      <w:r>
        <w:rPr>
          <w:spacing w:val="-42"/>
        </w:rPr>
        <w:t> </w:t>
      </w:r>
      <w:r>
        <w:rPr/>
        <w:t>2006</w:t>
      </w:r>
      <w:r>
        <w:rPr>
          <w:spacing w:val="-41"/>
        </w:rPr>
        <w:t> </w:t>
      </w:r>
      <w:r>
        <w:rPr>
          <w:spacing w:val="-2"/>
        </w:rPr>
        <w:t>年</w:t>
      </w:r>
      <w:r>
        <w:rPr/>
        <w:t>末</w:t>
      </w:r>
    </w:p>
    <w:p>
      <w:pPr>
        <w:pStyle w:val="BodyText"/>
        <w:spacing w:line="240" w:lineRule="auto"/>
        <w:ind w:left="837" w:right="0"/>
        <w:jc w:val="left"/>
      </w:pPr>
      <w:r>
        <w:rPr>
          <w:spacing w:val="2"/>
        </w:rPr>
        <w:t>总股本 </w:t>
      </w:r>
      <w:r>
        <w:rPr/>
        <w:t>142,800,000 </w:t>
      </w:r>
      <w:r>
        <w:rPr>
          <w:spacing w:val="3"/>
        </w:rPr>
        <w:t>股为基数，向全体股东以资本公积每 </w:t>
      </w:r>
      <w:r>
        <w:rPr/>
        <w:t>10 </w:t>
      </w:r>
      <w:r>
        <w:rPr>
          <w:spacing w:val="2"/>
        </w:rPr>
        <w:t>股转增 </w:t>
      </w:r>
      <w:r>
        <w:rPr/>
        <w:t>3</w:t>
      </w:r>
      <w:r>
        <w:rPr>
          <w:spacing w:val="27"/>
        </w:rPr>
        <w:t> </w:t>
      </w:r>
      <w:r>
        <w:rPr>
          <w:spacing w:val="4"/>
        </w:rPr>
        <w:t>股，共计转增股份</w:t>
      </w:r>
      <w:r>
        <w:rPr/>
      </w:r>
    </w:p>
    <w:p>
      <w:pPr>
        <w:spacing w:after="0" w:line="240" w:lineRule="auto"/>
        <w:jc w:val="left"/>
        <w:sectPr>
          <w:pgSz w:w="11910" w:h="16840"/>
          <w:pgMar w:header="0" w:footer="1263" w:top="1540" w:bottom="1460" w:left="960" w:right="440"/>
        </w:sectPr>
      </w:pPr>
    </w:p>
    <w:p>
      <w:pPr>
        <w:pStyle w:val="BodyText"/>
        <w:spacing w:line="240" w:lineRule="auto" w:before="13"/>
        <w:ind w:right="113"/>
        <w:jc w:val="left"/>
      </w:pPr>
      <w:r>
        <w:rPr/>
        <w:t>42,840,000</w:t>
      </w:r>
      <w:r>
        <w:rPr>
          <w:spacing w:val="-56"/>
        </w:rPr>
        <w:t> </w:t>
      </w:r>
      <w:r>
        <w:rPr/>
        <w:t>股，转增后公司注册资本为</w:t>
      </w:r>
      <w:r>
        <w:rPr>
          <w:spacing w:val="-56"/>
        </w:rPr>
        <w:t> </w:t>
      </w:r>
      <w:r>
        <w:rPr/>
        <w:t>185,640,000.00</w:t>
      </w:r>
      <w:r>
        <w:rPr>
          <w:spacing w:val="-55"/>
        </w:rPr>
        <w:t> </w:t>
      </w:r>
      <w:r>
        <w:rPr/>
        <w:t>元。上述增资业经浙江天健会计师事</w:t>
      </w:r>
    </w:p>
    <w:p>
      <w:pPr>
        <w:pStyle w:val="BodyText"/>
        <w:spacing w:line="367" w:lineRule="auto"/>
        <w:ind w:right="411"/>
        <w:jc w:val="left"/>
      </w:pPr>
      <w:r>
        <w:rPr>
          <w:spacing w:val="-1"/>
        </w:rPr>
        <w:t>务所有限公司验证并出具浙天会验〔2007〕38</w:t>
      </w:r>
      <w:r>
        <w:rPr>
          <w:spacing w:val="-37"/>
        </w:rPr>
        <w:t> </w:t>
      </w:r>
      <w:r>
        <w:rPr>
          <w:spacing w:val="-11"/>
        </w:rPr>
        <w:t>号《验资报告》。截至</w:t>
      </w:r>
      <w:r>
        <w:rPr>
          <w:spacing w:val="-37"/>
        </w:rPr>
        <w:t> </w:t>
      </w:r>
      <w:r>
        <w:rPr/>
        <w:t>2007</w:t>
      </w:r>
      <w:r>
        <w:rPr>
          <w:spacing w:val="-36"/>
        </w:rPr>
        <w:t> </w:t>
      </w:r>
      <w:r>
        <w:rPr/>
        <w:t>年</w:t>
      </w:r>
      <w:r>
        <w:rPr>
          <w:spacing w:val="-37"/>
        </w:rPr>
        <w:t> </w:t>
      </w:r>
      <w:r>
        <w:rPr/>
        <w:t>12</w:t>
      </w:r>
      <w:r>
        <w:rPr>
          <w:spacing w:val="-36"/>
        </w:rPr>
        <w:t> </w:t>
      </w:r>
      <w:r>
        <w:rPr/>
        <w:t>月</w:t>
      </w:r>
      <w:r>
        <w:rPr>
          <w:spacing w:val="-37"/>
        </w:rPr>
        <w:t> </w:t>
      </w:r>
      <w:r>
        <w:rPr/>
        <w:t>31</w:t>
      </w:r>
      <w:r>
        <w:rPr>
          <w:spacing w:val="-36"/>
        </w:rPr>
        <w:t> </w:t>
      </w:r>
      <w:r>
        <w:rPr/>
        <w:t>日，公</w:t>
      </w:r>
      <w:r>
        <w:rPr/>
        <w:t> 司已办妥工商变更登记手续。</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5704" w:val="left" w:leader="none"/>
        </w:tabs>
        <w:spacing w:line="240" w:lineRule="auto" w:before="0"/>
        <w:ind w:left="537" w:right="113"/>
        <w:jc w:val="left"/>
      </w:pPr>
      <w:r>
        <w:rPr/>
        <w:t>28.</w:t>
      </w:r>
      <w:r>
        <w:rPr>
          <w:spacing w:val="-3"/>
        </w:rPr>
        <w:t> </w:t>
      </w:r>
      <w:r>
        <w:rPr/>
        <w:t>资本公积</w:t>
        <w:tab/>
        <w:t>期末数</w:t>
      </w:r>
      <w:r>
        <w:rPr>
          <w:spacing w:val="-63"/>
        </w:rPr>
        <w:t> </w:t>
      </w:r>
      <w:r>
        <w:rPr/>
        <w:t>212,000,645.17</w:t>
      </w:r>
    </w:p>
    <w:p>
      <w:pPr>
        <w:pStyle w:val="BodyText"/>
        <w:spacing w:line="240" w:lineRule="auto"/>
        <w:ind w:left="537" w:right="113"/>
        <w:jc w:val="left"/>
      </w:pPr>
      <w:r>
        <w:rPr/>
        <w:t>(1)</w:t>
      </w:r>
      <w:r>
        <w:rPr>
          <w:spacing w:val="-2"/>
        </w:rPr>
        <w:t> </w:t>
      </w:r>
      <w:r>
        <w:rPr/>
        <w:t>明细情况</w:t>
      </w:r>
    </w:p>
    <w:p>
      <w:pPr>
        <w:spacing w:line="240" w:lineRule="auto" w:before="5"/>
        <w:rPr>
          <w:rFonts w:ascii="宋体" w:hAnsi="宋体" w:cs="宋体" w:eastAsia="宋体" w:hint="default"/>
          <w:sz w:val="8"/>
          <w:szCs w:val="8"/>
        </w:rPr>
      </w:pPr>
    </w:p>
    <w:tbl>
      <w:tblPr>
        <w:tblW w:w="0" w:type="auto"/>
        <w:jc w:val="left"/>
        <w:tblInd w:w="610" w:type="dxa"/>
        <w:tblLayout w:type="fixed"/>
        <w:tblCellMar>
          <w:top w:w="0" w:type="dxa"/>
          <w:left w:w="0" w:type="dxa"/>
          <w:bottom w:w="0" w:type="dxa"/>
          <w:right w:w="0" w:type="dxa"/>
        </w:tblCellMar>
        <w:tblLook w:val="01E0"/>
      </w:tblPr>
      <w:tblGrid>
        <w:gridCol w:w="1502"/>
        <w:gridCol w:w="1804"/>
        <w:gridCol w:w="1620"/>
        <w:gridCol w:w="1657"/>
        <w:gridCol w:w="1670"/>
      </w:tblGrid>
      <w:tr>
        <w:trPr>
          <w:trHeight w:val="415" w:hRule="exact"/>
        </w:trPr>
        <w:tc>
          <w:tcPr>
            <w:tcW w:w="1502"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35"/>
              <w:ind w:left="24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z w:val="21"/>
              </w:rPr>
              <w:t>148,791,629.00</w:t>
            </w:r>
          </w:p>
        </w:tc>
        <w:tc>
          <w:tcPr>
            <w:tcW w:w="1620"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center"/>
              <w:rPr>
                <w:rFonts w:ascii="宋体" w:hAnsi="宋体" w:cs="宋体" w:eastAsia="宋体" w:hint="default"/>
                <w:sz w:val="21"/>
                <w:szCs w:val="21"/>
              </w:rPr>
            </w:pPr>
            <w:r>
              <w:rPr>
                <w:rFonts w:ascii="宋体"/>
                <w:sz w:val="21"/>
              </w:rPr>
              <w:t>42,840,000.00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105,951,629.00</w:t>
            </w:r>
          </w:p>
        </w:tc>
      </w:tr>
      <w:tr>
        <w:trPr>
          <w:trHeight w:val="42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6"/>
              <w:jc w:val="right"/>
              <w:rPr>
                <w:rFonts w:ascii="宋体" w:hAnsi="宋体" w:cs="宋体" w:eastAsia="宋体" w:hint="default"/>
                <w:sz w:val="21"/>
                <w:szCs w:val="21"/>
              </w:rPr>
            </w:pPr>
            <w:r>
              <w:rPr>
                <w:rFonts w:ascii="宋体"/>
                <w:spacing w:val="-1"/>
                <w:sz w:val="21"/>
              </w:rPr>
              <w:t>9,075,825.54</w:t>
            </w:r>
            <w:r>
              <w:rPr>
                <w:rFonts w:ascii="宋体"/>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96,973,190.63</w:t>
            </w:r>
          </w:p>
        </w:tc>
        <w:tc>
          <w:tcPr>
            <w:tcW w:w="165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106,049,016.17</w:t>
            </w:r>
            <w:r>
              <w:rPr>
                <w:rFonts w:ascii="宋体"/>
                <w:sz w:val="21"/>
              </w:rPr>
            </w:r>
          </w:p>
        </w:tc>
      </w:tr>
      <w:tr>
        <w:trPr>
          <w:trHeight w:val="415" w:hRule="exact"/>
        </w:trPr>
        <w:tc>
          <w:tcPr>
            <w:tcW w:w="150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宋体" w:hAnsi="宋体" w:cs="宋体" w:eastAsia="宋体" w:hint="default"/>
                <w:sz w:val="21"/>
                <w:szCs w:val="21"/>
              </w:rPr>
            </w:pPr>
            <w:r>
              <w:rPr>
                <w:rFonts w:ascii="宋体"/>
                <w:sz w:val="21"/>
              </w:rPr>
            </w:r>
            <w:r>
              <w:rPr>
                <w:rFonts w:ascii="宋体"/>
                <w:spacing w:val="-1"/>
                <w:sz w:val="21"/>
                <w:u w:val="thick" w:color="000000"/>
              </w:rPr>
              <w:t>157,867,454.54</w:t>
            </w:r>
            <w:r>
              <w:rPr>
                <w:rFonts w:ascii="宋体"/>
                <w:spacing w:val="-1"/>
                <w:sz w:val="21"/>
              </w:rPr>
            </w:r>
            <w:r>
              <w:rPr>
                <w:rFonts w:ascii="宋体"/>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r>
            <w:r>
              <w:rPr>
                <w:rFonts w:ascii="宋体"/>
                <w:sz w:val="21"/>
                <w:u w:val="thick" w:color="000000"/>
              </w:rPr>
              <w:t>96,973,190.63</w:t>
            </w:r>
            <w:r>
              <w:rPr>
                <w:rFonts w:ascii="宋体"/>
                <w:sz w:val="21"/>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center"/>
              <w:rPr>
                <w:rFonts w:ascii="宋体" w:hAnsi="宋体" w:cs="宋体" w:eastAsia="宋体" w:hint="default"/>
                <w:sz w:val="21"/>
                <w:szCs w:val="21"/>
              </w:rPr>
            </w:pPr>
            <w:r>
              <w:rPr>
                <w:rFonts w:ascii="宋体"/>
                <w:sz w:val="21"/>
              </w:rPr>
            </w:r>
            <w:r>
              <w:rPr>
                <w:rFonts w:ascii="宋体"/>
                <w:sz w:val="21"/>
                <w:u w:val="thick" w:color="000000"/>
              </w:rPr>
              <w:t>42,840,000.00</w:t>
            </w:r>
            <w:r>
              <w:rPr>
                <w:rFonts w:ascii="宋体"/>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thick" w:color="000000"/>
              </w:rPr>
              <w:t>212,000,645.17</w:t>
            </w:r>
            <w:r>
              <w:rPr>
                <w:rFonts w:ascii="宋体"/>
                <w:spacing w:val="-1"/>
                <w:sz w:val="21"/>
              </w:rPr>
            </w:r>
            <w:r>
              <w:rPr>
                <w:rFonts w:ascii="宋体"/>
                <w:sz w:val="21"/>
              </w:rPr>
            </w:r>
          </w:p>
        </w:tc>
      </w:tr>
    </w:tbl>
    <w:p>
      <w:pPr>
        <w:spacing w:line="240" w:lineRule="auto" w:before="9"/>
        <w:rPr>
          <w:rFonts w:ascii="宋体" w:hAnsi="宋体" w:cs="宋体" w:eastAsia="宋体" w:hint="default"/>
          <w:sz w:val="12"/>
          <w:szCs w:val="12"/>
        </w:rPr>
      </w:pPr>
    </w:p>
    <w:p>
      <w:pPr>
        <w:pStyle w:val="BodyText"/>
        <w:spacing w:line="240" w:lineRule="auto" w:before="35"/>
        <w:ind w:left="537" w:right="113"/>
        <w:jc w:val="left"/>
      </w:pPr>
      <w:r>
        <w:rPr/>
        <w:t>(2)</w:t>
      </w:r>
      <w:r>
        <w:rPr>
          <w:spacing w:val="-2"/>
        </w:rPr>
        <w:t> </w:t>
      </w:r>
      <w:r>
        <w:rPr/>
        <w:t>资本公积本期增减原因及依据说明。</w:t>
      </w:r>
    </w:p>
    <w:p>
      <w:pPr>
        <w:pStyle w:val="BodyText"/>
        <w:spacing w:line="367" w:lineRule="auto"/>
        <w:ind w:right="414" w:firstLine="420"/>
        <w:jc w:val="both"/>
      </w:pPr>
      <w:r>
        <w:rPr/>
        <w:t>1)</w:t>
      </w:r>
      <w:r>
        <w:rPr>
          <w:spacing w:val="-1"/>
        </w:rPr>
        <w:t> </w:t>
      </w:r>
      <w:r>
        <w:rPr/>
        <w:t>资本公积期初数减少系根据财政部</w:t>
      </w:r>
      <w:r>
        <w:rPr>
          <w:spacing w:val="-47"/>
        </w:rPr>
        <w:t> </w:t>
      </w:r>
      <w:r>
        <w:rPr/>
        <w:t>2008</w:t>
      </w:r>
      <w:r>
        <w:rPr>
          <w:spacing w:val="-46"/>
        </w:rPr>
        <w:t> </w:t>
      </w:r>
      <w:r>
        <w:rPr/>
        <w:t>年</w:t>
      </w:r>
      <w:r>
        <w:rPr>
          <w:spacing w:val="-47"/>
        </w:rPr>
        <w:t> </w:t>
      </w:r>
      <w:r>
        <w:rPr/>
        <w:t>1</w:t>
      </w:r>
      <w:r>
        <w:rPr>
          <w:spacing w:val="-47"/>
        </w:rPr>
        <w:t> </w:t>
      </w:r>
      <w:r>
        <w:rPr/>
        <w:t>月</w:t>
      </w:r>
      <w:r>
        <w:rPr>
          <w:spacing w:val="-47"/>
        </w:rPr>
        <w:t> </w:t>
      </w:r>
      <w:r>
        <w:rPr/>
        <w:t>21</w:t>
      </w:r>
      <w:r>
        <w:rPr>
          <w:spacing w:val="-46"/>
        </w:rPr>
        <w:t> </w:t>
      </w:r>
      <w:r>
        <w:rPr/>
        <w:t>日公布的企业会计准则实施问题专</w:t>
      </w:r>
      <w:r>
        <w:rPr/>
        <w:t> </w:t>
      </w:r>
      <w:r>
        <w:rPr>
          <w:spacing w:val="-7"/>
        </w:rPr>
        <w:t>家工作组意见，对于企业会计准则首次执行日之前已经持有的对子公司长期股权投资，按照《企</w:t>
      </w:r>
      <w:r>
        <w:rPr>
          <w:spacing w:val="-84"/>
        </w:rPr>
        <w:t> </w:t>
      </w:r>
      <w:r>
        <w:rPr>
          <w:spacing w:val="-84"/>
        </w:rPr>
      </w:r>
      <w:r>
        <w:rPr/>
        <w:t>业会计准则解释第</w:t>
      </w:r>
      <w:r>
        <w:rPr>
          <w:spacing w:val="-47"/>
        </w:rPr>
        <w:t> </w:t>
      </w:r>
      <w:r>
        <w:rPr/>
        <w:t>1</w:t>
      </w:r>
      <w:r>
        <w:rPr>
          <w:spacing w:val="-46"/>
        </w:rPr>
        <w:t> </w:t>
      </w:r>
      <w:r>
        <w:rPr>
          <w:spacing w:val="-9"/>
        </w:rPr>
        <w:t>号》（财会〔2007〕14</w:t>
      </w:r>
      <w:r>
        <w:rPr>
          <w:spacing w:val="-46"/>
        </w:rPr>
        <w:t> </w:t>
      </w:r>
      <w:r>
        <w:rPr>
          <w:spacing w:val="-1"/>
        </w:rPr>
        <w:t>号）的规定进行追溯调整，相应调减期初资本公积</w:t>
      </w:r>
    </w:p>
    <w:p>
      <w:pPr>
        <w:pStyle w:val="BodyText"/>
        <w:spacing w:line="240" w:lineRule="auto" w:before="34"/>
        <w:ind w:right="0"/>
        <w:jc w:val="both"/>
      </w:pPr>
      <w:r>
        <w:rPr/>
        <w:t>-其他资本公积</w:t>
      </w:r>
      <w:r>
        <w:rPr>
          <w:spacing w:val="-63"/>
        </w:rPr>
        <w:t> </w:t>
      </w:r>
      <w:r>
        <w:rPr/>
        <w:t>3,136,186,36</w:t>
      </w:r>
      <w:r>
        <w:rPr>
          <w:spacing w:val="-62"/>
        </w:rPr>
        <w:t> </w:t>
      </w:r>
      <w:r>
        <w:rPr/>
        <w:t>元。</w:t>
      </w:r>
    </w:p>
    <w:p>
      <w:pPr>
        <w:pStyle w:val="BodyText"/>
        <w:spacing w:line="240" w:lineRule="auto"/>
        <w:ind w:left="537" w:right="113"/>
        <w:jc w:val="left"/>
      </w:pPr>
      <w:r>
        <w:rPr/>
        <w:t>2)</w:t>
      </w:r>
      <w:r>
        <w:rPr>
          <w:spacing w:val="37"/>
        </w:rPr>
        <w:t> </w:t>
      </w:r>
      <w:r>
        <w:rPr/>
        <w:t>资本公积本期增加系公司所持有的可供出售金融资产公允价值变动扣除已确认的递延</w:t>
      </w:r>
    </w:p>
    <w:p>
      <w:pPr>
        <w:pStyle w:val="BodyText"/>
        <w:spacing w:line="367" w:lineRule="auto"/>
        <w:ind w:right="412"/>
        <w:jc w:val="both"/>
      </w:pPr>
      <w:r>
        <w:rPr/>
        <w:t>所得税负债后的净额 86,123,841.32</w:t>
      </w:r>
      <w:r>
        <w:rPr>
          <w:spacing w:val="-63"/>
        </w:rPr>
        <w:t> </w:t>
      </w:r>
      <w:r>
        <w:rPr/>
        <w:t>元，记入资本公积-其他资本公积，详见本财务报表附注</w:t>
      </w:r>
      <w:r>
        <w:rPr/>
        <w:t> 十三(三)之说明；权益法下被投资单位其他所有者权益变动的影响记入资本公积-其他资本公</w:t>
      </w:r>
      <w:r>
        <w:rPr>
          <w:spacing w:val="-69"/>
        </w:rPr>
        <w:t> </w:t>
      </w:r>
      <w:r>
        <w:rPr>
          <w:spacing w:val="-69"/>
        </w:rPr>
      </w:r>
      <w:r>
        <w:rPr/>
        <w:t>积</w:t>
      </w:r>
      <w:r>
        <w:rPr>
          <w:spacing w:val="-57"/>
        </w:rPr>
        <w:t> </w:t>
      </w:r>
      <w:r>
        <w:rPr/>
        <w:t>10,849,349.31</w:t>
      </w:r>
      <w:r>
        <w:rPr>
          <w:spacing w:val="-56"/>
        </w:rPr>
        <w:t> </w:t>
      </w:r>
      <w:r>
        <w:rPr/>
        <w:t>元。</w:t>
      </w:r>
    </w:p>
    <w:p>
      <w:pPr>
        <w:pStyle w:val="BodyText"/>
        <w:spacing w:line="240" w:lineRule="auto" w:before="34"/>
        <w:ind w:left="537" w:right="113"/>
        <w:jc w:val="left"/>
      </w:pPr>
      <w:r>
        <w:rPr/>
        <w:t>3) 资本公积本期减少系根据公司</w:t>
      </w:r>
      <w:r>
        <w:rPr>
          <w:spacing w:val="-53"/>
        </w:rPr>
        <w:t> </w:t>
      </w:r>
      <w:r>
        <w:rPr/>
        <w:t>2006</w:t>
      </w:r>
      <w:r>
        <w:rPr>
          <w:spacing w:val="-52"/>
        </w:rPr>
        <w:t> </w:t>
      </w:r>
      <w:r>
        <w:rPr>
          <w:spacing w:val="-4"/>
        </w:rPr>
        <w:t>年度股东大会决议通过的《公司资本公积转增股本</w:t>
      </w:r>
    </w:p>
    <w:p>
      <w:pPr>
        <w:pStyle w:val="BodyText"/>
        <w:spacing w:line="240" w:lineRule="auto"/>
        <w:ind w:right="0"/>
        <w:jc w:val="both"/>
      </w:pPr>
      <w:r>
        <w:rPr/>
        <w:t>的议案</w:t>
      </w:r>
      <w:r>
        <w:rPr>
          <w:spacing w:val="-105"/>
        </w:rPr>
        <w:t>》</w:t>
      </w:r>
      <w:r>
        <w:rPr/>
        <w:t>，以</w:t>
      </w:r>
      <w:r>
        <w:rPr>
          <w:spacing w:val="-39"/>
        </w:rPr>
        <w:t> </w:t>
      </w:r>
      <w:r>
        <w:rPr/>
        <w:t>2006</w:t>
      </w:r>
      <w:r>
        <w:rPr>
          <w:spacing w:val="-39"/>
        </w:rPr>
        <w:t> </w:t>
      </w:r>
      <w:r>
        <w:rPr/>
        <w:t>年末</w:t>
      </w:r>
      <w:r>
        <w:rPr>
          <w:spacing w:val="-2"/>
        </w:rPr>
        <w:t>总</w:t>
      </w:r>
      <w:r>
        <w:rPr/>
        <w:t>股本</w:t>
      </w:r>
      <w:r>
        <w:rPr>
          <w:spacing w:val="-39"/>
        </w:rPr>
        <w:t> </w:t>
      </w:r>
      <w:r>
        <w:rPr/>
        <w:t>142,800,000</w:t>
      </w:r>
      <w:r>
        <w:rPr>
          <w:spacing w:val="-39"/>
        </w:rPr>
        <w:t> </w:t>
      </w:r>
      <w:r>
        <w:rPr/>
        <w:t>股为</w:t>
      </w:r>
      <w:r>
        <w:rPr>
          <w:spacing w:val="-2"/>
        </w:rPr>
        <w:t>基</w:t>
      </w:r>
      <w:r>
        <w:rPr/>
        <w:t>数，向全体股东以资本公积每</w:t>
      </w:r>
      <w:r>
        <w:rPr>
          <w:spacing w:val="-39"/>
        </w:rPr>
        <w:t> </w:t>
      </w:r>
      <w:r>
        <w:rPr/>
        <w:t>10</w:t>
      </w:r>
      <w:r>
        <w:rPr>
          <w:spacing w:val="-39"/>
        </w:rPr>
        <w:t> </w:t>
      </w:r>
      <w:r>
        <w:rPr/>
        <w:t>股转增</w:t>
      </w:r>
      <w:r>
        <w:rPr>
          <w:spacing w:val="-39"/>
        </w:rPr>
        <w:t> </w:t>
      </w:r>
      <w:r>
        <w:rPr/>
        <w:t>3</w:t>
      </w:r>
    </w:p>
    <w:p>
      <w:pPr>
        <w:pStyle w:val="BodyText"/>
        <w:spacing w:line="240" w:lineRule="auto"/>
        <w:ind w:right="0"/>
        <w:jc w:val="both"/>
      </w:pPr>
      <w:r>
        <w:rPr/>
        <w:t>股，共计转增股份</w:t>
      </w:r>
      <w:r>
        <w:rPr>
          <w:spacing w:val="-63"/>
        </w:rPr>
        <w:t> </w:t>
      </w:r>
      <w:r>
        <w:rPr/>
        <w:t>42,840,000</w:t>
      </w:r>
      <w:r>
        <w:rPr>
          <w:spacing w:val="-62"/>
        </w:rPr>
        <w:t> </w:t>
      </w:r>
      <w:r>
        <w:rPr/>
        <w:t>股，减少资本公积</w:t>
      </w:r>
      <w:r>
        <w:rPr>
          <w:spacing w:val="-62"/>
        </w:rPr>
        <w:t> </w:t>
      </w:r>
      <w:r>
        <w:rPr/>
        <w:t>42,840,000.00</w:t>
      </w:r>
      <w:r>
        <w:rPr>
          <w:spacing w:val="-62"/>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809" w:val="left" w:leader="none"/>
        </w:tabs>
        <w:spacing w:line="240" w:lineRule="auto" w:before="0"/>
        <w:ind w:left="537" w:right="113"/>
        <w:jc w:val="left"/>
      </w:pPr>
      <w:r>
        <w:rPr/>
        <w:t>29.</w:t>
      </w:r>
      <w:r>
        <w:rPr>
          <w:spacing w:val="-3"/>
        </w:rPr>
        <w:t> </w:t>
      </w:r>
      <w:r>
        <w:rPr/>
        <w:t>盈余公积</w:t>
        <w:tab/>
        <w:t>期末数</w:t>
      </w:r>
      <w:r>
        <w:rPr>
          <w:spacing w:val="-59"/>
        </w:rPr>
        <w:t> </w:t>
      </w:r>
      <w:r>
        <w:rPr/>
        <w:t>37,714,944.11</w:t>
      </w:r>
    </w:p>
    <w:p>
      <w:pPr>
        <w:pStyle w:val="BodyText"/>
        <w:spacing w:line="240" w:lineRule="auto"/>
        <w:ind w:left="537" w:right="113"/>
        <w:jc w:val="left"/>
      </w:pPr>
      <w:r>
        <w:rPr/>
        <w:t>(1)</w:t>
      </w:r>
      <w:r>
        <w:rPr>
          <w:spacing w:val="-2"/>
        </w:rPr>
        <w:t> </w:t>
      </w:r>
      <w:r>
        <w:rPr/>
        <w:t>明细情况</w:t>
      </w:r>
    </w:p>
    <w:p>
      <w:pPr>
        <w:pStyle w:val="BodyText"/>
        <w:tabs>
          <w:tab w:pos="1273" w:val="left" w:leader="none"/>
          <w:tab w:pos="2924" w:val="left" w:leader="none"/>
          <w:tab w:pos="3267" w:val="left" w:leader="none"/>
          <w:tab w:pos="4544" w:val="left" w:leader="none"/>
          <w:tab w:pos="4737" w:val="left" w:leader="none"/>
          <w:tab w:pos="6311" w:val="left" w:leader="none"/>
          <w:tab w:pos="7603" w:val="left" w:leader="none"/>
          <w:tab w:pos="7886" w:val="left" w:leader="none"/>
        </w:tabs>
        <w:spacing w:line="367" w:lineRule="auto"/>
        <w:ind w:left="645" w:right="113" w:firstLine="207"/>
        <w:jc w:val="left"/>
      </w:pPr>
      <w:r>
        <w:rPr/>
        <w:t>项</w:t>
        <w:tab/>
        <w:t>目</w:t>
        <w:tab/>
        <w:tab/>
      </w:r>
      <w:r>
        <w:rPr>
          <w:spacing w:val="-1"/>
        </w:rPr>
        <w:t>期初数</w:t>
        <w:tab/>
        <w:tab/>
        <w:t>本期增加</w:t>
        <w:tab/>
        <w:t>本期减少</w:t>
        <w:tab/>
        <w:tab/>
      </w:r>
      <w:r>
        <w:rPr/>
        <w:t>期末数</w:t>
      </w:r>
      <w:r>
        <w:rPr/>
        <w:t> </w:t>
      </w:r>
      <w:r>
        <w:rPr>
          <w:spacing w:val="-1"/>
        </w:rPr>
        <w:t>法定盈余公积</w:t>
        <w:tab/>
        <w:t>25,664,775.98</w:t>
        <w:tab/>
        <w:t>12,050,168.13</w:t>
        <w:tab/>
        <w:tab/>
      </w:r>
      <w:r>
        <w:rPr/>
        <w:t>37,714,944.11</w:t>
      </w:r>
    </w:p>
    <w:p>
      <w:pPr>
        <w:pStyle w:val="BodyText"/>
        <w:tabs>
          <w:tab w:pos="1276" w:val="left" w:leader="none"/>
          <w:tab w:pos="2924" w:val="left" w:leader="none"/>
          <w:tab w:pos="4545" w:val="left" w:leader="none"/>
          <w:tab w:pos="7604" w:val="left" w:leader="none"/>
        </w:tabs>
        <w:spacing w:line="240" w:lineRule="auto" w:before="34"/>
        <w:ind w:left="855" w:right="0"/>
        <w:jc w:val="left"/>
      </w:pPr>
      <w:r>
        <w:rPr/>
        <w:t>合</w:t>
        <w:tab/>
        <w:t>计</w:t>
        <w:tab/>
      </w:r>
      <w:r>
        <w:rPr>
          <w:spacing w:val="-1"/>
          <w:u w:val="thick" w:color="000000"/>
        </w:rPr>
        <w:t>25,664,775.98</w:t>
      </w:r>
      <w:r>
        <w:rPr>
          <w:spacing w:val="-1"/>
        </w:rPr>
        <w:tab/>
      </w:r>
      <w:r>
        <w:rPr>
          <w:spacing w:val="-1"/>
          <w:u w:val="thick" w:color="000000"/>
        </w:rPr>
        <w:t>12,050,168.13</w:t>
      </w:r>
      <w:r>
        <w:rPr>
          <w:spacing w:val="-1"/>
        </w:rPr>
        <w:tab/>
      </w:r>
      <w:r>
        <w:rPr>
          <w:spacing w:val="-1"/>
          <w:u w:val="thick" w:color="000000"/>
        </w:rPr>
        <w:t>37,714,944.11</w:t>
      </w:r>
      <w:r>
        <w:rPr>
          <w:spacing w:val="-1"/>
        </w:rPr>
      </w:r>
    </w:p>
    <w:p>
      <w:pPr>
        <w:spacing w:line="240" w:lineRule="auto" w:before="4"/>
        <w:rPr>
          <w:rFonts w:ascii="宋体" w:hAnsi="宋体" w:cs="宋体" w:eastAsia="宋体" w:hint="default"/>
          <w:sz w:val="20"/>
          <w:szCs w:val="20"/>
        </w:rPr>
      </w:pPr>
    </w:p>
    <w:p>
      <w:pPr>
        <w:pStyle w:val="BodyText"/>
        <w:spacing w:line="240" w:lineRule="auto" w:before="35"/>
        <w:ind w:left="537" w:right="113"/>
        <w:jc w:val="left"/>
      </w:pPr>
      <w:r>
        <w:rPr/>
        <w:t>(2)</w:t>
      </w:r>
      <w:r>
        <w:rPr>
          <w:spacing w:val="-2"/>
        </w:rPr>
        <w:t> </w:t>
      </w:r>
      <w:r>
        <w:rPr/>
        <w:t>盈余公积本期增减原因及依据说明。</w:t>
      </w:r>
    </w:p>
    <w:p>
      <w:pPr>
        <w:pStyle w:val="BodyText"/>
        <w:spacing w:line="240" w:lineRule="auto"/>
        <w:ind w:left="537" w:right="113"/>
        <w:jc w:val="left"/>
      </w:pPr>
      <w:r>
        <w:rPr/>
        <w:t>1)</w:t>
      </w:r>
      <w:r>
        <w:rPr>
          <w:spacing w:val="37"/>
        </w:rPr>
        <w:t> </w:t>
      </w:r>
      <w:r>
        <w:rPr/>
        <w:t>盈余公积期初数增加系公司本期执行企业会计准则，由于会计政策变更，追溯调增期</w:t>
      </w:r>
    </w:p>
    <w:p>
      <w:pPr>
        <w:pStyle w:val="BodyText"/>
        <w:spacing w:line="240" w:lineRule="auto"/>
        <w:ind w:right="113"/>
        <w:jc w:val="left"/>
      </w:pPr>
      <w:r>
        <w:rPr/>
        <w:t>初盈余公积</w:t>
      </w:r>
      <w:r>
        <w:rPr>
          <w:spacing w:val="-61"/>
        </w:rPr>
        <w:t> </w:t>
      </w:r>
      <w:r>
        <w:rPr/>
        <w:t>986,932.43</w:t>
      </w:r>
      <w:r>
        <w:rPr>
          <w:spacing w:val="-60"/>
        </w:rPr>
        <w:t> </w:t>
      </w:r>
      <w:r>
        <w:rPr/>
        <w:t>元。</w:t>
      </w:r>
    </w:p>
    <w:p>
      <w:pPr>
        <w:pStyle w:val="BodyText"/>
        <w:spacing w:line="240" w:lineRule="auto"/>
        <w:ind w:left="537" w:right="113"/>
        <w:jc w:val="left"/>
      </w:pPr>
      <w:r>
        <w:rPr/>
        <w:t>2)</w:t>
      </w:r>
      <w:r>
        <w:rPr>
          <w:spacing w:val="-10"/>
        </w:rPr>
        <w:t> </w:t>
      </w:r>
      <w:r>
        <w:rPr/>
        <w:t>盈余公积本期增加系根据</w:t>
      </w:r>
      <w:r>
        <w:rPr>
          <w:spacing w:val="-64"/>
        </w:rPr>
        <w:t> </w:t>
      </w:r>
      <w:r>
        <w:rPr/>
        <w:t>2008</w:t>
      </w:r>
      <w:r>
        <w:rPr>
          <w:spacing w:val="-63"/>
        </w:rPr>
        <w:t> </w:t>
      </w:r>
      <w:r>
        <w:rPr/>
        <w:t>年</w:t>
      </w:r>
      <w:r>
        <w:rPr>
          <w:spacing w:val="-65"/>
        </w:rPr>
        <w:t> </w:t>
      </w:r>
      <w:r>
        <w:rPr/>
        <w:t>4</w:t>
      </w:r>
      <w:r>
        <w:rPr>
          <w:spacing w:val="-63"/>
        </w:rPr>
        <w:t> </w:t>
      </w:r>
      <w:r>
        <w:rPr/>
        <w:t>月</w:t>
      </w:r>
      <w:r>
        <w:rPr>
          <w:spacing w:val="-65"/>
        </w:rPr>
        <w:t> </w:t>
      </w:r>
      <w:r>
        <w:rPr/>
        <w:t>21</w:t>
      </w:r>
      <w:r>
        <w:rPr>
          <w:spacing w:val="-63"/>
        </w:rPr>
        <w:t> </w:t>
      </w:r>
      <w:r>
        <w:rPr/>
        <w:t>日公司董事会三届十次会议通过的</w:t>
      </w:r>
      <w:r>
        <w:rPr>
          <w:spacing w:val="-64"/>
        </w:rPr>
        <w:t> </w:t>
      </w:r>
      <w:r>
        <w:rPr/>
        <w:t>2007</w:t>
      </w:r>
      <w:r>
        <w:rPr>
          <w:spacing w:val="-65"/>
        </w:rPr>
        <w:t> </w:t>
      </w:r>
      <w:r>
        <w:rPr/>
        <w:t>年度</w:t>
      </w:r>
    </w:p>
    <w:p>
      <w:pPr>
        <w:spacing w:after="0" w:line="240" w:lineRule="auto"/>
        <w:jc w:val="left"/>
        <w:sectPr>
          <w:footerReference w:type="default" r:id="rId26"/>
          <w:pgSz w:w="11910" w:h="16840"/>
          <w:pgMar w:footer="1263" w:header="0" w:top="1540" w:bottom="1460" w:left="1680" w:right="1140"/>
          <w:pgNumType w:start="84"/>
        </w:sectPr>
      </w:pPr>
    </w:p>
    <w:p>
      <w:pPr>
        <w:pStyle w:val="BodyText"/>
        <w:spacing w:line="240" w:lineRule="auto" w:before="13"/>
        <w:ind w:right="804"/>
        <w:jc w:val="left"/>
      </w:pPr>
      <w:r>
        <w:rPr/>
        <w:t>利润分配方案，按</w:t>
      </w:r>
      <w:r>
        <w:rPr>
          <w:spacing w:val="-62"/>
        </w:rPr>
        <w:t> </w:t>
      </w:r>
      <w:r>
        <w:rPr/>
        <w:t>2007</w:t>
      </w:r>
      <w:r>
        <w:rPr>
          <w:spacing w:val="-62"/>
        </w:rPr>
        <w:t> </w:t>
      </w:r>
      <w:r>
        <w:rPr/>
        <w:t>年度实现净利润提取</w:t>
      </w:r>
      <w:r>
        <w:rPr>
          <w:spacing w:val="-62"/>
        </w:rPr>
        <w:t> </w:t>
      </w:r>
      <w:r>
        <w:rPr/>
        <w:t>10%的法定盈余公积</w:t>
      </w:r>
      <w:r>
        <w:rPr>
          <w:spacing w:val="-62"/>
        </w:rPr>
        <w:t> </w:t>
      </w:r>
      <w:r>
        <w:rPr/>
        <w:t>12,050,168.13</w:t>
      </w:r>
      <w:r>
        <w:rPr>
          <w:spacing w:val="-61"/>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704" w:val="left" w:leader="none"/>
        </w:tabs>
        <w:spacing w:line="240" w:lineRule="auto" w:before="0"/>
        <w:ind w:left="537" w:right="804"/>
        <w:jc w:val="left"/>
      </w:pPr>
      <w:r>
        <w:rPr/>
        <w:t>30.</w:t>
      </w:r>
      <w:r>
        <w:rPr>
          <w:spacing w:val="-4"/>
        </w:rPr>
        <w:t> </w:t>
      </w:r>
      <w:r>
        <w:rPr/>
        <w:t>未分配利润</w:t>
        <w:tab/>
        <w:t>期末数</w:t>
      </w:r>
      <w:r>
        <w:rPr>
          <w:spacing w:val="-63"/>
        </w:rPr>
        <w:t> </w:t>
      </w:r>
      <w:r>
        <w:rPr/>
        <w:t>156,646,254.44</w:t>
      </w:r>
    </w:p>
    <w:p>
      <w:pPr>
        <w:pStyle w:val="BodyText"/>
        <w:tabs>
          <w:tab w:pos="1168" w:val="left" w:leader="none"/>
        </w:tabs>
        <w:spacing w:line="367" w:lineRule="auto"/>
        <w:ind w:left="747" w:right="6984" w:hanging="210"/>
        <w:jc w:val="left"/>
      </w:pPr>
      <w:r>
        <w:rPr/>
        <w:t>(1)</w:t>
      </w:r>
      <w:r>
        <w:rPr>
          <w:spacing w:val="-1"/>
        </w:rPr>
        <w:t> </w:t>
      </w:r>
      <w:r>
        <w:rPr/>
        <w:t>明细情况</w:t>
      </w:r>
      <w:r>
        <w:rPr/>
        <w:t> 项</w:t>
        <w:tab/>
        <w:t>目</w:t>
      </w:r>
    </w:p>
    <w:tbl>
      <w:tblPr>
        <w:tblW w:w="0" w:type="auto"/>
        <w:jc w:val="left"/>
        <w:tblInd w:w="502" w:type="dxa"/>
        <w:tblLayout w:type="fixed"/>
        <w:tblCellMar>
          <w:top w:w="0" w:type="dxa"/>
          <w:left w:w="0" w:type="dxa"/>
          <w:bottom w:w="0" w:type="dxa"/>
          <w:right w:w="0" w:type="dxa"/>
        </w:tblCellMar>
        <w:tblLook w:val="01E0"/>
      </w:tblPr>
      <w:tblGrid>
        <w:gridCol w:w="2390"/>
        <w:gridCol w:w="3020"/>
      </w:tblGrid>
      <w:tr>
        <w:trPr>
          <w:trHeight w:val="415"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56,558,319.39</w:t>
            </w:r>
          </w:p>
        </w:tc>
      </w:tr>
      <w:tr>
        <w:trPr>
          <w:trHeight w:val="420"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126,418,103.18</w:t>
            </w:r>
          </w:p>
        </w:tc>
      </w:tr>
      <w:tr>
        <w:trPr>
          <w:trHeight w:val="420"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26,330,168.13</w:t>
            </w:r>
          </w:p>
        </w:tc>
      </w:tr>
      <w:tr>
        <w:trPr>
          <w:trHeight w:val="415"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r>
            <w:r>
              <w:rPr>
                <w:rFonts w:ascii="宋体"/>
                <w:spacing w:val="-1"/>
                <w:sz w:val="21"/>
                <w:u w:val="thick" w:color="000000"/>
              </w:rPr>
              <w:t>156,646,254.44</w:t>
            </w:r>
            <w:r>
              <w:rPr>
                <w:rFonts w:ascii="宋体"/>
                <w:spacing w:val="-1"/>
                <w:sz w:val="21"/>
              </w:rPr>
            </w:r>
            <w:r>
              <w:rPr>
                <w:rFonts w:ascii="宋体"/>
                <w:sz w:val="21"/>
              </w:rPr>
            </w:r>
          </w:p>
        </w:tc>
      </w:tr>
    </w:tbl>
    <w:p>
      <w:pPr>
        <w:spacing w:line="240" w:lineRule="auto" w:before="9"/>
        <w:rPr>
          <w:rFonts w:ascii="宋体" w:hAnsi="宋体" w:cs="宋体" w:eastAsia="宋体" w:hint="default"/>
          <w:sz w:val="12"/>
          <w:szCs w:val="12"/>
        </w:rPr>
      </w:pPr>
    </w:p>
    <w:p>
      <w:pPr>
        <w:pStyle w:val="BodyText"/>
        <w:spacing w:line="240" w:lineRule="auto" w:before="35"/>
        <w:ind w:left="522" w:right="804"/>
        <w:jc w:val="left"/>
      </w:pPr>
      <w:r>
        <w:rPr/>
        <w:t>(2)</w:t>
      </w:r>
      <w:r>
        <w:rPr>
          <w:spacing w:val="-4"/>
        </w:rPr>
        <w:t> </w:t>
      </w:r>
      <w:r>
        <w:rPr/>
        <w:t>其他说明</w:t>
      </w:r>
    </w:p>
    <w:p>
      <w:pPr>
        <w:pStyle w:val="BodyText"/>
        <w:spacing w:line="367" w:lineRule="auto"/>
        <w:ind w:left="537" w:right="2874"/>
        <w:jc w:val="left"/>
      </w:pPr>
      <w:r>
        <w:rPr/>
        <w:t>1)</w:t>
      </w:r>
      <w:r>
        <w:rPr>
          <w:spacing w:val="-2"/>
        </w:rPr>
        <w:t> </w:t>
      </w:r>
      <w:r>
        <w:rPr/>
        <w:t>未分配利润本期增减变动以及利润分配比例情况的说明</w:t>
      </w:r>
      <w:r>
        <w:rPr/>
        <w:t> a．本期增加均系净利润转入。</w:t>
      </w:r>
    </w:p>
    <w:p>
      <w:pPr>
        <w:pStyle w:val="BodyText"/>
        <w:spacing w:line="240" w:lineRule="auto" w:before="34"/>
        <w:ind w:left="537" w:right="0"/>
        <w:jc w:val="left"/>
      </w:pPr>
      <w:r>
        <w:rPr/>
        <w:t>b．根据公司</w:t>
      </w:r>
      <w:r>
        <w:rPr>
          <w:spacing w:val="-39"/>
        </w:rPr>
        <w:t> </w:t>
      </w:r>
      <w:r>
        <w:rPr/>
        <w:t>2007</w:t>
      </w:r>
      <w:r>
        <w:rPr>
          <w:spacing w:val="-39"/>
        </w:rPr>
        <w:t> </w:t>
      </w:r>
      <w:r>
        <w:rPr/>
        <w:t>年</w:t>
      </w:r>
      <w:r>
        <w:rPr>
          <w:spacing w:val="-39"/>
        </w:rPr>
        <w:t> </w:t>
      </w:r>
      <w:r>
        <w:rPr/>
        <w:t>4</w:t>
      </w:r>
      <w:r>
        <w:rPr>
          <w:spacing w:val="-39"/>
        </w:rPr>
        <w:t> </w:t>
      </w:r>
      <w:r>
        <w:rPr/>
        <w:t>月</w:t>
      </w:r>
      <w:r>
        <w:rPr>
          <w:spacing w:val="-39"/>
        </w:rPr>
        <w:t> </w:t>
      </w:r>
      <w:r>
        <w:rPr/>
        <w:t>10</w:t>
      </w:r>
      <w:r>
        <w:rPr>
          <w:spacing w:val="-39"/>
        </w:rPr>
        <w:t> </w:t>
      </w:r>
      <w:r>
        <w:rPr/>
        <w:t>日公司</w:t>
      </w:r>
      <w:r>
        <w:rPr>
          <w:spacing w:val="-2"/>
        </w:rPr>
        <w:t>股</w:t>
      </w:r>
      <w:r>
        <w:rPr/>
        <w:t>东大会通过的《2006</w:t>
      </w:r>
      <w:r>
        <w:rPr>
          <w:spacing w:val="-39"/>
        </w:rPr>
        <w:t> </w:t>
      </w:r>
      <w:r>
        <w:rPr>
          <w:spacing w:val="-2"/>
        </w:rPr>
        <w:t>年</w:t>
      </w:r>
      <w:r>
        <w:rPr/>
        <w:t>度公司利润分配方案</w:t>
      </w:r>
      <w:r>
        <w:rPr>
          <w:spacing w:val="-105"/>
        </w:rPr>
        <w:t>》</w:t>
      </w:r>
      <w:r>
        <w:rPr/>
        <w:t>，以</w:t>
      </w:r>
    </w:p>
    <w:p>
      <w:pPr>
        <w:pStyle w:val="BodyText"/>
        <w:spacing w:line="240" w:lineRule="auto"/>
        <w:ind w:right="0"/>
        <w:jc w:val="left"/>
      </w:pPr>
      <w:r>
        <w:rPr/>
        <w:t>2006</w:t>
      </w:r>
      <w:r>
        <w:rPr>
          <w:spacing w:val="-54"/>
        </w:rPr>
        <w:t> </w:t>
      </w:r>
      <w:r>
        <w:rPr/>
        <w:t>年末总股本</w:t>
      </w:r>
      <w:r>
        <w:rPr>
          <w:spacing w:val="-55"/>
        </w:rPr>
        <w:t> </w:t>
      </w:r>
      <w:r>
        <w:rPr/>
        <w:t>142,800,000</w:t>
      </w:r>
      <w:r>
        <w:rPr>
          <w:spacing w:val="-54"/>
        </w:rPr>
        <w:t> </w:t>
      </w:r>
      <w:r>
        <w:rPr/>
        <w:t>股为基数，向全体股东按每</w:t>
      </w:r>
      <w:r>
        <w:rPr>
          <w:spacing w:val="-55"/>
        </w:rPr>
        <w:t> </w:t>
      </w:r>
      <w:r>
        <w:rPr/>
        <w:t>10</w:t>
      </w:r>
      <w:r>
        <w:rPr>
          <w:spacing w:val="-55"/>
        </w:rPr>
        <w:t> </w:t>
      </w:r>
      <w:r>
        <w:rPr/>
        <w:t>股派现金</w:t>
      </w:r>
      <w:r>
        <w:rPr>
          <w:spacing w:val="-55"/>
        </w:rPr>
        <w:t> </w:t>
      </w:r>
      <w:r>
        <w:rPr/>
        <w:t>1</w:t>
      </w:r>
      <w:r>
        <w:rPr>
          <w:spacing w:val="-55"/>
        </w:rPr>
        <w:t> </w:t>
      </w:r>
      <w:r>
        <w:rPr/>
        <w:t>元(含税)，总计分配</w:t>
      </w:r>
    </w:p>
    <w:p>
      <w:pPr>
        <w:pStyle w:val="BodyText"/>
        <w:spacing w:line="240" w:lineRule="auto"/>
        <w:ind w:right="0"/>
        <w:jc w:val="left"/>
      </w:pPr>
      <w:r>
        <w:rPr/>
        <w:t>现金股利</w:t>
      </w:r>
      <w:r>
        <w:rPr>
          <w:spacing w:val="-51"/>
        </w:rPr>
        <w:t> </w:t>
      </w:r>
      <w:r>
        <w:rPr/>
        <w:t>14,280,000.00</w:t>
      </w:r>
      <w:r>
        <w:rPr>
          <w:spacing w:val="-52"/>
        </w:rPr>
        <w:t> </w:t>
      </w:r>
      <w:r>
        <w:rPr/>
        <w:t>元；根据</w:t>
      </w:r>
      <w:r>
        <w:rPr>
          <w:spacing w:val="-51"/>
        </w:rPr>
        <w:t> </w:t>
      </w:r>
      <w:r>
        <w:rPr/>
        <w:t>2008</w:t>
      </w:r>
      <w:r>
        <w:rPr>
          <w:spacing w:val="-50"/>
        </w:rPr>
        <w:t> </w:t>
      </w:r>
      <w:r>
        <w:rPr/>
        <w:t>年</w:t>
      </w:r>
      <w:r>
        <w:rPr>
          <w:spacing w:val="-52"/>
        </w:rPr>
        <w:t> </w:t>
      </w:r>
      <w:r>
        <w:rPr/>
        <w:t>4</w:t>
      </w:r>
      <w:r>
        <w:rPr>
          <w:spacing w:val="-51"/>
        </w:rPr>
        <w:t> </w:t>
      </w:r>
      <w:r>
        <w:rPr/>
        <w:t>月</w:t>
      </w:r>
      <w:r>
        <w:rPr>
          <w:spacing w:val="-51"/>
        </w:rPr>
        <w:t> </w:t>
      </w:r>
      <w:r>
        <w:rPr/>
        <w:t>21</w:t>
      </w:r>
      <w:r>
        <w:rPr>
          <w:spacing w:val="-51"/>
        </w:rPr>
        <w:t> </w:t>
      </w:r>
      <w:r>
        <w:rPr/>
        <w:t>日公司董事会三届十次会议通过的</w:t>
      </w:r>
      <w:r>
        <w:rPr>
          <w:spacing w:val="-51"/>
        </w:rPr>
        <w:t> </w:t>
      </w:r>
      <w:r>
        <w:rPr/>
        <w:t>2007</w:t>
      </w:r>
      <w:r>
        <w:rPr>
          <w:spacing w:val="-50"/>
        </w:rPr>
        <w:t> </w:t>
      </w:r>
      <w:r>
        <w:rPr/>
        <w:t>年</w:t>
      </w:r>
    </w:p>
    <w:p>
      <w:pPr>
        <w:pStyle w:val="BodyText"/>
        <w:spacing w:line="240" w:lineRule="auto"/>
        <w:ind w:right="0"/>
        <w:jc w:val="left"/>
      </w:pPr>
      <w:r>
        <w:rPr/>
        <w:t>度利润分配方案，按</w:t>
      </w:r>
      <w:r>
        <w:rPr>
          <w:spacing w:val="-35"/>
        </w:rPr>
        <w:t> </w:t>
      </w:r>
      <w:r>
        <w:rPr/>
        <w:t>2007</w:t>
      </w:r>
      <w:r>
        <w:rPr>
          <w:spacing w:val="-34"/>
        </w:rPr>
        <w:t> </w:t>
      </w:r>
      <w:r>
        <w:rPr/>
        <w:t>年度实现净利润提取</w:t>
      </w:r>
      <w:r>
        <w:rPr>
          <w:spacing w:val="-35"/>
        </w:rPr>
        <w:t> </w:t>
      </w:r>
      <w:r>
        <w:rPr/>
        <w:t>10%的法定盈余公积</w:t>
      </w:r>
      <w:r>
        <w:rPr>
          <w:spacing w:val="-35"/>
        </w:rPr>
        <w:t> </w:t>
      </w:r>
      <w:r>
        <w:rPr/>
        <w:t>12,050,168.13</w:t>
      </w:r>
      <w:r>
        <w:rPr>
          <w:spacing w:val="-34"/>
        </w:rPr>
        <w:t> </w:t>
      </w:r>
      <w:r>
        <w:rPr/>
        <w:t>元，上述</w:t>
      </w:r>
    </w:p>
    <w:p>
      <w:pPr>
        <w:pStyle w:val="BodyText"/>
        <w:spacing w:line="240" w:lineRule="auto"/>
        <w:ind w:right="0"/>
        <w:jc w:val="left"/>
      </w:pPr>
      <w:r>
        <w:rPr/>
        <w:t>利润分配方案尚待公司股东大会审议通过。以上合计减少未分配利润</w:t>
      </w:r>
      <w:r>
        <w:rPr>
          <w:spacing w:val="-75"/>
        </w:rPr>
        <w:t> </w:t>
      </w:r>
      <w:r>
        <w:rPr/>
        <w:t>26,330,168.13</w:t>
      </w:r>
      <w:r>
        <w:rPr>
          <w:spacing w:val="-74"/>
        </w:rPr>
        <w:t> </w:t>
      </w:r>
      <w:r>
        <w:rPr/>
        <w:t>元。</w:t>
      </w:r>
    </w:p>
    <w:p>
      <w:pPr>
        <w:pStyle w:val="BodyText"/>
        <w:spacing w:line="240" w:lineRule="auto"/>
        <w:ind w:left="537" w:right="0"/>
        <w:jc w:val="left"/>
      </w:pPr>
      <w:r>
        <w:rPr/>
        <w:t>2)</w:t>
      </w:r>
      <w:r>
        <w:rPr>
          <w:spacing w:val="-15"/>
        </w:rPr>
        <w:t> </w:t>
      </w:r>
      <w:r>
        <w:rPr/>
        <w:t>期末数中包含拟分配股票股利</w:t>
      </w:r>
      <w:r>
        <w:rPr>
          <w:spacing w:val="-60"/>
        </w:rPr>
        <w:t> </w:t>
      </w:r>
      <w:r>
        <w:rPr/>
        <w:t>111,384,000.00</w:t>
      </w:r>
      <w:r>
        <w:rPr>
          <w:spacing w:val="-60"/>
        </w:rPr>
        <w:t> </w:t>
      </w:r>
      <w:r>
        <w:rPr/>
        <w:t>元和现金股利</w:t>
      </w:r>
      <w:r>
        <w:rPr>
          <w:spacing w:val="-60"/>
        </w:rPr>
        <w:t> </w:t>
      </w:r>
      <w:r>
        <w:rPr/>
        <w:t>12,994,800.00</w:t>
      </w:r>
      <w:r>
        <w:rPr>
          <w:spacing w:val="-60"/>
        </w:rPr>
        <w:t> </w:t>
      </w:r>
      <w:r>
        <w:rPr>
          <w:spacing w:val="-16"/>
        </w:rPr>
        <w:t>元。根据</w:t>
      </w:r>
      <w:r>
        <w:rPr/>
      </w:r>
    </w:p>
    <w:p>
      <w:pPr>
        <w:pStyle w:val="BodyText"/>
        <w:spacing w:line="240" w:lineRule="auto"/>
        <w:ind w:right="0"/>
        <w:jc w:val="left"/>
      </w:pPr>
      <w:r>
        <w:rPr/>
        <w:t>2008</w:t>
      </w:r>
      <w:r>
        <w:rPr>
          <w:spacing w:val="-58"/>
        </w:rPr>
        <w:t> </w:t>
      </w:r>
      <w:r>
        <w:rPr/>
        <w:t>年</w:t>
      </w:r>
      <w:r>
        <w:rPr>
          <w:spacing w:val="-58"/>
        </w:rPr>
        <w:t> </w:t>
      </w:r>
      <w:r>
        <w:rPr/>
        <w:t>4</w:t>
      </w:r>
      <w:r>
        <w:rPr>
          <w:spacing w:val="-58"/>
        </w:rPr>
        <w:t> </w:t>
      </w:r>
      <w:r>
        <w:rPr/>
        <w:t>月</w:t>
      </w:r>
      <w:r>
        <w:rPr>
          <w:spacing w:val="-59"/>
        </w:rPr>
        <w:t> </w:t>
      </w:r>
      <w:r>
        <w:rPr/>
        <w:t>21</w:t>
      </w:r>
      <w:r>
        <w:rPr>
          <w:spacing w:val="-57"/>
        </w:rPr>
        <w:t> </w:t>
      </w:r>
      <w:r>
        <w:rPr/>
        <w:t>日本公司董事会三届十次会议通过的</w:t>
      </w:r>
      <w:r>
        <w:rPr>
          <w:spacing w:val="-58"/>
        </w:rPr>
        <w:t> </w:t>
      </w:r>
      <w:r>
        <w:rPr/>
        <w:t>2007</w:t>
      </w:r>
      <w:r>
        <w:rPr>
          <w:spacing w:val="-57"/>
        </w:rPr>
        <w:t> </w:t>
      </w:r>
      <w:r>
        <w:rPr/>
        <w:t>年度利润分配预案，决定按</w:t>
      </w:r>
      <w:r>
        <w:rPr>
          <w:spacing w:val="-58"/>
        </w:rPr>
        <w:t> </w:t>
      </w:r>
      <w:r>
        <w:rPr/>
        <w:t>2007</w:t>
      </w:r>
      <w:r>
        <w:rPr>
          <w:spacing w:val="-57"/>
        </w:rPr>
        <w:t> </w:t>
      </w:r>
      <w:r>
        <w:rPr/>
        <w:t>年</w:t>
      </w:r>
    </w:p>
    <w:p>
      <w:pPr>
        <w:pStyle w:val="BodyText"/>
        <w:spacing w:line="367" w:lineRule="auto"/>
        <w:ind w:right="0"/>
        <w:jc w:val="left"/>
      </w:pPr>
      <w:r>
        <w:rPr/>
        <w:t>度实现的净利润分配股票股利</w:t>
      </w:r>
      <w:r>
        <w:rPr>
          <w:spacing w:val="-48"/>
        </w:rPr>
        <w:t> </w:t>
      </w:r>
      <w:r>
        <w:rPr/>
        <w:t>111,384,000.00</w:t>
      </w:r>
      <w:r>
        <w:rPr>
          <w:spacing w:val="-47"/>
        </w:rPr>
        <w:t> </w:t>
      </w:r>
      <w:r>
        <w:rPr/>
        <w:t>元和现金股利</w:t>
      </w:r>
      <w:r>
        <w:rPr>
          <w:spacing w:val="-48"/>
        </w:rPr>
        <w:t> </w:t>
      </w:r>
      <w:r>
        <w:rPr/>
        <w:t>12,994,800.00</w:t>
      </w:r>
      <w:r>
        <w:rPr>
          <w:spacing w:val="-47"/>
        </w:rPr>
        <w:t> </w:t>
      </w:r>
      <w:r>
        <w:rPr/>
        <w:t>元。上述利润分</w:t>
      </w:r>
      <w:r>
        <w:rPr>
          <w:spacing w:val="-1"/>
        </w:rPr>
        <w:t> </w:t>
      </w:r>
      <w:r>
        <w:rPr/>
        <w:t>配预案尚待股东大会审议批准。</w:t>
      </w:r>
    </w:p>
    <w:p>
      <w:pPr>
        <w:pStyle w:val="BodyText"/>
        <w:spacing w:line="367" w:lineRule="auto" w:before="34"/>
        <w:ind w:left="537" w:right="2874"/>
        <w:jc w:val="left"/>
      </w:pPr>
      <w:r>
        <w:rPr/>
        <w:t>3)</w:t>
      </w:r>
      <w:r>
        <w:rPr>
          <w:spacing w:val="-2"/>
        </w:rPr>
        <w:t> </w:t>
      </w:r>
      <w:r>
        <w:rPr/>
        <w:t>年初未分配利润变动的内容、原因、依据和影响的说明</w:t>
      </w:r>
      <w:r>
        <w:rPr/>
        <w:t> 详见本财务报表附注十五(四)之说明。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537" w:right="804"/>
        <w:jc w:val="left"/>
      </w:pPr>
      <w:r>
        <w:rPr/>
        <w:t>(二)</w:t>
      </w:r>
      <w:r>
        <w:rPr>
          <w:spacing w:val="-2"/>
        </w:rPr>
        <w:t> </w:t>
      </w:r>
      <w:r>
        <w:rPr/>
        <w:t>合并利润表项目注释</w:t>
      </w:r>
    </w:p>
    <w:p>
      <w:pPr>
        <w:pStyle w:val="BodyText"/>
        <w:tabs>
          <w:tab w:pos="4128" w:val="left" w:leader="none"/>
        </w:tabs>
        <w:spacing w:line="384" w:lineRule="auto"/>
        <w:ind w:left="537" w:right="924"/>
        <w:jc w:val="left"/>
      </w:pPr>
      <w:r>
        <w:rPr/>
        <w:t>1.</w:t>
      </w:r>
      <w:r>
        <w:rPr>
          <w:spacing w:val="-2"/>
        </w:rPr>
        <w:t> </w:t>
      </w:r>
      <w:r>
        <w:rPr/>
        <w:t>营业收入/营业成本</w:t>
        <w:tab/>
        <w:t>本期数</w:t>
      </w:r>
      <w:r>
        <w:rPr>
          <w:spacing w:val="-61"/>
        </w:rPr>
        <w:t> </w:t>
      </w:r>
      <w:r>
        <w:rPr/>
        <w:t>572,428,264.87/257,684,659.80</w:t>
      </w:r>
      <w:r>
        <w:rPr/>
        <w:t> (1)</w:t>
      </w:r>
      <w:r>
        <w:rPr>
          <w:spacing w:val="-2"/>
        </w:rPr>
        <w:t> </w:t>
      </w:r>
      <w:r>
        <w:rPr/>
        <w:t>明细情况</w:t>
      </w:r>
    </w:p>
    <w:p>
      <w:pPr>
        <w:pStyle w:val="BodyText"/>
        <w:spacing w:line="245" w:lineRule="exact" w:before="0"/>
        <w:ind w:left="537" w:right="804"/>
        <w:jc w:val="left"/>
      </w:pPr>
      <w:r>
        <w:rPr/>
        <w:t>营业收入</w:t>
      </w:r>
    </w:p>
    <w:p>
      <w:pPr>
        <w:spacing w:line="240" w:lineRule="auto" w:before="10"/>
        <w:rPr>
          <w:rFonts w:ascii="宋体" w:hAnsi="宋体" w:cs="宋体" w:eastAsia="宋体" w:hint="default"/>
          <w:sz w:val="14"/>
          <w:szCs w:val="14"/>
        </w:rPr>
      </w:pPr>
    </w:p>
    <w:p>
      <w:pPr>
        <w:pStyle w:val="BodyText"/>
        <w:tabs>
          <w:tab w:pos="1377" w:val="left" w:leader="none"/>
          <w:tab w:pos="3583" w:val="left" w:leader="none"/>
          <w:tab w:pos="4211" w:val="left" w:leader="none"/>
          <w:tab w:pos="5738" w:val="left" w:leader="none"/>
          <w:tab w:pos="5891" w:val="left" w:leader="none"/>
        </w:tabs>
        <w:spacing w:line="408" w:lineRule="auto" w:before="0"/>
        <w:ind w:left="765" w:right="1574" w:firstLine="192"/>
        <w:jc w:val="left"/>
      </w:pPr>
      <w:r>
        <w:rPr/>
        <w:t>项</w:t>
        <w:tab/>
        <w:t>目</w:t>
        <w:tab/>
        <w:tab/>
      </w:r>
      <w:r>
        <w:rPr>
          <w:spacing w:val="-1"/>
        </w:rPr>
        <w:t>本期数</w:t>
        <w:tab/>
        <w:tab/>
        <w:t>上年同期数</w:t>
      </w:r>
      <w:r>
        <w:rPr/>
        <w:t> </w:t>
      </w:r>
      <w:r>
        <w:rPr>
          <w:spacing w:val="-1"/>
        </w:rPr>
        <w:t>主营业务收入</w:t>
        <w:tab/>
        <w:t>568,336,207.92</w:t>
        <w:tab/>
      </w:r>
      <w:r>
        <w:rPr/>
        <w:t>343,586,869.78</w:t>
      </w:r>
    </w:p>
    <w:p>
      <w:pPr>
        <w:pStyle w:val="BodyText"/>
        <w:tabs>
          <w:tab w:pos="3028" w:val="left" w:leader="none"/>
          <w:tab w:pos="5182" w:val="left" w:leader="none"/>
        </w:tabs>
        <w:spacing w:line="240" w:lineRule="auto" w:before="46"/>
        <w:ind w:left="0" w:right="809"/>
        <w:jc w:val="center"/>
      </w:pPr>
      <w:r>
        <w:rPr>
          <w:spacing w:val="-1"/>
        </w:rPr>
        <w:t>其他业务收入</w:t>
        <w:tab/>
        <w:t>4,092,056.95</w:t>
        <w:tab/>
        <w:t>2,270,021.27</w:t>
      </w:r>
      <w:r>
        <w:rPr/>
      </w:r>
    </w:p>
    <w:p>
      <w:pPr>
        <w:spacing w:line="240" w:lineRule="auto" w:before="10"/>
        <w:rPr>
          <w:rFonts w:ascii="宋体" w:hAnsi="宋体" w:cs="宋体" w:eastAsia="宋体" w:hint="default"/>
          <w:sz w:val="14"/>
          <w:szCs w:val="14"/>
        </w:rPr>
      </w:pPr>
    </w:p>
    <w:p>
      <w:pPr>
        <w:pStyle w:val="BodyText"/>
        <w:tabs>
          <w:tab w:pos="1396" w:val="left" w:leader="none"/>
          <w:tab w:pos="3583" w:val="left" w:leader="none"/>
          <w:tab w:pos="5738" w:val="left" w:leader="none"/>
        </w:tabs>
        <w:spacing w:line="240" w:lineRule="auto" w:before="0"/>
        <w:ind w:left="975" w:right="804"/>
        <w:jc w:val="left"/>
      </w:pPr>
      <w:r>
        <w:rPr/>
        <w:t>合</w:t>
        <w:tab/>
        <w:t>计</w:t>
        <w:tab/>
      </w:r>
      <w:r>
        <w:rPr>
          <w:spacing w:val="-1"/>
          <w:u w:val="thick" w:color="000000"/>
        </w:rPr>
        <w:t>572,428,264.87</w:t>
      </w:r>
      <w:r>
        <w:rPr>
          <w:spacing w:val="-1"/>
        </w:rPr>
        <w:tab/>
      </w:r>
      <w:r>
        <w:rPr>
          <w:spacing w:val="-1"/>
          <w:u w:val="thick" w:color="000000"/>
        </w:rPr>
        <w:t>345,856,891.05</w:t>
      </w:r>
      <w:r>
        <w:rPr>
          <w:spacing w:val="-1"/>
        </w:rPr>
      </w:r>
    </w:p>
    <w:p>
      <w:pPr>
        <w:spacing w:after="0" w:line="240" w:lineRule="auto"/>
        <w:jc w:val="left"/>
        <w:sectPr>
          <w:pgSz w:w="11910" w:h="16840"/>
          <w:pgMar w:header="0" w:footer="1263" w:top="1540" w:bottom="1460" w:left="1680" w:right="1440"/>
        </w:sectPr>
      </w:pPr>
    </w:p>
    <w:p>
      <w:pPr>
        <w:pStyle w:val="BodyText"/>
        <w:spacing w:line="240" w:lineRule="auto" w:before="23"/>
        <w:ind w:left="1637" w:right="2852"/>
        <w:jc w:val="left"/>
      </w:pPr>
      <w:r>
        <w:rPr/>
        <w:t>营业成本</w:t>
      </w:r>
    </w:p>
    <w:p>
      <w:pPr>
        <w:spacing w:line="240" w:lineRule="auto" w:before="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534"/>
        <w:gridCol w:w="1524"/>
        <w:gridCol w:w="1410"/>
        <w:gridCol w:w="1635"/>
        <w:gridCol w:w="1402"/>
        <w:gridCol w:w="1440"/>
        <w:gridCol w:w="1385"/>
      </w:tblGrid>
      <w:tr>
        <w:trPr>
          <w:trHeight w:val="907" w:hRule="exact"/>
        </w:trPr>
        <w:tc>
          <w:tcPr>
            <w:tcW w:w="3057" w:type="dxa"/>
            <w:gridSpan w:val="2"/>
            <w:tcBorders>
              <w:top w:val="nil" w:sz="6" w:space="0" w:color="auto"/>
              <w:left w:val="nil" w:sz="6" w:space="0" w:color="auto"/>
              <w:bottom w:val="nil" w:sz="6" w:space="0" w:color="auto"/>
              <w:right w:val="nil" w:sz="6" w:space="0" w:color="auto"/>
            </w:tcBorders>
          </w:tcPr>
          <w:p>
            <w:pPr>
              <w:pStyle w:val="TableParagraph"/>
              <w:tabs>
                <w:tab w:pos="2373" w:val="left" w:leader="none"/>
              </w:tabs>
              <w:spacing w:line="408" w:lineRule="auto" w:before="35"/>
              <w:ind w:left="1761" w:right="34" w:firstLine="192"/>
              <w:jc w:val="left"/>
              <w:rPr>
                <w:rFonts w:ascii="宋体" w:hAnsi="宋体" w:cs="宋体" w:eastAsia="宋体" w:hint="default"/>
                <w:sz w:val="21"/>
                <w:szCs w:val="21"/>
              </w:rPr>
            </w:pPr>
            <w:r>
              <w:rPr>
                <w:rFonts w:ascii="宋体" w:hAnsi="宋体" w:cs="宋体" w:eastAsia="宋体" w:hint="default"/>
                <w:sz w:val="21"/>
                <w:szCs w:val="21"/>
              </w:rPr>
              <w:t>项</w:t>
              <w:tab/>
              <w:t>目 </w:t>
            </w:r>
            <w:r>
              <w:rPr>
                <w:rFonts w:ascii="宋体" w:hAnsi="宋体" w:cs="宋体" w:eastAsia="宋体" w:hint="default"/>
                <w:spacing w:val="-1"/>
                <w:sz w:val="21"/>
                <w:szCs w:val="21"/>
              </w:rPr>
              <w:t>主营业务成本</w:t>
            </w:r>
            <w:r>
              <w:rPr>
                <w:rFonts w:ascii="宋体" w:hAnsi="宋体" w:cs="宋体" w:eastAsia="宋体" w:hint="default"/>
                <w:sz w:val="21"/>
                <w:szCs w:val="21"/>
              </w:rPr>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408" w:lineRule="auto" w:before="35"/>
              <w:ind w:left="1522" w:right="50" w:firstLine="627"/>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1"/>
                <w:sz w:val="21"/>
                <w:szCs w:val="21"/>
              </w:rPr>
              <w:t> 256,295,134.99</w:t>
            </w:r>
            <w:r>
              <w:rPr>
                <w:rFonts w:ascii="宋体" w:hAnsi="宋体" w:cs="宋体" w:eastAsia="宋体" w:hint="default"/>
                <w:sz w:val="21"/>
                <w:szCs w:val="21"/>
              </w:rPr>
            </w:r>
          </w:p>
        </w:tc>
        <w:tc>
          <w:tcPr>
            <w:tcW w:w="4227" w:type="dxa"/>
            <w:gridSpan w:val="3"/>
            <w:tcBorders>
              <w:top w:val="nil" w:sz="6" w:space="0" w:color="auto"/>
              <w:left w:val="nil" w:sz="6" w:space="0" w:color="auto"/>
              <w:bottom w:val="nil" w:sz="6" w:space="0" w:color="auto"/>
              <w:right w:val="nil" w:sz="6" w:space="0" w:color="auto"/>
            </w:tcBorders>
          </w:tcPr>
          <w:p>
            <w:pPr>
              <w:pStyle w:val="TableParagraph"/>
              <w:spacing w:line="408" w:lineRule="auto" w:before="35"/>
              <w:ind w:left="632" w:right="2122" w:firstLine="153"/>
              <w:jc w:val="left"/>
              <w:rPr>
                <w:rFonts w:ascii="宋体" w:hAnsi="宋体" w:cs="宋体" w:eastAsia="宋体" w:hint="default"/>
                <w:sz w:val="21"/>
                <w:szCs w:val="21"/>
              </w:rPr>
            </w:pPr>
            <w:r>
              <w:rPr>
                <w:rFonts w:ascii="宋体" w:hAnsi="宋体" w:cs="宋体" w:eastAsia="宋体" w:hint="default"/>
                <w:sz w:val="21"/>
                <w:szCs w:val="21"/>
              </w:rPr>
              <w:t>上年同期数 179,403,236.05</w:t>
            </w:r>
          </w:p>
        </w:tc>
      </w:tr>
      <w:tr>
        <w:trPr>
          <w:trHeight w:val="468" w:hRule="exact"/>
        </w:trPr>
        <w:tc>
          <w:tcPr>
            <w:tcW w:w="30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761"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732" w:right="0"/>
              <w:jc w:val="left"/>
              <w:rPr>
                <w:rFonts w:ascii="宋体" w:hAnsi="宋体" w:cs="宋体" w:eastAsia="宋体" w:hint="default"/>
                <w:sz w:val="21"/>
                <w:szCs w:val="21"/>
              </w:rPr>
            </w:pPr>
            <w:r>
              <w:rPr>
                <w:rFonts w:ascii="宋体"/>
                <w:sz w:val="21"/>
              </w:rPr>
              <w:t>1,389,524.81</w:t>
            </w:r>
          </w:p>
        </w:tc>
        <w:tc>
          <w:tcPr>
            <w:tcW w:w="42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1052" w:right="0"/>
              <w:jc w:val="left"/>
              <w:rPr>
                <w:rFonts w:ascii="宋体" w:hAnsi="宋体" w:cs="宋体" w:eastAsia="宋体" w:hint="default"/>
                <w:sz w:val="21"/>
                <w:szCs w:val="21"/>
              </w:rPr>
            </w:pPr>
            <w:r>
              <w:rPr>
                <w:rFonts w:ascii="宋体"/>
                <w:sz w:val="21"/>
              </w:rPr>
              <w:t>976,907.26</w:t>
            </w:r>
          </w:p>
        </w:tc>
      </w:tr>
      <w:tr>
        <w:trPr>
          <w:trHeight w:val="339" w:hRule="exact"/>
        </w:trPr>
        <w:tc>
          <w:tcPr>
            <w:tcW w:w="3057" w:type="dxa"/>
            <w:gridSpan w:val="2"/>
            <w:tcBorders>
              <w:top w:val="nil" w:sz="6" w:space="0" w:color="auto"/>
              <w:left w:val="nil" w:sz="6" w:space="0" w:color="auto"/>
              <w:bottom w:val="nil" w:sz="6" w:space="0" w:color="auto"/>
              <w:right w:val="nil" w:sz="6" w:space="0" w:color="auto"/>
            </w:tcBorders>
          </w:tcPr>
          <w:p>
            <w:pPr>
              <w:pStyle w:val="TableParagraph"/>
              <w:tabs>
                <w:tab w:pos="2392" w:val="left" w:leader="none"/>
              </w:tabs>
              <w:spacing w:line="240" w:lineRule="auto" w:before="64"/>
              <w:ind w:left="197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522" w:right="0"/>
              <w:jc w:val="left"/>
              <w:rPr>
                <w:rFonts w:ascii="宋体" w:hAnsi="宋体" w:cs="宋体" w:eastAsia="宋体" w:hint="default"/>
                <w:sz w:val="21"/>
                <w:szCs w:val="21"/>
              </w:rPr>
            </w:pPr>
            <w:r>
              <w:rPr>
                <w:rFonts w:ascii="宋体"/>
                <w:sz w:val="21"/>
              </w:rPr>
            </w:r>
            <w:r>
              <w:rPr>
                <w:rFonts w:ascii="宋体"/>
                <w:sz w:val="21"/>
                <w:u w:val="thick" w:color="000000"/>
              </w:rPr>
              <w:t>257,684,659.80</w:t>
            </w:r>
            <w:r>
              <w:rPr>
                <w:rFonts w:ascii="宋体"/>
                <w:sz w:val="21"/>
              </w:rPr>
            </w:r>
          </w:p>
        </w:tc>
        <w:tc>
          <w:tcPr>
            <w:tcW w:w="42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632" w:right="0"/>
              <w:jc w:val="left"/>
              <w:rPr>
                <w:rFonts w:ascii="宋体" w:hAnsi="宋体" w:cs="宋体" w:eastAsia="宋体" w:hint="default"/>
                <w:sz w:val="21"/>
                <w:szCs w:val="21"/>
              </w:rPr>
            </w:pPr>
            <w:r>
              <w:rPr>
                <w:rFonts w:ascii="宋体"/>
                <w:sz w:val="21"/>
              </w:rPr>
            </w:r>
            <w:r>
              <w:rPr>
                <w:rFonts w:ascii="宋体"/>
                <w:sz w:val="21"/>
                <w:u w:val="thick" w:color="000000"/>
              </w:rPr>
              <w:t>180,380,143.31</w:t>
            </w:r>
            <w:r>
              <w:rPr>
                <w:rFonts w:ascii="宋体"/>
                <w:sz w:val="21"/>
              </w:rPr>
            </w:r>
          </w:p>
        </w:tc>
      </w:tr>
      <w:tr>
        <w:trPr>
          <w:trHeight w:val="640" w:hRule="exact"/>
        </w:trPr>
        <w:tc>
          <w:tcPr>
            <w:tcW w:w="1032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w:t>
            </w:r>
          </w:p>
        </w:tc>
      </w:tr>
      <w:tr>
        <w:trPr>
          <w:trHeight w:val="655"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9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568" w:type="dxa"/>
            <w:gridSpan w:val="3"/>
            <w:tcBorders>
              <w:top w:val="nil" w:sz="6" w:space="0" w:color="auto"/>
              <w:left w:val="nil" w:sz="6" w:space="0" w:color="auto"/>
              <w:bottom w:val="nil" w:sz="6" w:space="0" w:color="auto"/>
              <w:right w:val="nil" w:sz="6" w:space="0" w:color="auto"/>
            </w:tcBorders>
          </w:tcPr>
          <w:p>
            <w:pPr>
              <w:pStyle w:val="TableParagraph"/>
              <w:tabs>
                <w:tab w:pos="1920" w:val="left" w:leader="none"/>
                <w:tab w:pos="2102" w:val="left" w:leader="none"/>
                <w:tab w:pos="3540" w:val="left" w:leader="none"/>
                <w:tab w:pos="3992" w:val="left" w:leader="none"/>
              </w:tabs>
              <w:spacing w:line="232" w:lineRule="exact" w:before="91"/>
              <w:ind w:left="570" w:right="485" w:firstLine="9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本期数</w:t>
              <w:tab/>
              <w:tab/>
            </w:r>
            <w:r>
              <w:rPr>
                <w:rFonts w:ascii="宋体" w:hAnsi="宋体" w:cs="宋体" w:eastAsia="宋体" w:hint="default"/>
                <w:sz w:val="18"/>
                <w:szCs w:val="18"/>
              </w:rPr>
            </w:r>
            <w:r>
              <w:rPr>
                <w:rFonts w:ascii="宋体" w:hAnsi="宋体" w:cs="宋体" w:eastAsia="宋体" w:hint="default"/>
                <w:sz w:val="18"/>
                <w:szCs w:val="18"/>
              </w:rPr>
              <w:t> 收  入</w:t>
              <w:tab/>
              <w:t>成  本</w:t>
              <w:tab/>
              <w:t>利  润</w:t>
            </w:r>
          </w:p>
        </w:tc>
        <w:tc>
          <w:tcPr>
            <w:tcW w:w="4227" w:type="dxa"/>
            <w:gridSpan w:val="3"/>
            <w:tcBorders>
              <w:top w:val="nil" w:sz="6" w:space="0" w:color="auto"/>
              <w:left w:val="nil" w:sz="6" w:space="0" w:color="auto"/>
              <w:bottom w:val="nil" w:sz="6" w:space="0" w:color="auto"/>
              <w:right w:val="nil" w:sz="6" w:space="0" w:color="auto"/>
            </w:tcBorders>
          </w:tcPr>
          <w:p>
            <w:pPr>
              <w:pStyle w:val="TableParagraph"/>
              <w:tabs>
                <w:tab w:pos="1584" w:val="left" w:leader="none"/>
                <w:tab w:pos="1761" w:val="left" w:leader="none"/>
                <w:tab w:pos="3201" w:val="left" w:leader="none"/>
                <w:tab w:pos="3654" w:val="left" w:leader="none"/>
              </w:tabs>
              <w:spacing w:line="232" w:lineRule="exact" w:before="91"/>
              <w:ind w:left="412" w:right="483" w:firstLine="9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上年同期数</w:t>
              <w:tab/>
              <w:tab/>
            </w:r>
            <w:r>
              <w:rPr>
                <w:rFonts w:ascii="宋体" w:hAnsi="宋体" w:cs="宋体" w:eastAsia="宋体" w:hint="default"/>
                <w:sz w:val="18"/>
                <w:szCs w:val="18"/>
              </w:rPr>
            </w:r>
            <w:r>
              <w:rPr>
                <w:rFonts w:ascii="宋体" w:hAnsi="宋体" w:cs="宋体" w:eastAsia="宋体" w:hint="default"/>
                <w:sz w:val="18"/>
                <w:szCs w:val="18"/>
              </w:rPr>
              <w:t> 收  入</w:t>
              <w:tab/>
              <w:tab/>
              <w:t>成  本</w:t>
              <w:tab/>
              <w:t>利  润</w:t>
            </w:r>
          </w:p>
        </w:tc>
      </w:tr>
      <w:tr>
        <w:trPr>
          <w:trHeight w:val="327"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w:t>
            </w:r>
          </w:p>
        </w:tc>
        <w:tc>
          <w:tcPr>
            <w:tcW w:w="152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r>
      <w:tr>
        <w:trPr>
          <w:trHeight w:val="326"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软件产品销售</w:t>
            </w:r>
          </w:p>
        </w:tc>
        <w:tc>
          <w:tcPr>
            <w:tcW w:w="1524" w:type="dxa"/>
            <w:tcBorders>
              <w:top w:val="nil" w:sz="6" w:space="0" w:color="auto"/>
              <w:left w:val="nil" w:sz="6" w:space="0" w:color="auto"/>
              <w:bottom w:val="nil" w:sz="6" w:space="0" w:color="auto"/>
              <w:right w:val="nil" w:sz="6" w:space="0" w:color="auto"/>
            </w:tcBorders>
          </w:tcPr>
          <w:p>
            <w:pPr>
              <w:pStyle w:val="TableParagraph"/>
              <w:spacing w:line="206" w:lineRule="exact"/>
              <w:ind w:right="141"/>
              <w:jc w:val="right"/>
              <w:rPr>
                <w:rFonts w:ascii="宋体" w:hAnsi="宋体" w:cs="宋体" w:eastAsia="宋体" w:hint="default"/>
                <w:sz w:val="18"/>
                <w:szCs w:val="18"/>
              </w:rPr>
            </w:pPr>
            <w:r>
              <w:rPr>
                <w:rFonts w:ascii="宋体"/>
                <w:sz w:val="18"/>
              </w:rPr>
              <w:t>167,333,602.47</w:t>
            </w:r>
          </w:p>
        </w:tc>
        <w:tc>
          <w:tcPr>
            <w:tcW w:w="1410" w:type="dxa"/>
            <w:tcBorders>
              <w:top w:val="nil" w:sz="6" w:space="0" w:color="auto"/>
              <w:left w:val="nil" w:sz="6" w:space="0" w:color="auto"/>
              <w:bottom w:val="nil" w:sz="6" w:space="0" w:color="auto"/>
              <w:right w:val="nil" w:sz="6" w:space="0" w:color="auto"/>
            </w:tcBorders>
          </w:tcPr>
          <w:p>
            <w:pPr>
              <w:pStyle w:val="TableParagraph"/>
              <w:spacing w:line="206" w:lineRule="exact"/>
              <w:ind w:right="111"/>
              <w:jc w:val="right"/>
              <w:rPr>
                <w:rFonts w:ascii="宋体" w:hAnsi="宋体" w:cs="宋体" w:eastAsia="宋体" w:hint="default"/>
                <w:sz w:val="18"/>
                <w:szCs w:val="18"/>
              </w:rPr>
            </w:pPr>
            <w:r>
              <w:rPr>
                <w:rFonts w:ascii="宋体"/>
                <w:sz w:val="18"/>
              </w:rPr>
              <w:t>1,753,432.86</w:t>
            </w:r>
          </w:p>
        </w:tc>
        <w:tc>
          <w:tcPr>
            <w:tcW w:w="1635" w:type="dxa"/>
            <w:tcBorders>
              <w:top w:val="nil" w:sz="6" w:space="0" w:color="auto"/>
              <w:left w:val="nil" w:sz="6" w:space="0" w:color="auto"/>
              <w:bottom w:val="nil" w:sz="6" w:space="0" w:color="auto"/>
              <w:right w:val="nil" w:sz="6" w:space="0" w:color="auto"/>
            </w:tcBorders>
          </w:tcPr>
          <w:p>
            <w:pPr>
              <w:pStyle w:val="TableParagraph"/>
              <w:spacing w:line="206" w:lineRule="exact"/>
              <w:ind w:right="125"/>
              <w:jc w:val="right"/>
              <w:rPr>
                <w:rFonts w:ascii="宋体" w:hAnsi="宋体" w:cs="宋体" w:eastAsia="宋体" w:hint="default"/>
                <w:sz w:val="18"/>
                <w:szCs w:val="18"/>
              </w:rPr>
            </w:pPr>
            <w:r>
              <w:rPr>
                <w:rFonts w:ascii="宋体"/>
                <w:sz w:val="18"/>
              </w:rPr>
              <w:t>165,580,169.61</w:t>
            </w:r>
          </w:p>
        </w:tc>
        <w:tc>
          <w:tcPr>
            <w:tcW w:w="1402" w:type="dxa"/>
            <w:tcBorders>
              <w:top w:val="nil" w:sz="6" w:space="0" w:color="auto"/>
              <w:left w:val="nil" w:sz="6" w:space="0" w:color="auto"/>
              <w:bottom w:val="nil" w:sz="6" w:space="0" w:color="auto"/>
              <w:right w:val="nil" w:sz="6" w:space="0" w:color="auto"/>
            </w:tcBorders>
          </w:tcPr>
          <w:p>
            <w:pPr>
              <w:pStyle w:val="TableParagraph"/>
              <w:spacing w:line="206" w:lineRule="exact"/>
              <w:ind w:right="88"/>
              <w:jc w:val="right"/>
              <w:rPr>
                <w:rFonts w:ascii="宋体" w:hAnsi="宋体" w:cs="宋体" w:eastAsia="宋体" w:hint="default"/>
                <w:sz w:val="18"/>
                <w:szCs w:val="18"/>
              </w:rPr>
            </w:pPr>
            <w:r>
              <w:rPr>
                <w:rFonts w:ascii="宋体"/>
                <w:sz w:val="18"/>
              </w:rPr>
              <w:t>59,832,076.47</w:t>
            </w:r>
          </w:p>
        </w:tc>
        <w:tc>
          <w:tcPr>
            <w:tcW w:w="1440" w:type="dxa"/>
            <w:tcBorders>
              <w:top w:val="nil" w:sz="6" w:space="0" w:color="auto"/>
              <w:left w:val="nil" w:sz="6" w:space="0" w:color="auto"/>
              <w:bottom w:val="nil" w:sz="6" w:space="0" w:color="auto"/>
              <w:right w:val="nil" w:sz="6" w:space="0" w:color="auto"/>
            </w:tcBorders>
          </w:tcPr>
          <w:p>
            <w:pPr>
              <w:pStyle w:val="TableParagraph"/>
              <w:spacing w:line="206" w:lineRule="exact"/>
              <w:ind w:right="88"/>
              <w:jc w:val="right"/>
              <w:rPr>
                <w:rFonts w:ascii="宋体" w:hAnsi="宋体" w:cs="宋体" w:eastAsia="宋体" w:hint="default"/>
                <w:sz w:val="18"/>
                <w:szCs w:val="18"/>
              </w:rPr>
            </w:pPr>
            <w:r>
              <w:rPr>
                <w:rFonts w:ascii="宋体"/>
                <w:sz w:val="18"/>
              </w:rPr>
              <w:t>4,146,666.26</w:t>
            </w:r>
          </w:p>
        </w:tc>
        <w:tc>
          <w:tcPr>
            <w:tcW w:w="1385"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sz w:val="18"/>
              </w:rPr>
              <w:t>55,685,410.21</w:t>
            </w:r>
          </w:p>
        </w:tc>
      </w:tr>
      <w:tr>
        <w:trPr>
          <w:trHeight w:val="420"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定制软件销售</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1"/>
              <w:jc w:val="right"/>
              <w:rPr>
                <w:rFonts w:ascii="宋体" w:hAnsi="宋体" w:cs="宋体" w:eastAsia="宋体" w:hint="default"/>
                <w:sz w:val="18"/>
                <w:szCs w:val="18"/>
              </w:rPr>
            </w:pPr>
            <w:r>
              <w:rPr>
                <w:rFonts w:ascii="宋体"/>
                <w:sz w:val="18"/>
              </w:rPr>
              <w:t>94,839,161.06</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宋体" w:hAnsi="宋体" w:cs="宋体" w:eastAsia="宋体" w:hint="default"/>
                <w:sz w:val="18"/>
                <w:szCs w:val="18"/>
              </w:rPr>
            </w:pPr>
            <w:r>
              <w:rPr>
                <w:rFonts w:ascii="宋体"/>
                <w:sz w:val="18"/>
              </w:rPr>
              <w:t>22,670,336.96</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sz w:val="18"/>
              </w:rPr>
              <w:t>72,168,824.10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67,923,876.86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12,357,267.34</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55,566,609.52</w:t>
            </w:r>
          </w:p>
        </w:tc>
      </w:tr>
      <w:tr>
        <w:trPr>
          <w:trHeight w:val="420"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1"/>
              <w:jc w:val="right"/>
              <w:rPr>
                <w:rFonts w:ascii="宋体" w:hAnsi="宋体" w:cs="宋体" w:eastAsia="宋体" w:hint="default"/>
                <w:sz w:val="18"/>
                <w:szCs w:val="18"/>
              </w:rPr>
            </w:pPr>
            <w:r>
              <w:rPr>
                <w:rFonts w:ascii="宋体"/>
                <w:sz w:val="18"/>
              </w:rPr>
              <w:t>20,517,098.83</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宋体" w:hAnsi="宋体" w:cs="宋体" w:eastAsia="宋体" w:hint="default"/>
                <w:sz w:val="18"/>
                <w:szCs w:val="18"/>
              </w:rPr>
            </w:pPr>
            <w:r>
              <w:rPr>
                <w:rFonts w:ascii="宋体"/>
                <w:sz w:val="18"/>
              </w:rPr>
              <w:t>17,371,916.25</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sz w:val="18"/>
              </w:rPr>
              <w:t>3,145,182.58</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36,693,107.36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30,959,420.17</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5,733,687.19</w:t>
            </w:r>
          </w:p>
        </w:tc>
      </w:tr>
      <w:tr>
        <w:trPr>
          <w:trHeight w:val="420"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外购商品销售</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1"/>
              <w:jc w:val="right"/>
              <w:rPr>
                <w:rFonts w:ascii="宋体" w:hAnsi="宋体" w:cs="宋体" w:eastAsia="宋体" w:hint="default"/>
                <w:sz w:val="18"/>
                <w:szCs w:val="18"/>
              </w:rPr>
            </w:pPr>
            <w:r>
              <w:rPr>
                <w:rFonts w:ascii="宋体"/>
                <w:sz w:val="18"/>
              </w:rPr>
              <w:t>238,726,960.59</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宋体" w:hAnsi="宋体" w:cs="宋体" w:eastAsia="宋体" w:hint="default"/>
                <w:sz w:val="18"/>
                <w:szCs w:val="18"/>
              </w:rPr>
            </w:pPr>
            <w:r>
              <w:rPr>
                <w:rFonts w:ascii="宋体"/>
                <w:sz w:val="18"/>
              </w:rPr>
              <w:t>214,350,258.61</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sz w:val="18"/>
              </w:rPr>
              <w:t>24,376,701.98</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141,942,801.79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131,024,102.24</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10,918,699.55</w:t>
            </w:r>
          </w:p>
        </w:tc>
      </w:tr>
      <w:tr>
        <w:trPr>
          <w:trHeight w:val="420"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软件服务[注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1"/>
              <w:jc w:val="right"/>
              <w:rPr>
                <w:rFonts w:ascii="宋体" w:hAnsi="宋体" w:cs="宋体" w:eastAsia="宋体" w:hint="default"/>
                <w:sz w:val="18"/>
                <w:szCs w:val="18"/>
              </w:rPr>
            </w:pPr>
            <w:r>
              <w:rPr>
                <w:rFonts w:ascii="宋体"/>
                <w:sz w:val="18"/>
              </w:rPr>
              <w:t>36,329,168.31</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宋体" w:hAnsi="宋体" w:cs="宋体" w:eastAsia="宋体" w:hint="default"/>
                <w:sz w:val="18"/>
                <w:szCs w:val="18"/>
              </w:rPr>
            </w:pPr>
            <w:r>
              <w:rPr>
                <w:rFonts w:ascii="宋体"/>
                <w:sz w:val="18"/>
              </w:rPr>
              <w:t>149,190.30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sz w:val="18"/>
              </w:rPr>
              <w:t>36,179,978.01</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t>26,635,923.23</w:t>
            </w:r>
          </w:p>
        </w:tc>
        <w:tc>
          <w:tcPr>
            <w:tcW w:w="1440"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26,635,923.23</w:t>
            </w:r>
          </w:p>
        </w:tc>
      </w:tr>
      <w:tr>
        <w:trPr>
          <w:trHeight w:val="420"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  他[注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1"/>
              <w:jc w:val="right"/>
              <w:rPr>
                <w:rFonts w:ascii="宋体" w:hAnsi="宋体" w:cs="宋体" w:eastAsia="宋体" w:hint="default"/>
                <w:sz w:val="18"/>
                <w:szCs w:val="18"/>
              </w:rPr>
            </w:pPr>
            <w:r>
              <w:rPr>
                <w:rFonts w:ascii="宋体"/>
                <w:sz w:val="18"/>
              </w:rPr>
              <w:t>10,590,216.66</w:t>
            </w:r>
          </w:p>
        </w:tc>
        <w:tc>
          <w:tcPr>
            <w:tcW w:w="1410"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5"/>
              <w:jc w:val="right"/>
              <w:rPr>
                <w:rFonts w:ascii="宋体" w:hAnsi="宋体" w:cs="宋体" w:eastAsia="宋体" w:hint="default"/>
                <w:sz w:val="18"/>
                <w:szCs w:val="18"/>
              </w:rPr>
            </w:pPr>
            <w:r>
              <w:rPr>
                <w:rFonts w:ascii="宋体"/>
                <w:sz w:val="18"/>
              </w:rPr>
              <w:t>10,590,216.66</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t>10,559,084.07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t>915,780.04</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9,643,304.03</w:t>
            </w:r>
          </w:p>
        </w:tc>
      </w:tr>
      <w:tr>
        <w:trPr>
          <w:trHeight w:val="400"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1"/>
              <w:jc w:val="right"/>
              <w:rPr>
                <w:rFonts w:ascii="宋体" w:hAnsi="宋体" w:cs="宋体" w:eastAsia="宋体" w:hint="default"/>
                <w:sz w:val="18"/>
                <w:szCs w:val="18"/>
              </w:rPr>
            </w:pPr>
            <w:r>
              <w:rPr>
                <w:rFonts w:ascii="宋体"/>
                <w:sz w:val="18"/>
              </w:rPr>
            </w:r>
            <w:r>
              <w:rPr>
                <w:rFonts w:ascii="宋体"/>
                <w:sz w:val="18"/>
                <w:u w:val="thick" w:color="000000"/>
              </w:rPr>
              <w:t>568,336,207.92</w:t>
            </w:r>
            <w:r>
              <w:rPr>
                <w:rFonts w:ascii="宋体"/>
                <w:sz w:val="18"/>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1"/>
              <w:jc w:val="right"/>
              <w:rPr>
                <w:rFonts w:ascii="宋体" w:hAnsi="宋体" w:cs="宋体" w:eastAsia="宋体" w:hint="default"/>
                <w:sz w:val="18"/>
                <w:szCs w:val="18"/>
              </w:rPr>
            </w:pPr>
            <w:r>
              <w:rPr>
                <w:rFonts w:ascii="宋体"/>
                <w:sz w:val="18"/>
              </w:rPr>
            </w:r>
            <w:r>
              <w:rPr>
                <w:rFonts w:ascii="宋体"/>
                <w:sz w:val="18"/>
                <w:u w:val="thick" w:color="000000"/>
              </w:rPr>
              <w:t>256,295,134.99</w:t>
            </w:r>
            <w:r>
              <w:rPr>
                <w:rFonts w:ascii="宋体"/>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7"/>
              <w:jc w:val="right"/>
              <w:rPr>
                <w:rFonts w:ascii="宋体" w:hAnsi="宋体" w:cs="宋体" w:eastAsia="宋体" w:hint="default"/>
                <w:sz w:val="18"/>
                <w:szCs w:val="18"/>
              </w:rPr>
            </w:pPr>
            <w:r>
              <w:rPr>
                <w:rFonts w:ascii="宋体"/>
                <w:sz w:val="18"/>
              </w:rPr>
            </w:r>
            <w:r>
              <w:rPr>
                <w:rFonts w:ascii="宋体"/>
                <w:sz w:val="18"/>
                <w:u w:val="thick" w:color="000000"/>
              </w:rPr>
              <w:t>312,041,072.94</w:t>
            </w:r>
            <w:r>
              <w:rPr>
                <w:rFonts w:ascii="宋体"/>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8"/>
              <w:jc w:val="right"/>
              <w:rPr>
                <w:rFonts w:ascii="宋体" w:hAnsi="宋体" w:cs="宋体" w:eastAsia="宋体" w:hint="default"/>
                <w:sz w:val="18"/>
                <w:szCs w:val="18"/>
              </w:rPr>
            </w:pPr>
            <w:r>
              <w:rPr>
                <w:rFonts w:ascii="宋体"/>
                <w:sz w:val="18"/>
              </w:rPr>
            </w:r>
            <w:r>
              <w:rPr>
                <w:rFonts w:ascii="宋体"/>
                <w:sz w:val="18"/>
                <w:u w:val="thick" w:color="000000"/>
              </w:rPr>
              <w:t>343,586,869.78</w:t>
            </w:r>
            <w:r>
              <w:rPr>
                <w:rFonts w:ascii="宋体"/>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8"/>
              <w:jc w:val="right"/>
              <w:rPr>
                <w:rFonts w:ascii="宋体" w:hAnsi="宋体" w:cs="宋体" w:eastAsia="宋体" w:hint="default"/>
                <w:sz w:val="18"/>
                <w:szCs w:val="18"/>
              </w:rPr>
            </w:pPr>
            <w:r>
              <w:rPr>
                <w:rFonts w:ascii="宋体"/>
                <w:sz w:val="18"/>
              </w:rPr>
            </w:r>
            <w:r>
              <w:rPr>
                <w:rFonts w:ascii="宋体"/>
                <w:sz w:val="18"/>
                <w:u w:val="thick" w:color="000000"/>
              </w:rPr>
              <w:t>179,403,236.05</w:t>
            </w:r>
            <w:r>
              <w:rPr>
                <w:rFonts w:ascii="宋体"/>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r>
            <w:r>
              <w:rPr>
                <w:rFonts w:ascii="宋体"/>
                <w:sz w:val="18"/>
                <w:u w:val="thick" w:color="000000"/>
              </w:rPr>
              <w:t>164,183,633.73</w:t>
            </w:r>
            <w:r>
              <w:rPr>
                <w:rFonts w:ascii="宋体"/>
                <w:sz w:val="18"/>
              </w:rPr>
            </w:r>
          </w:p>
        </w:tc>
      </w:tr>
    </w:tbl>
    <w:p>
      <w:pPr>
        <w:pStyle w:val="BodyText"/>
        <w:spacing w:line="384" w:lineRule="auto" w:before="60"/>
        <w:ind w:left="1637" w:right="2852"/>
        <w:jc w:val="left"/>
      </w:pPr>
      <w:r>
        <w:rPr/>
        <w:t>[注</w:t>
      </w:r>
      <w:r>
        <w:rPr>
          <w:spacing w:val="-55"/>
        </w:rPr>
        <w:t> </w:t>
      </w:r>
      <w:r>
        <w:rPr/>
        <w:t>1]：软件服务收入相关的维护费用在“销售费用”科目核算。</w:t>
      </w:r>
      <w:r>
        <w:rPr/>
        <w:t> [注</w:t>
      </w:r>
      <w:r>
        <w:rPr>
          <w:spacing w:val="-55"/>
        </w:rPr>
        <w:t> </w:t>
      </w:r>
      <w:r>
        <w:rPr/>
        <w:t>2]：其他收入主要系技术服务费收入。</w:t>
      </w:r>
    </w:p>
    <w:p>
      <w:pPr>
        <w:pStyle w:val="BodyText"/>
        <w:spacing w:line="240" w:lineRule="auto" w:before="38"/>
        <w:ind w:left="1742" w:right="2852"/>
        <w:jc w:val="left"/>
      </w:pPr>
      <w:r>
        <w:rPr/>
        <w:t>(3)</w:t>
      </w:r>
      <w:r>
        <w:rPr>
          <w:spacing w:val="-2"/>
        </w:rPr>
        <w:t> </w:t>
      </w:r>
      <w:r>
        <w:rPr/>
        <w:t>销售收入前五名情况</w:t>
      </w:r>
    </w:p>
    <w:p>
      <w:pPr>
        <w:spacing w:line="240" w:lineRule="auto" w:before="9"/>
        <w:rPr>
          <w:rFonts w:ascii="宋体" w:hAnsi="宋体" w:cs="宋体" w:eastAsia="宋体" w:hint="default"/>
          <w:sz w:val="4"/>
          <w:szCs w:val="4"/>
        </w:rPr>
      </w:pPr>
    </w:p>
    <w:tbl>
      <w:tblPr>
        <w:tblW w:w="0" w:type="auto"/>
        <w:jc w:val="left"/>
        <w:tblInd w:w="1830" w:type="dxa"/>
        <w:tblLayout w:type="fixed"/>
        <w:tblCellMar>
          <w:top w:w="0" w:type="dxa"/>
          <w:left w:w="0" w:type="dxa"/>
          <w:bottom w:w="0" w:type="dxa"/>
          <w:right w:w="0" w:type="dxa"/>
        </w:tblCellMar>
        <w:tblLook w:val="01E0"/>
      </w:tblPr>
      <w:tblGrid>
        <w:gridCol w:w="2949"/>
        <w:gridCol w:w="2092"/>
        <w:gridCol w:w="1943"/>
      </w:tblGrid>
      <w:tr>
        <w:trPr>
          <w:trHeight w:val="439" w:hRule="exact"/>
        </w:trPr>
        <w:tc>
          <w:tcPr>
            <w:tcW w:w="2949"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7"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8"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名客户销售的收入总额</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5"/>
              <w:jc w:val="center"/>
              <w:rPr>
                <w:rFonts w:ascii="宋体" w:hAnsi="宋体" w:cs="宋体" w:eastAsia="宋体" w:hint="default"/>
                <w:sz w:val="21"/>
                <w:szCs w:val="21"/>
              </w:rPr>
            </w:pPr>
            <w:r>
              <w:rPr>
                <w:rFonts w:ascii="宋体"/>
                <w:sz w:val="21"/>
              </w:rPr>
              <w:t>57,361,437.15</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7" w:right="0"/>
              <w:jc w:val="center"/>
              <w:rPr>
                <w:rFonts w:ascii="宋体" w:hAnsi="宋体" w:cs="宋体" w:eastAsia="宋体" w:hint="default"/>
                <w:sz w:val="21"/>
                <w:szCs w:val="21"/>
              </w:rPr>
            </w:pPr>
            <w:r>
              <w:rPr>
                <w:rFonts w:ascii="宋体"/>
                <w:sz w:val="21"/>
              </w:rPr>
              <w:t>46,432,789.57</w:t>
            </w:r>
          </w:p>
        </w:tc>
      </w:tr>
      <w:tr>
        <w:trPr>
          <w:trHeight w:val="439"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占当年营业收入比例</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1"/>
              <w:jc w:val="center"/>
              <w:rPr>
                <w:rFonts w:ascii="宋体" w:hAnsi="宋体" w:cs="宋体" w:eastAsia="宋体" w:hint="default"/>
                <w:sz w:val="21"/>
                <w:szCs w:val="21"/>
              </w:rPr>
            </w:pPr>
            <w:r>
              <w:rPr>
                <w:rFonts w:ascii="宋体"/>
                <w:sz w:val="21"/>
              </w:rPr>
              <w:t>10.02%</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5" w:right="0"/>
              <w:jc w:val="center"/>
              <w:rPr>
                <w:rFonts w:ascii="宋体" w:hAnsi="宋体" w:cs="宋体" w:eastAsia="宋体" w:hint="default"/>
                <w:sz w:val="21"/>
                <w:szCs w:val="21"/>
              </w:rPr>
            </w:pPr>
            <w:r>
              <w:rPr>
                <w:rFonts w:ascii="宋体"/>
                <w:sz w:val="21"/>
              </w:rPr>
              <w:t>13.43%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tbl>
      <w:tblPr>
        <w:tblW w:w="0" w:type="auto"/>
        <w:jc w:val="left"/>
        <w:tblInd w:w="1602" w:type="dxa"/>
        <w:tblLayout w:type="fixed"/>
        <w:tblCellMar>
          <w:top w:w="0" w:type="dxa"/>
          <w:left w:w="0" w:type="dxa"/>
          <w:bottom w:w="0" w:type="dxa"/>
          <w:right w:w="0" w:type="dxa"/>
        </w:tblCellMar>
        <w:tblLook w:val="01E0"/>
      </w:tblPr>
      <w:tblGrid>
        <w:gridCol w:w="2380"/>
        <w:gridCol w:w="2365"/>
        <w:gridCol w:w="2645"/>
      </w:tblGrid>
      <w:tr>
        <w:trPr>
          <w:trHeight w:val="415"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营业税金及附加</w:t>
            </w:r>
          </w:p>
        </w:tc>
        <w:tc>
          <w:tcPr>
            <w:tcW w:w="2365" w:type="dxa"/>
            <w:tcBorders>
              <w:top w:val="nil" w:sz="6" w:space="0" w:color="auto"/>
              <w:left w:val="nil" w:sz="6" w:space="0" w:color="auto"/>
              <w:bottom w:val="nil" w:sz="6" w:space="0" w:color="auto"/>
              <w:right w:val="nil" w:sz="6" w:space="0" w:color="auto"/>
            </w:tcBorders>
          </w:tcPr>
          <w:p>
            <w:pP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0"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11,762,279.04</w:t>
            </w:r>
          </w:p>
        </w:tc>
      </w:tr>
      <w:tr>
        <w:trPr>
          <w:trHeight w:val="420"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65" w:type="dxa"/>
            <w:tcBorders>
              <w:top w:val="nil" w:sz="6" w:space="0" w:color="auto"/>
              <w:left w:val="nil" w:sz="6" w:space="0" w:color="auto"/>
              <w:bottom w:val="nil" w:sz="6" w:space="0" w:color="auto"/>
              <w:right w:val="nil" w:sz="6" w:space="0" w:color="auto"/>
            </w:tcBorders>
          </w:tcPr>
          <w:p>
            <w:pPr/>
          </w:p>
        </w:tc>
        <w:tc>
          <w:tcPr>
            <w:tcW w:w="2645" w:type="dxa"/>
            <w:tcBorders>
              <w:top w:val="nil" w:sz="6" w:space="0" w:color="auto"/>
              <w:left w:val="nil" w:sz="6" w:space="0" w:color="auto"/>
              <w:bottom w:val="nil" w:sz="6" w:space="0" w:color="auto"/>
              <w:right w:val="nil" w:sz="6" w:space="0" w:color="auto"/>
            </w:tcBorders>
          </w:tcPr>
          <w:p>
            <w:pPr/>
          </w:p>
        </w:tc>
      </w:tr>
      <w:tr>
        <w:trPr>
          <w:trHeight w:val="420" w:hRule="exact"/>
        </w:trPr>
        <w:tc>
          <w:tcPr>
            <w:tcW w:w="238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1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3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20"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33"/>
              <w:jc w:val="right"/>
              <w:rPr>
                <w:rFonts w:ascii="宋体" w:hAnsi="宋体" w:cs="宋体" w:eastAsia="宋体" w:hint="default"/>
                <w:sz w:val="21"/>
                <w:szCs w:val="21"/>
              </w:rPr>
            </w:pPr>
            <w:r>
              <w:rPr>
                <w:rFonts w:ascii="宋体"/>
                <w:spacing w:val="-1"/>
                <w:sz w:val="21"/>
              </w:rPr>
              <w:t>5,978,719.58</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1" w:right="0"/>
              <w:jc w:val="left"/>
              <w:rPr>
                <w:rFonts w:ascii="宋体" w:hAnsi="宋体" w:cs="宋体" w:eastAsia="宋体" w:hint="default"/>
                <w:sz w:val="21"/>
                <w:szCs w:val="21"/>
              </w:rPr>
            </w:pPr>
            <w:r>
              <w:rPr>
                <w:rFonts w:ascii="宋体"/>
                <w:sz w:val="21"/>
              </w:rPr>
              <w:t>2,671,143.49</w:t>
            </w:r>
          </w:p>
        </w:tc>
      </w:tr>
      <w:tr>
        <w:trPr>
          <w:trHeight w:val="420"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31"/>
              <w:jc w:val="right"/>
              <w:rPr>
                <w:rFonts w:ascii="宋体" w:hAnsi="宋体" w:cs="宋体" w:eastAsia="宋体" w:hint="default"/>
                <w:sz w:val="21"/>
                <w:szCs w:val="21"/>
              </w:rPr>
            </w:pPr>
            <w:r>
              <w:rPr>
                <w:rFonts w:ascii="宋体"/>
                <w:spacing w:val="-1"/>
                <w:sz w:val="21"/>
              </w:rPr>
              <w:t>575,185.49</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31" w:right="0"/>
              <w:jc w:val="left"/>
              <w:rPr>
                <w:rFonts w:ascii="宋体" w:hAnsi="宋体" w:cs="宋体" w:eastAsia="宋体" w:hint="default"/>
                <w:sz w:val="21"/>
                <w:szCs w:val="21"/>
              </w:rPr>
            </w:pPr>
            <w:r>
              <w:rPr>
                <w:rFonts w:ascii="宋体"/>
                <w:sz w:val="21"/>
              </w:rPr>
              <w:t>272,402.54</w:t>
            </w:r>
          </w:p>
        </w:tc>
      </w:tr>
      <w:tr>
        <w:trPr>
          <w:trHeight w:val="420"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33"/>
              <w:jc w:val="right"/>
              <w:rPr>
                <w:rFonts w:ascii="宋体" w:hAnsi="宋体" w:cs="宋体" w:eastAsia="宋体" w:hint="default"/>
                <w:sz w:val="21"/>
                <w:szCs w:val="21"/>
              </w:rPr>
            </w:pPr>
            <w:r>
              <w:rPr>
                <w:rFonts w:ascii="宋体"/>
                <w:spacing w:val="-1"/>
                <w:sz w:val="21"/>
              </w:rPr>
              <w:t>3,038,696.97</w:t>
            </w:r>
            <w:r>
              <w:rPr>
                <w:rFonts w:ascii="宋体"/>
                <w:sz w:val="21"/>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1" w:right="0"/>
              <w:jc w:val="left"/>
              <w:rPr>
                <w:rFonts w:ascii="宋体" w:hAnsi="宋体" w:cs="宋体" w:eastAsia="宋体" w:hint="default"/>
                <w:sz w:val="21"/>
                <w:szCs w:val="21"/>
              </w:rPr>
            </w:pPr>
            <w:r>
              <w:rPr>
                <w:rFonts w:ascii="宋体"/>
                <w:sz w:val="21"/>
              </w:rPr>
              <w:t>1,426,826.16</w:t>
            </w:r>
          </w:p>
        </w:tc>
      </w:tr>
      <w:tr>
        <w:trPr>
          <w:trHeight w:val="420"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33"/>
              <w:jc w:val="right"/>
              <w:rPr>
                <w:rFonts w:ascii="宋体" w:hAnsi="宋体" w:cs="宋体" w:eastAsia="宋体" w:hint="default"/>
                <w:sz w:val="21"/>
                <w:szCs w:val="21"/>
              </w:rPr>
            </w:pPr>
            <w:r>
              <w:rPr>
                <w:rFonts w:ascii="宋体"/>
                <w:spacing w:val="-1"/>
                <w:sz w:val="21"/>
              </w:rPr>
              <w:t>1,355,726.53</w:t>
            </w:r>
            <w:r>
              <w:rPr>
                <w:rFonts w:ascii="宋体"/>
                <w:sz w:val="21"/>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31" w:right="0"/>
              <w:jc w:val="left"/>
              <w:rPr>
                <w:rFonts w:ascii="宋体" w:hAnsi="宋体" w:cs="宋体" w:eastAsia="宋体" w:hint="default"/>
                <w:sz w:val="21"/>
                <w:szCs w:val="21"/>
              </w:rPr>
            </w:pPr>
            <w:r>
              <w:rPr>
                <w:rFonts w:ascii="宋体"/>
                <w:sz w:val="21"/>
              </w:rPr>
              <w:t>611,205.90</w:t>
            </w:r>
          </w:p>
        </w:tc>
      </w:tr>
      <w:tr>
        <w:trPr>
          <w:trHeight w:val="420"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31"/>
              <w:jc w:val="right"/>
              <w:rPr>
                <w:rFonts w:ascii="宋体" w:hAnsi="宋体" w:cs="宋体" w:eastAsia="宋体" w:hint="default"/>
                <w:sz w:val="21"/>
                <w:szCs w:val="21"/>
              </w:rPr>
            </w:pPr>
            <w:r>
              <w:rPr>
                <w:rFonts w:ascii="宋体"/>
                <w:sz w:val="21"/>
              </w:rPr>
              <w:t>813,950.47</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31" w:right="0"/>
              <w:jc w:val="left"/>
              <w:rPr>
                <w:rFonts w:ascii="宋体" w:hAnsi="宋体" w:cs="宋体" w:eastAsia="宋体" w:hint="default"/>
                <w:sz w:val="21"/>
                <w:szCs w:val="21"/>
              </w:rPr>
            </w:pPr>
            <w:r>
              <w:rPr>
                <w:rFonts w:ascii="宋体"/>
                <w:sz w:val="21"/>
              </w:rPr>
              <w:t>397,844.11</w:t>
            </w:r>
          </w:p>
        </w:tc>
      </w:tr>
      <w:tr>
        <w:trPr>
          <w:trHeight w:val="415" w:hRule="exact"/>
        </w:trPr>
        <w:tc>
          <w:tcPr>
            <w:tcW w:w="2380"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40"/>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36"/>
              <w:jc w:val="right"/>
              <w:rPr>
                <w:rFonts w:ascii="宋体" w:hAnsi="宋体" w:cs="宋体" w:eastAsia="宋体" w:hint="default"/>
                <w:sz w:val="21"/>
                <w:szCs w:val="21"/>
              </w:rPr>
            </w:pPr>
            <w:r>
              <w:rPr>
                <w:rFonts w:ascii="宋体"/>
                <w:sz w:val="21"/>
              </w:rPr>
            </w:r>
            <w:r>
              <w:rPr>
                <w:rFonts w:ascii="宋体"/>
                <w:spacing w:val="-1"/>
                <w:sz w:val="21"/>
                <w:u w:val="thick" w:color="000000"/>
              </w:rPr>
              <w:t>11,762,279.04</w:t>
            </w:r>
            <w:r>
              <w:rPr>
                <w:rFonts w:ascii="宋体"/>
                <w:spacing w:val="-1"/>
                <w:sz w:val="21"/>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1" w:right="0"/>
              <w:jc w:val="left"/>
              <w:rPr>
                <w:rFonts w:ascii="宋体" w:hAnsi="宋体" w:cs="宋体" w:eastAsia="宋体" w:hint="default"/>
                <w:sz w:val="21"/>
                <w:szCs w:val="21"/>
              </w:rPr>
            </w:pPr>
            <w:r>
              <w:rPr>
                <w:rFonts w:ascii="宋体"/>
                <w:sz w:val="21"/>
              </w:rPr>
            </w:r>
            <w:r>
              <w:rPr>
                <w:rFonts w:ascii="宋体"/>
                <w:sz w:val="21"/>
                <w:u w:val="thick" w:color="000000"/>
              </w:rPr>
              <w:t>5,379,422.20</w:t>
            </w:r>
            <w:r>
              <w:rPr>
                <w:rFonts w:ascii="宋体"/>
                <w:sz w:val="21"/>
              </w:rPr>
            </w:r>
          </w:p>
        </w:tc>
      </w:tr>
    </w:tbl>
    <w:p>
      <w:pPr>
        <w:spacing w:after="0" w:line="240" w:lineRule="auto"/>
        <w:jc w:val="left"/>
        <w:rPr>
          <w:rFonts w:ascii="宋体" w:hAnsi="宋体" w:cs="宋体" w:eastAsia="宋体" w:hint="default"/>
          <w:sz w:val="21"/>
          <w:szCs w:val="21"/>
        </w:rPr>
        <w:sectPr>
          <w:pgSz w:w="11910" w:h="16840"/>
          <w:pgMar w:header="0" w:footer="1263" w:top="1480" w:bottom="1460" w:left="580" w:right="780"/>
        </w:sectPr>
      </w:pPr>
    </w:p>
    <w:p>
      <w:pPr>
        <w:pStyle w:val="BodyText"/>
        <w:spacing w:line="367" w:lineRule="auto" w:before="13"/>
        <w:ind w:left="537" w:right="200"/>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营业税金及附加本期数较上年同期数增长</w:t>
      </w:r>
      <w:r>
        <w:rPr>
          <w:spacing w:val="-63"/>
        </w:rPr>
        <w:t> </w:t>
      </w:r>
      <w:r>
        <w:rPr/>
        <w:t>118.65%，主要系公司本期营业收入增长，营业</w:t>
      </w:r>
    </w:p>
    <w:p>
      <w:pPr>
        <w:pStyle w:val="BodyText"/>
        <w:spacing w:line="240" w:lineRule="auto" w:before="34"/>
        <w:ind w:right="95"/>
        <w:jc w:val="left"/>
      </w:pPr>
      <w:r>
        <w:rPr/>
        <w:t>税金及附加相应增加。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808" w:val="left" w:leader="none"/>
        </w:tabs>
        <w:spacing w:line="240" w:lineRule="auto" w:before="0"/>
        <w:ind w:left="537" w:right="95"/>
        <w:jc w:val="left"/>
      </w:pPr>
      <w:r>
        <w:rPr/>
        <w:t>3. 销售费用</w:t>
        <w:tab/>
        <w:t>本期数</w:t>
      </w:r>
      <w:r>
        <w:rPr>
          <w:spacing w:val="-53"/>
        </w:rPr>
        <w:t> </w:t>
      </w:r>
      <w:r>
        <w:rPr/>
        <w:t>91,776,583.97</w:t>
      </w:r>
    </w:p>
    <w:p>
      <w:pPr>
        <w:pStyle w:val="BodyText"/>
        <w:spacing w:line="367" w:lineRule="auto"/>
        <w:ind w:left="537" w:right="94"/>
        <w:jc w:val="left"/>
      </w:pPr>
      <w:r>
        <w:rPr/>
        <w:t>变动幅度超过</w:t>
      </w:r>
      <w:r>
        <w:rPr>
          <w:spacing w:val="-54"/>
        </w:rPr>
        <w:t> </w:t>
      </w:r>
      <w:r>
        <w:rPr/>
        <w:t>30%（含</w:t>
      </w:r>
      <w:r>
        <w:rPr>
          <w:spacing w:val="-55"/>
        </w:rPr>
        <w:t> </w:t>
      </w:r>
      <w:r>
        <w:rPr/>
        <w:t>30%）或占利润总额</w:t>
      </w:r>
      <w:r>
        <w:rPr>
          <w:spacing w:val="-54"/>
        </w:rPr>
        <w:t> </w:t>
      </w:r>
      <w:r>
        <w:rPr/>
        <w:t>10%（含</w:t>
      </w:r>
      <w:r>
        <w:rPr>
          <w:spacing w:val="-54"/>
        </w:rPr>
        <w:t> </w:t>
      </w:r>
      <w:r>
        <w:rPr/>
        <w:t>10%）以上的原因说明</w:t>
      </w:r>
      <w:r>
        <w:rPr/>
        <w:t> 销售费用本期数较上年同期数增长</w:t>
      </w:r>
      <w:r>
        <w:rPr>
          <w:spacing w:val="-62"/>
        </w:rPr>
        <w:t> </w:t>
      </w:r>
      <w:r>
        <w:rPr/>
        <w:t>69.63%，主要系公司及控股子公司本期业务规模扩大，</w:t>
      </w:r>
    </w:p>
    <w:p>
      <w:pPr>
        <w:pStyle w:val="BodyText"/>
        <w:spacing w:line="240" w:lineRule="auto" w:before="34"/>
        <w:ind w:right="95"/>
        <w:jc w:val="left"/>
      </w:pPr>
      <w:r>
        <w:rPr/>
        <w:t>相应销售人员工资和市场营销费用等支出增加。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704" w:val="left" w:leader="none"/>
        </w:tabs>
        <w:spacing w:line="240" w:lineRule="auto" w:before="0"/>
        <w:ind w:left="537" w:right="95"/>
        <w:jc w:val="left"/>
      </w:pPr>
      <w:r>
        <w:rPr/>
        <w:t>4. 管理费用</w:t>
        <w:tab/>
        <w:t>本期数</w:t>
      </w:r>
      <w:r>
        <w:rPr>
          <w:spacing w:val="-53"/>
        </w:rPr>
        <w:t> </w:t>
      </w:r>
      <w:r>
        <w:rPr/>
        <w:t>146,573,984.31</w:t>
      </w:r>
    </w:p>
    <w:p>
      <w:pPr>
        <w:pStyle w:val="BodyText"/>
        <w:spacing w:line="367" w:lineRule="auto"/>
        <w:ind w:left="537" w:right="206"/>
        <w:jc w:val="left"/>
      </w:pPr>
      <w:r>
        <w:rPr/>
        <w:t>变动幅度超过</w:t>
      </w:r>
      <w:r>
        <w:rPr>
          <w:spacing w:val="-54"/>
        </w:rPr>
        <w:t> </w:t>
      </w:r>
      <w:r>
        <w:rPr/>
        <w:t>30%（含</w:t>
      </w:r>
      <w:r>
        <w:rPr>
          <w:spacing w:val="-55"/>
        </w:rPr>
        <w:t> </w:t>
      </w:r>
      <w:r>
        <w:rPr/>
        <w:t>30%）或占利润总额</w:t>
      </w:r>
      <w:r>
        <w:rPr>
          <w:spacing w:val="-54"/>
        </w:rPr>
        <w:t> </w:t>
      </w:r>
      <w:r>
        <w:rPr/>
        <w:t>10%（含</w:t>
      </w:r>
      <w:r>
        <w:rPr>
          <w:spacing w:val="-54"/>
        </w:rPr>
        <w:t> </w:t>
      </w:r>
      <w:r>
        <w:rPr/>
        <w:t>10%）以上的原因说明</w:t>
      </w:r>
      <w:r>
        <w:rPr/>
        <w:t> 管理费用本期数较上年同期数增加</w:t>
      </w:r>
      <w:r>
        <w:rPr>
          <w:spacing w:val="36"/>
        </w:rPr>
        <w:t> </w:t>
      </w:r>
      <w:r>
        <w:rPr/>
        <w:t>59.36%，主要系公司本期技术研发投入及员工工资等</w:t>
      </w:r>
    </w:p>
    <w:p>
      <w:pPr>
        <w:pStyle w:val="BodyText"/>
        <w:spacing w:line="240" w:lineRule="auto" w:before="34"/>
        <w:ind w:right="95"/>
        <w:jc w:val="left"/>
      </w:pPr>
      <w:r>
        <w:rPr/>
        <w:t>支出增加。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5914" w:val="left" w:leader="none"/>
        </w:tabs>
        <w:spacing w:line="240" w:lineRule="auto" w:before="0"/>
        <w:ind w:left="537" w:right="95"/>
        <w:jc w:val="left"/>
      </w:pPr>
      <w:r>
        <w:rPr/>
        <w:t>5. 财务费用</w:t>
        <w:tab/>
        <w:t>本期数</w:t>
      </w:r>
      <w:r>
        <w:rPr>
          <w:spacing w:val="-53"/>
        </w:rPr>
        <w:t> </w:t>
      </w:r>
      <w:r>
        <w:rPr/>
        <w:t>2,441,059.62</w:t>
      </w:r>
    </w:p>
    <w:p>
      <w:pPr>
        <w:pStyle w:val="BodyText"/>
        <w:spacing w:line="367" w:lineRule="auto"/>
        <w:ind w:left="537" w:right="95"/>
        <w:jc w:val="left"/>
      </w:pPr>
      <w:r>
        <w:rPr/>
        <w:t>变动幅度超过</w:t>
      </w:r>
      <w:r>
        <w:rPr>
          <w:spacing w:val="-54"/>
        </w:rPr>
        <w:t> </w:t>
      </w:r>
      <w:r>
        <w:rPr/>
        <w:t>30%（含</w:t>
      </w:r>
      <w:r>
        <w:rPr>
          <w:spacing w:val="-55"/>
        </w:rPr>
        <w:t> </w:t>
      </w:r>
      <w:r>
        <w:rPr/>
        <w:t>30%）或占利润总额</w:t>
      </w:r>
      <w:r>
        <w:rPr>
          <w:spacing w:val="-54"/>
        </w:rPr>
        <w:t> </w:t>
      </w:r>
      <w:r>
        <w:rPr/>
        <w:t>10%（含</w:t>
      </w:r>
      <w:r>
        <w:rPr>
          <w:spacing w:val="-54"/>
        </w:rPr>
        <w:t> </w:t>
      </w:r>
      <w:r>
        <w:rPr/>
        <w:t>10%）以上的原因说明</w:t>
      </w:r>
      <w:r>
        <w:rPr/>
        <w:t> </w:t>
      </w:r>
      <w:r>
        <w:rPr>
          <w:spacing w:val="-10"/>
        </w:rPr>
        <w:t>财务费用本期数较上年同期数大幅增加，主要系公司本期银行借款增加，相应利息支出增加。</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5914" w:val="left" w:leader="none"/>
        </w:tabs>
        <w:spacing w:line="240" w:lineRule="auto" w:before="0"/>
        <w:ind w:left="537" w:right="95"/>
        <w:jc w:val="left"/>
      </w:pPr>
      <w:r>
        <w:rPr/>
        <w:t>6.</w:t>
      </w:r>
      <w:r>
        <w:rPr>
          <w:spacing w:val="-2"/>
        </w:rPr>
        <w:t> </w:t>
      </w:r>
      <w:r>
        <w:rPr/>
        <w:t>资产减值损失</w:t>
        <w:tab/>
        <w:t>本期数</w:t>
      </w:r>
      <w:r>
        <w:rPr>
          <w:spacing w:val="-53"/>
        </w:rPr>
        <w:t> </w:t>
      </w:r>
      <w:r>
        <w:rPr/>
        <w:t>4,741,569.08</w:t>
      </w:r>
    </w:p>
    <w:p>
      <w:pPr>
        <w:pStyle w:val="BodyText"/>
        <w:spacing w:line="240" w:lineRule="auto"/>
        <w:ind w:left="537" w:right="95"/>
        <w:jc w:val="left"/>
      </w:pPr>
      <w:r>
        <w:rPr/>
        <w:t>(1)</w:t>
      </w:r>
      <w:r>
        <w:rPr>
          <w:spacing w:val="-2"/>
        </w:rPr>
        <w:t> </w:t>
      </w:r>
      <w:r>
        <w:rPr/>
        <w:t>明细情况</w:t>
      </w:r>
    </w:p>
    <w:p>
      <w:pPr>
        <w:pStyle w:val="BodyText"/>
        <w:tabs>
          <w:tab w:pos="1167" w:val="left" w:leader="none"/>
          <w:tab w:pos="4001" w:val="left" w:leader="none"/>
          <w:tab w:pos="6310" w:val="left" w:leader="none"/>
        </w:tabs>
        <w:spacing w:line="240" w:lineRule="auto"/>
        <w:ind w:left="747" w:right="95"/>
        <w:jc w:val="left"/>
      </w:pPr>
      <w:r>
        <w:rPr/>
        <w:t>项</w:t>
        <w:tab/>
        <w:t>目</w:t>
        <w:tab/>
      </w:r>
      <w:r>
        <w:rPr>
          <w:spacing w:val="-1"/>
        </w:rPr>
        <w:t>本期数</w:t>
        <w:tab/>
        <w:t>上年同期数</w:t>
      </w:r>
    </w:p>
    <w:p>
      <w:pPr>
        <w:spacing w:line="240" w:lineRule="auto" w:before="5"/>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2392"/>
        <w:gridCol w:w="2562"/>
        <w:gridCol w:w="1921"/>
      </w:tblGrid>
      <w:tr>
        <w:trPr>
          <w:trHeight w:val="415"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4"/>
              <w:jc w:val="right"/>
              <w:rPr>
                <w:rFonts w:ascii="宋体" w:hAnsi="宋体" w:cs="宋体" w:eastAsia="宋体" w:hint="default"/>
                <w:sz w:val="21"/>
                <w:szCs w:val="21"/>
              </w:rPr>
            </w:pPr>
            <w:r>
              <w:rPr>
                <w:rFonts w:ascii="宋体"/>
                <w:spacing w:val="-1"/>
                <w:sz w:val="21"/>
              </w:rPr>
              <w:t>4,308,711.20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6,313,555.18</w:t>
            </w:r>
          </w:p>
        </w:tc>
      </w:tr>
      <w:tr>
        <w:trPr>
          <w:trHeight w:val="420"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2"/>
              <w:jc w:val="right"/>
              <w:rPr>
                <w:rFonts w:ascii="宋体" w:hAnsi="宋体" w:cs="宋体" w:eastAsia="宋体" w:hint="default"/>
                <w:sz w:val="21"/>
                <w:szCs w:val="21"/>
              </w:rPr>
            </w:pPr>
            <w:r>
              <w:rPr>
                <w:rFonts w:ascii="宋体"/>
                <w:spacing w:val="-1"/>
                <w:sz w:val="21"/>
              </w:rPr>
              <w:t>432,857.88</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113,374.86</w:t>
            </w:r>
          </w:p>
        </w:tc>
      </w:tr>
      <w:tr>
        <w:trPr>
          <w:trHeight w:val="420"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25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2,776,666.83</w:t>
            </w:r>
          </w:p>
        </w:tc>
      </w:tr>
      <w:tr>
        <w:trPr>
          <w:trHeight w:val="415" w:hRule="exact"/>
        </w:trPr>
        <w:tc>
          <w:tcPr>
            <w:tcW w:w="2392"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4"/>
              <w:jc w:val="right"/>
              <w:rPr>
                <w:rFonts w:ascii="宋体" w:hAnsi="宋体" w:cs="宋体" w:eastAsia="宋体" w:hint="default"/>
                <w:sz w:val="21"/>
                <w:szCs w:val="21"/>
              </w:rPr>
            </w:pPr>
            <w:r>
              <w:rPr>
                <w:rFonts w:ascii="宋体"/>
                <w:sz w:val="21"/>
              </w:rPr>
            </w:r>
            <w:r>
              <w:rPr>
                <w:rFonts w:ascii="宋体"/>
                <w:spacing w:val="-1"/>
                <w:sz w:val="21"/>
                <w:u w:val="thick" w:color="000000"/>
              </w:rPr>
              <w:t>4,741,569.08</w:t>
            </w:r>
            <w:r>
              <w:rPr>
                <w:rFonts w:ascii="宋体"/>
                <w:spacing w:val="-1"/>
                <w:sz w:val="21"/>
              </w:rPr>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r>
            <w:r>
              <w:rPr>
                <w:rFonts w:ascii="宋体"/>
                <w:spacing w:val="-1"/>
                <w:sz w:val="21"/>
                <w:u w:val="thick" w:color="000000"/>
              </w:rPr>
              <w:t>9,203,596.87</w:t>
            </w:r>
            <w:r>
              <w:rPr>
                <w:rFonts w:ascii="宋体"/>
                <w:spacing w:val="-1"/>
                <w:sz w:val="21"/>
              </w:rPr>
            </w:r>
          </w:p>
        </w:tc>
      </w:tr>
    </w:tbl>
    <w:p>
      <w:pPr>
        <w:pStyle w:val="BodyText"/>
        <w:spacing w:line="367" w:lineRule="auto" w:before="45"/>
        <w:ind w:left="537" w:right="205"/>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资产减值损失本期数较上年同期数下降</w:t>
      </w:r>
      <w:r>
        <w:rPr>
          <w:spacing w:val="37"/>
        </w:rPr>
        <w:t> </w:t>
      </w:r>
      <w:r>
        <w:rPr/>
        <w:t>48.48%，主要系公司本期应收款项的坏账损失和</w:t>
      </w:r>
    </w:p>
    <w:p>
      <w:pPr>
        <w:pStyle w:val="BodyText"/>
        <w:spacing w:line="240" w:lineRule="auto" w:before="34"/>
        <w:ind w:right="95"/>
        <w:jc w:val="left"/>
      </w:pPr>
      <w:r>
        <w:rPr/>
        <w:t>无形资产减值损失减少。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1273" w:val="left" w:leader="none"/>
          <w:tab w:pos="3688" w:val="left" w:leader="none"/>
          <w:tab w:pos="5786" w:val="left" w:leader="none"/>
          <w:tab w:pos="5914" w:val="left" w:leader="none"/>
        </w:tabs>
        <w:spacing w:line="367" w:lineRule="auto" w:before="0"/>
        <w:ind w:left="853" w:right="1025" w:hanging="316"/>
        <w:jc w:val="left"/>
      </w:pPr>
      <w:r>
        <w:rPr/>
        <w:t>7.</w:t>
      </w:r>
      <w:r>
        <w:rPr>
          <w:spacing w:val="-2"/>
        </w:rPr>
        <w:t> </w:t>
      </w:r>
      <w:r>
        <w:rPr/>
        <w:t>公允价值变动收益</w:t>
        <w:tab/>
        <w:tab/>
        <w:tab/>
        <w:t>本期数</w:t>
      </w:r>
      <w:r>
        <w:rPr>
          <w:spacing w:val="-53"/>
        </w:rPr>
        <w:t> </w:t>
      </w:r>
      <w:r>
        <w:rPr/>
        <w:t>8,705,551.56</w:t>
      </w:r>
      <w:r>
        <w:rPr/>
        <w:t> 项</w:t>
        <w:tab/>
        <w:t>目</w:t>
        <w:tab/>
        <w:t>本期数</w:t>
        <w:tab/>
        <w:t>上年同期数</w:t>
      </w:r>
    </w:p>
    <w:p>
      <w:pPr>
        <w:pStyle w:val="BodyText"/>
        <w:tabs>
          <w:tab w:pos="3249" w:val="left" w:leader="none"/>
          <w:tab w:pos="5663" w:val="left" w:leader="none"/>
        </w:tabs>
        <w:spacing w:line="240" w:lineRule="auto" w:before="34"/>
        <w:ind w:left="585" w:right="95"/>
        <w:jc w:val="left"/>
      </w:pPr>
      <w:r>
        <w:rPr/>
        <w:t>交易性金融资产收益</w:t>
        <w:tab/>
      </w:r>
      <w:r>
        <w:rPr>
          <w:spacing w:val="-1"/>
        </w:rPr>
        <w:t>8,705,551.56</w:t>
        <w:tab/>
        <w:t>15,277,840.19</w:t>
      </w:r>
    </w:p>
    <w:p>
      <w:pPr>
        <w:pStyle w:val="BodyText"/>
        <w:tabs>
          <w:tab w:pos="1216" w:val="left" w:leader="none"/>
          <w:tab w:pos="3249" w:val="left" w:leader="none"/>
          <w:tab w:pos="5663" w:val="left" w:leader="none"/>
        </w:tabs>
        <w:spacing w:line="240" w:lineRule="auto"/>
        <w:ind w:left="795" w:right="95"/>
        <w:jc w:val="left"/>
      </w:pPr>
      <w:r>
        <w:rPr/>
        <w:t>合</w:t>
        <w:tab/>
        <w:t>计</w:t>
        <w:tab/>
      </w:r>
      <w:r>
        <w:rPr>
          <w:spacing w:val="-1"/>
          <w:u w:val="thick" w:color="000000"/>
        </w:rPr>
        <w:t>8,705,551.56</w:t>
      </w:r>
      <w:r>
        <w:rPr>
          <w:spacing w:val="-1"/>
        </w:rPr>
        <w:tab/>
      </w:r>
      <w:r>
        <w:rPr>
          <w:spacing w:val="-1"/>
          <w:u w:val="thick" w:color="000000"/>
        </w:rPr>
        <w:t>15,277,840.19</w:t>
      </w:r>
      <w:r>
        <w:rPr>
          <w:spacing w:val="-1"/>
        </w:rPr>
      </w:r>
    </w:p>
    <w:p>
      <w:pPr>
        <w:spacing w:after="0" w:line="240" w:lineRule="auto"/>
        <w:jc w:val="left"/>
        <w:sectPr>
          <w:pgSz w:w="11910" w:h="16840"/>
          <w:pgMar w:header="0" w:footer="1263" w:top="1540" w:bottom="1460" w:left="1680" w:right="1340"/>
        </w:sectPr>
      </w:pPr>
    </w:p>
    <w:p>
      <w:pPr>
        <w:spacing w:line="240" w:lineRule="auto" w:before="13"/>
        <w:rPr>
          <w:rFonts w:ascii="宋体" w:hAnsi="宋体" w:cs="宋体" w:eastAsia="宋体" w:hint="default"/>
          <w:sz w:val="5"/>
          <w:szCs w:val="5"/>
        </w:rPr>
      </w:pPr>
    </w:p>
    <w:tbl>
      <w:tblPr>
        <w:tblW w:w="0" w:type="auto"/>
        <w:jc w:val="left"/>
        <w:tblInd w:w="502" w:type="dxa"/>
        <w:tblLayout w:type="fixed"/>
        <w:tblCellMar>
          <w:top w:w="0" w:type="dxa"/>
          <w:left w:w="0" w:type="dxa"/>
          <w:bottom w:w="0" w:type="dxa"/>
          <w:right w:w="0" w:type="dxa"/>
        </w:tblCellMar>
        <w:tblLook w:val="01E0"/>
      </w:tblPr>
      <w:tblGrid>
        <w:gridCol w:w="2728"/>
        <w:gridCol w:w="2164"/>
        <w:gridCol w:w="2499"/>
      </w:tblGrid>
      <w:tr>
        <w:trPr>
          <w:trHeight w:val="415"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8. 投资收益</w:t>
            </w:r>
          </w:p>
        </w:tc>
        <w:tc>
          <w:tcPr>
            <w:tcW w:w="2164"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51,450,143.24</w:t>
            </w:r>
          </w:p>
        </w:tc>
      </w:tr>
      <w:tr>
        <w:trPr>
          <w:trHeight w:val="420"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164"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r>
      <w:tr>
        <w:trPr>
          <w:trHeight w:val="420" w:hRule="exact"/>
        </w:trPr>
        <w:tc>
          <w:tcPr>
            <w:tcW w:w="272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1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20"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交易性金融资产收益</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4"/>
              <w:jc w:val="right"/>
              <w:rPr>
                <w:rFonts w:ascii="宋体" w:hAnsi="宋体" w:cs="宋体" w:eastAsia="宋体" w:hint="default"/>
                <w:sz w:val="21"/>
                <w:szCs w:val="21"/>
              </w:rPr>
            </w:pPr>
            <w:r>
              <w:rPr>
                <w:rFonts w:ascii="宋体"/>
                <w:spacing w:val="-1"/>
                <w:sz w:val="21"/>
              </w:rPr>
              <w:t>55,280,692.15</w:t>
            </w:r>
            <w:r>
              <w:rPr>
                <w:rFonts w:ascii="宋体"/>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23" w:right="0"/>
              <w:jc w:val="left"/>
              <w:rPr>
                <w:rFonts w:ascii="宋体" w:hAnsi="宋体" w:cs="宋体" w:eastAsia="宋体" w:hint="default"/>
                <w:sz w:val="21"/>
                <w:szCs w:val="21"/>
              </w:rPr>
            </w:pPr>
            <w:r>
              <w:rPr>
                <w:rFonts w:ascii="宋体"/>
                <w:sz w:val="21"/>
              </w:rPr>
              <w:t>5,022,924.23</w:t>
            </w:r>
          </w:p>
        </w:tc>
      </w:tr>
      <w:tr>
        <w:trPr>
          <w:trHeight w:val="692"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72" w:lineRule="exact" w:before="68"/>
              <w:ind w:left="35" w:right="380"/>
              <w:jc w:val="left"/>
              <w:rPr>
                <w:rFonts w:ascii="宋体" w:hAnsi="宋体" w:cs="宋体" w:eastAsia="宋体" w:hint="default"/>
                <w:sz w:val="21"/>
                <w:szCs w:val="21"/>
              </w:rPr>
            </w:pPr>
            <w:r>
              <w:rPr>
                <w:rFonts w:ascii="宋体" w:hAnsi="宋体" w:cs="宋体" w:eastAsia="宋体" w:hint="default"/>
                <w:sz w:val="21"/>
                <w:szCs w:val="21"/>
              </w:rPr>
              <w:t>权益法核算的调整被投资 单位损益净增减的金额</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414"/>
              <w:jc w:val="right"/>
              <w:rPr>
                <w:rFonts w:ascii="宋体" w:hAnsi="宋体" w:cs="宋体" w:eastAsia="宋体" w:hint="default"/>
                <w:sz w:val="21"/>
                <w:szCs w:val="21"/>
              </w:rPr>
            </w:pPr>
            <w:r>
              <w:rPr>
                <w:rFonts w:ascii="宋体"/>
                <w:spacing w:val="-1"/>
                <w:sz w:val="21"/>
              </w:rPr>
              <w:t>-3,054,681.45</w:t>
            </w:r>
            <w:r>
              <w:rPr>
                <w:rFonts w:ascii="宋体"/>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23" w:right="0"/>
              <w:jc w:val="left"/>
              <w:rPr>
                <w:rFonts w:ascii="宋体" w:hAnsi="宋体" w:cs="宋体" w:eastAsia="宋体" w:hint="default"/>
                <w:sz w:val="21"/>
                <w:szCs w:val="21"/>
              </w:rPr>
            </w:pPr>
            <w:r>
              <w:rPr>
                <w:rFonts w:ascii="宋体"/>
                <w:sz w:val="21"/>
              </w:rPr>
              <w:t>2,814,293.64</w:t>
            </w:r>
          </w:p>
        </w:tc>
      </w:tr>
      <w:tr>
        <w:trPr>
          <w:trHeight w:val="421"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1"/>
                <w:szCs w:val="21"/>
              </w:rPr>
            </w:pPr>
            <w:r>
              <w:rPr>
                <w:rFonts w:ascii="宋体" w:hAnsi="宋体" w:cs="宋体" w:eastAsia="宋体" w:hint="default"/>
                <w:sz w:val="21"/>
                <w:szCs w:val="21"/>
              </w:rPr>
              <w:t>股权投资处置收益</w:t>
            </w:r>
          </w:p>
        </w:tc>
        <w:tc>
          <w:tcPr>
            <w:tcW w:w="2164"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18" w:right="0"/>
              <w:jc w:val="left"/>
              <w:rPr>
                <w:rFonts w:ascii="宋体" w:hAnsi="宋体" w:cs="宋体" w:eastAsia="宋体" w:hint="default"/>
                <w:sz w:val="21"/>
                <w:szCs w:val="21"/>
              </w:rPr>
            </w:pPr>
            <w:r>
              <w:rPr>
                <w:rFonts w:ascii="宋体"/>
                <w:sz w:val="21"/>
              </w:rPr>
              <w:t>18,684,944.30</w:t>
            </w:r>
          </w:p>
        </w:tc>
      </w:tr>
      <w:tr>
        <w:trPr>
          <w:trHeight w:val="420"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4"/>
              <w:jc w:val="right"/>
              <w:rPr>
                <w:rFonts w:ascii="宋体" w:hAnsi="宋体" w:cs="宋体" w:eastAsia="宋体" w:hint="default"/>
                <w:sz w:val="21"/>
                <w:szCs w:val="21"/>
              </w:rPr>
            </w:pPr>
            <w:r>
              <w:rPr>
                <w:rFonts w:ascii="宋体"/>
                <w:spacing w:val="-1"/>
                <w:sz w:val="21"/>
              </w:rPr>
              <w:t>-775,867.46</w:t>
            </w:r>
            <w:r>
              <w:rPr>
                <w:rFonts w:ascii="宋体"/>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23" w:right="0"/>
              <w:jc w:val="left"/>
              <w:rPr>
                <w:rFonts w:ascii="宋体" w:hAnsi="宋体" w:cs="宋体" w:eastAsia="宋体" w:hint="default"/>
                <w:sz w:val="21"/>
                <w:szCs w:val="21"/>
              </w:rPr>
            </w:pPr>
            <w:r>
              <w:rPr>
                <w:rFonts w:ascii="宋体"/>
                <w:sz w:val="21"/>
              </w:rPr>
              <w:t>1,096,287.01</w:t>
            </w:r>
          </w:p>
        </w:tc>
      </w:tr>
      <w:tr>
        <w:trPr>
          <w:trHeight w:val="415" w:hRule="exact"/>
        </w:trPr>
        <w:tc>
          <w:tcPr>
            <w:tcW w:w="272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3"/>
              <w:jc w:val="right"/>
              <w:rPr>
                <w:rFonts w:ascii="宋体" w:hAnsi="宋体" w:cs="宋体" w:eastAsia="宋体" w:hint="default"/>
                <w:sz w:val="21"/>
                <w:szCs w:val="21"/>
              </w:rPr>
            </w:pPr>
            <w:r>
              <w:rPr>
                <w:rFonts w:ascii="宋体"/>
                <w:sz w:val="21"/>
              </w:rPr>
            </w:r>
            <w:r>
              <w:rPr>
                <w:rFonts w:ascii="宋体"/>
                <w:spacing w:val="-1"/>
                <w:sz w:val="21"/>
                <w:u w:val="thick" w:color="000000"/>
              </w:rPr>
              <w:t>51,450,143.24</w:t>
            </w:r>
            <w:r>
              <w:rPr>
                <w:rFonts w:ascii="宋体"/>
                <w:spacing w:val="-1"/>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18" w:right="0"/>
              <w:jc w:val="left"/>
              <w:rPr>
                <w:rFonts w:ascii="宋体" w:hAnsi="宋体" w:cs="宋体" w:eastAsia="宋体" w:hint="default"/>
                <w:sz w:val="21"/>
                <w:szCs w:val="21"/>
              </w:rPr>
            </w:pPr>
            <w:r>
              <w:rPr>
                <w:rFonts w:ascii="宋体"/>
                <w:sz w:val="21"/>
              </w:rPr>
            </w:r>
            <w:r>
              <w:rPr>
                <w:rFonts w:ascii="宋体"/>
                <w:sz w:val="21"/>
                <w:u w:val="thick" w:color="000000"/>
              </w:rPr>
              <w:t>27,618,449.18</w:t>
            </w:r>
            <w:r>
              <w:rPr>
                <w:rFonts w:ascii="宋体"/>
                <w:sz w:val="21"/>
              </w:rPr>
            </w:r>
          </w:p>
        </w:tc>
      </w:tr>
    </w:tbl>
    <w:p>
      <w:pPr>
        <w:pStyle w:val="BodyText"/>
        <w:spacing w:line="367" w:lineRule="auto" w:before="45"/>
        <w:ind w:left="537" w:right="197"/>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投资收益本期数较上年同期数增长</w:t>
      </w:r>
      <w:r>
        <w:rPr>
          <w:spacing w:val="-55"/>
        </w:rPr>
        <w:t> </w:t>
      </w:r>
      <w:r>
        <w:rPr/>
        <w:t>86.29%，主要系公司本期交易性金融资产收益增加。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500"/>
        <w:gridCol w:w="2455"/>
        <w:gridCol w:w="2435"/>
      </w:tblGrid>
      <w:tr>
        <w:trPr>
          <w:trHeight w:val="415"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营业外收入</w:t>
            </w:r>
          </w:p>
        </w:tc>
        <w:tc>
          <w:tcPr>
            <w:tcW w:w="2455"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1"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25,770,824.58</w:t>
            </w:r>
          </w:p>
        </w:tc>
      </w:tr>
      <w:tr>
        <w:trPr>
          <w:trHeight w:val="420"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455"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
        </w:tc>
      </w:tr>
      <w:tr>
        <w:trPr>
          <w:trHeight w:val="420" w:hRule="exact"/>
        </w:trPr>
        <w:tc>
          <w:tcPr>
            <w:tcW w:w="250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0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5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20"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0"/>
              <w:jc w:val="right"/>
              <w:rPr>
                <w:rFonts w:ascii="宋体" w:hAnsi="宋体" w:cs="宋体" w:eastAsia="宋体" w:hint="default"/>
                <w:sz w:val="21"/>
                <w:szCs w:val="21"/>
              </w:rPr>
            </w:pPr>
            <w:r>
              <w:rPr>
                <w:rFonts w:ascii="宋体"/>
                <w:spacing w:val="-1"/>
                <w:sz w:val="21"/>
              </w:rPr>
              <w:t>25,342,322.32</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98" w:right="0"/>
              <w:jc w:val="left"/>
              <w:rPr>
                <w:rFonts w:ascii="宋体" w:hAnsi="宋体" w:cs="宋体" w:eastAsia="宋体" w:hint="default"/>
                <w:sz w:val="21"/>
                <w:szCs w:val="21"/>
              </w:rPr>
            </w:pPr>
            <w:r>
              <w:rPr>
                <w:rFonts w:ascii="宋体"/>
                <w:sz w:val="21"/>
              </w:rPr>
              <w:t>13,980,886.60</w:t>
            </w:r>
          </w:p>
        </w:tc>
      </w:tr>
      <w:tr>
        <w:trPr>
          <w:trHeight w:val="420"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9"/>
              <w:jc w:val="right"/>
              <w:rPr>
                <w:rFonts w:ascii="宋体" w:hAnsi="宋体" w:cs="宋体" w:eastAsia="宋体" w:hint="default"/>
                <w:sz w:val="21"/>
                <w:szCs w:val="21"/>
              </w:rPr>
            </w:pPr>
            <w:r>
              <w:rPr>
                <w:rFonts w:ascii="宋体"/>
                <w:spacing w:val="-1"/>
                <w:sz w:val="21"/>
              </w:rPr>
              <w:t>240,043.65</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3" w:right="0"/>
              <w:jc w:val="left"/>
              <w:rPr>
                <w:rFonts w:ascii="宋体" w:hAnsi="宋体" w:cs="宋体" w:eastAsia="宋体" w:hint="default"/>
                <w:sz w:val="21"/>
                <w:szCs w:val="21"/>
              </w:rPr>
            </w:pPr>
            <w:r>
              <w:rPr>
                <w:rFonts w:ascii="宋体"/>
                <w:sz w:val="21"/>
              </w:rPr>
              <w:t>678,547.99</w:t>
            </w:r>
          </w:p>
        </w:tc>
      </w:tr>
      <w:tr>
        <w:trPr>
          <w:trHeight w:val="420"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0"/>
              <w:jc w:val="right"/>
              <w:rPr>
                <w:rFonts w:ascii="宋体" w:hAnsi="宋体" w:cs="宋体" w:eastAsia="宋体" w:hint="default"/>
                <w:sz w:val="21"/>
                <w:szCs w:val="21"/>
              </w:rPr>
            </w:pPr>
            <w:r>
              <w:rPr>
                <w:rFonts w:ascii="宋体"/>
                <w:spacing w:val="-1"/>
                <w:sz w:val="21"/>
              </w:rPr>
              <w:t>160,195.38</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22" w:right="0"/>
              <w:jc w:val="left"/>
              <w:rPr>
                <w:rFonts w:ascii="宋体" w:hAnsi="宋体" w:cs="宋体" w:eastAsia="宋体" w:hint="default"/>
                <w:sz w:val="21"/>
                <w:szCs w:val="21"/>
              </w:rPr>
            </w:pPr>
            <w:r>
              <w:rPr>
                <w:rFonts w:ascii="宋体"/>
                <w:sz w:val="21"/>
              </w:rPr>
              <w:t>1,515.00</w:t>
            </w:r>
          </w:p>
        </w:tc>
      </w:tr>
      <w:tr>
        <w:trPr>
          <w:trHeight w:val="420" w:hRule="exact"/>
        </w:trPr>
        <w:tc>
          <w:tcPr>
            <w:tcW w:w="2500" w:type="dxa"/>
            <w:tcBorders>
              <w:top w:val="nil" w:sz="6" w:space="0" w:color="auto"/>
              <w:left w:val="nil" w:sz="6" w:space="0" w:color="auto"/>
              <w:bottom w:val="nil" w:sz="6" w:space="0" w:color="auto"/>
              <w:right w:val="nil" w:sz="6" w:space="0" w:color="auto"/>
            </w:tcBorders>
          </w:tcPr>
          <w:p>
            <w:pPr>
              <w:pStyle w:val="TableParagraph"/>
              <w:tabs>
                <w:tab w:pos="504" w:val="left" w:leader="none"/>
              </w:tabs>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0"/>
              <w:jc w:val="right"/>
              <w:rPr>
                <w:rFonts w:ascii="宋体" w:hAnsi="宋体" w:cs="宋体" w:eastAsia="宋体" w:hint="default"/>
                <w:sz w:val="21"/>
                <w:szCs w:val="21"/>
              </w:rPr>
            </w:pPr>
            <w:r>
              <w:rPr>
                <w:rFonts w:ascii="宋体"/>
                <w:spacing w:val="-1"/>
                <w:sz w:val="21"/>
              </w:rPr>
              <w:t>28,263.23</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18" w:right="0"/>
              <w:jc w:val="left"/>
              <w:rPr>
                <w:rFonts w:ascii="宋体" w:hAnsi="宋体" w:cs="宋体" w:eastAsia="宋体" w:hint="default"/>
                <w:sz w:val="21"/>
                <w:szCs w:val="21"/>
              </w:rPr>
            </w:pPr>
            <w:r>
              <w:rPr>
                <w:rFonts w:ascii="宋体"/>
                <w:sz w:val="21"/>
              </w:rPr>
              <w:t>10,083.08</w:t>
            </w:r>
          </w:p>
        </w:tc>
      </w:tr>
      <w:tr>
        <w:trPr>
          <w:trHeight w:val="415" w:hRule="exact"/>
        </w:trPr>
        <w:tc>
          <w:tcPr>
            <w:tcW w:w="2500"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40"/>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0"/>
              <w:jc w:val="right"/>
              <w:rPr>
                <w:rFonts w:ascii="宋体" w:hAnsi="宋体" w:cs="宋体" w:eastAsia="宋体" w:hint="default"/>
                <w:sz w:val="21"/>
                <w:szCs w:val="21"/>
              </w:rPr>
            </w:pPr>
            <w:r>
              <w:rPr>
                <w:rFonts w:ascii="宋体"/>
                <w:sz w:val="21"/>
              </w:rPr>
            </w:r>
            <w:r>
              <w:rPr>
                <w:rFonts w:ascii="宋体"/>
                <w:spacing w:val="-1"/>
                <w:sz w:val="21"/>
                <w:u w:val="thick" w:color="000000"/>
              </w:rPr>
              <w:t>25,770,824.58</w:t>
            </w:r>
            <w:r>
              <w:rPr>
                <w:rFonts w:ascii="宋体"/>
                <w:spacing w:val="-1"/>
                <w:sz w:val="21"/>
              </w:rPr>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98" w:right="0"/>
              <w:jc w:val="left"/>
              <w:rPr>
                <w:rFonts w:ascii="宋体" w:hAnsi="宋体" w:cs="宋体" w:eastAsia="宋体" w:hint="default"/>
                <w:sz w:val="21"/>
                <w:szCs w:val="21"/>
              </w:rPr>
            </w:pPr>
            <w:r>
              <w:rPr>
                <w:rFonts w:ascii="宋体"/>
                <w:sz w:val="21"/>
              </w:rPr>
            </w:r>
            <w:r>
              <w:rPr>
                <w:rFonts w:ascii="宋体"/>
                <w:sz w:val="21"/>
                <w:u w:val="thick" w:color="000000"/>
              </w:rPr>
              <w:t>14,671,032.67</w:t>
            </w:r>
            <w:r>
              <w:rPr>
                <w:rFonts w:ascii="宋体"/>
                <w:sz w:val="21"/>
              </w:rPr>
            </w:r>
          </w:p>
        </w:tc>
      </w:tr>
    </w:tbl>
    <w:p>
      <w:pPr>
        <w:pStyle w:val="BodyText"/>
        <w:spacing w:line="367" w:lineRule="auto" w:before="45"/>
        <w:ind w:left="537" w:right="106"/>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营业外收入本期数较上年同期数增长</w:t>
      </w:r>
      <w:r>
        <w:rPr>
          <w:spacing w:val="36"/>
        </w:rPr>
        <w:t> </w:t>
      </w:r>
      <w:r>
        <w:rPr/>
        <w:t>75.66%，主要系公司本期软件收入增加，实际税负</w:t>
      </w:r>
    </w:p>
    <w:p>
      <w:pPr>
        <w:pStyle w:val="BodyText"/>
        <w:spacing w:line="240" w:lineRule="auto" w:before="34"/>
        <w:ind w:right="804"/>
        <w:jc w:val="left"/>
      </w:pPr>
      <w:r>
        <w:rPr/>
        <w:t>超</w:t>
      </w:r>
      <w:r>
        <w:rPr>
          <w:spacing w:val="-55"/>
        </w:rPr>
        <w:t> </w:t>
      </w:r>
      <w:r>
        <w:rPr/>
        <w:t>3%部分增值税返还增加。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502" w:type="dxa"/>
        <w:tblLayout w:type="fixed"/>
        <w:tblCellMar>
          <w:top w:w="0" w:type="dxa"/>
          <w:left w:w="0" w:type="dxa"/>
          <w:bottom w:w="0" w:type="dxa"/>
          <w:right w:w="0" w:type="dxa"/>
        </w:tblCellMar>
        <w:tblLook w:val="01E0"/>
      </w:tblPr>
      <w:tblGrid>
        <w:gridCol w:w="2553"/>
        <w:gridCol w:w="2455"/>
        <w:gridCol w:w="2382"/>
      </w:tblGrid>
      <w:tr>
        <w:trPr>
          <w:trHeight w:val="415"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营业外支出</w:t>
            </w:r>
          </w:p>
        </w:tc>
        <w:tc>
          <w:tcPr>
            <w:tcW w:w="2455"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1,453,729.34</w:t>
            </w:r>
          </w:p>
        </w:tc>
      </w:tr>
      <w:tr>
        <w:trPr>
          <w:trHeight w:val="420"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455"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
        </w:tc>
      </w:tr>
      <w:tr>
        <w:trPr>
          <w:trHeight w:val="420" w:hRule="exact"/>
        </w:trPr>
        <w:tc>
          <w:tcPr>
            <w:tcW w:w="2553"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0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20"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1"/>
              <w:jc w:val="right"/>
              <w:rPr>
                <w:rFonts w:ascii="宋体" w:hAnsi="宋体" w:cs="宋体" w:eastAsia="宋体" w:hint="default"/>
                <w:sz w:val="21"/>
                <w:szCs w:val="21"/>
              </w:rPr>
            </w:pPr>
            <w:r>
              <w:rPr>
                <w:rFonts w:ascii="宋体"/>
                <w:spacing w:val="-1"/>
                <w:sz w:val="21"/>
              </w:rPr>
              <w:t>884,008.69</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61" w:right="0"/>
              <w:jc w:val="left"/>
              <w:rPr>
                <w:rFonts w:ascii="宋体" w:hAnsi="宋体" w:cs="宋体" w:eastAsia="宋体" w:hint="default"/>
                <w:sz w:val="21"/>
                <w:szCs w:val="21"/>
              </w:rPr>
            </w:pPr>
            <w:r>
              <w:rPr>
                <w:rFonts w:ascii="宋体"/>
                <w:sz w:val="21"/>
              </w:rPr>
              <w:t>235,064.55</w:t>
            </w:r>
          </w:p>
        </w:tc>
      </w:tr>
      <w:tr>
        <w:trPr>
          <w:trHeight w:val="420"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1"/>
              <w:jc w:val="right"/>
              <w:rPr>
                <w:rFonts w:ascii="宋体" w:hAnsi="宋体" w:cs="宋体" w:eastAsia="宋体" w:hint="default"/>
                <w:sz w:val="21"/>
                <w:szCs w:val="21"/>
              </w:rPr>
            </w:pPr>
            <w:r>
              <w:rPr>
                <w:rFonts w:ascii="宋体"/>
                <w:sz w:val="21"/>
              </w:rPr>
              <w:t>492,943.09</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61" w:right="0"/>
              <w:jc w:val="left"/>
              <w:rPr>
                <w:rFonts w:ascii="宋体" w:hAnsi="宋体" w:cs="宋体" w:eastAsia="宋体" w:hint="default"/>
                <w:sz w:val="21"/>
                <w:szCs w:val="21"/>
              </w:rPr>
            </w:pPr>
            <w:r>
              <w:rPr>
                <w:rFonts w:ascii="宋体"/>
                <w:sz w:val="21"/>
              </w:rPr>
              <w:t>446,244.30</w:t>
            </w:r>
          </w:p>
        </w:tc>
      </w:tr>
      <w:tr>
        <w:trPr>
          <w:trHeight w:val="420"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3"/>
              <w:jc w:val="right"/>
              <w:rPr>
                <w:rFonts w:ascii="宋体" w:hAnsi="宋体" w:cs="宋体" w:eastAsia="宋体" w:hint="default"/>
                <w:sz w:val="21"/>
                <w:szCs w:val="21"/>
              </w:rPr>
            </w:pPr>
            <w:r>
              <w:rPr>
                <w:rFonts w:ascii="宋体"/>
                <w:sz w:val="21"/>
              </w:rPr>
              <w:t>43,543.30</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65" w:right="0"/>
              <w:jc w:val="left"/>
              <w:rPr>
                <w:rFonts w:ascii="宋体" w:hAnsi="宋体" w:cs="宋体" w:eastAsia="宋体" w:hint="default"/>
                <w:sz w:val="21"/>
                <w:szCs w:val="21"/>
              </w:rPr>
            </w:pPr>
            <w:r>
              <w:rPr>
                <w:rFonts w:ascii="宋体"/>
                <w:sz w:val="21"/>
              </w:rPr>
              <w:t>15,231.49</w:t>
            </w:r>
          </w:p>
        </w:tc>
      </w:tr>
      <w:tr>
        <w:trPr>
          <w:trHeight w:val="420"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3"/>
              <w:jc w:val="right"/>
              <w:rPr>
                <w:rFonts w:ascii="宋体" w:hAnsi="宋体" w:cs="宋体" w:eastAsia="宋体" w:hint="default"/>
                <w:sz w:val="21"/>
                <w:szCs w:val="21"/>
              </w:rPr>
            </w:pPr>
            <w:r>
              <w:rPr>
                <w:rFonts w:ascii="宋体"/>
                <w:sz w:val="21"/>
              </w:rPr>
              <w:t>20,000.00</w:t>
            </w:r>
          </w:p>
        </w:tc>
        <w:tc>
          <w:tcPr>
            <w:tcW w:w="2382" w:type="dxa"/>
            <w:tcBorders>
              <w:top w:val="nil" w:sz="6" w:space="0" w:color="auto"/>
              <w:left w:val="nil" w:sz="6" w:space="0" w:color="auto"/>
              <w:bottom w:val="nil" w:sz="6" w:space="0" w:color="auto"/>
              <w:right w:val="nil" w:sz="6" w:space="0" w:color="auto"/>
            </w:tcBorders>
          </w:tcPr>
          <w:p>
            <w:pPr/>
          </w:p>
        </w:tc>
      </w:tr>
      <w:tr>
        <w:trPr>
          <w:trHeight w:val="420" w:hRule="exact"/>
        </w:trPr>
        <w:tc>
          <w:tcPr>
            <w:tcW w:w="2553" w:type="dxa"/>
            <w:tcBorders>
              <w:top w:val="nil" w:sz="6" w:space="0" w:color="auto"/>
              <w:left w:val="nil" w:sz="6" w:space="0" w:color="auto"/>
              <w:bottom w:val="nil" w:sz="6" w:space="0" w:color="auto"/>
              <w:right w:val="nil" w:sz="6" w:space="0" w:color="auto"/>
            </w:tcBorders>
          </w:tcPr>
          <w:p>
            <w:pPr>
              <w:pStyle w:val="TableParagraph"/>
              <w:tabs>
                <w:tab w:pos="504" w:val="left" w:leader="none"/>
              </w:tabs>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2"/>
              <w:jc w:val="right"/>
              <w:rPr>
                <w:rFonts w:ascii="宋体" w:hAnsi="宋体" w:cs="宋体" w:eastAsia="宋体" w:hint="default"/>
                <w:sz w:val="21"/>
                <w:szCs w:val="21"/>
              </w:rPr>
            </w:pPr>
            <w:r>
              <w:rPr>
                <w:rFonts w:ascii="宋体"/>
                <w:spacing w:val="-1"/>
                <w:sz w:val="21"/>
              </w:rPr>
              <w:t>13,234.26</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66" w:right="0"/>
              <w:jc w:val="left"/>
              <w:rPr>
                <w:rFonts w:ascii="宋体" w:hAnsi="宋体" w:cs="宋体" w:eastAsia="宋体" w:hint="default"/>
                <w:sz w:val="21"/>
                <w:szCs w:val="21"/>
              </w:rPr>
            </w:pPr>
            <w:r>
              <w:rPr>
                <w:rFonts w:ascii="宋体"/>
                <w:sz w:val="21"/>
              </w:rPr>
              <w:t>10,596.28</w:t>
            </w:r>
          </w:p>
        </w:tc>
      </w:tr>
      <w:tr>
        <w:trPr>
          <w:trHeight w:val="415" w:hRule="exact"/>
        </w:trPr>
        <w:tc>
          <w:tcPr>
            <w:tcW w:w="2553"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40"/>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3"/>
              <w:jc w:val="right"/>
              <w:rPr>
                <w:rFonts w:ascii="宋体" w:hAnsi="宋体" w:cs="宋体" w:eastAsia="宋体" w:hint="default"/>
                <w:sz w:val="21"/>
                <w:szCs w:val="21"/>
              </w:rPr>
            </w:pPr>
            <w:r>
              <w:rPr>
                <w:rFonts w:ascii="宋体"/>
                <w:sz w:val="21"/>
              </w:rPr>
            </w:r>
            <w:r>
              <w:rPr>
                <w:rFonts w:ascii="宋体"/>
                <w:spacing w:val="-1"/>
                <w:sz w:val="21"/>
                <w:u w:val="thick" w:color="000000"/>
              </w:rPr>
              <w:t>1,453,729.34</w:t>
            </w:r>
            <w:r>
              <w:rPr>
                <w:rFonts w:ascii="宋体"/>
                <w:spacing w:val="-1"/>
                <w:sz w:val="21"/>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61" w:right="0"/>
              <w:jc w:val="left"/>
              <w:rPr>
                <w:rFonts w:ascii="宋体" w:hAnsi="宋体" w:cs="宋体" w:eastAsia="宋体" w:hint="default"/>
                <w:sz w:val="21"/>
                <w:szCs w:val="21"/>
              </w:rPr>
            </w:pPr>
            <w:r>
              <w:rPr>
                <w:rFonts w:ascii="宋体"/>
                <w:sz w:val="21"/>
              </w:rPr>
            </w:r>
            <w:r>
              <w:rPr>
                <w:rFonts w:ascii="宋体"/>
                <w:sz w:val="21"/>
                <w:u w:val="thick" w:color="000000"/>
              </w:rPr>
              <w:t>707,136.62</w:t>
            </w:r>
            <w:r>
              <w:rPr>
                <w:rFonts w:ascii="宋体"/>
                <w:sz w:val="21"/>
              </w:rPr>
            </w:r>
          </w:p>
        </w:tc>
      </w:tr>
    </w:tbl>
    <w:p>
      <w:pPr>
        <w:spacing w:after="0" w:line="240" w:lineRule="auto"/>
        <w:jc w:val="left"/>
        <w:rPr>
          <w:rFonts w:ascii="宋体" w:hAnsi="宋体" w:cs="宋体" w:eastAsia="宋体" w:hint="default"/>
          <w:sz w:val="21"/>
          <w:szCs w:val="21"/>
        </w:rPr>
        <w:sectPr>
          <w:footerReference w:type="default" r:id="rId27"/>
          <w:pgSz w:w="11910" w:h="16840"/>
          <w:pgMar w:footer="1263" w:header="0" w:top="1440" w:bottom="1460" w:left="1680" w:right="1440"/>
          <w:pgNumType w:start="88"/>
        </w:sectPr>
      </w:pPr>
    </w:p>
    <w:p>
      <w:pPr>
        <w:pStyle w:val="BodyText"/>
        <w:spacing w:line="367" w:lineRule="auto" w:before="13"/>
        <w:ind w:left="537" w:right="92"/>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营业外支出本期数较上年同期数增长</w:t>
      </w:r>
      <w:r>
        <w:rPr>
          <w:spacing w:val="-55"/>
        </w:rPr>
        <w:t> </w:t>
      </w:r>
      <w:r>
        <w:rPr/>
        <w:t>105.58%，主要系公司本期处置固定资产损失增加。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097"/>
        <w:gridCol w:w="2496"/>
        <w:gridCol w:w="2797"/>
      </w:tblGrid>
      <w:tr>
        <w:trPr>
          <w:trHeight w:val="415"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3"/>
                <w:sz w:val="21"/>
                <w:szCs w:val="21"/>
              </w:rPr>
              <w:t> </w:t>
            </w:r>
            <w:r>
              <w:rPr>
                <w:rFonts w:ascii="宋体" w:hAnsi="宋体" w:cs="宋体" w:eastAsia="宋体" w:hint="default"/>
                <w:sz w:val="21"/>
                <w:szCs w:val="21"/>
              </w:rPr>
              <w:t>所得税费用</w:t>
            </w:r>
          </w:p>
        </w:tc>
        <w:tc>
          <w:tcPr>
            <w:tcW w:w="2496"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1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9"/>
                <w:sz w:val="21"/>
                <w:szCs w:val="21"/>
              </w:rPr>
              <w:t> </w:t>
            </w:r>
            <w:r>
              <w:rPr>
                <w:rFonts w:ascii="宋体" w:hAnsi="宋体" w:cs="宋体" w:eastAsia="宋体" w:hint="default"/>
                <w:sz w:val="21"/>
                <w:szCs w:val="21"/>
              </w:rPr>
              <w:t>11,473,050.55</w:t>
            </w:r>
          </w:p>
        </w:tc>
      </w:tr>
      <w:tr>
        <w:trPr>
          <w:trHeight w:val="420" w:hRule="exact"/>
        </w:trPr>
        <w:tc>
          <w:tcPr>
            <w:tcW w:w="2097"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0"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8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20"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84"/>
              <w:jc w:val="right"/>
              <w:rPr>
                <w:rFonts w:ascii="宋体" w:hAnsi="宋体" w:cs="宋体" w:eastAsia="宋体" w:hint="default"/>
                <w:sz w:val="21"/>
                <w:szCs w:val="21"/>
              </w:rPr>
            </w:pPr>
            <w:r>
              <w:rPr>
                <w:rFonts w:ascii="宋体"/>
                <w:spacing w:val="-1"/>
                <w:sz w:val="21"/>
              </w:rPr>
              <w:t>10,007,905.37</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73" w:right="0"/>
              <w:jc w:val="left"/>
              <w:rPr>
                <w:rFonts w:ascii="宋体" w:hAnsi="宋体" w:cs="宋体" w:eastAsia="宋体" w:hint="default"/>
                <w:sz w:val="21"/>
                <w:szCs w:val="21"/>
              </w:rPr>
            </w:pPr>
            <w:r>
              <w:rPr>
                <w:rFonts w:ascii="宋体"/>
                <w:sz w:val="21"/>
              </w:rPr>
              <w:t>7,714,078.05</w:t>
            </w:r>
          </w:p>
        </w:tc>
      </w:tr>
      <w:tr>
        <w:trPr>
          <w:trHeight w:val="420"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3"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85"/>
              <w:jc w:val="right"/>
              <w:rPr>
                <w:rFonts w:ascii="宋体" w:hAnsi="宋体" w:cs="宋体" w:eastAsia="宋体" w:hint="default"/>
                <w:sz w:val="21"/>
                <w:szCs w:val="21"/>
              </w:rPr>
            </w:pPr>
            <w:r>
              <w:rPr>
                <w:rFonts w:ascii="宋体"/>
                <w:spacing w:val="-1"/>
                <w:sz w:val="21"/>
              </w:rPr>
              <w:t>1,465,145.18</w:t>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79" w:right="0"/>
              <w:jc w:val="left"/>
              <w:rPr>
                <w:rFonts w:ascii="宋体" w:hAnsi="宋体" w:cs="宋体" w:eastAsia="宋体" w:hint="default"/>
                <w:sz w:val="21"/>
                <w:szCs w:val="21"/>
              </w:rPr>
            </w:pPr>
            <w:r>
              <w:rPr>
                <w:rFonts w:ascii="宋体"/>
                <w:sz w:val="21"/>
              </w:rPr>
              <w:t>-257,773.42</w:t>
            </w:r>
          </w:p>
        </w:tc>
      </w:tr>
      <w:tr>
        <w:trPr>
          <w:trHeight w:val="415" w:hRule="exact"/>
        </w:trPr>
        <w:tc>
          <w:tcPr>
            <w:tcW w:w="2097"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40"/>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83"/>
              <w:jc w:val="right"/>
              <w:rPr>
                <w:rFonts w:ascii="宋体" w:hAnsi="宋体" w:cs="宋体" w:eastAsia="宋体" w:hint="default"/>
                <w:sz w:val="21"/>
                <w:szCs w:val="21"/>
              </w:rPr>
            </w:pPr>
            <w:r>
              <w:rPr>
                <w:rFonts w:ascii="宋体"/>
                <w:sz w:val="21"/>
              </w:rPr>
            </w:r>
            <w:r>
              <w:rPr>
                <w:rFonts w:ascii="宋体"/>
                <w:spacing w:val="-1"/>
                <w:sz w:val="21"/>
                <w:u w:val="thick" w:color="000000"/>
              </w:rPr>
              <w:t>11,473,050.55</w:t>
            </w:r>
            <w:r>
              <w:rPr>
                <w:rFonts w:ascii="宋体"/>
                <w:spacing w:val="-1"/>
                <w:sz w:val="21"/>
              </w:rPr>
            </w: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73" w:right="0"/>
              <w:jc w:val="left"/>
              <w:rPr>
                <w:rFonts w:ascii="宋体" w:hAnsi="宋体" w:cs="宋体" w:eastAsia="宋体" w:hint="default"/>
                <w:sz w:val="21"/>
                <w:szCs w:val="21"/>
              </w:rPr>
            </w:pPr>
            <w:r>
              <w:rPr>
                <w:rFonts w:ascii="宋体"/>
                <w:sz w:val="21"/>
              </w:rPr>
            </w:r>
            <w:r>
              <w:rPr>
                <w:rFonts w:ascii="宋体"/>
                <w:sz w:val="21"/>
                <w:u w:val="thick" w:color="000000"/>
              </w:rPr>
              <w:t>7,456,304.63</w:t>
            </w:r>
            <w:r>
              <w:rPr>
                <w:rFonts w:ascii="宋体"/>
                <w:sz w:val="21"/>
              </w:rPr>
            </w:r>
          </w:p>
        </w:tc>
      </w:tr>
    </w:tbl>
    <w:p>
      <w:pPr>
        <w:pStyle w:val="BodyText"/>
        <w:spacing w:line="240" w:lineRule="auto" w:before="45"/>
        <w:ind w:left="537" w:right="804"/>
        <w:jc w:val="left"/>
      </w:pPr>
      <w:r>
        <w:rPr/>
        <w:t>(三)</w:t>
      </w:r>
      <w:r>
        <w:rPr>
          <w:spacing w:val="-2"/>
        </w:rPr>
        <w:t> </w:t>
      </w:r>
      <w:r>
        <w:rPr/>
        <w:t>合并现金流量表项目注释</w:t>
      </w:r>
    </w:p>
    <w:p>
      <w:pPr>
        <w:pStyle w:val="BodyText"/>
        <w:spacing w:line="240" w:lineRule="auto"/>
        <w:ind w:left="537" w:right="804"/>
        <w:jc w:val="left"/>
      </w:pPr>
      <w:r>
        <w:rPr/>
        <w:t>1.</w:t>
      </w:r>
      <w:r>
        <w:rPr>
          <w:spacing w:val="-2"/>
        </w:rPr>
        <w:t> </w:t>
      </w:r>
      <w:r>
        <w:rPr/>
        <w:t>收到的价值较大的其他与经营活动有关的现金</w:t>
      </w:r>
    </w:p>
    <w:p>
      <w:pPr>
        <w:spacing w:line="240" w:lineRule="auto" w:before="0"/>
        <w:rPr>
          <w:rFonts w:ascii="宋体" w:hAnsi="宋体" w:cs="宋体" w:eastAsia="宋体" w:hint="default"/>
          <w:sz w:val="11"/>
          <w:szCs w:val="11"/>
        </w:rPr>
      </w:pPr>
    </w:p>
    <w:tbl>
      <w:tblPr>
        <w:tblW w:w="0" w:type="auto"/>
        <w:jc w:val="left"/>
        <w:tblInd w:w="442" w:type="dxa"/>
        <w:tblLayout w:type="fixed"/>
        <w:tblCellMar>
          <w:top w:w="0" w:type="dxa"/>
          <w:left w:w="0" w:type="dxa"/>
          <w:bottom w:w="0" w:type="dxa"/>
          <w:right w:w="0" w:type="dxa"/>
        </w:tblCellMar>
        <w:tblLook w:val="01E0"/>
      </w:tblPr>
      <w:tblGrid>
        <w:gridCol w:w="3590"/>
        <w:gridCol w:w="1980"/>
        <w:gridCol w:w="1340"/>
      </w:tblGrid>
      <w:tr>
        <w:trPr>
          <w:trHeight w:val="400"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20"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收回浙江海天建设集团有限公司暂借款</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15" w:right="0"/>
              <w:jc w:val="left"/>
              <w:rPr>
                <w:rFonts w:ascii="宋体" w:hAnsi="宋体" w:cs="宋体" w:eastAsia="宋体" w:hint="default"/>
                <w:sz w:val="18"/>
                <w:szCs w:val="18"/>
              </w:rPr>
            </w:pPr>
            <w:r>
              <w:rPr>
                <w:rFonts w:ascii="宋体" w:hAnsi="宋体" w:cs="宋体" w:eastAsia="宋体" w:hint="default"/>
                <w:sz w:val="18"/>
                <w:szCs w:val="18"/>
              </w:rPr>
              <w:t>14,000,000.00[注]</w:t>
            </w:r>
          </w:p>
        </w:tc>
        <w:tc>
          <w:tcPr>
            <w:tcW w:w="1340" w:type="dxa"/>
            <w:tcBorders>
              <w:top w:val="nil" w:sz="6" w:space="0" w:color="auto"/>
              <w:left w:val="nil" w:sz="6" w:space="0" w:color="auto"/>
              <w:bottom w:val="nil" w:sz="6" w:space="0" w:color="auto"/>
              <w:right w:val="nil" w:sz="6" w:space="0" w:color="auto"/>
            </w:tcBorders>
          </w:tcPr>
          <w:p>
            <w:pPr/>
          </w:p>
        </w:tc>
      </w:tr>
      <w:tr>
        <w:trPr>
          <w:trHeight w:val="420"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收回无锡威泰迅电力科技有限公司暂借款</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15" w:right="0"/>
              <w:jc w:val="left"/>
              <w:rPr>
                <w:rFonts w:ascii="宋体" w:hAnsi="宋体" w:cs="宋体" w:eastAsia="宋体" w:hint="default"/>
                <w:sz w:val="18"/>
                <w:szCs w:val="18"/>
              </w:rPr>
            </w:pPr>
            <w:r>
              <w:rPr>
                <w:rFonts w:ascii="宋体"/>
                <w:sz w:val="18"/>
              </w:rPr>
              <w:t>12,040,000.00</w:t>
            </w:r>
          </w:p>
        </w:tc>
        <w:tc>
          <w:tcPr>
            <w:tcW w:w="1340" w:type="dxa"/>
            <w:tcBorders>
              <w:top w:val="nil" w:sz="6" w:space="0" w:color="auto"/>
              <w:left w:val="nil" w:sz="6" w:space="0" w:color="auto"/>
              <w:bottom w:val="nil" w:sz="6" w:space="0" w:color="auto"/>
              <w:right w:val="nil" w:sz="6" w:space="0" w:color="auto"/>
            </w:tcBorders>
          </w:tcPr>
          <w:p>
            <w:pPr/>
          </w:p>
        </w:tc>
      </w:tr>
      <w:tr>
        <w:trPr>
          <w:trHeight w:val="420"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收到杭州恒生世纪实业有限公司暂借款</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05" w:right="0"/>
              <w:jc w:val="left"/>
              <w:rPr>
                <w:rFonts w:ascii="宋体" w:hAnsi="宋体" w:cs="宋体" w:eastAsia="宋体" w:hint="default"/>
                <w:sz w:val="18"/>
                <w:szCs w:val="18"/>
              </w:rPr>
            </w:pPr>
            <w:r>
              <w:rPr>
                <w:rFonts w:ascii="宋体"/>
                <w:sz w:val="18"/>
              </w:rPr>
              <w:t>8,750,000.00</w:t>
            </w:r>
          </w:p>
        </w:tc>
        <w:tc>
          <w:tcPr>
            <w:tcW w:w="1340" w:type="dxa"/>
            <w:tcBorders>
              <w:top w:val="nil" w:sz="6" w:space="0" w:color="auto"/>
              <w:left w:val="nil" w:sz="6" w:space="0" w:color="auto"/>
              <w:bottom w:val="nil" w:sz="6" w:space="0" w:color="auto"/>
              <w:right w:val="nil" w:sz="6" w:space="0" w:color="auto"/>
            </w:tcBorders>
          </w:tcPr>
          <w:p>
            <w:pPr/>
          </w:p>
        </w:tc>
      </w:tr>
      <w:tr>
        <w:trPr>
          <w:trHeight w:val="420"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收到的专门用途拨款</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04" w:right="0"/>
              <w:jc w:val="left"/>
              <w:rPr>
                <w:rFonts w:ascii="宋体" w:hAnsi="宋体" w:cs="宋体" w:eastAsia="宋体" w:hint="default"/>
                <w:sz w:val="18"/>
                <w:szCs w:val="18"/>
              </w:rPr>
            </w:pPr>
            <w:r>
              <w:rPr>
                <w:rFonts w:ascii="宋体"/>
                <w:sz w:val="18"/>
              </w:rPr>
              <w:t>2,148,000.00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4,878,500.00</w:t>
            </w:r>
          </w:p>
        </w:tc>
      </w:tr>
      <w:tr>
        <w:trPr>
          <w:trHeight w:val="420"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收回九江恒盛置业有限责任公司暂借款</w:t>
            </w:r>
          </w:p>
        </w:tc>
        <w:tc>
          <w:tcPr>
            <w:tcW w:w="198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4,000,000.00</w:t>
            </w:r>
          </w:p>
        </w:tc>
      </w:tr>
      <w:tr>
        <w:trPr>
          <w:trHeight w:val="420"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收回北京美髯公科技发展有限公司暂借款</w:t>
            </w:r>
          </w:p>
        </w:tc>
        <w:tc>
          <w:tcPr>
            <w:tcW w:w="198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1,500,000.00</w:t>
            </w:r>
          </w:p>
        </w:tc>
      </w:tr>
      <w:tr>
        <w:trPr>
          <w:trHeight w:val="400"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14" w:right="0"/>
              <w:jc w:val="left"/>
              <w:rPr>
                <w:rFonts w:ascii="宋体" w:hAnsi="宋体" w:cs="宋体" w:eastAsia="宋体" w:hint="default"/>
                <w:sz w:val="18"/>
                <w:szCs w:val="18"/>
              </w:rPr>
            </w:pPr>
            <w:r>
              <w:rPr>
                <w:rFonts w:ascii="宋体"/>
                <w:sz w:val="18"/>
              </w:rPr>
            </w:r>
            <w:r>
              <w:rPr>
                <w:rFonts w:ascii="宋体"/>
                <w:sz w:val="18"/>
                <w:u w:val="single" w:color="000000"/>
              </w:rPr>
              <w:t>36,938,000.00</w:t>
            </w:r>
            <w:r>
              <w:rPr>
                <w:rFonts w:ascii="宋体"/>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r>
            <w:r>
              <w:rPr>
                <w:rFonts w:ascii="宋体"/>
                <w:sz w:val="18"/>
                <w:u w:val="single" w:color="000000"/>
              </w:rPr>
              <w:t>10,378,500.00</w:t>
            </w:r>
            <w:r>
              <w:rPr>
                <w:rFonts w:ascii="宋体"/>
                <w:sz w:val="18"/>
              </w:rPr>
            </w:r>
          </w:p>
        </w:tc>
      </w:tr>
    </w:tbl>
    <w:p>
      <w:pPr>
        <w:spacing w:before="84"/>
        <w:ind w:left="537" w:right="804" w:firstLine="0"/>
        <w:jc w:val="left"/>
        <w:rPr>
          <w:rFonts w:ascii="宋体" w:hAnsi="宋体" w:cs="宋体" w:eastAsia="宋体" w:hint="default"/>
          <w:sz w:val="18"/>
          <w:szCs w:val="18"/>
        </w:rPr>
      </w:pPr>
      <w:r>
        <w:rPr>
          <w:rFonts w:ascii="宋体" w:hAnsi="宋体" w:cs="宋体" w:eastAsia="宋体" w:hint="default"/>
          <w:sz w:val="18"/>
          <w:szCs w:val="18"/>
        </w:rPr>
        <w:t>[注]：系委托无锡威泰迅电力科技有限公司代其归还。</w:t>
      </w:r>
    </w:p>
    <w:p>
      <w:pPr>
        <w:pStyle w:val="BodyText"/>
        <w:spacing w:line="240" w:lineRule="auto" w:before="141"/>
        <w:ind w:left="537" w:right="804"/>
        <w:jc w:val="left"/>
      </w:pPr>
      <w:r>
        <w:rPr/>
        <w:t>2.</w:t>
      </w:r>
      <w:r>
        <w:rPr>
          <w:spacing w:val="-2"/>
        </w:rPr>
        <w:t> </w:t>
      </w:r>
      <w:r>
        <w:rPr/>
        <w:t>支付的价值较大的其他与经营活动有关的现金</w:t>
      </w:r>
    </w:p>
    <w:p>
      <w:pPr>
        <w:spacing w:line="240" w:lineRule="auto" w:before="0"/>
        <w:rPr>
          <w:rFonts w:ascii="宋体" w:hAnsi="宋体" w:cs="宋体" w:eastAsia="宋体" w:hint="default"/>
          <w:sz w:val="11"/>
          <w:szCs w:val="11"/>
        </w:rPr>
      </w:pPr>
    </w:p>
    <w:tbl>
      <w:tblPr>
        <w:tblW w:w="0" w:type="auto"/>
        <w:jc w:val="left"/>
        <w:tblInd w:w="442" w:type="dxa"/>
        <w:tblLayout w:type="fixed"/>
        <w:tblCellMar>
          <w:top w:w="0" w:type="dxa"/>
          <w:left w:w="0" w:type="dxa"/>
          <w:bottom w:w="0" w:type="dxa"/>
          <w:right w:w="0" w:type="dxa"/>
        </w:tblCellMar>
        <w:tblLook w:val="01E0"/>
      </w:tblPr>
      <w:tblGrid>
        <w:gridCol w:w="3545"/>
        <w:gridCol w:w="1845"/>
        <w:gridCol w:w="1520"/>
      </w:tblGrid>
      <w:tr>
        <w:trPr>
          <w:trHeight w:val="40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4"/>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支付差旅费</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3"/>
              <w:jc w:val="right"/>
              <w:rPr>
                <w:rFonts w:ascii="宋体" w:hAnsi="宋体" w:cs="宋体" w:eastAsia="宋体" w:hint="default"/>
                <w:sz w:val="18"/>
                <w:szCs w:val="18"/>
              </w:rPr>
            </w:pPr>
            <w:r>
              <w:rPr>
                <w:rFonts w:ascii="宋体"/>
                <w:sz w:val="18"/>
              </w:rPr>
              <w:t>33,137,473.13</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17,457,350.17</w:t>
            </w: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支付浙江海天建设集团有限公司暂借款</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14,000,000.00</w:t>
            </w:r>
          </w:p>
        </w:tc>
        <w:tc>
          <w:tcPr>
            <w:tcW w:w="1520" w:type="dxa"/>
            <w:tcBorders>
              <w:top w:val="nil" w:sz="6" w:space="0" w:color="auto"/>
              <w:left w:val="nil" w:sz="6" w:space="0" w:color="auto"/>
              <w:bottom w:val="nil" w:sz="6" w:space="0" w:color="auto"/>
              <w:right w:val="nil" w:sz="6" w:space="0" w:color="auto"/>
            </w:tcBorders>
          </w:tcPr>
          <w:p>
            <w:pP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支付无锡威泰迅电力科技有限公司暂借款</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12,040,000.00</w:t>
            </w:r>
          </w:p>
        </w:tc>
        <w:tc>
          <w:tcPr>
            <w:tcW w:w="1520" w:type="dxa"/>
            <w:tcBorders>
              <w:top w:val="nil" w:sz="6" w:space="0" w:color="auto"/>
              <w:left w:val="nil" w:sz="6" w:space="0" w:color="auto"/>
              <w:bottom w:val="nil" w:sz="6" w:space="0" w:color="auto"/>
              <w:right w:val="nil" w:sz="6" w:space="0" w:color="auto"/>
            </w:tcBorders>
          </w:tcPr>
          <w:p>
            <w:pP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支付办公费、交通费等</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9,894,707.40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3,608,139.21</w:t>
            </w: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支付业务招待费</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9,651,419.20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6,363,492.92</w:t>
            </w: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归还杭州恒生世纪实业有限公司暂借款</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9,519,125.00</w:t>
            </w:r>
          </w:p>
        </w:tc>
        <w:tc>
          <w:tcPr>
            <w:tcW w:w="1520" w:type="dxa"/>
            <w:tcBorders>
              <w:top w:val="nil" w:sz="6" w:space="0" w:color="auto"/>
              <w:left w:val="nil" w:sz="6" w:space="0" w:color="auto"/>
              <w:bottom w:val="nil" w:sz="6" w:space="0" w:color="auto"/>
              <w:right w:val="nil" w:sz="6" w:space="0" w:color="auto"/>
            </w:tcBorders>
          </w:tcPr>
          <w:p>
            <w:pP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支付水电费、租赁费等</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6,846,039.52</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5,978,487.71</w:t>
            </w: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支付会务费</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3"/>
              <w:jc w:val="right"/>
              <w:rPr>
                <w:rFonts w:ascii="宋体" w:hAnsi="宋体" w:cs="宋体" w:eastAsia="宋体" w:hint="default"/>
                <w:sz w:val="18"/>
                <w:szCs w:val="18"/>
              </w:rPr>
            </w:pPr>
            <w:r>
              <w:rPr>
                <w:rFonts w:ascii="宋体"/>
                <w:sz w:val="18"/>
              </w:rPr>
              <w:t>5,518,545.16</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4,605,027.52</w:t>
            </w: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支付中介机构费、咨询费</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4,469,618.69</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4,591,247.24</w:t>
            </w: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支付杭州亚唐软件科技有限公司暂借款</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1,650,000.00</w:t>
            </w:r>
          </w:p>
        </w:tc>
        <w:tc>
          <w:tcPr>
            <w:tcW w:w="1520" w:type="dxa"/>
            <w:tcBorders>
              <w:top w:val="nil" w:sz="6" w:space="0" w:color="auto"/>
              <w:left w:val="nil" w:sz="6" w:space="0" w:color="auto"/>
              <w:bottom w:val="nil" w:sz="6" w:space="0" w:color="auto"/>
              <w:right w:val="nil" w:sz="6" w:space="0" w:color="auto"/>
            </w:tcBorders>
          </w:tcPr>
          <w:p>
            <w:pPr/>
          </w:p>
        </w:tc>
      </w:tr>
      <w:tr>
        <w:trPr>
          <w:trHeight w:val="420"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支付九江恒盛置业有限责任公司暂借款</w:t>
            </w:r>
          </w:p>
        </w:tc>
        <w:tc>
          <w:tcPr>
            <w:tcW w:w="1845"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4,000,000.00</w:t>
            </w:r>
          </w:p>
        </w:tc>
      </w:tr>
      <w:tr>
        <w:trPr>
          <w:trHeight w:val="365"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3"/>
              <w:jc w:val="right"/>
              <w:rPr>
                <w:rFonts w:ascii="宋体" w:hAnsi="宋体" w:cs="宋体" w:eastAsia="宋体" w:hint="default"/>
                <w:sz w:val="18"/>
                <w:szCs w:val="18"/>
              </w:rPr>
            </w:pPr>
            <w:r>
              <w:rPr>
                <w:rFonts w:ascii="宋体"/>
                <w:sz w:val="18"/>
              </w:rPr>
            </w:r>
            <w:r>
              <w:rPr>
                <w:rFonts w:ascii="宋体"/>
                <w:sz w:val="18"/>
                <w:u w:val="single" w:color="000000"/>
              </w:rPr>
              <w:t>106,726,928.10</w:t>
            </w:r>
            <w:r>
              <w:rPr>
                <w:rFonts w:ascii="宋体"/>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r>
            <w:r>
              <w:rPr>
                <w:rFonts w:ascii="宋体"/>
                <w:sz w:val="18"/>
                <w:u w:val="single" w:color="000000"/>
              </w:rPr>
              <w:t>46,603,744.77</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28"/>
          <w:pgSz w:w="11910" w:h="16840"/>
          <w:pgMar w:footer="1263" w:header="0" w:top="1540" w:bottom="1460" w:left="1680" w:right="1440"/>
          <w:pgNumType w:start="89"/>
        </w:sectPr>
      </w:pPr>
    </w:p>
    <w:p>
      <w:pPr>
        <w:pStyle w:val="BodyText"/>
        <w:spacing w:line="240" w:lineRule="auto" w:before="13"/>
        <w:ind w:left="1077" w:right="0"/>
        <w:jc w:val="left"/>
      </w:pPr>
      <w:r>
        <w:rPr/>
        <w:t>3.</w:t>
      </w:r>
      <w:r>
        <w:rPr>
          <w:spacing w:val="-2"/>
        </w:rPr>
        <w:t> </w:t>
      </w:r>
      <w:r>
        <w:rPr/>
        <w:t>收到的价值较大的其他与投资活动有关的现金。</w:t>
      </w:r>
    </w:p>
    <w:p>
      <w:pPr>
        <w:spacing w:line="240" w:lineRule="auto" w:before="0"/>
        <w:rPr>
          <w:rFonts w:ascii="宋体" w:hAnsi="宋体" w:cs="宋体" w:eastAsia="宋体" w:hint="default"/>
          <w:sz w:val="11"/>
          <w:szCs w:val="11"/>
        </w:rPr>
      </w:pPr>
    </w:p>
    <w:tbl>
      <w:tblPr>
        <w:tblW w:w="0" w:type="auto"/>
        <w:jc w:val="left"/>
        <w:tblInd w:w="982" w:type="dxa"/>
        <w:tblLayout w:type="fixed"/>
        <w:tblCellMar>
          <w:top w:w="0" w:type="dxa"/>
          <w:left w:w="0" w:type="dxa"/>
          <w:bottom w:w="0" w:type="dxa"/>
          <w:right w:w="0" w:type="dxa"/>
        </w:tblCellMar>
        <w:tblLook w:val="01E0"/>
      </w:tblPr>
      <w:tblGrid>
        <w:gridCol w:w="3499"/>
        <w:gridCol w:w="1891"/>
        <w:gridCol w:w="1521"/>
      </w:tblGrid>
      <w:tr>
        <w:trPr>
          <w:trHeight w:val="8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427" w:lineRule="auto" w:before="44"/>
              <w:ind w:left="35" w:right="2742" w:firstLine="180"/>
              <w:jc w:val="left"/>
              <w:rPr>
                <w:rFonts w:ascii="宋体" w:hAnsi="宋体" w:cs="宋体" w:eastAsia="宋体" w:hint="default"/>
                <w:sz w:val="18"/>
                <w:szCs w:val="18"/>
              </w:rPr>
            </w:pPr>
            <w:r>
              <w:rPr>
                <w:rFonts w:ascii="宋体" w:hAnsi="宋体" w:cs="宋体" w:eastAsia="宋体" w:hint="default"/>
                <w:sz w:val="18"/>
                <w:szCs w:val="18"/>
              </w:rPr>
              <w:t>项 目 定期存款</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21" w:type="dxa"/>
            <w:tcBorders>
              <w:top w:val="nil" w:sz="6" w:space="0" w:color="auto"/>
              <w:left w:val="nil" w:sz="6" w:space="0" w:color="auto"/>
              <w:bottom w:val="nil" w:sz="6" w:space="0" w:color="auto"/>
              <w:right w:val="nil" w:sz="6" w:space="0" w:color="auto"/>
            </w:tcBorders>
          </w:tcPr>
          <w:p>
            <w:pPr>
              <w:pStyle w:val="TableParagraph"/>
              <w:spacing w:line="427" w:lineRule="auto" w:before="44"/>
              <w:ind w:left="314" w:right="34" w:firstLine="90"/>
              <w:jc w:val="left"/>
              <w:rPr>
                <w:rFonts w:ascii="宋体" w:hAnsi="宋体" w:cs="宋体" w:eastAsia="宋体" w:hint="default"/>
                <w:sz w:val="18"/>
                <w:szCs w:val="18"/>
              </w:rPr>
            </w:pPr>
            <w:r>
              <w:rPr>
                <w:rFonts w:ascii="宋体" w:hAnsi="宋体" w:cs="宋体" w:eastAsia="宋体" w:hint="default"/>
                <w:sz w:val="18"/>
                <w:szCs w:val="18"/>
              </w:rPr>
              <w:t>上年同期数 12,600,000.00</w:t>
            </w:r>
          </w:p>
        </w:tc>
      </w:tr>
      <w:tr>
        <w:trPr>
          <w:trHeight w:val="30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91"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r>
            <w:r>
              <w:rPr>
                <w:rFonts w:ascii="宋体"/>
                <w:sz w:val="18"/>
                <w:u w:val="single" w:color="000000"/>
              </w:rPr>
              <w:t>12,600,000.00</w:t>
            </w:r>
            <w:r>
              <w:rPr>
                <w:rFonts w:ascii="宋体"/>
                <w:sz w:val="18"/>
              </w:rPr>
            </w:r>
          </w:p>
        </w:tc>
      </w:tr>
      <w:tr>
        <w:trPr>
          <w:trHeight w:val="538" w:hRule="exact"/>
        </w:trPr>
        <w:tc>
          <w:tcPr>
            <w:tcW w:w="691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1"/>
              <w:ind w:left="9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支付的价值较大的其他与投资活动有关的现金</w:t>
            </w:r>
          </w:p>
        </w:tc>
      </w:tr>
      <w:tr>
        <w:trPr>
          <w:trHeight w:val="422"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1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6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暂付股权投资款</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56,800,000.00</w:t>
            </w:r>
          </w:p>
        </w:tc>
        <w:tc>
          <w:tcPr>
            <w:tcW w:w="1521" w:type="dxa"/>
            <w:tcBorders>
              <w:top w:val="nil" w:sz="6" w:space="0" w:color="auto"/>
              <w:left w:val="nil" w:sz="6" w:space="0" w:color="auto"/>
              <w:bottom w:val="nil" w:sz="6" w:space="0" w:color="auto"/>
              <w:right w:val="nil" w:sz="6" w:space="0" w:color="auto"/>
            </w:tcBorders>
          </w:tcPr>
          <w:p>
            <w:pPr/>
          </w:p>
        </w:tc>
      </w:tr>
      <w:tr>
        <w:trPr>
          <w:trHeight w:val="4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891"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18"/>
                <w:szCs w:val="18"/>
              </w:rPr>
            </w:pPr>
            <w:r>
              <w:rPr>
                <w:rFonts w:ascii="宋体"/>
                <w:sz w:val="18"/>
              </w:rPr>
              <w:t>50,000.00</w:t>
            </w:r>
          </w:p>
        </w:tc>
      </w:tr>
      <w:tr>
        <w:trPr>
          <w:trHeight w:val="30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r>
            <w:r>
              <w:rPr>
                <w:rFonts w:ascii="宋体"/>
                <w:sz w:val="18"/>
                <w:u w:val="single" w:color="000000"/>
              </w:rPr>
              <w:t>56,800,000.00</w:t>
            </w:r>
            <w:r>
              <w:rPr>
                <w:rFonts w:ascii="宋体"/>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r>
            <w:r>
              <w:rPr>
                <w:rFonts w:ascii="宋体"/>
                <w:sz w:val="18"/>
                <w:u w:val="single" w:color="000000"/>
              </w:rPr>
              <w:t>50,000.00</w:t>
            </w:r>
            <w:r>
              <w:rPr>
                <w:rFonts w:ascii="宋体"/>
                <w:sz w:val="18"/>
              </w:rPr>
            </w:r>
          </w:p>
        </w:tc>
      </w:tr>
      <w:tr>
        <w:trPr>
          <w:trHeight w:val="538" w:hRule="exact"/>
        </w:trPr>
        <w:tc>
          <w:tcPr>
            <w:tcW w:w="691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1"/>
              <w:ind w:left="8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收到的价值较大的其他与筹资活动有关的现金。</w:t>
            </w:r>
          </w:p>
        </w:tc>
      </w:tr>
      <w:tr>
        <w:trPr>
          <w:trHeight w:val="422"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1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收到上海盈合实业投资有限公司暂借款</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14,900,000.00</w:t>
            </w:r>
          </w:p>
        </w:tc>
        <w:tc>
          <w:tcPr>
            <w:tcW w:w="1521" w:type="dxa"/>
            <w:tcBorders>
              <w:top w:val="nil" w:sz="6" w:space="0" w:color="auto"/>
              <w:left w:val="nil" w:sz="6" w:space="0" w:color="auto"/>
              <w:bottom w:val="nil" w:sz="6" w:space="0" w:color="auto"/>
              <w:right w:val="nil" w:sz="6" w:space="0" w:color="auto"/>
            </w:tcBorders>
          </w:tcPr>
          <w:p>
            <w:pPr/>
          </w:p>
        </w:tc>
      </w:tr>
      <w:tr>
        <w:trPr>
          <w:trHeight w:val="4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收到杭州恒生世纪实业有限公司暂借款</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8,750,000.00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18"/>
                <w:szCs w:val="18"/>
              </w:rPr>
            </w:pPr>
            <w:r>
              <w:rPr>
                <w:rFonts w:ascii="宋体"/>
                <w:sz w:val="18"/>
              </w:rPr>
              <w:t>750,000.00</w:t>
            </w:r>
          </w:p>
        </w:tc>
      </w:tr>
      <w:tr>
        <w:trPr>
          <w:trHeight w:val="4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收到杭州恒生电子集团有限公司暂借款</w:t>
            </w:r>
          </w:p>
        </w:tc>
        <w:tc>
          <w:tcPr>
            <w:tcW w:w="1891"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18"/>
                <w:szCs w:val="18"/>
              </w:rPr>
            </w:pPr>
            <w:r>
              <w:rPr>
                <w:rFonts w:ascii="宋体"/>
                <w:sz w:val="18"/>
              </w:rPr>
              <w:t>750,000.00</w:t>
            </w:r>
          </w:p>
        </w:tc>
      </w:tr>
      <w:tr>
        <w:trPr>
          <w:trHeight w:val="30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r>
            <w:r>
              <w:rPr>
                <w:rFonts w:ascii="宋体"/>
                <w:sz w:val="18"/>
                <w:u w:val="single" w:color="000000"/>
              </w:rPr>
              <w:t>23,650,000.00</w:t>
            </w:r>
            <w:r>
              <w:rPr>
                <w:rFonts w:ascii="宋体"/>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18"/>
                <w:szCs w:val="18"/>
              </w:rPr>
            </w:pPr>
            <w:r>
              <w:rPr>
                <w:rFonts w:ascii="宋体"/>
                <w:sz w:val="18"/>
              </w:rPr>
            </w:r>
            <w:r>
              <w:rPr>
                <w:rFonts w:ascii="宋体"/>
                <w:sz w:val="18"/>
                <w:u w:val="single" w:color="000000"/>
              </w:rPr>
              <w:t>1,500,000.00</w:t>
            </w:r>
            <w:r>
              <w:rPr>
                <w:rFonts w:ascii="宋体"/>
                <w:sz w:val="18"/>
              </w:rPr>
            </w:r>
          </w:p>
        </w:tc>
      </w:tr>
      <w:tr>
        <w:trPr>
          <w:trHeight w:val="538" w:hRule="exact"/>
        </w:trPr>
        <w:tc>
          <w:tcPr>
            <w:tcW w:w="691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1"/>
              <w:ind w:left="95"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支付的价值较大的其他与筹资活动有关的现金。</w:t>
            </w:r>
          </w:p>
        </w:tc>
      </w:tr>
      <w:tr>
        <w:trPr>
          <w:trHeight w:val="422"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1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4"/>
              <w:jc w:val="righ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归还上海盈合实业投资有限公司暂借款</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14,900,000.00</w:t>
            </w:r>
          </w:p>
        </w:tc>
        <w:tc>
          <w:tcPr>
            <w:tcW w:w="1521" w:type="dxa"/>
            <w:tcBorders>
              <w:top w:val="nil" w:sz="6" w:space="0" w:color="auto"/>
              <w:left w:val="nil" w:sz="6" w:space="0" w:color="auto"/>
              <w:bottom w:val="nil" w:sz="6" w:space="0" w:color="auto"/>
              <w:right w:val="nil" w:sz="6" w:space="0" w:color="auto"/>
            </w:tcBorders>
          </w:tcPr>
          <w:p>
            <w:pPr/>
          </w:p>
        </w:tc>
      </w:tr>
      <w:tr>
        <w:trPr>
          <w:trHeight w:val="4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归还杭州恒生世纪实业有限公司暂借款</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9,500,000.00</w:t>
            </w:r>
          </w:p>
        </w:tc>
        <w:tc>
          <w:tcPr>
            <w:tcW w:w="1521" w:type="dxa"/>
            <w:tcBorders>
              <w:top w:val="nil" w:sz="6" w:space="0" w:color="auto"/>
              <w:left w:val="nil" w:sz="6" w:space="0" w:color="auto"/>
              <w:bottom w:val="nil" w:sz="6" w:space="0" w:color="auto"/>
              <w:right w:val="nil" w:sz="6" w:space="0" w:color="auto"/>
            </w:tcBorders>
          </w:tcPr>
          <w:p>
            <w:pPr/>
          </w:p>
        </w:tc>
      </w:tr>
      <w:tr>
        <w:trPr>
          <w:trHeight w:val="42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归还杭州电子集团有限公司暂借款</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t>750,000.00</w:t>
            </w:r>
          </w:p>
        </w:tc>
        <w:tc>
          <w:tcPr>
            <w:tcW w:w="1521" w:type="dxa"/>
            <w:tcBorders>
              <w:top w:val="nil" w:sz="6" w:space="0" w:color="auto"/>
              <w:left w:val="nil" w:sz="6" w:space="0" w:color="auto"/>
              <w:bottom w:val="nil" w:sz="6" w:space="0" w:color="auto"/>
              <w:right w:val="nil" w:sz="6" w:space="0" w:color="auto"/>
            </w:tcBorders>
          </w:tcPr>
          <w:p>
            <w:pPr/>
          </w:p>
        </w:tc>
      </w:tr>
      <w:tr>
        <w:trPr>
          <w:trHeight w:val="40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18"/>
                <w:szCs w:val="18"/>
              </w:rPr>
            </w:pPr>
            <w:r>
              <w:rPr>
                <w:rFonts w:ascii="宋体"/>
                <w:sz w:val="18"/>
              </w:rPr>
            </w:r>
            <w:r>
              <w:rPr>
                <w:rFonts w:ascii="宋体"/>
                <w:sz w:val="18"/>
                <w:u w:val="single" w:color="000000"/>
              </w:rPr>
              <w:t>25,150,000.00</w:t>
            </w:r>
            <w:r>
              <w:rPr>
                <w:rFonts w:ascii="宋体"/>
                <w:sz w:val="18"/>
              </w:rPr>
            </w:r>
          </w:p>
        </w:tc>
        <w:tc>
          <w:tcPr>
            <w:tcW w:w="1521"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41"/>
        <w:ind w:left="1063" w:right="0"/>
        <w:jc w:val="left"/>
      </w:pPr>
      <w:r>
        <w:rPr/>
        <w:t>7．现金流量表补充资料详见本财务报表附注十四（四）之说明。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1077" w:right="0" w:firstLine="0"/>
        <w:jc w:val="left"/>
        <w:rPr>
          <w:rFonts w:ascii="黑体" w:hAnsi="黑体" w:cs="黑体" w:eastAsia="黑体" w:hint="default"/>
          <w:sz w:val="21"/>
          <w:szCs w:val="21"/>
        </w:rPr>
      </w:pPr>
      <w:r>
        <w:rPr>
          <w:rFonts w:ascii="黑体" w:hAnsi="黑体" w:cs="黑体" w:eastAsia="黑体" w:hint="default"/>
          <w:b/>
          <w:bCs/>
          <w:sz w:val="21"/>
          <w:szCs w:val="21"/>
        </w:rPr>
        <w:t>八、母公司财务报表项目注释</w:t>
      </w:r>
      <w:r>
        <w:rPr>
          <w:rFonts w:ascii="黑体" w:hAnsi="黑体" w:cs="黑体" w:eastAsia="黑体" w:hint="default"/>
          <w:sz w:val="21"/>
          <w:szCs w:val="21"/>
        </w:rPr>
      </w:r>
    </w:p>
    <w:p>
      <w:pPr>
        <w:pStyle w:val="BodyText"/>
        <w:spacing w:line="240" w:lineRule="auto"/>
        <w:ind w:left="1077" w:right="0"/>
        <w:jc w:val="left"/>
      </w:pPr>
      <w:r>
        <w:rPr/>
        <w:t>(一)</w:t>
      </w:r>
      <w:r>
        <w:rPr>
          <w:spacing w:val="-2"/>
        </w:rPr>
        <w:t> </w:t>
      </w:r>
      <w:r>
        <w:rPr/>
        <w:t>母公司资产负债表项目注释</w:t>
      </w:r>
    </w:p>
    <w:p>
      <w:pPr>
        <w:pStyle w:val="BodyText"/>
        <w:tabs>
          <w:tab w:pos="6349" w:val="left" w:leader="none"/>
        </w:tabs>
        <w:spacing w:line="240" w:lineRule="auto"/>
        <w:ind w:left="1077" w:right="0"/>
        <w:jc w:val="left"/>
      </w:pPr>
      <w:r>
        <w:rPr/>
        <w:t>1. 应收账款</w:t>
        <w:tab/>
        <w:t>期末数</w:t>
      </w:r>
      <w:r>
        <w:rPr>
          <w:spacing w:val="-53"/>
        </w:rPr>
        <w:t> </w:t>
      </w:r>
      <w:r>
        <w:rPr/>
        <w:t>36,794,734.60</w:t>
      </w:r>
    </w:p>
    <w:p>
      <w:pPr>
        <w:pStyle w:val="BodyText"/>
        <w:spacing w:line="240" w:lineRule="auto"/>
        <w:ind w:left="1077" w:right="0"/>
        <w:jc w:val="left"/>
      </w:pPr>
      <w:r>
        <w:rPr/>
        <w:t>(1)</w:t>
      </w:r>
      <w:r>
        <w:rPr>
          <w:spacing w:val="-2"/>
        </w:rPr>
        <w:t> </w:t>
      </w:r>
      <w:r>
        <w:rPr/>
        <w:t>明细情况</w:t>
      </w:r>
    </w:p>
    <w:p>
      <w:pPr>
        <w:spacing w:line="240" w:lineRule="auto" w:before="4"/>
        <w:rPr>
          <w:rFonts w:ascii="宋体" w:hAnsi="宋体" w:cs="宋体" w:eastAsia="宋体" w:hint="default"/>
          <w:sz w:val="16"/>
          <w:szCs w:val="16"/>
        </w:rPr>
      </w:pPr>
    </w:p>
    <w:p>
      <w:pPr>
        <w:tabs>
          <w:tab w:pos="1649" w:val="left" w:leader="none"/>
          <w:tab w:pos="2729" w:val="left" w:leader="none"/>
          <w:tab w:pos="3179" w:val="left" w:leader="none"/>
          <w:tab w:pos="3629" w:val="left" w:leader="none"/>
          <w:tab w:pos="4799" w:val="left" w:leader="none"/>
          <w:tab w:pos="5429" w:val="left" w:leader="none"/>
          <w:tab w:pos="6149" w:val="left" w:leader="none"/>
          <w:tab w:pos="6239" w:val="left" w:leader="none"/>
          <w:tab w:pos="7139" w:val="left" w:leader="none"/>
          <w:tab w:pos="7769" w:val="left" w:leader="none"/>
          <w:tab w:pos="8039" w:val="left" w:leader="none"/>
          <w:tab w:pos="9119" w:val="left" w:leader="none"/>
          <w:tab w:pos="9749" w:val="left" w:leader="none"/>
        </w:tabs>
        <w:spacing w:line="232" w:lineRule="exact" w:before="0"/>
        <w:ind w:left="479" w:right="642"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sz w:val="18"/>
          <w:szCs w:val="18"/>
        </w:rPr>
        <w:tab/>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tab/>
        <w:tab/>
      </w:r>
      <w:r>
        <w:rPr>
          <w:rFonts w:ascii="宋体" w:hAnsi="宋体" w:cs="宋体" w:eastAsia="宋体" w:hint="default"/>
          <w:sz w:val="18"/>
          <w:szCs w:val="18"/>
        </w:rPr>
      </w:r>
      <w:r>
        <w:rPr>
          <w:rFonts w:ascii="宋体" w:hAnsi="宋体" w:cs="宋体" w:eastAsia="宋体" w:hint="default"/>
          <w:sz w:val="18"/>
          <w:szCs w:val="18"/>
        </w:rPr>
        <w:t> 项  目</w:t>
        <w:tab/>
        <w:t>账面余额</w:t>
        <w:tab/>
        <w:t>比例(%)</w:t>
        <w:tab/>
        <w:t>坏账准备</w:t>
        <w:tab/>
        <w:t>账面价值</w:t>
        <w:tab/>
        <w:t>账面余额</w:t>
        <w:tab/>
        <w:t>比例(%)</w:t>
        <w:tab/>
        <w:tab/>
        <w:t>坏账准备</w:t>
        <w:tab/>
        <w:t>账面价值</w:t>
      </w:r>
    </w:p>
    <w:p>
      <w:pPr>
        <w:spacing w:line="240" w:lineRule="auto" w:before="8"/>
        <w:rPr>
          <w:rFonts w:ascii="宋体" w:hAnsi="宋体" w:cs="宋体" w:eastAsia="宋体" w:hint="default"/>
          <w:sz w:val="12"/>
          <w:szCs w:val="12"/>
        </w:rPr>
      </w:pPr>
    </w:p>
    <w:p>
      <w:pPr>
        <w:spacing w:line="234" w:lineRule="exact"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单项金额不重大</w:t>
      </w:r>
    </w:p>
    <w:p>
      <w:pPr>
        <w:tabs>
          <w:tab w:pos="5981" w:val="left" w:leader="none"/>
        </w:tabs>
        <w:spacing w:line="234" w:lineRule="exact"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但信用风险较大 14,716,469.22  27.23</w:t>
      </w:r>
      <w:r>
        <w:rPr>
          <w:rFonts w:ascii="宋体" w:hAnsi="宋体" w:cs="宋体" w:eastAsia="宋体" w:hint="default"/>
          <w:spacing w:val="13"/>
          <w:sz w:val="18"/>
          <w:szCs w:val="18"/>
        </w:rPr>
        <w:t> </w:t>
      </w:r>
      <w:r>
        <w:rPr>
          <w:rFonts w:ascii="宋体" w:hAnsi="宋体" w:cs="宋体" w:eastAsia="宋体" w:hint="default"/>
          <w:sz w:val="18"/>
          <w:szCs w:val="18"/>
        </w:rPr>
        <w:t>14,716,469.22</w:t>
        <w:tab/>
        <w:t>14,439,283.22  35.22</w:t>
      </w:r>
      <w:r>
        <w:rPr>
          <w:rFonts w:ascii="宋体" w:hAnsi="宋体" w:cs="宋体" w:eastAsia="宋体" w:hint="default"/>
          <w:spacing w:val="75"/>
          <w:sz w:val="18"/>
          <w:szCs w:val="18"/>
        </w:rPr>
        <w:t> </w:t>
      </w:r>
      <w:r>
        <w:rPr>
          <w:rFonts w:ascii="宋体" w:hAnsi="宋体" w:cs="宋体" w:eastAsia="宋体" w:hint="default"/>
          <w:sz w:val="18"/>
          <w:szCs w:val="18"/>
        </w:rPr>
        <w:t>14,439,283.22</w:t>
      </w:r>
    </w:p>
    <w:p>
      <w:pPr>
        <w:spacing w:line="240" w:lineRule="auto" w:before="1"/>
        <w:rPr>
          <w:rFonts w:ascii="宋体" w:hAnsi="宋体" w:cs="宋体" w:eastAsia="宋体" w:hint="default"/>
          <w:sz w:val="14"/>
          <w:szCs w:val="14"/>
        </w:rPr>
      </w:pPr>
    </w:p>
    <w:p>
      <w:pPr>
        <w:tabs>
          <w:tab w:pos="1467" w:val="left" w:leader="none"/>
          <w:tab w:pos="2839" w:val="left" w:leader="none"/>
          <w:tab w:pos="8037" w:val="left" w:leader="none"/>
        </w:tabs>
        <w:spacing w:before="0"/>
        <w:ind w:left="119" w:right="0" w:firstLine="0"/>
        <w:jc w:val="left"/>
        <w:rPr>
          <w:rFonts w:ascii="宋体" w:hAnsi="宋体" w:cs="宋体" w:eastAsia="宋体" w:hint="default"/>
          <w:sz w:val="18"/>
          <w:szCs w:val="18"/>
        </w:rPr>
      </w:pPr>
      <w:r>
        <w:rPr>
          <w:rFonts w:ascii="宋体" w:hAnsi="宋体" w:cs="宋体" w:eastAsia="宋体" w:hint="default"/>
          <w:sz w:val="18"/>
          <w:szCs w:val="18"/>
        </w:rPr>
        <w:t>其他不重大</w:t>
        <w:tab/>
        <w:t>39,324,351.70</w:t>
        <w:tab/>
        <w:t>72.77  2,529,617.10 36,794,734.60  26,557,295.46</w:t>
      </w:r>
      <w:r>
        <w:rPr>
          <w:rFonts w:ascii="宋体" w:hAnsi="宋体" w:cs="宋体" w:eastAsia="宋体" w:hint="default"/>
          <w:spacing w:val="67"/>
          <w:sz w:val="18"/>
          <w:szCs w:val="18"/>
        </w:rPr>
        <w:t> </w:t>
      </w:r>
      <w:r>
        <w:rPr>
          <w:rFonts w:ascii="宋体" w:hAnsi="宋体" w:cs="宋体" w:eastAsia="宋体" w:hint="default"/>
          <w:sz w:val="18"/>
          <w:szCs w:val="18"/>
        </w:rPr>
        <w:t>64.78</w:t>
        <w:tab/>
        <w:t>1,876,051.57 24,681,243.89</w:t>
      </w:r>
    </w:p>
    <w:p>
      <w:pPr>
        <w:spacing w:line="240" w:lineRule="auto" w:before="1"/>
        <w:rPr>
          <w:rFonts w:ascii="宋体" w:hAnsi="宋体" w:cs="宋体" w:eastAsia="宋体" w:hint="default"/>
          <w:sz w:val="14"/>
          <w:szCs w:val="14"/>
        </w:rPr>
      </w:pPr>
    </w:p>
    <w:p>
      <w:pPr>
        <w:tabs>
          <w:tab w:pos="1467" w:val="left" w:leader="none"/>
        </w:tabs>
        <w:spacing w:before="0"/>
        <w:ind w:left="479"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54,040,820.92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17,246,086.32 </w:t>
      </w:r>
      <w:r>
        <w:rPr>
          <w:rFonts w:ascii="宋体" w:hAnsi="宋体" w:cs="宋体" w:eastAsia="宋体" w:hint="default"/>
          <w:sz w:val="18"/>
          <w:szCs w:val="18"/>
        </w:rPr>
      </w:r>
      <w:r>
        <w:rPr>
          <w:rFonts w:ascii="宋体" w:hAnsi="宋体" w:cs="宋体" w:eastAsia="宋体" w:hint="default"/>
          <w:sz w:val="18"/>
          <w:szCs w:val="18"/>
          <w:u w:val="thick" w:color="000000"/>
        </w:rPr>
        <w:t>36,794,734.60  </w:t>
      </w:r>
      <w:r>
        <w:rPr>
          <w:rFonts w:ascii="宋体" w:hAnsi="宋体" w:cs="宋体" w:eastAsia="宋体" w:hint="default"/>
          <w:sz w:val="18"/>
          <w:szCs w:val="18"/>
        </w:rPr>
      </w:r>
      <w:r>
        <w:rPr>
          <w:rFonts w:ascii="宋体" w:hAnsi="宋体" w:cs="宋体" w:eastAsia="宋体" w:hint="default"/>
          <w:sz w:val="18"/>
          <w:szCs w:val="18"/>
          <w:u w:val="thick" w:color="000000"/>
        </w:rPr>
        <w:t>40,996,578.68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16,315,334.79</w:t>
      </w:r>
      <w:r>
        <w:rPr>
          <w:rFonts w:ascii="宋体" w:hAnsi="宋体" w:cs="宋体" w:eastAsia="宋体" w:hint="default"/>
          <w:spacing w:val="-4"/>
          <w:sz w:val="18"/>
          <w:szCs w:val="18"/>
          <w:u w:val="thick" w:color="000000"/>
        </w:rPr>
        <w:t> </w:t>
      </w:r>
      <w:r>
        <w:rPr>
          <w:rFonts w:ascii="宋体" w:hAnsi="宋体" w:cs="宋体" w:eastAsia="宋体" w:hint="default"/>
          <w:spacing w:val="-4"/>
          <w:sz w:val="18"/>
          <w:szCs w:val="18"/>
        </w:rPr>
      </w:r>
      <w:r>
        <w:rPr>
          <w:rFonts w:ascii="宋体" w:hAnsi="宋体" w:cs="宋体" w:eastAsia="宋体" w:hint="default"/>
          <w:sz w:val="18"/>
          <w:szCs w:val="18"/>
          <w:u w:val="thick" w:color="000000"/>
        </w:rPr>
        <w:t>24,681,243.89</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1263" w:top="1540" w:bottom="1460" w:left="1140" w:right="280"/>
        </w:sectPr>
      </w:pPr>
    </w:p>
    <w:p>
      <w:pPr>
        <w:pStyle w:val="BodyText"/>
        <w:spacing w:line="240" w:lineRule="auto" w:before="13"/>
        <w:ind w:left="557" w:right="0"/>
        <w:jc w:val="left"/>
      </w:pPr>
      <w:r>
        <w:rPr/>
        <w:t>(2)</w:t>
      </w:r>
      <w:r>
        <w:rPr>
          <w:spacing w:val="-2"/>
        </w:rPr>
        <w:t> </w:t>
      </w:r>
      <w:r>
        <w:rPr/>
        <w:t>账龄分析</w:t>
      </w:r>
    </w:p>
    <w:p>
      <w:pPr>
        <w:spacing w:line="240" w:lineRule="auto" w:before="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801"/>
        <w:gridCol w:w="1315"/>
        <w:gridCol w:w="582"/>
        <w:gridCol w:w="1246"/>
        <w:gridCol w:w="1301"/>
        <w:gridCol w:w="1354"/>
        <w:gridCol w:w="637"/>
        <w:gridCol w:w="2554"/>
      </w:tblGrid>
      <w:tr>
        <w:trPr>
          <w:trHeight w:val="633"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445" w:type="dxa"/>
            <w:gridSpan w:val="4"/>
            <w:tcBorders>
              <w:top w:val="nil" w:sz="6" w:space="0" w:color="auto"/>
              <w:left w:val="nil" w:sz="6" w:space="0" w:color="auto"/>
              <w:bottom w:val="nil" w:sz="6" w:space="0" w:color="auto"/>
              <w:right w:val="nil" w:sz="6" w:space="0" w:color="auto"/>
            </w:tcBorders>
          </w:tcPr>
          <w:p>
            <w:pPr>
              <w:pStyle w:val="TableParagraph"/>
              <w:tabs>
                <w:tab w:pos="1485" w:val="left" w:leader="none"/>
                <w:tab w:pos="1934" w:val="left" w:leader="none"/>
                <w:tab w:pos="2385" w:val="left" w:leader="none"/>
                <w:tab w:pos="3555" w:val="left" w:leader="none"/>
                <w:tab w:pos="4184" w:val="left" w:leader="none"/>
              </w:tabs>
              <w:spacing w:line="232" w:lineRule="exact" w:before="69"/>
              <w:ind w:left="405" w:right="167" w:firstLine="8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sz w:val="18"/>
                <w:szCs w:val="18"/>
              </w:rPr>
            </w:r>
            <w:r>
              <w:rPr>
                <w:rFonts w:ascii="宋体" w:hAnsi="宋体" w:cs="宋体" w:eastAsia="宋体" w:hint="default"/>
                <w:sz w:val="18"/>
                <w:szCs w:val="18"/>
              </w:rPr>
              <w:t> 账面余额</w:t>
              <w:tab/>
              <w:t>比例(%)</w:t>
              <w:tab/>
              <w:t>坏账准备</w:t>
              <w:tab/>
              <w:t>账面价值</w:t>
            </w:r>
          </w:p>
        </w:tc>
        <w:tc>
          <w:tcPr>
            <w:tcW w:w="4545" w:type="dxa"/>
            <w:gridSpan w:val="3"/>
            <w:tcBorders>
              <w:top w:val="nil" w:sz="6" w:space="0" w:color="auto"/>
              <w:left w:val="nil" w:sz="6" w:space="0" w:color="auto"/>
              <w:bottom w:val="nil" w:sz="6" w:space="0" w:color="auto"/>
              <w:right w:val="nil" w:sz="6" w:space="0" w:color="auto"/>
            </w:tcBorders>
          </w:tcPr>
          <w:p>
            <w:pPr>
              <w:pStyle w:val="TableParagraph"/>
              <w:tabs>
                <w:tab w:pos="1450" w:val="left" w:leader="none"/>
                <w:tab w:pos="2079" w:val="left" w:leader="none"/>
                <w:tab w:pos="2350" w:val="left" w:leader="none"/>
                <w:tab w:pos="3430" w:val="left" w:leader="none"/>
                <w:tab w:pos="4059" w:val="left" w:leader="none"/>
              </w:tabs>
              <w:spacing w:line="232" w:lineRule="exact" w:before="69"/>
              <w:ind w:left="460" w:right="391" w:firstLine="8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tab/>
              <w:tab/>
            </w:r>
            <w:r>
              <w:rPr>
                <w:rFonts w:ascii="宋体" w:hAnsi="宋体" w:cs="宋体" w:eastAsia="宋体" w:hint="default"/>
                <w:sz w:val="18"/>
                <w:szCs w:val="18"/>
              </w:rPr>
            </w:r>
            <w:r>
              <w:rPr>
                <w:rFonts w:ascii="宋体" w:hAnsi="宋体" w:cs="宋体" w:eastAsia="宋体" w:hint="default"/>
                <w:sz w:val="18"/>
                <w:szCs w:val="18"/>
              </w:rPr>
              <w:t> 账面余额</w:t>
              <w:tab/>
              <w:t>比例(%)</w:t>
              <w:tab/>
              <w:t>坏账准备</w:t>
              <w:tab/>
              <w:t>账面价值</w:t>
            </w:r>
          </w:p>
        </w:tc>
      </w:tr>
      <w:tr>
        <w:trPr>
          <w:trHeight w:val="421"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center"/>
              <w:rPr>
                <w:rFonts w:ascii="宋体" w:hAnsi="宋体" w:cs="宋体" w:eastAsia="宋体" w:hint="default"/>
                <w:sz w:val="18"/>
                <w:szCs w:val="18"/>
              </w:rPr>
            </w:pPr>
            <w:r>
              <w:rPr>
                <w:rFonts w:ascii="宋体"/>
                <w:sz w:val="18"/>
              </w:rPr>
              <w:t>32,055,429.43</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9"/>
              <w:jc w:val="right"/>
              <w:rPr>
                <w:rFonts w:ascii="宋体" w:hAnsi="宋体" w:cs="宋体" w:eastAsia="宋体" w:hint="default"/>
                <w:sz w:val="18"/>
                <w:szCs w:val="18"/>
              </w:rPr>
            </w:pPr>
            <w:r>
              <w:rPr>
                <w:rFonts w:ascii="宋体"/>
                <w:sz w:val="18"/>
              </w:rPr>
              <w:t>59.32</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3"/>
              <w:jc w:val="right"/>
              <w:rPr>
                <w:rFonts w:ascii="宋体" w:hAnsi="宋体" w:cs="宋体" w:eastAsia="宋体" w:hint="default"/>
                <w:sz w:val="18"/>
                <w:szCs w:val="18"/>
              </w:rPr>
            </w:pPr>
            <w:r>
              <w:rPr>
                <w:rFonts w:ascii="宋体"/>
                <w:sz w:val="18"/>
              </w:rPr>
              <w:t>1,602,771.47</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4"/>
              <w:jc w:val="right"/>
              <w:rPr>
                <w:rFonts w:ascii="宋体" w:hAnsi="宋体" w:cs="宋体" w:eastAsia="宋体" w:hint="default"/>
                <w:sz w:val="18"/>
                <w:szCs w:val="18"/>
              </w:rPr>
            </w:pPr>
            <w:r>
              <w:rPr>
                <w:rFonts w:ascii="宋体"/>
                <w:sz w:val="18"/>
              </w:rPr>
              <w:t>30,452,657.96</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5"/>
              <w:jc w:val="right"/>
              <w:rPr>
                <w:rFonts w:ascii="宋体" w:hAnsi="宋体" w:cs="宋体" w:eastAsia="宋体" w:hint="default"/>
                <w:sz w:val="18"/>
                <w:szCs w:val="18"/>
              </w:rPr>
            </w:pPr>
            <w:r>
              <w:rPr>
                <w:rFonts w:ascii="宋体"/>
                <w:sz w:val="18"/>
              </w:rPr>
              <w:t>23,197,832.52</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 w:right="0"/>
              <w:jc w:val="center"/>
              <w:rPr>
                <w:rFonts w:ascii="宋体" w:hAnsi="宋体" w:cs="宋体" w:eastAsia="宋体" w:hint="default"/>
                <w:sz w:val="18"/>
                <w:szCs w:val="18"/>
              </w:rPr>
            </w:pPr>
            <w:r>
              <w:rPr>
                <w:rFonts w:ascii="宋体"/>
                <w:sz w:val="18"/>
              </w:rPr>
              <w:t>56.58</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1,621,953.63 21,575,878.89</w:t>
            </w:r>
          </w:p>
        </w:tc>
      </w:tr>
      <w:tr>
        <w:trPr>
          <w:trHeight w:val="420"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 w:right="0"/>
              <w:jc w:val="center"/>
              <w:rPr>
                <w:rFonts w:ascii="宋体" w:hAnsi="宋体" w:cs="宋体" w:eastAsia="宋体" w:hint="default"/>
                <w:sz w:val="18"/>
                <w:szCs w:val="18"/>
              </w:rPr>
            </w:pPr>
            <w:r>
              <w:rPr>
                <w:rFonts w:ascii="宋体"/>
                <w:sz w:val="18"/>
              </w:rPr>
              <w:t>6,755,536.33</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12.50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1,113,296.59</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宋体" w:hAnsi="宋体" w:cs="宋体" w:eastAsia="宋体" w:hint="default"/>
                <w:sz w:val="18"/>
                <w:szCs w:val="18"/>
              </w:rPr>
            </w:pPr>
            <w:r>
              <w:rPr>
                <w:rFonts w:ascii="宋体"/>
                <w:sz w:val="18"/>
              </w:rPr>
              <w:t>5,642,239.74</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right"/>
              <w:rPr>
                <w:rFonts w:ascii="宋体" w:hAnsi="宋体" w:cs="宋体" w:eastAsia="宋体" w:hint="default"/>
                <w:sz w:val="18"/>
                <w:szCs w:val="18"/>
              </w:rPr>
            </w:pPr>
            <w:r>
              <w:rPr>
                <w:rFonts w:ascii="宋体"/>
                <w:sz w:val="18"/>
              </w:rPr>
              <w:t>2,790,161.00</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7" w:right="0"/>
              <w:jc w:val="center"/>
              <w:rPr>
                <w:rFonts w:ascii="宋体" w:hAnsi="宋体" w:cs="宋体" w:eastAsia="宋体" w:hint="default"/>
                <w:sz w:val="18"/>
                <w:szCs w:val="18"/>
              </w:rPr>
            </w:pPr>
            <w:r>
              <w:rPr>
                <w:rFonts w:ascii="宋体"/>
                <w:sz w:val="18"/>
              </w:rPr>
              <w:t>6.81</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993,427.10  1,796,733.90</w:t>
            </w:r>
          </w:p>
        </w:tc>
      </w:tr>
      <w:tr>
        <w:trPr>
          <w:trHeight w:val="420"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 w:right="0"/>
              <w:jc w:val="center"/>
              <w:rPr>
                <w:rFonts w:ascii="宋体" w:hAnsi="宋体" w:cs="宋体" w:eastAsia="宋体" w:hint="default"/>
                <w:sz w:val="18"/>
                <w:szCs w:val="18"/>
              </w:rPr>
            </w:pPr>
            <w:r>
              <w:rPr>
                <w:rFonts w:ascii="宋体"/>
                <w:sz w:val="18"/>
              </w:rPr>
              <w:t>1,793,557.00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宋体" w:hAnsi="宋体" w:cs="宋体" w:eastAsia="宋体" w:hint="default"/>
                <w:sz w:val="18"/>
                <w:szCs w:val="18"/>
              </w:rPr>
            </w:pPr>
            <w:r>
              <w:rPr>
                <w:rFonts w:ascii="宋体"/>
                <w:sz w:val="18"/>
              </w:rPr>
              <w:t>3.32</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1,093,720.10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宋体" w:hAnsi="宋体" w:cs="宋体" w:eastAsia="宋体" w:hint="default"/>
                <w:sz w:val="18"/>
                <w:szCs w:val="18"/>
              </w:rPr>
            </w:pPr>
            <w:r>
              <w:rPr>
                <w:rFonts w:ascii="宋体"/>
                <w:sz w:val="18"/>
              </w:rPr>
              <w:t>699,836.90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right"/>
              <w:rPr>
                <w:rFonts w:ascii="宋体" w:hAnsi="宋体" w:cs="宋体" w:eastAsia="宋体" w:hint="default"/>
                <w:sz w:val="18"/>
                <w:szCs w:val="18"/>
              </w:rPr>
            </w:pPr>
            <w:r>
              <w:rPr>
                <w:rFonts w:ascii="宋体"/>
                <w:sz w:val="18"/>
              </w:rPr>
              <w:t>3,841,573.04</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7" w:right="0"/>
              <w:jc w:val="center"/>
              <w:rPr>
                <w:rFonts w:ascii="宋体" w:hAnsi="宋体" w:cs="宋体" w:eastAsia="宋体" w:hint="default"/>
                <w:sz w:val="18"/>
                <w:szCs w:val="18"/>
              </w:rPr>
            </w:pPr>
            <w:r>
              <w:rPr>
                <w:rFonts w:ascii="宋体"/>
                <w:sz w:val="18"/>
              </w:rPr>
              <w:t>9.37</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2,532,941.94  1,308,631.10</w:t>
            </w:r>
          </w:p>
        </w:tc>
      </w:tr>
      <w:tr>
        <w:trPr>
          <w:trHeight w:val="400"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center"/>
              <w:rPr>
                <w:rFonts w:ascii="宋体" w:hAnsi="宋体" w:cs="宋体" w:eastAsia="宋体" w:hint="default"/>
                <w:sz w:val="18"/>
                <w:szCs w:val="18"/>
              </w:rPr>
            </w:pPr>
            <w:r>
              <w:rPr>
                <w:rFonts w:ascii="宋体"/>
                <w:sz w:val="18"/>
              </w:rPr>
              <w:t>13,436,298.16</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24.86</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13,436,298.16</w:t>
            </w:r>
          </w:p>
        </w:tc>
        <w:tc>
          <w:tcPr>
            <w:tcW w:w="1301"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right"/>
              <w:rPr>
                <w:rFonts w:ascii="宋体" w:hAnsi="宋体" w:cs="宋体" w:eastAsia="宋体" w:hint="default"/>
                <w:sz w:val="18"/>
                <w:szCs w:val="18"/>
              </w:rPr>
            </w:pPr>
            <w:r>
              <w:rPr>
                <w:rFonts w:ascii="宋体"/>
                <w:sz w:val="18"/>
              </w:rPr>
              <w:t>11,167,012.12</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sz w:val="18"/>
              </w:rPr>
              <w:t>27.24</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9" w:right="0"/>
              <w:jc w:val="left"/>
              <w:rPr>
                <w:rFonts w:ascii="宋体" w:hAnsi="宋体" w:cs="宋体" w:eastAsia="宋体" w:hint="default"/>
                <w:sz w:val="18"/>
                <w:szCs w:val="18"/>
              </w:rPr>
            </w:pPr>
            <w:r>
              <w:rPr>
                <w:rFonts w:ascii="宋体"/>
                <w:sz w:val="18"/>
              </w:rPr>
              <w:t>11,167,012.12</w:t>
            </w:r>
          </w:p>
        </w:tc>
      </w:tr>
    </w:tbl>
    <w:p>
      <w:pPr>
        <w:spacing w:before="84"/>
        <w:ind w:left="317" w:right="0" w:firstLine="0"/>
        <w:jc w:val="left"/>
        <w:rPr>
          <w:rFonts w:ascii="宋体" w:hAnsi="宋体" w:cs="宋体" w:eastAsia="宋体" w:hint="default"/>
          <w:sz w:val="18"/>
          <w:szCs w:val="18"/>
        </w:rPr>
      </w:pPr>
      <w:r>
        <w:rPr>
          <w:rFonts w:ascii="宋体" w:hAnsi="宋体" w:cs="宋体" w:eastAsia="宋体" w:hint="default"/>
          <w:sz w:val="18"/>
          <w:szCs w:val="18"/>
        </w:rPr>
        <w:t>合  计 </w:t>
      </w:r>
      <w:r>
        <w:rPr>
          <w:rFonts w:ascii="宋体" w:hAnsi="宋体" w:cs="宋体" w:eastAsia="宋体" w:hint="default"/>
          <w:sz w:val="18"/>
          <w:szCs w:val="18"/>
          <w:u w:val="thick" w:color="000000"/>
        </w:rPr>
        <w:t>54,040,820.92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17,246,086.32 </w:t>
      </w:r>
      <w:r>
        <w:rPr>
          <w:rFonts w:ascii="宋体" w:hAnsi="宋体" w:cs="宋体" w:eastAsia="宋体" w:hint="default"/>
          <w:sz w:val="18"/>
          <w:szCs w:val="18"/>
        </w:rPr>
      </w:r>
      <w:r>
        <w:rPr>
          <w:rFonts w:ascii="宋体" w:hAnsi="宋体" w:cs="宋体" w:eastAsia="宋体" w:hint="default"/>
          <w:sz w:val="18"/>
          <w:szCs w:val="18"/>
          <w:u w:val="thick" w:color="000000"/>
        </w:rPr>
        <w:t>36,794,734.60  </w:t>
      </w:r>
      <w:r>
        <w:rPr>
          <w:rFonts w:ascii="宋体" w:hAnsi="宋体" w:cs="宋体" w:eastAsia="宋体" w:hint="default"/>
          <w:sz w:val="18"/>
          <w:szCs w:val="18"/>
        </w:rPr>
      </w:r>
      <w:r>
        <w:rPr>
          <w:rFonts w:ascii="宋体" w:hAnsi="宋体" w:cs="宋体" w:eastAsia="宋体" w:hint="default"/>
          <w:sz w:val="18"/>
          <w:szCs w:val="18"/>
          <w:u w:val="thick" w:color="000000"/>
        </w:rPr>
        <w:t>40,996,578.68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16,315,334.79</w:t>
      </w:r>
      <w:r>
        <w:rPr>
          <w:rFonts w:ascii="宋体" w:hAnsi="宋体" w:cs="宋体" w:eastAsia="宋体" w:hint="default"/>
          <w:spacing w:val="-4"/>
          <w:sz w:val="18"/>
          <w:szCs w:val="18"/>
          <w:u w:val="thick" w:color="000000"/>
        </w:rPr>
        <w:t> </w:t>
      </w:r>
      <w:r>
        <w:rPr>
          <w:rFonts w:ascii="宋体" w:hAnsi="宋体" w:cs="宋体" w:eastAsia="宋体" w:hint="default"/>
          <w:spacing w:val="-4"/>
          <w:sz w:val="18"/>
          <w:szCs w:val="18"/>
        </w:rPr>
      </w:r>
      <w:r>
        <w:rPr>
          <w:rFonts w:ascii="宋体" w:hAnsi="宋体" w:cs="宋体" w:eastAsia="宋体" w:hint="default"/>
          <w:sz w:val="18"/>
          <w:szCs w:val="18"/>
          <w:u w:val="thick" w:color="000000"/>
        </w:rPr>
        <w:t>24,681,243.89</w:t>
      </w:r>
      <w:r>
        <w:rPr>
          <w:rFonts w:ascii="宋体" w:hAnsi="宋体" w:cs="宋体" w:eastAsia="宋体" w:hint="default"/>
          <w:sz w:val="18"/>
          <w:szCs w:val="18"/>
        </w:rPr>
      </w:r>
    </w:p>
    <w:p>
      <w:pPr>
        <w:pStyle w:val="BodyText"/>
        <w:spacing w:line="367" w:lineRule="auto" w:before="141"/>
        <w:ind w:left="137" w:right="1305" w:firstLine="524"/>
        <w:jc w:val="left"/>
      </w:pPr>
      <w:r>
        <w:rPr/>
        <w:t>(3)</w:t>
      </w:r>
      <w:r>
        <w:rPr>
          <w:spacing w:val="-10"/>
        </w:rPr>
        <w:t> </w:t>
      </w:r>
      <w:r>
        <w:rPr/>
        <w:t>期末应收账款中欠款金额前</w:t>
      </w:r>
      <w:r>
        <w:rPr>
          <w:spacing w:val="-58"/>
        </w:rPr>
        <w:t> </w:t>
      </w:r>
      <w:r>
        <w:rPr/>
        <w:t>5</w:t>
      </w:r>
      <w:r>
        <w:rPr>
          <w:spacing w:val="-58"/>
        </w:rPr>
        <w:t> </w:t>
      </w:r>
      <w:r>
        <w:rPr/>
        <w:t>名的欠款金额总计为</w:t>
      </w:r>
      <w:r>
        <w:rPr>
          <w:spacing w:val="-58"/>
        </w:rPr>
        <w:t> </w:t>
      </w:r>
      <w:r>
        <w:rPr/>
        <w:t>7,496,179.51</w:t>
      </w:r>
      <w:r>
        <w:rPr>
          <w:spacing w:val="-57"/>
        </w:rPr>
        <w:t> </w:t>
      </w:r>
      <w:r>
        <w:rPr>
          <w:spacing w:val="-8"/>
        </w:rPr>
        <w:t>元，占应收账款账</w:t>
      </w:r>
      <w:r>
        <w:rPr/>
        <w:t> 面余额的</w:t>
      </w:r>
      <w:r>
        <w:rPr>
          <w:spacing w:val="-55"/>
        </w:rPr>
        <w:t> </w:t>
      </w:r>
      <w:r>
        <w:rPr/>
        <w:t>13.87%，其对应的账龄如下：</w:t>
      </w:r>
    </w:p>
    <w:tbl>
      <w:tblPr>
        <w:tblW w:w="0" w:type="auto"/>
        <w:jc w:val="left"/>
        <w:tblInd w:w="570" w:type="dxa"/>
        <w:tblLayout w:type="fixed"/>
        <w:tblCellMar>
          <w:top w:w="0" w:type="dxa"/>
          <w:left w:w="0" w:type="dxa"/>
          <w:bottom w:w="0" w:type="dxa"/>
          <w:right w:w="0" w:type="dxa"/>
        </w:tblCellMar>
        <w:tblLook w:val="01E0"/>
      </w:tblPr>
      <w:tblGrid>
        <w:gridCol w:w="1905"/>
        <w:gridCol w:w="2268"/>
      </w:tblGrid>
      <w:tr>
        <w:trPr>
          <w:trHeight w:val="415" w:hRule="exact"/>
        </w:trPr>
        <w:tc>
          <w:tcPr>
            <w:tcW w:w="1905"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35"/>
              <w:ind w:left="30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4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6,101,586.51</w:t>
            </w:r>
            <w:r>
              <w:rPr>
                <w:rFonts w:ascii="宋体"/>
                <w:sz w:val="21"/>
              </w:rPr>
            </w:r>
          </w:p>
        </w:tc>
      </w:tr>
      <w:tr>
        <w:trPr>
          <w:trHeight w:val="420" w:hRule="exact"/>
        </w:trPr>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1,394,593.00</w:t>
            </w:r>
            <w:r>
              <w:rPr>
                <w:rFonts w:ascii="宋体"/>
                <w:sz w:val="21"/>
              </w:rPr>
            </w:r>
          </w:p>
        </w:tc>
      </w:tr>
      <w:tr>
        <w:trPr>
          <w:trHeight w:val="415" w:hRule="exact"/>
        </w:trPr>
        <w:tc>
          <w:tcPr>
            <w:tcW w:w="190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single" w:color="000000"/>
              </w:rPr>
              <w:t>7,496,179.51</w:t>
            </w:r>
            <w:r>
              <w:rPr>
                <w:rFonts w:ascii="宋体"/>
                <w:spacing w:val="-1"/>
                <w:sz w:val="21"/>
              </w:rPr>
            </w:r>
            <w:r>
              <w:rPr>
                <w:rFonts w:ascii="宋体"/>
                <w:sz w:val="21"/>
              </w:rPr>
            </w:r>
          </w:p>
        </w:tc>
      </w:tr>
    </w:tbl>
    <w:p>
      <w:pPr>
        <w:pStyle w:val="BodyText"/>
        <w:spacing w:line="367" w:lineRule="auto" w:before="45"/>
        <w:ind w:left="557" w:right="3870"/>
        <w:jc w:val="left"/>
      </w:pPr>
      <w:r>
        <w:rPr/>
        <w:t>(4)</w:t>
      </w:r>
      <w:r>
        <w:rPr>
          <w:spacing w:val="-3"/>
        </w:rPr>
        <w:t> </w:t>
      </w:r>
      <w:r>
        <w:rPr/>
        <w:t>无持有本公司</w:t>
      </w:r>
      <w:r>
        <w:rPr>
          <w:spacing w:val="-55"/>
        </w:rPr>
        <w:t> </w:t>
      </w:r>
      <w:r>
        <w:rPr/>
        <w:t>5%以上（含</w:t>
      </w:r>
      <w:r>
        <w:rPr>
          <w:spacing w:val="-55"/>
        </w:rPr>
        <w:t> </w:t>
      </w:r>
      <w:r>
        <w:rPr/>
        <w:t>5%）表决权股份的股东账款。</w:t>
      </w:r>
      <w:r>
        <w:rPr/>
        <w:t> (5)</w:t>
      </w:r>
      <w:r>
        <w:rPr>
          <w:spacing w:val="-2"/>
        </w:rPr>
        <w:t> </w:t>
      </w:r>
      <w:r>
        <w:rPr/>
        <w:t>无期末应收关联方账款。</w:t>
      </w:r>
    </w:p>
    <w:p>
      <w:pPr>
        <w:pStyle w:val="BodyText"/>
        <w:spacing w:line="240" w:lineRule="auto" w:before="34"/>
        <w:ind w:left="557" w:right="0"/>
        <w:jc w:val="left"/>
      </w:pPr>
      <w:r>
        <w:rPr/>
        <w:t>(6)</w:t>
      </w:r>
      <w:r>
        <w:rPr>
          <w:spacing w:val="-2"/>
        </w:rPr>
        <w:t> </w:t>
      </w:r>
      <w:r>
        <w:rPr/>
        <w:t>无外币应收账款。</w:t>
      </w:r>
    </w:p>
    <w:p>
      <w:pPr>
        <w:pStyle w:val="BodyText"/>
        <w:spacing w:line="367" w:lineRule="auto"/>
        <w:ind w:left="557" w:right="1305"/>
        <w:jc w:val="left"/>
      </w:pPr>
      <w:r>
        <w:rPr/>
        <w:t>(7)</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应收账款账面价值期末数较期初数增长</w:t>
      </w:r>
      <w:r>
        <w:rPr>
          <w:spacing w:val="37"/>
        </w:rPr>
        <w:t> </w:t>
      </w:r>
      <w:r>
        <w:rPr/>
        <w:t>49.08%，主要系公司本期业务规模扩大，期末应</w:t>
      </w:r>
    </w:p>
    <w:p>
      <w:pPr>
        <w:pStyle w:val="BodyText"/>
        <w:spacing w:line="367" w:lineRule="auto" w:before="34"/>
        <w:ind w:left="557" w:right="8167" w:hanging="420"/>
        <w:jc w:val="left"/>
      </w:pPr>
      <w:r>
        <w:rPr/>
        <w:t>收账款相应增加。 (8)</w:t>
      </w:r>
      <w:r>
        <w:rPr>
          <w:spacing w:val="-2"/>
        </w:rPr>
        <w:t> </w:t>
      </w:r>
      <w:r>
        <w:rPr/>
        <w:t>其他说明</w:t>
      </w:r>
    </w:p>
    <w:p>
      <w:pPr>
        <w:pStyle w:val="BodyText"/>
        <w:spacing w:line="240" w:lineRule="auto" w:before="34"/>
        <w:ind w:left="557" w:right="0"/>
        <w:jc w:val="left"/>
      </w:pPr>
      <w:r>
        <w:rPr/>
        <w:t>1)</w:t>
      </w:r>
      <w:r>
        <w:rPr>
          <w:spacing w:val="-2"/>
        </w:rPr>
        <w:t> </w:t>
      </w:r>
      <w:r>
        <w:rPr/>
        <w:t>单项金额不重大但信用风险较大的应收账款计提比例及理由说明</w:t>
      </w:r>
    </w:p>
    <w:p>
      <w:pPr>
        <w:pStyle w:val="BodyText"/>
        <w:spacing w:line="240" w:lineRule="auto"/>
        <w:ind w:left="557" w:right="0"/>
        <w:jc w:val="left"/>
      </w:pPr>
      <w:r>
        <w:rPr/>
        <w:t>截至</w:t>
      </w:r>
      <w:r>
        <w:rPr>
          <w:spacing w:val="-55"/>
        </w:rPr>
        <w:t> </w:t>
      </w:r>
      <w:r>
        <w:rPr/>
        <w:t>2007</w:t>
      </w:r>
      <w:r>
        <w:rPr>
          <w:spacing w:val="-54"/>
        </w:rPr>
        <w:t> </w:t>
      </w:r>
      <w:r>
        <w:rPr/>
        <w:t>年</w:t>
      </w:r>
      <w:r>
        <w:rPr>
          <w:spacing w:val="-56"/>
        </w:rPr>
        <w:t> </w:t>
      </w:r>
      <w:r>
        <w:rPr/>
        <w:t>12</w:t>
      </w:r>
      <w:r>
        <w:rPr>
          <w:spacing w:val="-55"/>
        </w:rPr>
        <w:t> </w:t>
      </w:r>
      <w:r>
        <w:rPr/>
        <w:t>月</w:t>
      </w:r>
      <w:r>
        <w:rPr>
          <w:spacing w:val="-55"/>
        </w:rPr>
        <w:t> </w:t>
      </w:r>
      <w:r>
        <w:rPr/>
        <w:t>31</w:t>
      </w:r>
      <w:r>
        <w:rPr>
          <w:spacing w:val="-54"/>
        </w:rPr>
        <w:t> </w:t>
      </w:r>
      <w:r>
        <w:rPr>
          <w:spacing w:val="-3"/>
        </w:rPr>
        <w:t>日，公司应收中行吉林省分行等单位共计</w:t>
      </w:r>
      <w:r>
        <w:rPr>
          <w:spacing w:val="-55"/>
        </w:rPr>
        <w:t> </w:t>
      </w:r>
      <w:r>
        <w:rPr/>
        <w:t>1,280,171.06</w:t>
      </w:r>
      <w:r>
        <w:rPr>
          <w:spacing w:val="-54"/>
        </w:rPr>
        <w:t> </w:t>
      </w:r>
      <w:r>
        <w:rPr>
          <w:spacing w:val="-7"/>
        </w:rPr>
        <w:t>元（其中账</w:t>
      </w:r>
      <w:r>
        <w:rPr/>
      </w:r>
    </w:p>
    <w:p>
      <w:pPr>
        <w:pStyle w:val="BodyText"/>
        <w:spacing w:line="367" w:lineRule="auto"/>
        <w:ind w:left="137" w:right="0"/>
        <w:jc w:val="left"/>
      </w:pPr>
      <w:r>
        <w:rPr/>
        <w:t>龄</w:t>
      </w:r>
      <w:r>
        <w:rPr>
          <w:spacing w:val="-65"/>
        </w:rPr>
        <w:t> </w:t>
      </w:r>
      <w:r>
        <w:rPr/>
        <w:t>1-2</w:t>
      </w:r>
      <w:r>
        <w:rPr>
          <w:spacing w:val="-64"/>
        </w:rPr>
        <w:t> </w:t>
      </w:r>
      <w:r>
        <w:rPr/>
        <w:t>年</w:t>
      </w:r>
      <w:r>
        <w:rPr>
          <w:spacing w:val="-65"/>
        </w:rPr>
        <w:t> </w:t>
      </w:r>
      <w:r>
        <w:rPr>
          <w:spacing w:val="-1"/>
        </w:rPr>
        <w:t>486,381.06</w:t>
      </w:r>
      <w:r>
        <w:rPr>
          <w:spacing w:val="-64"/>
        </w:rPr>
        <w:t> </w:t>
      </w:r>
      <w:r>
        <w:rPr>
          <w:spacing w:val="-27"/>
        </w:rPr>
        <w:t>元，账龄</w:t>
      </w:r>
      <w:r>
        <w:rPr>
          <w:spacing w:val="-65"/>
        </w:rPr>
        <w:t> </w:t>
      </w:r>
      <w:r>
        <w:rPr/>
        <w:t>2-3</w:t>
      </w:r>
      <w:r>
        <w:rPr>
          <w:spacing w:val="-64"/>
        </w:rPr>
        <w:t> </w:t>
      </w:r>
      <w:r>
        <w:rPr/>
        <w:t>年</w:t>
      </w:r>
      <w:r>
        <w:rPr>
          <w:spacing w:val="-65"/>
        </w:rPr>
        <w:t> </w:t>
      </w:r>
      <w:r>
        <w:rPr>
          <w:spacing w:val="-1"/>
        </w:rPr>
        <w:t>793,790.00</w:t>
      </w:r>
      <w:r>
        <w:rPr>
          <w:spacing w:val="-64"/>
        </w:rPr>
        <w:t> </w:t>
      </w:r>
      <w:r>
        <w:rPr>
          <w:spacing w:val="-8"/>
        </w:rPr>
        <w:t>元）,其他账龄三年以上的款项</w:t>
      </w:r>
      <w:r>
        <w:rPr>
          <w:spacing w:val="-65"/>
        </w:rPr>
        <w:t> </w:t>
      </w:r>
      <w:r>
        <w:rPr/>
        <w:t>13,436,298.16</w:t>
      </w:r>
      <w:r>
        <w:rPr/>
        <w:t> 元，估计无法收回，已全额计提坏账准备。</w:t>
      </w:r>
    </w:p>
    <w:p>
      <w:pPr>
        <w:pStyle w:val="BodyText"/>
        <w:spacing w:line="367" w:lineRule="auto" w:before="34"/>
        <w:ind w:left="137" w:right="1309" w:firstLine="420"/>
        <w:jc w:val="left"/>
      </w:pPr>
      <w:r>
        <w:rPr/>
        <w:t>2)</w:t>
      </w:r>
      <w:r>
        <w:rPr>
          <w:spacing w:val="33"/>
        </w:rPr>
        <w:t> </w:t>
      </w:r>
      <w:r>
        <w:rPr/>
        <w:t>以前年度已全额计提坏账准备，或计提坏账准备的比例较大，但在报告期又全额或部</w:t>
      </w:r>
      <w:r>
        <w:rPr>
          <w:spacing w:val="1"/>
        </w:rPr>
        <w:t> </w:t>
      </w:r>
      <w:r>
        <w:rPr/>
        <w:t>分收回的，或通过重组等其他方式收回的原因、原估计计提比例的理由及合理性的说明</w:t>
      </w:r>
    </w:p>
    <w:p>
      <w:pPr>
        <w:pStyle w:val="BodyText"/>
        <w:spacing w:line="367" w:lineRule="auto" w:before="34"/>
        <w:ind w:left="137" w:right="1302" w:firstLine="420"/>
        <w:jc w:val="left"/>
      </w:pPr>
      <w:r>
        <w:rPr/>
        <w:t>公司原账面应收南方证券股份有限公司款项（账龄</w:t>
      </w:r>
      <w:r>
        <w:rPr>
          <w:spacing w:val="-43"/>
        </w:rPr>
        <w:t> </w:t>
      </w:r>
      <w:r>
        <w:rPr/>
        <w:t>3</w:t>
      </w:r>
      <w:r>
        <w:rPr>
          <w:spacing w:val="-42"/>
        </w:rPr>
        <w:t> </w:t>
      </w:r>
      <w:r>
        <w:rPr/>
        <w:t>年以上）共计</w:t>
      </w:r>
      <w:r>
        <w:rPr>
          <w:spacing w:val="-43"/>
        </w:rPr>
        <w:t> </w:t>
      </w:r>
      <w:r>
        <w:rPr/>
        <w:t>635,900.00</w:t>
      </w:r>
      <w:r>
        <w:rPr>
          <w:spacing w:val="-42"/>
        </w:rPr>
        <w:t> </w:t>
      </w:r>
      <w:r>
        <w:rPr/>
        <w:t>元，本期</w:t>
      </w:r>
      <w:r>
        <w:rPr/>
        <w:t> 已通过南方证券股份有限公司破产清算组收回。</w:t>
      </w:r>
    </w:p>
    <w:p>
      <w:pPr>
        <w:spacing w:after="0" w:line="367" w:lineRule="auto"/>
        <w:jc w:val="left"/>
        <w:sectPr>
          <w:pgSz w:w="11910" w:h="16840"/>
          <w:pgMar w:header="0" w:footer="1263" w:top="1540" w:bottom="1460" w:left="1660" w:right="240"/>
        </w:sectPr>
      </w:pPr>
    </w:p>
    <w:p>
      <w:pPr>
        <w:pStyle w:val="BodyText"/>
        <w:tabs>
          <w:tab w:pos="6348" w:val="left" w:leader="none"/>
        </w:tabs>
        <w:spacing w:line="240" w:lineRule="auto" w:before="13"/>
        <w:ind w:left="1077" w:right="0"/>
        <w:jc w:val="left"/>
      </w:pPr>
      <w:r>
        <w:rPr/>
        <w:t>2.</w:t>
      </w:r>
      <w:r>
        <w:rPr>
          <w:spacing w:val="-2"/>
        </w:rPr>
        <w:t> </w:t>
      </w:r>
      <w:r>
        <w:rPr/>
        <w:t>其他应收款</w:t>
        <w:tab/>
        <w:t>期末数</w:t>
      </w:r>
      <w:r>
        <w:rPr>
          <w:spacing w:val="-53"/>
        </w:rPr>
        <w:t> </w:t>
      </w:r>
      <w:r>
        <w:rPr/>
        <w:t>65,400,173.49</w:t>
      </w:r>
    </w:p>
    <w:p>
      <w:pPr>
        <w:pStyle w:val="BodyText"/>
        <w:spacing w:line="240" w:lineRule="auto"/>
        <w:ind w:left="1077" w:right="0"/>
        <w:jc w:val="left"/>
      </w:pPr>
      <w:r>
        <w:rPr/>
        <w:t>(1)</w:t>
      </w:r>
      <w:r>
        <w:rPr>
          <w:spacing w:val="-2"/>
        </w:rPr>
        <w:t> </w:t>
      </w:r>
      <w:r>
        <w:rPr/>
        <w:t>明细情况</w:t>
      </w:r>
    </w:p>
    <w:p>
      <w:pPr>
        <w:spacing w:line="240" w:lineRule="auto" w:before="4"/>
        <w:rPr>
          <w:rFonts w:ascii="宋体" w:hAnsi="宋体" w:cs="宋体" w:eastAsia="宋体" w:hint="default"/>
          <w:sz w:val="16"/>
          <w:szCs w:val="16"/>
        </w:rPr>
      </w:pPr>
    </w:p>
    <w:p>
      <w:pPr>
        <w:tabs>
          <w:tab w:pos="1651" w:val="left" w:leader="none"/>
          <w:tab w:pos="2731" w:val="left" w:leader="none"/>
          <w:tab w:pos="3269" w:val="left" w:leader="none"/>
          <w:tab w:pos="4621" w:val="left" w:leader="none"/>
          <w:tab w:pos="5339" w:val="left" w:leader="none"/>
          <w:tab w:pos="5971" w:val="left" w:leader="none"/>
          <w:tab w:pos="6059" w:val="left" w:leader="none"/>
          <w:tab w:pos="7051" w:val="left" w:leader="none"/>
          <w:tab w:pos="7679" w:val="left" w:leader="none"/>
          <w:tab w:pos="9031" w:val="left" w:leader="none"/>
          <w:tab w:pos="9659" w:val="left" w:leader="none"/>
        </w:tabs>
        <w:spacing w:line="232" w:lineRule="exact" w:before="0"/>
        <w:ind w:left="481" w:right="371" w:firstLine="125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sz w:val="18"/>
          <w:szCs w:val="18"/>
        </w:rPr>
        <w:tab/>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tab/>
        <w:tab/>
      </w:r>
      <w:r>
        <w:rPr>
          <w:rFonts w:ascii="宋体" w:hAnsi="宋体" w:cs="宋体" w:eastAsia="宋体" w:hint="default"/>
          <w:sz w:val="18"/>
          <w:szCs w:val="18"/>
        </w:rPr>
      </w:r>
      <w:r>
        <w:rPr>
          <w:rFonts w:ascii="宋体" w:hAnsi="宋体" w:cs="宋体" w:eastAsia="宋体" w:hint="default"/>
          <w:sz w:val="18"/>
          <w:szCs w:val="18"/>
        </w:rPr>
        <w:t> 项  目</w:t>
        <w:tab/>
        <w:t>账面余额</w:t>
        <w:tab/>
        <w:t>比例(%) 坏账准备</w:t>
        <w:tab/>
        <w:t>账面价值</w:t>
        <w:tab/>
        <w:t>账面余额</w:t>
        <w:tab/>
        <w:t>比例(%)  坏账准备</w:t>
        <w:tab/>
        <w:t>账面价值</w:t>
      </w:r>
    </w:p>
    <w:p>
      <w:pPr>
        <w:spacing w:line="240" w:lineRule="auto" w:before="8"/>
        <w:rPr>
          <w:rFonts w:ascii="宋体" w:hAnsi="宋体" w:cs="宋体" w:eastAsia="宋体" w:hint="default"/>
          <w:sz w:val="12"/>
          <w:szCs w:val="12"/>
        </w:rPr>
      </w:pPr>
    </w:p>
    <w:p>
      <w:pPr>
        <w:tabs>
          <w:tab w:pos="1503" w:val="left" w:leader="none"/>
        </w:tabs>
        <w:spacing w:before="0"/>
        <w:ind w:left="119" w:right="0" w:firstLine="0"/>
        <w:jc w:val="left"/>
        <w:rPr>
          <w:rFonts w:ascii="宋体" w:hAnsi="宋体" w:cs="宋体" w:eastAsia="宋体" w:hint="default"/>
          <w:sz w:val="18"/>
          <w:szCs w:val="18"/>
        </w:rPr>
      </w:pPr>
      <w:r>
        <w:rPr>
          <w:rFonts w:ascii="宋体" w:hAnsi="宋体" w:cs="宋体" w:eastAsia="宋体" w:hint="default"/>
          <w:sz w:val="18"/>
          <w:szCs w:val="18"/>
        </w:rPr>
        <w:t>单项金额重大</w:t>
        <w:tab/>
        <w:t>52,000,000.00  72.87 2,600,000.00</w:t>
      </w:r>
      <w:r>
        <w:rPr>
          <w:rFonts w:ascii="宋体" w:hAnsi="宋体" w:cs="宋体" w:eastAsia="宋体" w:hint="default"/>
          <w:spacing w:val="-37"/>
          <w:sz w:val="18"/>
          <w:szCs w:val="18"/>
        </w:rPr>
        <w:t> </w:t>
      </w:r>
      <w:r>
        <w:rPr>
          <w:rFonts w:ascii="宋体" w:hAnsi="宋体" w:cs="宋体" w:eastAsia="宋体" w:hint="default"/>
          <w:sz w:val="18"/>
          <w:szCs w:val="18"/>
        </w:rPr>
        <w:t>49,400,000.00</w:t>
      </w:r>
    </w:p>
    <w:p>
      <w:pPr>
        <w:spacing w:line="240" w:lineRule="auto" w:before="1"/>
        <w:rPr>
          <w:rFonts w:ascii="宋体" w:hAnsi="宋体" w:cs="宋体" w:eastAsia="宋体" w:hint="default"/>
          <w:sz w:val="14"/>
          <w:szCs w:val="14"/>
        </w:rPr>
      </w:pPr>
    </w:p>
    <w:p>
      <w:pPr>
        <w:tabs>
          <w:tab w:pos="2929" w:val="left" w:leader="none"/>
          <w:tab w:pos="6057" w:val="left" w:leader="none"/>
          <w:tab w:pos="7226" w:val="left" w:leader="none"/>
          <w:tab w:pos="7857" w:val="left" w:leader="none"/>
        </w:tabs>
        <w:spacing w:line="234" w:lineRule="exact"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单项金额不重大  1,215,797.62</w:t>
        <w:tab/>
        <w:t>1.70</w:t>
      </w:r>
      <w:r>
        <w:rPr>
          <w:rFonts w:ascii="宋体" w:hAnsi="宋体" w:cs="宋体" w:eastAsia="宋体" w:hint="default"/>
          <w:spacing w:val="-22"/>
          <w:sz w:val="18"/>
          <w:szCs w:val="18"/>
        </w:rPr>
        <w:t> </w:t>
      </w:r>
      <w:r>
        <w:rPr>
          <w:rFonts w:ascii="宋体" w:hAnsi="宋体" w:cs="宋体" w:eastAsia="宋体" w:hint="default"/>
          <w:sz w:val="18"/>
          <w:szCs w:val="18"/>
        </w:rPr>
        <w:t>1,215,797.62</w:t>
        <w:tab/>
        <w:t>940,109.65</w:t>
        <w:tab/>
        <w:t>3.89</w:t>
        <w:tab/>
        <w:t>940,109.65</w:t>
      </w:r>
    </w:p>
    <w:p>
      <w:pPr>
        <w:spacing w:line="234" w:lineRule="exact"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但信用风险较大</w:t>
      </w:r>
    </w:p>
    <w:p>
      <w:pPr>
        <w:spacing w:line="240" w:lineRule="auto" w:before="1"/>
        <w:rPr>
          <w:rFonts w:ascii="宋体" w:hAnsi="宋体" w:cs="宋体" w:eastAsia="宋体" w:hint="default"/>
          <w:sz w:val="14"/>
          <w:szCs w:val="14"/>
        </w:rPr>
      </w:pPr>
    </w:p>
    <w:p>
      <w:pPr>
        <w:tabs>
          <w:tab w:pos="1503" w:val="left" w:leader="none"/>
        </w:tabs>
        <w:spacing w:before="0"/>
        <w:ind w:left="119" w:right="0" w:firstLine="0"/>
        <w:jc w:val="left"/>
        <w:rPr>
          <w:rFonts w:ascii="宋体" w:hAnsi="宋体" w:cs="宋体" w:eastAsia="宋体" w:hint="default"/>
          <w:sz w:val="18"/>
          <w:szCs w:val="18"/>
        </w:rPr>
      </w:pPr>
      <w:r>
        <w:rPr>
          <w:rFonts w:ascii="宋体" w:hAnsi="宋体" w:cs="宋体" w:eastAsia="宋体" w:hint="default"/>
          <w:sz w:val="18"/>
          <w:szCs w:val="18"/>
        </w:rPr>
        <w:t>其他不重大</w:t>
        <w:tab/>
        <w:t>18,151,263.46 25.43 2,151,089.97 16,000,173.49 23,248,437.61  96.11 1,809,190.17</w:t>
      </w:r>
      <w:r>
        <w:rPr>
          <w:rFonts w:ascii="宋体" w:hAnsi="宋体" w:cs="宋体" w:eastAsia="宋体" w:hint="default"/>
          <w:spacing w:val="37"/>
          <w:sz w:val="18"/>
          <w:szCs w:val="18"/>
        </w:rPr>
        <w:t> </w:t>
      </w:r>
      <w:r>
        <w:rPr>
          <w:rFonts w:ascii="宋体" w:hAnsi="宋体" w:cs="宋体" w:eastAsia="宋体" w:hint="default"/>
          <w:sz w:val="18"/>
          <w:szCs w:val="18"/>
        </w:rPr>
        <w:t>21,439,247.44</w:t>
      </w:r>
    </w:p>
    <w:p>
      <w:pPr>
        <w:spacing w:line="240" w:lineRule="auto" w:before="1"/>
        <w:rPr>
          <w:rFonts w:ascii="宋体" w:hAnsi="宋体" w:cs="宋体" w:eastAsia="宋体" w:hint="default"/>
          <w:sz w:val="14"/>
          <w:szCs w:val="14"/>
        </w:rPr>
      </w:pPr>
    </w:p>
    <w:p>
      <w:pPr>
        <w:tabs>
          <w:tab w:pos="1382" w:val="left" w:leader="none"/>
        </w:tabs>
        <w:spacing w:before="0"/>
        <w:ind w:left="356" w:right="0" w:firstLine="0"/>
        <w:jc w:val="center"/>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71,367,061.08</w:t>
      </w:r>
      <w:r>
        <w:rPr>
          <w:rFonts w:ascii="宋体" w:hAnsi="宋体" w:cs="宋体" w:eastAsia="宋体" w:hint="default"/>
          <w:spacing w:val="-21"/>
          <w:sz w:val="18"/>
          <w:szCs w:val="18"/>
          <w:u w:val="thick" w:color="000000"/>
        </w:rPr>
        <w:t> </w:t>
      </w:r>
      <w:r>
        <w:rPr>
          <w:rFonts w:ascii="宋体" w:hAnsi="宋体" w:cs="宋体" w:eastAsia="宋体" w:hint="default"/>
          <w:spacing w:val="-21"/>
          <w:sz w:val="18"/>
          <w:szCs w:val="18"/>
        </w:rPr>
      </w:r>
      <w:r>
        <w:rPr>
          <w:rFonts w:ascii="宋体" w:hAnsi="宋体" w:cs="宋体" w:eastAsia="宋体" w:hint="default"/>
          <w:sz w:val="18"/>
          <w:szCs w:val="18"/>
          <w:u w:val="thick" w:color="000000"/>
        </w:rPr>
        <w:t>100.00</w:t>
      </w:r>
      <w:r>
        <w:rPr>
          <w:rFonts w:ascii="宋体" w:hAnsi="宋体" w:cs="宋体" w:eastAsia="宋体" w:hint="default"/>
          <w:spacing w:val="-16"/>
          <w:sz w:val="18"/>
          <w:szCs w:val="18"/>
          <w:u w:val="thick" w:color="000000"/>
        </w:rPr>
        <w:t> </w:t>
      </w:r>
      <w:r>
        <w:rPr>
          <w:rFonts w:ascii="宋体" w:hAnsi="宋体" w:cs="宋体" w:eastAsia="宋体" w:hint="default"/>
          <w:spacing w:val="-16"/>
          <w:sz w:val="18"/>
          <w:szCs w:val="18"/>
        </w:rPr>
      </w:r>
      <w:r>
        <w:rPr>
          <w:rFonts w:ascii="宋体" w:hAnsi="宋体" w:cs="宋体" w:eastAsia="宋体" w:hint="default"/>
          <w:sz w:val="18"/>
          <w:szCs w:val="18"/>
          <w:u w:val="thick" w:color="000000"/>
        </w:rPr>
        <w:t>5,966,887.59 </w:t>
      </w:r>
      <w:r>
        <w:rPr>
          <w:rFonts w:ascii="宋体" w:hAnsi="宋体" w:cs="宋体" w:eastAsia="宋体" w:hint="default"/>
          <w:sz w:val="18"/>
          <w:szCs w:val="18"/>
        </w:rPr>
      </w:r>
      <w:r>
        <w:rPr>
          <w:rFonts w:ascii="宋体" w:hAnsi="宋体" w:cs="宋体" w:eastAsia="宋体" w:hint="default"/>
          <w:sz w:val="18"/>
          <w:szCs w:val="18"/>
          <w:u w:val="thick" w:color="000000"/>
        </w:rPr>
        <w:t>65,400,173.49 </w:t>
      </w:r>
      <w:r>
        <w:rPr>
          <w:rFonts w:ascii="宋体" w:hAnsi="宋体" w:cs="宋体" w:eastAsia="宋体" w:hint="default"/>
          <w:sz w:val="18"/>
          <w:szCs w:val="18"/>
        </w:rPr>
      </w:r>
      <w:r>
        <w:rPr>
          <w:rFonts w:ascii="宋体" w:hAnsi="宋体" w:cs="宋体" w:eastAsia="宋体" w:hint="default"/>
          <w:sz w:val="18"/>
          <w:szCs w:val="18"/>
          <w:u w:val="thick" w:color="000000"/>
        </w:rPr>
        <w:t>24,188,547.26 </w:t>
      </w:r>
      <w:r>
        <w:rPr>
          <w:rFonts w:ascii="宋体" w:hAnsi="宋体" w:cs="宋体" w:eastAsia="宋体" w:hint="default"/>
          <w:sz w:val="18"/>
          <w:szCs w:val="18"/>
        </w:rPr>
      </w:r>
      <w:r>
        <w:rPr>
          <w:rFonts w:ascii="宋体" w:hAnsi="宋体" w:cs="宋体" w:eastAsia="宋体" w:hint="default"/>
          <w:sz w:val="18"/>
          <w:szCs w:val="18"/>
          <w:u w:val="thick" w:color="000000"/>
        </w:rPr>
        <w:t>100.00</w:t>
      </w:r>
      <w:r>
        <w:rPr>
          <w:rFonts w:ascii="宋体" w:hAnsi="宋体" w:cs="宋体" w:eastAsia="宋体" w:hint="default"/>
          <w:spacing w:val="-38"/>
          <w:sz w:val="18"/>
          <w:szCs w:val="18"/>
          <w:u w:val="thick" w:color="000000"/>
        </w:rPr>
        <w:t> </w:t>
      </w:r>
      <w:r>
        <w:rPr>
          <w:rFonts w:ascii="宋体" w:hAnsi="宋体" w:cs="宋体" w:eastAsia="宋体" w:hint="default"/>
          <w:sz w:val="18"/>
          <w:szCs w:val="18"/>
          <w:u w:val="thick" w:color="000000"/>
        </w:rPr>
        <w:t>2,749,299.82</w:t>
      </w:r>
      <w:r>
        <w:rPr>
          <w:rFonts w:ascii="宋体" w:hAnsi="宋体" w:cs="宋体" w:eastAsia="宋体" w:hint="default"/>
          <w:spacing w:val="22"/>
          <w:sz w:val="18"/>
          <w:szCs w:val="18"/>
          <w:u w:val="thick" w:color="000000"/>
        </w:rPr>
        <w:t> </w:t>
      </w:r>
      <w:r>
        <w:rPr>
          <w:rFonts w:ascii="宋体" w:hAnsi="宋体" w:cs="宋体" w:eastAsia="宋体" w:hint="default"/>
          <w:spacing w:val="22"/>
          <w:sz w:val="18"/>
          <w:szCs w:val="18"/>
        </w:rPr>
      </w:r>
      <w:r>
        <w:rPr>
          <w:rFonts w:ascii="宋体" w:hAnsi="宋体" w:cs="宋体" w:eastAsia="宋体" w:hint="default"/>
          <w:sz w:val="18"/>
          <w:szCs w:val="18"/>
          <w:u w:val="thick" w:color="000000"/>
        </w:rPr>
        <w:t>21,439,247.44</w:t>
      </w:r>
      <w:r>
        <w:rPr>
          <w:rFonts w:ascii="宋体" w:hAnsi="宋体" w:cs="宋体" w:eastAsia="宋体" w:hint="default"/>
          <w:sz w:val="18"/>
          <w:szCs w:val="18"/>
        </w:rPr>
      </w:r>
    </w:p>
    <w:p>
      <w:pPr>
        <w:pStyle w:val="BodyText"/>
        <w:spacing w:line="240" w:lineRule="auto" w:before="141"/>
        <w:ind w:left="1077" w:right="0"/>
        <w:jc w:val="left"/>
      </w:pPr>
      <w:r>
        <w:rPr/>
        <w:t>(2)</w:t>
      </w:r>
      <w:r>
        <w:rPr>
          <w:spacing w:val="-2"/>
        </w:rPr>
        <w:t> </w:t>
      </w:r>
      <w:r>
        <w:rPr/>
        <w:t>账龄分析</w:t>
      </w:r>
    </w:p>
    <w:p>
      <w:pPr>
        <w:spacing w:line="240" w:lineRule="auto" w:before="5"/>
        <w:rPr>
          <w:rFonts w:ascii="宋体" w:hAnsi="宋体" w:cs="宋体" w:eastAsia="宋体" w:hint="default"/>
          <w:sz w:val="14"/>
          <w:szCs w:val="14"/>
        </w:rPr>
      </w:pPr>
    </w:p>
    <w:p>
      <w:pPr>
        <w:tabs>
          <w:tab w:pos="3267" w:val="left" w:leader="none"/>
          <w:tab w:pos="5517" w:val="left" w:leader="none"/>
          <w:tab w:pos="5967" w:val="left" w:leader="none"/>
          <w:tab w:pos="7767" w:val="left" w:leader="none"/>
          <w:tab w:pos="9657" w:val="left" w:leader="none"/>
        </w:tabs>
        <w:spacing w:line="234" w:lineRule="exact" w:before="0"/>
        <w:ind w:left="17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tab/>
      </w:r>
      <w:r>
        <w:rPr>
          <w:rFonts w:ascii="宋体" w:hAnsi="宋体" w:cs="宋体" w:eastAsia="宋体" w:hint="default"/>
          <w:sz w:val="18"/>
          <w:szCs w:val="18"/>
        </w:rPr>
      </w:r>
    </w:p>
    <w:p>
      <w:pPr>
        <w:tabs>
          <w:tab w:pos="1453" w:val="left" w:leader="none"/>
          <w:tab w:pos="2443" w:val="left" w:leader="none"/>
          <w:tab w:pos="3343" w:val="left" w:leader="none"/>
          <w:tab w:pos="4513" w:val="left" w:leader="none"/>
          <w:tab w:pos="5683" w:val="left" w:leader="none"/>
          <w:tab w:pos="6763" w:val="left" w:leader="none"/>
          <w:tab w:pos="7663" w:val="left" w:leader="none"/>
          <w:tab w:pos="8833" w:val="left" w:leader="none"/>
        </w:tabs>
        <w:spacing w:line="234" w:lineRule="exact" w:before="0"/>
        <w:ind w:left="553" w:right="0" w:firstLine="0"/>
        <w:jc w:val="center"/>
        <w:rPr>
          <w:rFonts w:ascii="宋体" w:hAnsi="宋体" w:cs="宋体" w:eastAsia="宋体" w:hint="default"/>
          <w:sz w:val="18"/>
          <w:szCs w:val="18"/>
        </w:rPr>
      </w:pPr>
      <w:r>
        <w:rPr>
          <w:rFonts w:ascii="宋体" w:hAnsi="宋体" w:cs="宋体" w:eastAsia="宋体" w:hint="default"/>
          <w:sz w:val="18"/>
          <w:szCs w:val="18"/>
        </w:rPr>
        <w:t>账  龄</w:t>
        <w:tab/>
        <w:t>账面余额</w:t>
        <w:tab/>
        <w:t>比例(%)</w:t>
        <w:tab/>
        <w:t>坏账准备</w:t>
        <w:tab/>
        <w:t>账面价值</w:t>
        <w:tab/>
        <w:t>账面余额</w:t>
        <w:tab/>
        <w:t>比例(%)</w:t>
        <w:tab/>
        <w:t>坏账准备</w:t>
        <w:tab/>
        <w:t>账面价值</w:t>
      </w:r>
    </w:p>
    <w:p>
      <w:pPr>
        <w:spacing w:line="240" w:lineRule="auto" w:before="2"/>
        <w:rPr>
          <w:rFonts w:ascii="宋体" w:hAnsi="宋体" w:cs="宋体" w:eastAsia="宋体" w:hint="default"/>
          <w:sz w:val="14"/>
          <w:szCs w:val="14"/>
        </w:rPr>
      </w:pPr>
    </w:p>
    <w:p>
      <w:pPr>
        <w:tabs>
          <w:tab w:pos="7732" w:val="left" w:leader="none"/>
        </w:tabs>
        <w:spacing w:before="0"/>
        <w:ind w:left="555" w:right="0" w:firstLine="0"/>
        <w:jc w:val="center"/>
        <w:rPr>
          <w:rFonts w:ascii="宋体" w:hAnsi="宋体" w:cs="宋体" w:eastAsia="宋体" w:hint="default"/>
          <w:sz w:val="18"/>
          <w:szCs w:val="18"/>
        </w:rPr>
      </w:pPr>
      <w:r>
        <w:rPr>
          <w:rFonts w:ascii="宋体" w:hAnsi="宋体" w:cs="宋体" w:eastAsia="宋体" w:hint="default"/>
          <w:sz w:val="18"/>
          <w:szCs w:val="18"/>
        </w:rPr>
        <w:t>1 年以内 63,355,803.83  88.78 3,167,790.21 60,188,013.62 12,340,017.27</w:t>
      </w:r>
      <w:r>
        <w:rPr>
          <w:rFonts w:ascii="宋体" w:hAnsi="宋体" w:cs="宋体" w:eastAsia="宋体" w:hint="default"/>
          <w:spacing w:val="89"/>
          <w:sz w:val="18"/>
          <w:szCs w:val="18"/>
        </w:rPr>
        <w:t> </w:t>
      </w:r>
      <w:r>
        <w:rPr>
          <w:rFonts w:ascii="宋体" w:hAnsi="宋体" w:cs="宋体" w:eastAsia="宋体" w:hint="default"/>
          <w:sz w:val="18"/>
          <w:szCs w:val="18"/>
        </w:rPr>
        <w:t>51.02</w:t>
        <w:tab/>
        <w:t>617,000.86</w:t>
      </w:r>
      <w:r>
        <w:rPr>
          <w:rFonts w:ascii="宋体" w:hAnsi="宋体" w:cs="宋体" w:eastAsia="宋体" w:hint="default"/>
          <w:spacing w:val="27"/>
          <w:sz w:val="18"/>
          <w:szCs w:val="18"/>
        </w:rPr>
        <w:t> </w:t>
      </w:r>
      <w:r>
        <w:rPr>
          <w:rFonts w:ascii="宋体" w:hAnsi="宋体" w:cs="宋体" w:eastAsia="宋体" w:hint="default"/>
          <w:sz w:val="18"/>
          <w:szCs w:val="18"/>
        </w:rPr>
        <w:t>11,723,016.41</w:t>
      </w:r>
    </w:p>
    <w:p>
      <w:pPr>
        <w:spacing w:line="240" w:lineRule="auto" w:before="1"/>
        <w:rPr>
          <w:rFonts w:ascii="宋体" w:hAnsi="宋体" w:cs="宋体" w:eastAsia="宋体" w:hint="default"/>
          <w:sz w:val="14"/>
          <w:szCs w:val="14"/>
        </w:rPr>
      </w:pPr>
    </w:p>
    <w:p>
      <w:pPr>
        <w:tabs>
          <w:tab w:pos="1491" w:val="left" w:leader="none"/>
          <w:tab w:pos="2821" w:val="left" w:leader="none"/>
          <w:tab w:pos="3435" w:val="left" w:leader="none"/>
          <w:tab w:pos="8840" w:val="left" w:leader="none"/>
        </w:tabs>
        <w:spacing w:before="0"/>
        <w:ind w:left="555" w:right="0" w:firstLine="0"/>
        <w:jc w:val="center"/>
        <w:rPr>
          <w:rFonts w:ascii="宋体" w:hAnsi="宋体" w:cs="宋体" w:eastAsia="宋体" w:hint="default"/>
          <w:sz w:val="18"/>
          <w:szCs w:val="18"/>
        </w:rPr>
      </w:pPr>
      <w:r>
        <w:rPr>
          <w:rFonts w:ascii="宋体" w:hAnsi="宋体" w:cs="宋体" w:eastAsia="宋体" w:hint="default"/>
          <w:sz w:val="18"/>
          <w:szCs w:val="18"/>
        </w:rPr>
        <w:t>1-2 年</w:t>
        <w:tab/>
        <w:t>2,276,690.64</w:t>
        <w:tab/>
        <w:t>3.19</w:t>
        <w:tab/>
        <w:t>227,669.06  2,049,021.58 10,401,683.93  43.00</w:t>
      </w:r>
      <w:r>
        <w:rPr>
          <w:rFonts w:ascii="宋体" w:hAnsi="宋体" w:cs="宋体" w:eastAsia="宋体" w:hint="default"/>
          <w:spacing w:val="-23"/>
          <w:sz w:val="18"/>
          <w:szCs w:val="18"/>
        </w:rPr>
        <w:t> </w:t>
      </w:r>
      <w:r>
        <w:rPr>
          <w:rFonts w:ascii="宋体" w:hAnsi="宋体" w:cs="宋体" w:eastAsia="宋体" w:hint="default"/>
          <w:sz w:val="18"/>
          <w:szCs w:val="18"/>
        </w:rPr>
        <w:t>1,040,168.39</w:t>
        <w:tab/>
        <w:t>9,361,515.54</w:t>
      </w:r>
    </w:p>
    <w:p>
      <w:pPr>
        <w:spacing w:line="240" w:lineRule="auto" w:before="1"/>
        <w:rPr>
          <w:rFonts w:ascii="宋体" w:hAnsi="宋体" w:cs="宋体" w:eastAsia="宋体" w:hint="default"/>
          <w:sz w:val="14"/>
          <w:szCs w:val="14"/>
        </w:rPr>
      </w:pPr>
    </w:p>
    <w:p>
      <w:pPr>
        <w:tabs>
          <w:tab w:pos="1491" w:val="left" w:leader="none"/>
          <w:tab w:pos="2821" w:val="left" w:leader="none"/>
          <w:tab w:pos="5955" w:val="left" w:leader="none"/>
          <w:tab w:pos="7125" w:val="left" w:leader="none"/>
          <w:tab w:pos="7732" w:val="left" w:leader="none"/>
          <w:tab w:pos="9020" w:val="left" w:leader="none"/>
        </w:tabs>
        <w:spacing w:before="0"/>
        <w:ind w:left="555" w:right="0" w:firstLine="0"/>
        <w:jc w:val="center"/>
        <w:rPr>
          <w:rFonts w:ascii="宋体" w:hAnsi="宋体" w:cs="宋体" w:eastAsia="宋体" w:hint="default"/>
          <w:sz w:val="18"/>
          <w:szCs w:val="18"/>
        </w:rPr>
      </w:pPr>
      <w:r>
        <w:rPr>
          <w:rFonts w:ascii="宋体" w:hAnsi="宋体" w:cs="宋体" w:eastAsia="宋体" w:hint="default"/>
          <w:sz w:val="18"/>
          <w:szCs w:val="18"/>
        </w:rPr>
        <w:t>2-3 年</w:t>
        <w:tab/>
        <w:t>4,518,768.99</w:t>
        <w:tab/>
        <w:t>6.33 1,355,630.70</w:t>
      </w:r>
      <w:r>
        <w:rPr>
          <w:rFonts w:ascii="宋体" w:hAnsi="宋体" w:cs="宋体" w:eastAsia="宋体" w:hint="default"/>
          <w:spacing w:val="74"/>
          <w:sz w:val="18"/>
          <w:szCs w:val="18"/>
        </w:rPr>
        <w:t> </w:t>
      </w:r>
      <w:r>
        <w:rPr>
          <w:rFonts w:ascii="宋体" w:hAnsi="宋体" w:cs="宋体" w:eastAsia="宋体" w:hint="default"/>
          <w:sz w:val="18"/>
          <w:szCs w:val="18"/>
        </w:rPr>
        <w:t>3,163,138.29</w:t>
        <w:tab/>
        <w:t>506,736.41</w:t>
        <w:tab/>
        <w:t>2.09</w:t>
        <w:tab/>
        <w:t>152,020.92</w:t>
        <w:tab/>
        <w:t>354,715.49</w:t>
      </w:r>
    </w:p>
    <w:p>
      <w:pPr>
        <w:spacing w:line="240" w:lineRule="auto" w:before="1"/>
        <w:rPr>
          <w:rFonts w:ascii="宋体" w:hAnsi="宋体" w:cs="宋体" w:eastAsia="宋体" w:hint="default"/>
          <w:sz w:val="14"/>
          <w:szCs w:val="14"/>
        </w:rPr>
      </w:pPr>
    </w:p>
    <w:p>
      <w:pPr>
        <w:tabs>
          <w:tab w:pos="1593" w:val="left" w:leader="none"/>
          <w:tab w:pos="2923" w:val="left" w:leader="none"/>
          <w:tab w:pos="6057" w:val="left" w:leader="none"/>
          <w:tab w:pos="7227" w:val="left" w:leader="none"/>
          <w:tab w:pos="7834" w:val="left" w:leader="none"/>
        </w:tabs>
        <w:spacing w:before="0"/>
        <w:ind w:left="657"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tab/>
        <w:t>1,215,797.62</w:t>
        <w:tab/>
        <w:t>1.70</w:t>
      </w:r>
      <w:r>
        <w:rPr>
          <w:rFonts w:ascii="宋体" w:hAnsi="宋体" w:cs="宋体" w:eastAsia="宋体" w:hint="default"/>
          <w:spacing w:val="-16"/>
          <w:sz w:val="18"/>
          <w:szCs w:val="18"/>
        </w:rPr>
        <w:t> </w:t>
      </w:r>
      <w:r>
        <w:rPr>
          <w:rFonts w:ascii="宋体" w:hAnsi="宋体" w:cs="宋体" w:eastAsia="宋体" w:hint="default"/>
          <w:sz w:val="18"/>
          <w:szCs w:val="18"/>
        </w:rPr>
        <w:t>1,215,797.62</w:t>
        <w:tab/>
        <w:t>940,109.65</w:t>
        <w:tab/>
        <w:t>3.89</w:t>
        <w:tab/>
        <w:t>940,109.65</w:t>
      </w:r>
    </w:p>
    <w:p>
      <w:pPr>
        <w:spacing w:line="240" w:lineRule="auto" w:before="1"/>
        <w:rPr>
          <w:rFonts w:ascii="宋体" w:hAnsi="宋体" w:cs="宋体" w:eastAsia="宋体" w:hint="default"/>
          <w:sz w:val="14"/>
          <w:szCs w:val="14"/>
        </w:rPr>
      </w:pPr>
    </w:p>
    <w:p>
      <w:pPr>
        <w:spacing w:before="0"/>
        <w:ind w:left="716" w:right="0" w:firstLine="0"/>
        <w:jc w:val="center"/>
        <w:rPr>
          <w:rFonts w:ascii="宋体" w:hAnsi="宋体" w:cs="宋体" w:eastAsia="宋体" w:hint="default"/>
          <w:sz w:val="18"/>
          <w:szCs w:val="18"/>
        </w:rPr>
      </w:pPr>
      <w:r>
        <w:rPr>
          <w:rFonts w:ascii="宋体" w:hAnsi="宋体" w:cs="宋体" w:eastAsia="宋体" w:hint="default"/>
          <w:sz w:val="18"/>
          <w:szCs w:val="18"/>
        </w:rPr>
        <w:t>合  计 </w:t>
      </w:r>
      <w:r>
        <w:rPr>
          <w:rFonts w:ascii="宋体" w:hAnsi="宋体" w:cs="宋体" w:eastAsia="宋体" w:hint="default"/>
          <w:sz w:val="18"/>
          <w:szCs w:val="18"/>
          <w:u w:val="thick" w:color="000000"/>
        </w:rPr>
        <w:t>71,367,061.08 </w:t>
      </w:r>
      <w:r>
        <w:rPr>
          <w:rFonts w:ascii="宋体" w:hAnsi="宋体" w:cs="宋体" w:eastAsia="宋体" w:hint="default"/>
          <w:sz w:val="18"/>
          <w:szCs w:val="18"/>
        </w:rPr>
      </w:r>
      <w:r>
        <w:rPr>
          <w:rFonts w:ascii="宋体" w:hAnsi="宋体" w:cs="宋体" w:eastAsia="宋体" w:hint="default"/>
          <w:sz w:val="18"/>
          <w:szCs w:val="18"/>
          <w:u w:val="thick" w:color="000000"/>
        </w:rPr>
        <w:t>100.00 </w:t>
      </w:r>
      <w:r>
        <w:rPr>
          <w:rFonts w:ascii="宋体" w:hAnsi="宋体" w:cs="宋体" w:eastAsia="宋体" w:hint="default"/>
          <w:sz w:val="18"/>
          <w:szCs w:val="18"/>
        </w:rPr>
      </w:r>
      <w:r>
        <w:rPr>
          <w:rFonts w:ascii="宋体" w:hAnsi="宋体" w:cs="宋体" w:eastAsia="宋体" w:hint="default"/>
          <w:sz w:val="18"/>
          <w:szCs w:val="18"/>
          <w:u w:val="thick" w:color="000000"/>
        </w:rPr>
        <w:t>5,966,887.59 </w:t>
      </w:r>
      <w:r>
        <w:rPr>
          <w:rFonts w:ascii="宋体" w:hAnsi="宋体" w:cs="宋体" w:eastAsia="宋体" w:hint="default"/>
          <w:sz w:val="18"/>
          <w:szCs w:val="18"/>
        </w:rPr>
      </w:r>
      <w:r>
        <w:rPr>
          <w:rFonts w:ascii="宋体" w:hAnsi="宋体" w:cs="宋体" w:eastAsia="宋体" w:hint="default"/>
          <w:sz w:val="18"/>
          <w:szCs w:val="18"/>
          <w:u w:val="thick" w:color="000000"/>
        </w:rPr>
        <w:t>65,400,173.49 </w:t>
      </w:r>
      <w:r>
        <w:rPr>
          <w:rFonts w:ascii="宋体" w:hAnsi="宋体" w:cs="宋体" w:eastAsia="宋体" w:hint="default"/>
          <w:sz w:val="18"/>
          <w:szCs w:val="18"/>
        </w:rPr>
      </w:r>
      <w:r>
        <w:rPr>
          <w:rFonts w:ascii="宋体" w:hAnsi="宋体" w:cs="宋体" w:eastAsia="宋体" w:hint="default"/>
          <w:sz w:val="18"/>
          <w:szCs w:val="18"/>
          <w:u w:val="thick" w:color="000000"/>
        </w:rPr>
        <w:t>24,188,547.26 </w:t>
      </w:r>
      <w:r>
        <w:rPr>
          <w:rFonts w:ascii="宋体" w:hAnsi="宋体" w:cs="宋体" w:eastAsia="宋体" w:hint="default"/>
          <w:sz w:val="18"/>
          <w:szCs w:val="18"/>
        </w:rPr>
      </w:r>
      <w:r>
        <w:rPr>
          <w:rFonts w:ascii="宋体" w:hAnsi="宋体" w:cs="宋体" w:eastAsia="宋体" w:hint="default"/>
          <w:sz w:val="18"/>
          <w:szCs w:val="18"/>
          <w:u w:val="thick" w:color="000000"/>
        </w:rPr>
        <w:t>100.00 2,749,299.82</w:t>
      </w:r>
      <w:r>
        <w:rPr>
          <w:rFonts w:ascii="宋体" w:hAnsi="宋体" w:cs="宋体" w:eastAsia="宋体" w:hint="default"/>
          <w:spacing w:val="-17"/>
          <w:sz w:val="18"/>
          <w:szCs w:val="18"/>
          <w:u w:val="thick" w:color="000000"/>
        </w:rPr>
        <w:t> </w:t>
      </w:r>
      <w:r>
        <w:rPr>
          <w:rFonts w:ascii="宋体" w:hAnsi="宋体" w:cs="宋体" w:eastAsia="宋体" w:hint="default"/>
          <w:spacing w:val="-17"/>
          <w:sz w:val="18"/>
          <w:szCs w:val="18"/>
        </w:rPr>
      </w:r>
      <w:r>
        <w:rPr>
          <w:rFonts w:ascii="宋体" w:hAnsi="宋体" w:cs="宋体" w:eastAsia="宋体" w:hint="default"/>
          <w:sz w:val="18"/>
          <w:szCs w:val="18"/>
          <w:u w:val="thick" w:color="000000"/>
        </w:rPr>
        <w:t>21,439,247.44</w:t>
      </w:r>
      <w:r>
        <w:rPr>
          <w:rFonts w:ascii="宋体" w:hAnsi="宋体" w:cs="宋体" w:eastAsia="宋体" w:hint="default"/>
          <w:sz w:val="18"/>
          <w:szCs w:val="18"/>
        </w:rPr>
      </w:r>
    </w:p>
    <w:p>
      <w:pPr>
        <w:pStyle w:val="BodyText"/>
        <w:spacing w:line="367" w:lineRule="auto" w:before="141"/>
        <w:ind w:left="657" w:right="901" w:firstLine="420"/>
        <w:jc w:val="left"/>
      </w:pPr>
      <w:r>
        <w:rPr/>
        <w:t>(3) 期末其他应收款中欠款金额前</w:t>
      </w:r>
      <w:r>
        <w:rPr>
          <w:spacing w:val="-53"/>
        </w:rPr>
        <w:t> </w:t>
      </w:r>
      <w:r>
        <w:rPr/>
        <w:t>5</w:t>
      </w:r>
      <w:r>
        <w:rPr>
          <w:spacing w:val="-52"/>
        </w:rPr>
        <w:t> </w:t>
      </w:r>
      <w:r>
        <w:rPr/>
        <w:t>名的欠款金额总计为</w:t>
      </w:r>
      <w:r>
        <w:rPr>
          <w:spacing w:val="-53"/>
        </w:rPr>
        <w:t> </w:t>
      </w:r>
      <w:r>
        <w:rPr/>
        <w:t>60,373,571.89</w:t>
      </w:r>
      <w:r>
        <w:rPr>
          <w:spacing w:val="-53"/>
        </w:rPr>
        <w:t> </w:t>
      </w:r>
      <w:r>
        <w:rPr>
          <w:spacing w:val="-9"/>
        </w:rPr>
        <w:t>元，占其他应收</w:t>
      </w:r>
      <w:r>
        <w:rPr/>
        <w:t> 款账面余额的</w:t>
      </w:r>
      <w:r>
        <w:rPr>
          <w:spacing w:val="-55"/>
        </w:rPr>
        <w:t> </w:t>
      </w:r>
      <w:r>
        <w:rPr/>
        <w:t>84.60%，其对应的账龄如下：</w:t>
      </w:r>
    </w:p>
    <w:tbl>
      <w:tblPr>
        <w:tblW w:w="0" w:type="auto"/>
        <w:jc w:val="left"/>
        <w:tblInd w:w="1042" w:type="dxa"/>
        <w:tblLayout w:type="fixed"/>
        <w:tblCellMar>
          <w:top w:w="0" w:type="dxa"/>
          <w:left w:w="0" w:type="dxa"/>
          <w:bottom w:w="0" w:type="dxa"/>
          <w:right w:w="0" w:type="dxa"/>
        </w:tblCellMar>
        <w:tblLook w:val="01E0"/>
      </w:tblPr>
      <w:tblGrid>
        <w:gridCol w:w="1955"/>
        <w:gridCol w:w="2376"/>
      </w:tblGrid>
      <w:tr>
        <w:trPr>
          <w:trHeight w:val="415" w:hRule="exact"/>
        </w:trPr>
        <w:tc>
          <w:tcPr>
            <w:tcW w:w="1955"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35"/>
              <w:ind w:left="246"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3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pacing w:val="-1"/>
                <w:sz w:val="21"/>
              </w:rPr>
              <w:t>59,600,351.19</w:t>
            </w:r>
          </w:p>
        </w:tc>
      </w:tr>
      <w:tr>
        <w:trPr>
          <w:trHeight w:val="42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773,220.70</w:t>
            </w:r>
          </w:p>
        </w:tc>
      </w:tr>
      <w:tr>
        <w:trPr>
          <w:trHeight w:val="415" w:hRule="exact"/>
        </w:trPr>
        <w:tc>
          <w:tcPr>
            <w:tcW w:w="1955"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40"/>
              <w:ind w:left="35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r>
            <w:r>
              <w:rPr>
                <w:rFonts w:ascii="宋体"/>
                <w:spacing w:val="-1"/>
                <w:sz w:val="21"/>
                <w:u w:val="single" w:color="000000"/>
              </w:rPr>
              <w:t>60,373,571.89</w:t>
            </w:r>
            <w:r>
              <w:rPr>
                <w:rFonts w:ascii="宋体"/>
                <w:spacing w:val="-1"/>
                <w:sz w:val="21"/>
              </w:rPr>
            </w:r>
          </w:p>
        </w:tc>
      </w:tr>
    </w:tbl>
    <w:p>
      <w:pPr>
        <w:pStyle w:val="BodyText"/>
        <w:spacing w:line="240" w:lineRule="auto" w:before="45"/>
        <w:ind w:left="1077" w:right="0"/>
        <w:jc w:val="left"/>
      </w:pPr>
      <w:r>
        <w:rPr/>
        <w:t>(4)</w:t>
      </w:r>
      <w:r>
        <w:rPr>
          <w:spacing w:val="-4"/>
        </w:rPr>
        <w:t> </w:t>
      </w:r>
      <w:r>
        <w:rPr/>
        <w:t>持有本公司</w:t>
      </w:r>
      <w:r>
        <w:rPr>
          <w:spacing w:val="-55"/>
        </w:rPr>
        <w:t> </w:t>
      </w:r>
      <w:r>
        <w:rPr/>
        <w:t>5%以上（含</w:t>
      </w:r>
      <w:r>
        <w:rPr>
          <w:spacing w:val="-55"/>
        </w:rPr>
        <w:t> </w:t>
      </w:r>
      <w:r>
        <w:rPr/>
        <w:t>5%）表决权股份的股东款项</w:t>
      </w:r>
    </w:p>
    <w:p>
      <w:pPr>
        <w:pStyle w:val="BodyText"/>
        <w:tabs>
          <w:tab w:pos="4331" w:val="left" w:leader="none"/>
          <w:tab w:pos="4527" w:val="left" w:leader="none"/>
          <w:tab w:pos="6850" w:val="left" w:leader="none"/>
        </w:tabs>
        <w:spacing w:line="367" w:lineRule="auto"/>
        <w:ind w:left="1077" w:right="2643" w:firstLine="210"/>
        <w:jc w:val="left"/>
      </w:pPr>
      <w:r>
        <w:rPr>
          <w:spacing w:val="-1"/>
        </w:rPr>
        <w:t>股东名称</w:t>
        <w:tab/>
        <w:t>期末数</w:t>
        <w:tab/>
      </w:r>
      <w:r>
        <w:rPr>
          <w:spacing w:val="-2"/>
        </w:rPr>
        <w:t>期初数</w:t>
      </w:r>
      <w:r>
        <w:rPr>
          <w:spacing w:val="-1"/>
        </w:rPr>
        <w:t> </w:t>
      </w:r>
      <w:r>
        <w:rPr/>
        <w:t>杭州恒生电子集团有限公司</w:t>
      </w:r>
      <w:r>
        <w:rPr>
          <w:rFonts w:ascii="Times New Roman" w:hAnsi="Times New Roman" w:cs="Times New Roman" w:eastAsia="Times New Roman" w:hint="default"/>
        </w:rPr>
        <w:tab/>
        <w:tab/>
      </w:r>
      <w:r>
        <w:rPr/>
        <w:t>316.00</w:t>
      </w:r>
    </w:p>
    <w:p>
      <w:pPr>
        <w:pStyle w:val="BodyText"/>
        <w:tabs>
          <w:tab w:pos="1708" w:val="left" w:leader="none"/>
          <w:tab w:pos="4527" w:val="left" w:leader="none"/>
        </w:tabs>
        <w:spacing w:line="240" w:lineRule="auto" w:before="34"/>
        <w:ind w:left="1287" w:right="0"/>
        <w:jc w:val="left"/>
      </w:pPr>
      <w:r>
        <w:rPr/>
        <w:t>小</w:t>
        <w:tab/>
        <w:t>计</w:t>
      </w:r>
      <w:r>
        <w:rPr>
          <w:rFonts w:ascii="Times New Roman" w:hAnsi="Times New Roman" w:cs="Times New Roman" w:eastAsia="Times New Roman" w:hint="default"/>
        </w:rPr>
        <w:tab/>
      </w:r>
      <w:r>
        <w:rPr/>
      </w:r>
      <w:r>
        <w:rPr>
          <w:u w:val="single" w:color="000000"/>
        </w:rPr>
        <w:t>316.00</w:t>
      </w:r>
      <w:r>
        <w:rPr/>
      </w:r>
    </w:p>
    <w:p>
      <w:pPr>
        <w:spacing w:line="240" w:lineRule="auto" w:before="5"/>
        <w:rPr>
          <w:rFonts w:ascii="宋体" w:hAnsi="宋体" w:cs="宋体" w:eastAsia="宋体" w:hint="default"/>
          <w:sz w:val="8"/>
          <w:szCs w:val="8"/>
        </w:rPr>
      </w:pPr>
    </w:p>
    <w:p>
      <w:pPr>
        <w:pStyle w:val="BodyText"/>
        <w:spacing w:line="240" w:lineRule="auto" w:before="35"/>
        <w:ind w:left="1077" w:right="0"/>
        <w:jc w:val="left"/>
      </w:pPr>
      <w:r>
        <w:rPr/>
        <w:t>(5) 期末应收关联方款项占其他应收款余额的</w:t>
      </w:r>
      <w:r>
        <w:rPr>
          <w:spacing w:val="-55"/>
        </w:rPr>
        <w:t> </w:t>
      </w:r>
      <w:r>
        <w:rPr/>
        <w:t>1.43%。</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6243" w:val="left" w:leader="none"/>
        </w:tabs>
        <w:spacing w:line="240" w:lineRule="auto" w:before="0"/>
        <w:ind w:left="1077" w:right="0"/>
        <w:jc w:val="left"/>
      </w:pPr>
      <w:r>
        <w:rPr/>
        <w:t>3.</w:t>
      </w:r>
      <w:r>
        <w:rPr>
          <w:spacing w:val="-8"/>
        </w:rPr>
        <w:t> </w:t>
      </w:r>
      <w:r>
        <w:rPr/>
        <w:t>长期股权投资</w:t>
        <w:tab/>
        <w:t>期末数</w:t>
      </w:r>
      <w:r>
        <w:rPr>
          <w:spacing w:val="-67"/>
        </w:rPr>
        <w:t> </w:t>
      </w:r>
      <w:r>
        <w:rPr/>
        <w:t>122,985,289.01</w:t>
      </w:r>
    </w:p>
    <w:p>
      <w:pPr>
        <w:pStyle w:val="BodyText"/>
        <w:spacing w:line="240" w:lineRule="auto"/>
        <w:ind w:left="1077" w:right="0"/>
        <w:jc w:val="left"/>
      </w:pPr>
      <w:r>
        <w:rPr/>
        <w:t>(1)</w:t>
      </w:r>
      <w:r>
        <w:rPr>
          <w:spacing w:val="-2"/>
        </w:rPr>
        <w:t> </w:t>
      </w:r>
      <w:r>
        <w:rPr/>
        <w:t>明细情况</w:t>
      </w:r>
    </w:p>
    <w:p>
      <w:pPr>
        <w:spacing w:line="240" w:lineRule="auto" w:before="4"/>
        <w:rPr>
          <w:rFonts w:ascii="宋体" w:hAnsi="宋体" w:cs="宋体" w:eastAsia="宋体" w:hint="default"/>
          <w:sz w:val="16"/>
          <w:szCs w:val="16"/>
        </w:rPr>
      </w:pPr>
    </w:p>
    <w:p>
      <w:pPr>
        <w:tabs>
          <w:tab w:pos="2914" w:val="left" w:leader="none"/>
          <w:tab w:pos="3963" w:val="left" w:leader="none"/>
          <w:tab w:pos="4157" w:val="left" w:leader="none"/>
          <w:tab w:pos="5010" w:val="left" w:leader="none"/>
          <w:tab w:pos="5631" w:val="left" w:leader="none"/>
          <w:tab w:pos="6317" w:val="left" w:leader="none"/>
          <w:tab w:pos="6405" w:val="left" w:leader="none"/>
          <w:tab w:pos="7365" w:val="left" w:leader="none"/>
          <w:tab w:pos="7522" w:val="left" w:leader="none"/>
          <w:tab w:pos="8413" w:val="left" w:leader="none"/>
          <w:tab w:pos="8995" w:val="left" w:leader="none"/>
        </w:tabs>
        <w:spacing w:line="232" w:lineRule="exact" w:before="0"/>
        <w:ind w:left="1273" w:right="999" w:firstLine="168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pacing w:val="-3"/>
          <w:sz w:val="18"/>
          <w:szCs w:val="18"/>
          <w:u w:val="single" w:color="000000"/>
        </w:rPr>
        <w:t>期末数</w:t>
        <w:tab/>
        <w:tab/>
      </w:r>
      <w:r>
        <w:rPr>
          <w:rFonts w:ascii="宋体" w:hAnsi="宋体" w:cs="宋体" w:eastAsia="宋体" w:hint="default"/>
          <w:spacing w:val="-3"/>
          <w:sz w:val="18"/>
          <w:szCs w:val="18"/>
        </w:rPr>
        <w:tab/>
        <w:tab/>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pacing w:val="-3"/>
          <w:sz w:val="18"/>
          <w:szCs w:val="18"/>
          <w:u w:val="single" w:color="000000"/>
        </w:rPr>
        <w:t> </w:t>
        <w:tab/>
        <w:tab/>
      </w:r>
      <w:r>
        <w:rPr>
          <w:rFonts w:ascii="宋体" w:hAnsi="宋体" w:cs="宋体" w:eastAsia="宋体" w:hint="default"/>
          <w:spacing w:val="-3"/>
          <w:sz w:val="18"/>
          <w:szCs w:val="18"/>
          <w:u w:val="single" w:color="000000"/>
        </w:rPr>
        <w:t>期初数</w:t>
      </w:r>
      <w:r>
        <w:rPr>
          <w:rFonts w:ascii="宋体" w:hAnsi="宋体" w:cs="宋体" w:eastAsia="宋体" w:hint="default"/>
          <w:sz w:val="18"/>
          <w:szCs w:val="18"/>
          <w:u w:val="single" w:color="000000"/>
        </w:rPr>
        <w:tab/>
        <w:tab/>
      </w:r>
      <w:r>
        <w:rPr>
          <w:rFonts w:ascii="宋体" w:hAnsi="宋体" w:cs="宋体" w:eastAsia="宋体" w:hint="default"/>
          <w:sz w:val="18"/>
          <w:szCs w:val="18"/>
        </w:rPr>
      </w:r>
      <w:r>
        <w:rPr>
          <w:rFonts w:ascii="宋体" w:hAnsi="宋体" w:cs="宋体" w:eastAsia="宋体" w:hint="default"/>
          <w:sz w:val="18"/>
          <w:szCs w:val="18"/>
        </w:rPr>
        <w:t> 项</w:t>
      </w:r>
      <w:r>
        <w:rPr>
          <w:rFonts w:ascii="宋体" w:hAnsi="宋体" w:cs="宋体" w:eastAsia="宋体" w:hint="default"/>
          <w:spacing w:val="77"/>
          <w:sz w:val="18"/>
          <w:szCs w:val="18"/>
        </w:rPr>
        <w:t> </w:t>
      </w:r>
      <w:r>
        <w:rPr>
          <w:rFonts w:ascii="宋体" w:hAnsi="宋体" w:cs="宋体" w:eastAsia="宋体" w:hint="default"/>
          <w:sz w:val="18"/>
          <w:szCs w:val="18"/>
        </w:rPr>
        <w:t>目</w:t>
        <w:tab/>
      </w:r>
      <w:r>
        <w:rPr>
          <w:rFonts w:ascii="宋体" w:hAnsi="宋体" w:cs="宋体" w:eastAsia="宋体" w:hint="default"/>
          <w:spacing w:val="-4"/>
          <w:sz w:val="18"/>
          <w:szCs w:val="18"/>
        </w:rPr>
        <w:t>账面余额</w:t>
        <w:tab/>
        <w:t>减值准备</w:t>
        <w:tab/>
        <w:t>账面价值</w:t>
        <w:tab/>
        <w:t>账面余额</w:t>
        <w:tab/>
        <w:t>减值准备</w:t>
        <w:tab/>
      </w:r>
      <w:r>
        <w:rPr>
          <w:rFonts w:ascii="宋体" w:hAnsi="宋体" w:cs="宋体" w:eastAsia="宋体" w:hint="default"/>
          <w:spacing w:val="-3"/>
          <w:sz w:val="18"/>
          <w:szCs w:val="18"/>
        </w:rPr>
        <w:t>账面价值</w:t>
      </w:r>
    </w:p>
    <w:p>
      <w:pPr>
        <w:spacing w:line="240" w:lineRule="auto" w:before="6"/>
        <w:rPr>
          <w:rFonts w:ascii="宋体" w:hAnsi="宋体" w:cs="宋体" w:eastAsia="宋体" w:hint="default"/>
          <w:sz w:val="12"/>
          <w:szCs w:val="12"/>
        </w:rPr>
      </w:pPr>
    </w:p>
    <w:p>
      <w:pPr>
        <w:tabs>
          <w:tab w:pos="2753" w:val="left" w:leader="none"/>
          <w:tab w:pos="4734" w:val="left" w:leader="none"/>
          <w:tab w:pos="6174" w:val="left" w:leader="none"/>
          <w:tab w:pos="8154" w:val="left" w:leader="none"/>
        </w:tabs>
        <w:spacing w:before="0"/>
        <w:ind w:left="1098" w:right="0" w:firstLine="0"/>
        <w:jc w:val="left"/>
        <w:rPr>
          <w:rFonts w:ascii="宋体" w:hAnsi="宋体" w:cs="宋体" w:eastAsia="宋体" w:hint="default"/>
          <w:sz w:val="18"/>
          <w:szCs w:val="18"/>
        </w:rPr>
      </w:pPr>
      <w:r>
        <w:rPr>
          <w:rFonts w:ascii="宋体" w:hAnsi="宋体" w:cs="宋体" w:eastAsia="宋体" w:hint="default"/>
          <w:spacing w:val="-4"/>
          <w:sz w:val="18"/>
          <w:szCs w:val="18"/>
        </w:rPr>
        <w:t>对子公司投资</w:t>
        <w:tab/>
      </w:r>
      <w:r>
        <w:rPr>
          <w:rFonts w:ascii="宋体" w:hAnsi="宋体" w:cs="宋体" w:eastAsia="宋体" w:hint="default"/>
          <w:spacing w:val="-3"/>
          <w:sz w:val="18"/>
          <w:szCs w:val="18"/>
        </w:rPr>
        <w:t>64,348,197.22</w:t>
        <w:tab/>
        <w:t>64,348,197.22</w:t>
        <w:tab/>
        <w:t>32,948,197.22</w:t>
        <w:tab/>
        <w:t>32,948,197.22</w:t>
      </w:r>
    </w:p>
    <w:p>
      <w:pPr>
        <w:spacing w:after="0"/>
        <w:jc w:val="left"/>
        <w:rPr>
          <w:rFonts w:ascii="宋体" w:hAnsi="宋体" w:cs="宋体" w:eastAsia="宋体" w:hint="default"/>
          <w:sz w:val="18"/>
          <w:szCs w:val="18"/>
        </w:rPr>
        <w:sectPr>
          <w:pgSz w:w="11910" w:h="16840"/>
          <w:pgMar w:header="0" w:footer="1263" w:top="1540" w:bottom="1460" w:left="1140" w:right="640"/>
        </w:sectPr>
      </w:pPr>
    </w:p>
    <w:p>
      <w:pPr>
        <w:spacing w:line="240" w:lineRule="auto" w:before="7"/>
        <w:rPr>
          <w:rFonts w:ascii="宋体" w:hAnsi="宋体" w:cs="宋体" w:eastAsia="宋体" w:hint="default"/>
          <w:sz w:val="5"/>
          <w:szCs w:val="5"/>
        </w:rPr>
      </w:pPr>
    </w:p>
    <w:tbl>
      <w:tblPr>
        <w:tblW w:w="0" w:type="auto"/>
        <w:jc w:val="left"/>
        <w:tblInd w:w="1442" w:type="dxa"/>
        <w:tblLayout w:type="fixed"/>
        <w:tblCellMar>
          <w:top w:w="0" w:type="dxa"/>
          <w:left w:w="0" w:type="dxa"/>
          <w:bottom w:w="0" w:type="dxa"/>
          <w:right w:w="0" w:type="dxa"/>
        </w:tblCellMar>
        <w:tblLook w:val="01E0"/>
      </w:tblPr>
      <w:tblGrid>
        <w:gridCol w:w="1437"/>
        <w:gridCol w:w="1773"/>
        <w:gridCol w:w="1710"/>
        <w:gridCol w:w="1710"/>
        <w:gridCol w:w="1642"/>
      </w:tblGrid>
      <w:tr>
        <w:trPr>
          <w:trHeight w:val="400"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4"/>
                <w:sz w:val="18"/>
                <w:szCs w:val="18"/>
              </w:rPr>
              <w:t>对联营企业投资</w:t>
            </w:r>
            <w:r>
              <w:rPr>
                <w:rFonts w:ascii="宋体" w:hAnsi="宋体" w:cs="宋体" w:eastAsia="宋体" w:hint="default"/>
                <w:sz w:val="18"/>
                <w:szCs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5"/>
              <w:jc w:val="right"/>
              <w:rPr>
                <w:rFonts w:ascii="宋体" w:hAnsi="宋体" w:cs="宋体" w:eastAsia="宋体" w:hint="default"/>
                <w:sz w:val="18"/>
                <w:szCs w:val="18"/>
              </w:rPr>
            </w:pPr>
            <w:r>
              <w:rPr>
                <w:rFonts w:ascii="宋体"/>
                <w:spacing w:val="-3"/>
                <w:sz w:val="18"/>
              </w:rPr>
              <w:t>56,637,091.79</w:t>
            </w:r>
            <w:r>
              <w:rPr>
                <w:rFonts w:ascii="宋体"/>
                <w:sz w:val="18"/>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spacing w:val="-3"/>
                <w:sz w:val="18"/>
              </w:rPr>
              <w:t>56,637,091.79</w:t>
            </w:r>
            <w:r>
              <w:rPr>
                <w:rFonts w:ascii="宋体"/>
                <w:sz w:val="18"/>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4"/>
              <w:jc w:val="right"/>
              <w:rPr>
                <w:rFonts w:ascii="宋体" w:hAnsi="宋体" w:cs="宋体" w:eastAsia="宋体" w:hint="default"/>
                <w:sz w:val="18"/>
                <w:szCs w:val="18"/>
              </w:rPr>
            </w:pPr>
            <w:r>
              <w:rPr>
                <w:rFonts w:ascii="宋体"/>
                <w:spacing w:val="-3"/>
                <w:sz w:val="18"/>
              </w:rPr>
              <w:t>51,677,862.47</w:t>
            </w:r>
            <w:r>
              <w:rPr>
                <w:rFonts w:ascii="宋体"/>
                <w:sz w:val="18"/>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宋体" w:hAnsi="宋体" w:cs="宋体" w:eastAsia="宋体" w:hint="default"/>
                <w:sz w:val="18"/>
                <w:szCs w:val="18"/>
              </w:rPr>
            </w:pPr>
            <w:r>
              <w:rPr>
                <w:rFonts w:ascii="宋体"/>
                <w:spacing w:val="-3"/>
                <w:sz w:val="18"/>
              </w:rPr>
              <w:t>51,677,862.47</w:t>
            </w:r>
            <w:r>
              <w:rPr>
                <w:rFonts w:ascii="宋体"/>
                <w:sz w:val="18"/>
              </w:rPr>
            </w:r>
          </w:p>
        </w:tc>
      </w:tr>
      <w:tr>
        <w:trPr>
          <w:trHeight w:val="420"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pacing w:val="-4"/>
                <w:sz w:val="18"/>
                <w:szCs w:val="18"/>
              </w:rPr>
              <w:t>其他股权投资</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4"/>
              <w:jc w:val="right"/>
              <w:rPr>
                <w:rFonts w:ascii="宋体" w:hAnsi="宋体" w:cs="宋体" w:eastAsia="宋体" w:hint="default"/>
                <w:sz w:val="18"/>
                <w:szCs w:val="18"/>
              </w:rPr>
            </w:pPr>
            <w:r>
              <w:rPr>
                <w:rFonts w:ascii="宋体"/>
                <w:spacing w:val="-3"/>
                <w:sz w:val="18"/>
              </w:rPr>
              <w:t>2,000,000.00</w:t>
            </w:r>
            <w:r>
              <w:rPr>
                <w:rFonts w:ascii="宋体"/>
                <w:sz w:val="18"/>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宋体" w:hAnsi="宋体" w:cs="宋体" w:eastAsia="宋体" w:hint="default"/>
                <w:sz w:val="18"/>
                <w:szCs w:val="18"/>
              </w:rPr>
            </w:pPr>
            <w:r>
              <w:rPr>
                <w:rFonts w:ascii="宋体"/>
                <w:spacing w:val="-3"/>
                <w:sz w:val="18"/>
              </w:rPr>
              <w:t>2,000,000.00</w:t>
            </w:r>
            <w:r>
              <w:rPr>
                <w:rFonts w:ascii="宋体"/>
                <w:sz w:val="18"/>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4"/>
              <w:jc w:val="right"/>
              <w:rPr>
                <w:rFonts w:ascii="宋体" w:hAnsi="宋体" w:cs="宋体" w:eastAsia="宋体" w:hint="default"/>
                <w:sz w:val="18"/>
                <w:szCs w:val="18"/>
              </w:rPr>
            </w:pPr>
            <w:r>
              <w:rPr>
                <w:rFonts w:ascii="宋体"/>
                <w:spacing w:val="-3"/>
                <w:sz w:val="18"/>
              </w:rPr>
              <w:t>26,000,000.00</w:t>
            </w:r>
            <w:r>
              <w:rPr>
                <w:rFonts w:ascii="宋体"/>
                <w:sz w:val="18"/>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宋体" w:hAnsi="宋体" w:cs="宋体" w:eastAsia="宋体" w:hint="default"/>
                <w:sz w:val="18"/>
                <w:szCs w:val="18"/>
              </w:rPr>
            </w:pPr>
            <w:r>
              <w:rPr>
                <w:rFonts w:ascii="宋体"/>
                <w:spacing w:val="-3"/>
                <w:sz w:val="18"/>
              </w:rPr>
              <w:t>26,000,000.00</w:t>
            </w:r>
            <w:r>
              <w:rPr>
                <w:rFonts w:ascii="宋体"/>
                <w:sz w:val="18"/>
              </w:rPr>
            </w:r>
          </w:p>
        </w:tc>
      </w:tr>
      <w:tr>
        <w:trPr>
          <w:trHeight w:val="400" w:hRule="exact"/>
        </w:trPr>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7"/>
                <w:sz w:val="18"/>
                <w:szCs w:val="18"/>
              </w:rPr>
              <w:t> </w:t>
            </w:r>
            <w:r>
              <w:rPr>
                <w:rFonts w:ascii="宋体" w:hAnsi="宋体" w:cs="宋体" w:eastAsia="宋体" w:hint="default"/>
                <w:sz w:val="18"/>
                <w:szCs w:val="18"/>
              </w:rPr>
              <w:t>计</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1"/>
              <w:jc w:val="right"/>
              <w:rPr>
                <w:rFonts w:ascii="宋体" w:hAnsi="宋体" w:cs="宋体" w:eastAsia="宋体" w:hint="default"/>
                <w:sz w:val="18"/>
                <w:szCs w:val="18"/>
              </w:rPr>
            </w:pPr>
            <w:r>
              <w:rPr>
                <w:rFonts w:ascii="宋体"/>
                <w:sz w:val="18"/>
              </w:rPr>
            </w:r>
            <w:r>
              <w:rPr>
                <w:rFonts w:ascii="宋体"/>
                <w:spacing w:val="-3"/>
                <w:sz w:val="18"/>
                <w:u w:val="thick" w:color="000000"/>
              </w:rPr>
              <w:t>122,985,289.01</w:t>
            </w:r>
            <w:r>
              <w:rPr>
                <w:rFonts w:ascii="宋体"/>
                <w:spacing w:val="-3"/>
                <w:sz w:val="18"/>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r>
            <w:r>
              <w:rPr>
                <w:rFonts w:ascii="宋体"/>
                <w:spacing w:val="-3"/>
                <w:sz w:val="18"/>
                <w:u w:val="thick" w:color="000000"/>
              </w:rPr>
              <w:t>122,985,289.01</w:t>
            </w:r>
            <w:r>
              <w:rPr>
                <w:rFonts w:ascii="宋体"/>
                <w:spacing w:val="-3"/>
                <w:sz w:val="18"/>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1"/>
              <w:jc w:val="right"/>
              <w:rPr>
                <w:rFonts w:ascii="宋体" w:hAnsi="宋体" w:cs="宋体" w:eastAsia="宋体" w:hint="default"/>
                <w:sz w:val="18"/>
                <w:szCs w:val="18"/>
              </w:rPr>
            </w:pPr>
            <w:r>
              <w:rPr>
                <w:rFonts w:ascii="宋体"/>
                <w:sz w:val="18"/>
              </w:rPr>
            </w:r>
            <w:r>
              <w:rPr>
                <w:rFonts w:ascii="宋体"/>
                <w:spacing w:val="-3"/>
                <w:sz w:val="18"/>
                <w:u w:val="thick" w:color="000000"/>
              </w:rPr>
              <w:t>110,626,059.69</w:t>
            </w:r>
            <w:r>
              <w:rPr>
                <w:rFonts w:ascii="宋体"/>
                <w:spacing w:val="-3"/>
                <w:sz w:val="18"/>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r>
            <w:r>
              <w:rPr>
                <w:rFonts w:ascii="宋体"/>
                <w:spacing w:val="-3"/>
                <w:sz w:val="18"/>
                <w:u w:val="thick" w:color="000000"/>
              </w:rPr>
              <w:t>110,626,059.69</w:t>
            </w:r>
            <w:r>
              <w:rPr>
                <w:rFonts w:ascii="宋体"/>
                <w:spacing w:val="-3"/>
                <w:sz w:val="18"/>
              </w:rPr>
            </w:r>
          </w:p>
        </w:tc>
      </w:tr>
    </w:tbl>
    <w:p>
      <w:pPr>
        <w:pStyle w:val="BodyText"/>
        <w:spacing w:line="240" w:lineRule="auto" w:before="41"/>
        <w:ind w:left="1457" w:right="857"/>
        <w:jc w:val="left"/>
      </w:pPr>
      <w:r>
        <w:rPr/>
        <w:t>根据财政部</w:t>
      </w:r>
      <w:r>
        <w:rPr>
          <w:spacing w:val="-55"/>
        </w:rPr>
        <w:t> </w:t>
      </w:r>
      <w:r>
        <w:rPr/>
        <w:t>2008</w:t>
      </w:r>
      <w:r>
        <w:rPr>
          <w:spacing w:val="-54"/>
        </w:rPr>
        <w:t> </w:t>
      </w:r>
      <w:r>
        <w:rPr/>
        <w:t>年</w:t>
      </w:r>
      <w:r>
        <w:rPr>
          <w:spacing w:val="-56"/>
        </w:rPr>
        <w:t> </w:t>
      </w:r>
      <w:r>
        <w:rPr/>
        <w:t>1</w:t>
      </w:r>
      <w:r>
        <w:rPr>
          <w:spacing w:val="-54"/>
        </w:rPr>
        <w:t> </w:t>
      </w:r>
      <w:r>
        <w:rPr/>
        <w:t>月</w:t>
      </w:r>
      <w:r>
        <w:rPr>
          <w:spacing w:val="-56"/>
        </w:rPr>
        <w:t> </w:t>
      </w:r>
      <w:r>
        <w:rPr/>
        <w:t>21</w:t>
      </w:r>
      <w:r>
        <w:rPr>
          <w:spacing w:val="-54"/>
        </w:rPr>
        <w:t> </w:t>
      </w:r>
      <w:r>
        <w:rPr>
          <w:spacing w:val="-3"/>
        </w:rPr>
        <w:t>日公布的企业会计准则实施问题专家工作组意见，对于企业会</w:t>
      </w:r>
    </w:p>
    <w:p>
      <w:pPr>
        <w:pStyle w:val="BodyText"/>
        <w:spacing w:line="240" w:lineRule="auto"/>
        <w:ind w:left="1037" w:right="857"/>
        <w:jc w:val="left"/>
      </w:pPr>
      <w:r>
        <w:rPr/>
        <w:t>计准则首次执行日之前已经持有的对子公司长期股权投资，按照《企业会计准则解释第</w:t>
      </w:r>
      <w:r>
        <w:rPr>
          <w:spacing w:val="-53"/>
        </w:rPr>
        <w:t> </w:t>
      </w:r>
      <w:r>
        <w:rPr/>
        <w:t>1</w:t>
      </w:r>
      <w:r>
        <w:rPr>
          <w:spacing w:val="-52"/>
        </w:rPr>
        <w:t> </w:t>
      </w:r>
      <w:r>
        <w:rPr/>
        <w:t>号》</w:t>
      </w:r>
    </w:p>
    <w:p>
      <w:pPr>
        <w:pStyle w:val="BodyText"/>
        <w:spacing w:line="367" w:lineRule="auto"/>
        <w:ind w:left="1457" w:right="857" w:hanging="420"/>
        <w:jc w:val="left"/>
      </w:pPr>
      <w:r>
        <w:rPr/>
        <w:t>（财会〔2007〕14</w:t>
      </w:r>
      <w:r>
        <w:rPr>
          <w:spacing w:val="-64"/>
        </w:rPr>
        <w:t> </w:t>
      </w:r>
      <w:r>
        <w:rPr/>
        <w:t>号）的规定进行追溯调整，相应调增期初长期股权投资</w:t>
      </w:r>
      <w:r>
        <w:rPr>
          <w:spacing w:val="-65"/>
        </w:rPr>
        <w:t> </w:t>
      </w:r>
      <w:r>
        <w:rPr/>
        <w:t>3,861,960.36</w:t>
      </w:r>
      <w:r>
        <w:rPr>
          <w:spacing w:val="-64"/>
        </w:rPr>
        <w:t> </w:t>
      </w:r>
      <w:r>
        <w:rPr/>
        <w:t>元。</w:t>
      </w:r>
      <w:r>
        <w:rPr>
          <w:spacing w:val="-1"/>
        </w:rPr>
        <w:t> </w:t>
      </w:r>
      <w:r>
        <w:rPr/>
        <w:t>(2)</w:t>
      </w:r>
      <w:r>
        <w:rPr>
          <w:spacing w:val="-2"/>
        </w:rPr>
        <w:t> </w:t>
      </w:r>
      <w:r>
        <w:rPr/>
        <w:t>对子公司投资</w:t>
      </w:r>
    </w:p>
    <w:p>
      <w:pPr>
        <w:pStyle w:val="BodyText"/>
        <w:spacing w:line="240" w:lineRule="auto" w:before="34"/>
        <w:ind w:left="1457" w:right="2852"/>
        <w:jc w:val="left"/>
      </w:pPr>
      <w:r>
        <w:rPr/>
        <w:t>明细情况</w:t>
      </w:r>
    </w:p>
    <w:p>
      <w:pPr>
        <w:spacing w:line="240" w:lineRule="auto" w:before="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994"/>
        <w:gridCol w:w="4905"/>
        <w:gridCol w:w="1430"/>
      </w:tblGrid>
      <w:tr>
        <w:trPr>
          <w:trHeight w:val="633"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823" w:val="left" w:leader="none"/>
                <w:tab w:pos="3543" w:val="left" w:leader="none"/>
              </w:tabs>
              <w:spacing w:line="234" w:lineRule="exact" w:before="44"/>
              <w:ind w:left="483" w:right="0"/>
              <w:jc w:val="left"/>
              <w:rPr>
                <w:rFonts w:ascii="宋体" w:hAnsi="宋体" w:cs="宋体" w:eastAsia="宋体" w:hint="default"/>
                <w:sz w:val="18"/>
                <w:szCs w:val="18"/>
              </w:rPr>
            </w:pPr>
            <w:r>
              <w:rPr>
                <w:rFonts w:ascii="宋体" w:hAnsi="宋体" w:cs="宋体" w:eastAsia="宋体" w:hint="default"/>
                <w:sz w:val="18"/>
                <w:szCs w:val="18"/>
              </w:rPr>
              <w:t>被投资</w:t>
              <w:tab/>
              <w:t>持股</w:t>
              <w:tab/>
              <w:t>投资</w:t>
            </w:r>
          </w:p>
          <w:p>
            <w:pPr>
              <w:pStyle w:val="TableParagraph"/>
              <w:tabs>
                <w:tab w:pos="2823" w:val="left" w:leader="none"/>
                <w:tab w:pos="3543" w:val="left" w:leader="none"/>
              </w:tabs>
              <w:spacing w:line="234" w:lineRule="exact"/>
              <w:ind w:left="393" w:right="0"/>
              <w:jc w:val="left"/>
              <w:rPr>
                <w:rFonts w:ascii="宋体" w:hAnsi="宋体" w:cs="宋体" w:eastAsia="宋体" w:hint="default"/>
                <w:sz w:val="18"/>
                <w:szCs w:val="18"/>
              </w:rPr>
            </w:pPr>
            <w:r>
              <w:rPr>
                <w:rFonts w:ascii="宋体" w:hAnsi="宋体" w:cs="宋体" w:eastAsia="宋体" w:hint="default"/>
                <w:sz w:val="18"/>
                <w:szCs w:val="18"/>
              </w:rPr>
              <w:t>单位名称</w:t>
              <w:tab/>
              <w:t>比例</w:t>
              <w:tab/>
              <w:t>期限</w:t>
            </w:r>
          </w:p>
        </w:tc>
        <w:tc>
          <w:tcPr>
            <w:tcW w:w="4905" w:type="dxa"/>
            <w:tcBorders>
              <w:top w:val="nil" w:sz="6" w:space="0" w:color="auto"/>
              <w:left w:val="nil" w:sz="6" w:space="0" w:color="auto"/>
              <w:bottom w:val="nil" w:sz="6" w:space="0" w:color="auto"/>
              <w:right w:val="nil" w:sz="6" w:space="0" w:color="auto"/>
            </w:tcBorders>
          </w:tcPr>
          <w:p>
            <w:pPr>
              <w:pStyle w:val="TableParagraph"/>
              <w:tabs>
                <w:tab w:pos="2069" w:val="left" w:leader="none"/>
                <w:tab w:pos="3419" w:val="left" w:leader="none"/>
                <w:tab w:pos="4499" w:val="left" w:leader="none"/>
              </w:tabs>
              <w:spacing w:line="234" w:lineRule="exact" w:before="44"/>
              <w:ind w:left="630" w:right="0"/>
              <w:jc w:val="left"/>
              <w:rPr>
                <w:rFonts w:ascii="宋体" w:hAnsi="宋体" w:cs="宋体" w:eastAsia="宋体" w:hint="default"/>
                <w:sz w:val="18"/>
                <w:szCs w:val="18"/>
              </w:rPr>
            </w:pPr>
            <w:r>
              <w:rPr>
                <w:rFonts w:ascii="宋体" w:hAnsi="宋体" w:cs="宋体" w:eastAsia="宋体" w:hint="default"/>
                <w:sz w:val="18"/>
                <w:szCs w:val="18"/>
              </w:rPr>
              <w:t>初始</w:t>
              <w:tab/>
              <w:t>期初</w:t>
              <w:tab/>
              <w:t>本期</w:t>
              <w:tab/>
              <w:t>本期</w:t>
            </w:r>
          </w:p>
          <w:p>
            <w:pPr>
              <w:pStyle w:val="TableParagraph"/>
              <w:tabs>
                <w:tab w:pos="2159" w:val="left" w:leader="none"/>
                <w:tab w:pos="3419" w:val="left" w:leader="none"/>
                <w:tab w:pos="4499" w:val="left" w:leader="none"/>
              </w:tabs>
              <w:spacing w:line="234" w:lineRule="exact"/>
              <w:ind w:left="630" w:right="0"/>
              <w:jc w:val="left"/>
              <w:rPr>
                <w:rFonts w:ascii="宋体" w:hAnsi="宋体" w:cs="宋体" w:eastAsia="宋体" w:hint="default"/>
                <w:sz w:val="18"/>
                <w:szCs w:val="18"/>
              </w:rPr>
            </w:pPr>
            <w:r>
              <w:rPr>
                <w:rFonts w:ascii="宋体" w:hAnsi="宋体" w:cs="宋体" w:eastAsia="宋体" w:hint="default"/>
                <w:sz w:val="18"/>
                <w:szCs w:val="18"/>
              </w:rPr>
              <w:t>金额</w:t>
              <w:tab/>
              <w:t>数</w:t>
              <w:tab/>
              <w:t>增加</w:t>
              <w:tab/>
              <w:t>减少</w:t>
            </w:r>
          </w:p>
        </w:tc>
        <w:tc>
          <w:tcPr>
            <w:tcW w:w="143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945" w:right="213" w:hanging="90"/>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421"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 w:pos="3633" w:val="left" w:leader="none"/>
              </w:tabs>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tab/>
              <w:t>95.00%</w:t>
              <w:tab/>
              <w:t>10</w:t>
            </w:r>
          </w:p>
        </w:tc>
        <w:tc>
          <w:tcPr>
            <w:tcW w:w="4905"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65"/>
              <w:ind w:left="180" w:right="0"/>
              <w:jc w:val="left"/>
              <w:rPr>
                <w:rFonts w:ascii="宋体" w:hAnsi="宋体" w:cs="宋体" w:eastAsia="宋体" w:hint="default"/>
                <w:sz w:val="18"/>
                <w:szCs w:val="18"/>
              </w:rPr>
            </w:pPr>
            <w:r>
              <w:rPr>
                <w:rFonts w:ascii="宋体"/>
                <w:sz w:val="18"/>
              </w:rPr>
              <w:t>2,090,000.00</w:t>
              <w:tab/>
              <w:t>2,090,000.00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2,090,000.00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 w:pos="3633"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杭州恒生信息技术有限公司</w:t>
              <w:tab/>
              <w:t>51.00%</w:t>
              <w:tab/>
              <w:t>10</w:t>
            </w:r>
          </w:p>
        </w:tc>
        <w:tc>
          <w:tcPr>
            <w:tcW w:w="4905"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64"/>
              <w:ind w:left="360" w:right="0"/>
              <w:jc w:val="left"/>
              <w:rPr>
                <w:rFonts w:ascii="宋体" w:hAnsi="宋体" w:cs="宋体" w:eastAsia="宋体" w:hint="default"/>
                <w:sz w:val="18"/>
                <w:szCs w:val="18"/>
              </w:rPr>
            </w:pPr>
            <w:r>
              <w:rPr>
                <w:rFonts w:ascii="宋体"/>
                <w:sz w:val="18"/>
              </w:rPr>
              <w:t>510,000.00</w:t>
              <w:tab/>
              <w:t>510,000.00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510,000.00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3813" w:val="righ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杭州恒生数据安全技术有限公司</w:t>
            </w:r>
            <w:r>
              <w:rPr>
                <w:rFonts w:ascii="宋体" w:hAnsi="宋体" w:cs="宋体" w:eastAsia="宋体" w:hint="default"/>
                <w:spacing w:val="88"/>
                <w:sz w:val="18"/>
                <w:szCs w:val="18"/>
              </w:rPr>
              <w:t> </w:t>
            </w:r>
            <w:r>
              <w:rPr>
                <w:rFonts w:ascii="宋体" w:hAnsi="宋体" w:cs="宋体" w:eastAsia="宋体" w:hint="default"/>
                <w:sz w:val="18"/>
                <w:szCs w:val="18"/>
              </w:rPr>
              <w:t>87.70%</w:t>
            </w:r>
            <w:r>
              <w:rPr>
                <w:rFonts w:ascii="Times New Roman" w:hAnsi="Times New Roman" w:cs="Times New Roman" w:eastAsia="Times New Roman" w:hint="default"/>
                <w:sz w:val="18"/>
                <w:szCs w:val="18"/>
              </w:rPr>
              <w:tab/>
            </w:r>
            <w:r>
              <w:rPr>
                <w:rFonts w:ascii="宋体" w:hAnsi="宋体" w:cs="宋体" w:eastAsia="宋体" w:hint="default"/>
                <w:sz w:val="18"/>
                <w:szCs w:val="18"/>
              </w:rPr>
              <w:t>20</w:t>
            </w:r>
          </w:p>
        </w:tc>
        <w:tc>
          <w:tcPr>
            <w:tcW w:w="4905" w:type="dxa"/>
            <w:tcBorders>
              <w:top w:val="nil" w:sz="6" w:space="0" w:color="auto"/>
              <w:left w:val="nil" w:sz="6" w:space="0" w:color="auto"/>
              <w:bottom w:val="nil" w:sz="6" w:space="0" w:color="auto"/>
              <w:right w:val="nil" w:sz="6" w:space="0" w:color="auto"/>
            </w:tcBorders>
          </w:tcPr>
          <w:p>
            <w:pPr>
              <w:pStyle w:val="TableParagraph"/>
              <w:tabs>
                <w:tab w:pos="1529" w:val="left" w:leader="none"/>
              </w:tabs>
              <w:spacing w:line="240" w:lineRule="auto" w:before="64"/>
              <w:ind w:left="90" w:right="0"/>
              <w:jc w:val="left"/>
              <w:rPr>
                <w:rFonts w:ascii="宋体" w:hAnsi="宋体" w:cs="宋体" w:eastAsia="宋体" w:hint="default"/>
                <w:sz w:val="18"/>
                <w:szCs w:val="18"/>
              </w:rPr>
            </w:pPr>
            <w:r>
              <w:rPr>
                <w:rFonts w:ascii="宋体"/>
                <w:sz w:val="18"/>
              </w:rPr>
              <w:t>10,383,589.00</w:t>
              <w:tab/>
              <w:t>10,383,589.00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10,383,589.00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tab/>
              <w:t>55.00%</w:t>
            </w:r>
          </w:p>
        </w:tc>
        <w:tc>
          <w:tcPr>
            <w:tcW w:w="4905" w:type="dxa"/>
            <w:tcBorders>
              <w:top w:val="nil" w:sz="6" w:space="0" w:color="auto"/>
              <w:left w:val="nil" w:sz="6" w:space="0" w:color="auto"/>
              <w:bottom w:val="nil" w:sz="6" w:space="0" w:color="auto"/>
              <w:right w:val="nil" w:sz="6" w:space="0" w:color="auto"/>
            </w:tcBorders>
          </w:tcPr>
          <w:p>
            <w:pPr>
              <w:pStyle w:val="TableParagraph"/>
              <w:tabs>
                <w:tab w:pos="1529" w:val="left" w:leader="none"/>
                <w:tab w:pos="2969" w:val="left" w:leader="none"/>
              </w:tabs>
              <w:spacing w:line="240" w:lineRule="auto" w:before="64"/>
              <w:ind w:left="90" w:right="0"/>
              <w:jc w:val="left"/>
              <w:rPr>
                <w:rFonts w:ascii="宋体" w:hAnsi="宋体" w:cs="宋体" w:eastAsia="宋体" w:hint="default"/>
                <w:sz w:val="18"/>
                <w:szCs w:val="18"/>
              </w:rPr>
            </w:pPr>
            <w:r>
              <w:rPr>
                <w:rFonts w:ascii="宋体"/>
                <w:sz w:val="18"/>
              </w:rPr>
              <w:t>27,500,000.00</w:t>
              <w:tab/>
              <w:t>12,100,000.00</w:t>
              <w:tab/>
              <w:t>15,400,000.00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27,500,000.00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 w:pos="3633"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杭州数米网科技有限公司</w:t>
              <w:tab/>
              <w:t>80.00%</w:t>
              <w:tab/>
              <w:t>50</w:t>
            </w:r>
          </w:p>
        </w:tc>
        <w:tc>
          <w:tcPr>
            <w:tcW w:w="4905" w:type="dxa"/>
            <w:tcBorders>
              <w:top w:val="nil" w:sz="6" w:space="0" w:color="auto"/>
              <w:left w:val="nil" w:sz="6" w:space="0" w:color="auto"/>
              <w:bottom w:val="nil" w:sz="6" w:space="0" w:color="auto"/>
              <w:right w:val="nil" w:sz="6" w:space="0" w:color="auto"/>
            </w:tcBorders>
          </w:tcPr>
          <w:p>
            <w:pPr>
              <w:pStyle w:val="TableParagraph"/>
              <w:tabs>
                <w:tab w:pos="2969" w:val="left" w:leader="none"/>
              </w:tabs>
              <w:spacing w:line="240" w:lineRule="auto" w:before="64"/>
              <w:ind w:left="90" w:right="0"/>
              <w:jc w:val="left"/>
              <w:rPr>
                <w:rFonts w:ascii="宋体" w:hAnsi="宋体" w:cs="宋体" w:eastAsia="宋体" w:hint="default"/>
                <w:sz w:val="18"/>
                <w:szCs w:val="18"/>
              </w:rPr>
            </w:pPr>
            <w:r>
              <w:rPr>
                <w:rFonts w:ascii="宋体"/>
                <w:sz w:val="18"/>
              </w:rPr>
              <w:t>16,000,000.00</w:t>
              <w:tab/>
              <w:t>16,000,000.00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16,000,000.00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 w:pos="3813" w:val="righ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北京钱塘恒生科技有限公司</w:t>
              <w:tab/>
              <w:t>70.00%</w:t>
            </w:r>
            <w:r>
              <w:rPr>
                <w:rFonts w:ascii="Times New Roman" w:hAnsi="Times New Roman" w:cs="Times New Roman" w:eastAsia="Times New Roman" w:hint="default"/>
                <w:sz w:val="18"/>
                <w:szCs w:val="18"/>
              </w:rPr>
              <w:tab/>
            </w:r>
            <w:r>
              <w:rPr>
                <w:rFonts w:ascii="宋体" w:hAnsi="宋体" w:cs="宋体" w:eastAsia="宋体" w:hint="default"/>
                <w:sz w:val="18"/>
                <w:szCs w:val="18"/>
              </w:rPr>
              <w:t>20</w:t>
            </w:r>
          </w:p>
        </w:tc>
        <w:tc>
          <w:tcPr>
            <w:tcW w:w="4905"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64"/>
              <w:ind w:left="180" w:right="0"/>
              <w:jc w:val="left"/>
              <w:rPr>
                <w:rFonts w:ascii="宋体" w:hAnsi="宋体" w:cs="宋体" w:eastAsia="宋体" w:hint="default"/>
                <w:sz w:val="18"/>
                <w:szCs w:val="18"/>
              </w:rPr>
            </w:pPr>
            <w:r>
              <w:rPr>
                <w:rFonts w:ascii="宋体"/>
                <w:sz w:val="18"/>
              </w:rPr>
              <w:t>1,400,000.00</w:t>
              <w:tab/>
              <w:t>1,400,000.00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1,400,000.00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日本恒生软件株式会社</w:t>
              <w:tab/>
              <w:t>52.39%</w:t>
            </w:r>
          </w:p>
        </w:tc>
        <w:tc>
          <w:tcPr>
            <w:tcW w:w="4905"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64"/>
              <w:ind w:left="180" w:right="0"/>
              <w:jc w:val="left"/>
              <w:rPr>
                <w:rFonts w:ascii="宋体" w:hAnsi="宋体" w:cs="宋体" w:eastAsia="宋体" w:hint="default"/>
                <w:sz w:val="18"/>
                <w:szCs w:val="18"/>
              </w:rPr>
            </w:pPr>
            <w:r>
              <w:rPr>
                <w:rFonts w:ascii="宋体"/>
                <w:sz w:val="18"/>
              </w:rPr>
              <w:t>1,364,608.22</w:t>
              <w:tab/>
              <w:t>1,364,608.22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1,364,608.22</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 w:pos="3633"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上海易锐管理咨询有限公司</w:t>
              <w:tab/>
              <w:t>70.00%</w:t>
              <w:tab/>
              <w:t>10</w:t>
            </w:r>
          </w:p>
        </w:tc>
        <w:tc>
          <w:tcPr>
            <w:tcW w:w="4905"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64"/>
              <w:ind w:left="360" w:right="0"/>
              <w:jc w:val="left"/>
              <w:rPr>
                <w:rFonts w:ascii="宋体" w:hAnsi="宋体" w:cs="宋体" w:eastAsia="宋体" w:hint="default"/>
                <w:sz w:val="18"/>
                <w:szCs w:val="18"/>
              </w:rPr>
            </w:pPr>
            <w:r>
              <w:rPr>
                <w:rFonts w:ascii="宋体"/>
                <w:sz w:val="18"/>
              </w:rPr>
              <w:t>700,000.00</w:t>
              <w:tab/>
              <w:t>700,000.00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700,000.00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 w:pos="3633"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上海世纪恒生科技有限公司</w:t>
              <w:tab/>
              <w:t>90.00%</w:t>
              <w:tab/>
              <w:t>10</w:t>
            </w:r>
          </w:p>
        </w:tc>
        <w:tc>
          <w:tcPr>
            <w:tcW w:w="4905"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64"/>
              <w:ind w:left="180" w:right="0"/>
              <w:jc w:val="left"/>
              <w:rPr>
                <w:rFonts w:ascii="宋体" w:hAnsi="宋体" w:cs="宋体" w:eastAsia="宋体" w:hint="default"/>
                <w:sz w:val="18"/>
                <w:szCs w:val="18"/>
              </w:rPr>
            </w:pPr>
            <w:r>
              <w:rPr>
                <w:rFonts w:ascii="宋体"/>
                <w:sz w:val="18"/>
              </w:rPr>
              <w:t>2,700,000.00</w:t>
              <w:tab/>
              <w:t>2,700,000.00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2,700,000.00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 w:pos="3813" w:val="righ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南京恒生软件限公司</w:t>
              <w:tab/>
              <w:t>90.00%</w:t>
            </w:r>
            <w:r>
              <w:rPr>
                <w:rFonts w:ascii="Times New Roman" w:hAnsi="Times New Roman" w:cs="Times New Roman" w:eastAsia="Times New Roman" w:hint="default"/>
                <w:sz w:val="18"/>
                <w:szCs w:val="18"/>
              </w:rPr>
              <w:tab/>
            </w:r>
            <w:r>
              <w:rPr>
                <w:rFonts w:ascii="宋体" w:hAnsi="宋体" w:cs="宋体" w:eastAsia="宋体" w:hint="default"/>
                <w:sz w:val="18"/>
                <w:szCs w:val="18"/>
              </w:rPr>
              <w:t>10</w:t>
            </w:r>
          </w:p>
        </w:tc>
        <w:tc>
          <w:tcPr>
            <w:tcW w:w="4905"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64"/>
              <w:ind w:left="360" w:right="0"/>
              <w:jc w:val="left"/>
              <w:rPr>
                <w:rFonts w:ascii="宋体" w:hAnsi="宋体" w:cs="宋体" w:eastAsia="宋体" w:hint="default"/>
                <w:sz w:val="18"/>
                <w:szCs w:val="18"/>
              </w:rPr>
            </w:pPr>
            <w:r>
              <w:rPr>
                <w:rFonts w:ascii="宋体"/>
                <w:sz w:val="18"/>
              </w:rPr>
              <w:t>900,000.00</w:t>
              <w:tab/>
              <w:t>900,000.00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900,000.00</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733" w:val="left" w:leader="none"/>
                <w:tab w:pos="3633"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深圳市恒生科技开发有限公司</w:t>
              <w:tab/>
              <w:t>80.00%</w:t>
              <w:tab/>
              <w:t>10</w:t>
            </w:r>
          </w:p>
        </w:tc>
        <w:tc>
          <w:tcPr>
            <w:tcW w:w="4905"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64"/>
              <w:ind w:left="360" w:right="0"/>
              <w:jc w:val="left"/>
              <w:rPr>
                <w:rFonts w:ascii="宋体" w:hAnsi="宋体" w:cs="宋体" w:eastAsia="宋体" w:hint="default"/>
                <w:sz w:val="18"/>
                <w:szCs w:val="18"/>
              </w:rPr>
            </w:pPr>
            <w:r>
              <w:rPr>
                <w:rFonts w:ascii="宋体"/>
                <w:sz w:val="18"/>
              </w:rPr>
              <w:t>800,000.00</w:t>
              <w:tab/>
              <w:t>800,000.00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800,000.00</w:t>
            </w:r>
          </w:p>
        </w:tc>
      </w:tr>
      <w:tr>
        <w:trPr>
          <w:trHeight w:val="404"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4905" w:type="dxa"/>
            <w:tcBorders>
              <w:top w:val="nil" w:sz="6" w:space="0" w:color="auto"/>
              <w:left w:val="nil" w:sz="6" w:space="0" w:color="auto"/>
              <w:bottom w:val="nil" w:sz="6" w:space="0" w:color="auto"/>
              <w:right w:val="nil" w:sz="6" w:space="0" w:color="auto"/>
            </w:tcBorders>
          </w:tcPr>
          <w:p>
            <w:pPr>
              <w:pStyle w:val="TableParagraph"/>
              <w:tabs>
                <w:tab w:pos="1529" w:val="left" w:leader="none"/>
                <w:tab w:pos="2969" w:val="left" w:leader="none"/>
              </w:tabs>
              <w:spacing w:line="240" w:lineRule="auto" w:before="65"/>
              <w:ind w:left="89" w:right="0"/>
              <w:jc w:val="left"/>
              <w:rPr>
                <w:rFonts w:ascii="宋体" w:hAnsi="宋体" w:cs="宋体" w:eastAsia="宋体" w:hint="default"/>
                <w:sz w:val="18"/>
                <w:szCs w:val="18"/>
              </w:rPr>
            </w:pPr>
            <w:r>
              <w:rPr>
                <w:rFonts w:ascii="宋体"/>
                <w:sz w:val="18"/>
              </w:rPr>
            </w:r>
            <w:r>
              <w:rPr>
                <w:rFonts w:ascii="宋体"/>
                <w:sz w:val="18"/>
                <w:u w:val="single" w:color="000000"/>
              </w:rPr>
              <w:t>64,348,197.22</w:t>
            </w:r>
            <w:r>
              <w:rPr>
                <w:rFonts w:ascii="宋体"/>
                <w:sz w:val="18"/>
              </w:rPr>
              <w:tab/>
            </w:r>
            <w:r>
              <w:rPr>
                <w:rFonts w:ascii="宋体"/>
                <w:sz w:val="18"/>
                <w:u w:val="single" w:color="000000"/>
              </w:rPr>
              <w:t>32,948,197.22</w:t>
            </w:r>
            <w:r>
              <w:rPr>
                <w:rFonts w:ascii="宋体"/>
                <w:sz w:val="18"/>
              </w:rPr>
              <w:tab/>
            </w:r>
            <w:r>
              <w:rPr>
                <w:rFonts w:ascii="宋体"/>
                <w:sz w:val="18"/>
                <w:u w:val="single" w:color="000000"/>
              </w:rPr>
              <w:t>31,400,000.00</w:t>
            </w:r>
            <w:r>
              <w:rPr>
                <w:rFonts w:ascii="宋体"/>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r>
            <w:r>
              <w:rPr>
                <w:rFonts w:ascii="宋体"/>
                <w:sz w:val="18"/>
                <w:u w:val="single" w:color="000000"/>
              </w:rPr>
              <w:t>64,348,197.22</w:t>
            </w:r>
            <w:r>
              <w:rPr>
                <w:rFonts w:ascii="宋体"/>
                <w:sz w:val="18"/>
              </w:rPr>
            </w:r>
          </w:p>
        </w:tc>
      </w:tr>
      <w:tr>
        <w:trPr>
          <w:trHeight w:val="418"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53" w:right="0"/>
              <w:jc w:val="left"/>
              <w:rPr>
                <w:rFonts w:ascii="宋体" w:hAnsi="宋体" w:cs="宋体" w:eastAsia="宋体" w:hint="default"/>
                <w:sz w:val="21"/>
                <w:szCs w:val="21"/>
              </w:rPr>
            </w:pPr>
            <w:r>
              <w:rPr>
                <w:rFonts w:ascii="宋体" w:hAnsi="宋体" w:cs="宋体" w:eastAsia="宋体" w:hint="default"/>
                <w:sz w:val="21"/>
                <w:szCs w:val="21"/>
              </w:rPr>
              <w:t>(3)对联营企业投资</w:t>
            </w:r>
          </w:p>
        </w:tc>
        <w:tc>
          <w:tcPr>
            <w:tcW w:w="49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8"/>
              <w:jc w:val="center"/>
              <w:rPr>
                <w:rFonts w:ascii="宋体" w:hAnsi="宋体" w:cs="宋体" w:eastAsia="宋体" w:hint="default"/>
                <w:sz w:val="21"/>
                <w:szCs w:val="21"/>
              </w:rPr>
            </w:pPr>
            <w:r>
              <w:rPr>
                <w:rFonts w:ascii="宋体" w:hAnsi="宋体" w:cs="宋体" w:eastAsia="宋体" w:hint="default"/>
                <w:sz w:val="21"/>
                <w:szCs w:val="21"/>
              </w:rPr>
              <w:t>1) 明细情况</w:t>
            </w:r>
          </w:p>
        </w:tc>
        <w:tc>
          <w:tcPr>
            <w:tcW w:w="49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437"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23"/>
              <w:jc w:val="righ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期末余额构成明细情况</w:t>
            </w:r>
          </w:p>
        </w:tc>
        <w:tc>
          <w:tcPr>
            <w:tcW w:w="490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328"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159" w:val="left" w:leader="none"/>
              </w:tabs>
              <w:spacing w:line="240" w:lineRule="auto" w:before="66"/>
              <w:ind w:right="265"/>
              <w:jc w:val="right"/>
              <w:rPr>
                <w:rFonts w:ascii="宋体" w:hAnsi="宋体" w:cs="宋体" w:eastAsia="宋体" w:hint="default"/>
                <w:sz w:val="18"/>
                <w:szCs w:val="18"/>
              </w:rPr>
            </w:pPr>
            <w:r>
              <w:rPr>
                <w:rFonts w:ascii="宋体" w:hAnsi="宋体" w:cs="宋体" w:eastAsia="宋体" w:hint="default"/>
                <w:sz w:val="18"/>
                <w:szCs w:val="18"/>
              </w:rPr>
              <w:t>被投资</w:t>
              <w:tab/>
              <w:t>持股</w:t>
            </w:r>
          </w:p>
        </w:tc>
        <w:tc>
          <w:tcPr>
            <w:tcW w:w="4905" w:type="dxa"/>
            <w:tcBorders>
              <w:top w:val="nil" w:sz="6" w:space="0" w:color="auto"/>
              <w:left w:val="nil" w:sz="6" w:space="0" w:color="auto"/>
              <w:bottom w:val="nil" w:sz="6" w:space="0" w:color="auto"/>
              <w:right w:val="nil" w:sz="6" w:space="0" w:color="auto"/>
            </w:tcBorders>
          </w:tcPr>
          <w:p>
            <w:pPr>
              <w:pStyle w:val="TableParagraph"/>
              <w:tabs>
                <w:tab w:pos="1442" w:val="left" w:leader="none"/>
                <w:tab w:pos="2522" w:val="left" w:leader="none"/>
                <w:tab w:pos="3782" w:val="left" w:leader="none"/>
              </w:tabs>
              <w:spacing w:line="240" w:lineRule="auto" w:before="66"/>
              <w:ind w:left="182" w:right="0"/>
              <w:jc w:val="left"/>
              <w:rPr>
                <w:rFonts w:ascii="宋体" w:hAnsi="宋体" w:cs="宋体" w:eastAsia="宋体" w:hint="default"/>
                <w:sz w:val="18"/>
                <w:szCs w:val="18"/>
              </w:rPr>
            </w:pPr>
            <w:r>
              <w:rPr>
                <w:rFonts w:ascii="宋体" w:hAnsi="宋体" w:cs="宋体" w:eastAsia="宋体" w:hint="default"/>
                <w:sz w:val="18"/>
                <w:szCs w:val="18"/>
              </w:rPr>
              <w:t>投资</w:t>
              <w:tab/>
              <w:t>成</w:t>
              <w:tab/>
              <w:t>损益</w:t>
              <w:tab/>
              <w:t>其他权</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7" w:right="0"/>
              <w:jc w:val="left"/>
              <w:rPr>
                <w:rFonts w:ascii="宋体" w:hAnsi="宋体" w:cs="宋体" w:eastAsia="宋体" w:hint="default"/>
                <w:sz w:val="18"/>
                <w:szCs w:val="18"/>
              </w:rPr>
            </w:pPr>
            <w:r>
              <w:rPr>
                <w:rFonts w:ascii="宋体" w:hAnsi="宋体" w:cs="宋体" w:eastAsia="宋体" w:hint="default"/>
                <w:sz w:val="18"/>
                <w:szCs w:val="18"/>
              </w:rPr>
              <w:t>期末</w:t>
            </w:r>
          </w:p>
        </w:tc>
      </w:tr>
      <w:tr>
        <w:trPr>
          <w:trHeight w:val="326"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249" w:val="left" w:leader="none"/>
              </w:tabs>
              <w:spacing w:line="206" w:lineRule="exact"/>
              <w:ind w:right="265"/>
              <w:jc w:val="right"/>
              <w:rPr>
                <w:rFonts w:ascii="宋体" w:hAnsi="宋体" w:cs="宋体" w:eastAsia="宋体" w:hint="default"/>
                <w:sz w:val="18"/>
                <w:szCs w:val="18"/>
              </w:rPr>
            </w:pPr>
            <w:r>
              <w:rPr>
                <w:rFonts w:ascii="宋体" w:hAnsi="宋体" w:cs="宋体" w:eastAsia="宋体" w:hint="default"/>
                <w:sz w:val="18"/>
                <w:szCs w:val="18"/>
              </w:rPr>
              <w:t>单位名称</w:t>
              <w:tab/>
              <w:t>比例</w:t>
            </w:r>
          </w:p>
        </w:tc>
        <w:tc>
          <w:tcPr>
            <w:tcW w:w="4905" w:type="dxa"/>
            <w:tcBorders>
              <w:top w:val="nil" w:sz="6" w:space="0" w:color="auto"/>
              <w:left w:val="nil" w:sz="6" w:space="0" w:color="auto"/>
              <w:bottom w:val="nil" w:sz="6" w:space="0" w:color="auto"/>
              <w:right w:val="nil" w:sz="6" w:space="0" w:color="auto"/>
            </w:tcBorders>
          </w:tcPr>
          <w:p>
            <w:pPr>
              <w:pStyle w:val="TableParagraph"/>
              <w:tabs>
                <w:tab w:pos="1442" w:val="left" w:leader="none"/>
                <w:tab w:pos="2522" w:val="left" w:leader="none"/>
                <w:tab w:pos="3782" w:val="left" w:leader="none"/>
              </w:tabs>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期限</w:t>
              <w:tab/>
              <w:t>本</w:t>
              <w:tab/>
              <w:t>调整</w:t>
              <w:tab/>
              <w:t>益变动</w:t>
            </w:r>
          </w:p>
        </w:tc>
        <w:tc>
          <w:tcPr>
            <w:tcW w:w="1430" w:type="dxa"/>
            <w:tcBorders>
              <w:top w:val="nil" w:sz="6" w:space="0" w:color="auto"/>
              <w:left w:val="nil" w:sz="6" w:space="0" w:color="auto"/>
              <w:bottom w:val="nil" w:sz="6" w:space="0" w:color="auto"/>
              <w:right w:val="nil" w:sz="6" w:space="0" w:color="auto"/>
            </w:tcBorders>
          </w:tcPr>
          <w:p>
            <w:pPr>
              <w:pStyle w:val="TableParagraph"/>
              <w:spacing w:line="206" w:lineRule="exact"/>
              <w:ind w:right="253"/>
              <w:jc w:val="center"/>
              <w:rPr>
                <w:rFonts w:ascii="宋体" w:hAnsi="宋体" w:cs="宋体" w:eastAsia="宋体" w:hint="default"/>
                <w:sz w:val="18"/>
                <w:szCs w:val="18"/>
              </w:rPr>
            </w:pPr>
            <w:r>
              <w:rPr>
                <w:rFonts w:ascii="宋体" w:hAnsi="宋体" w:cs="宋体" w:eastAsia="宋体" w:hint="default"/>
                <w:sz w:val="18"/>
                <w:szCs w:val="18"/>
              </w:rPr>
              <w:t>数</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517" w:val="left" w:leader="none"/>
              </w:tabs>
              <w:spacing w:line="240" w:lineRule="auto" w:before="64"/>
              <w:ind w:right="177"/>
              <w:jc w:val="right"/>
              <w:rPr>
                <w:rFonts w:ascii="宋体" w:hAnsi="宋体" w:cs="宋体" w:eastAsia="宋体" w:hint="default"/>
                <w:sz w:val="18"/>
                <w:szCs w:val="18"/>
              </w:rPr>
            </w:pPr>
            <w:r>
              <w:rPr>
                <w:rFonts w:ascii="宋体" w:hAnsi="宋体" w:cs="宋体" w:eastAsia="宋体" w:hint="default"/>
                <w:sz w:val="18"/>
                <w:szCs w:val="18"/>
              </w:rPr>
              <w:t>杭州恒生世纪实业有限公司</w:t>
              <w:tab/>
              <w:t>49.00%</w:t>
            </w:r>
          </w:p>
        </w:tc>
        <w:tc>
          <w:tcPr>
            <w:tcW w:w="4905" w:type="dxa"/>
            <w:tcBorders>
              <w:top w:val="nil" w:sz="6" w:space="0" w:color="auto"/>
              <w:left w:val="nil" w:sz="6" w:space="0" w:color="auto"/>
              <w:bottom w:val="nil" w:sz="6" w:space="0" w:color="auto"/>
              <w:right w:val="nil" w:sz="6" w:space="0" w:color="auto"/>
            </w:tcBorders>
          </w:tcPr>
          <w:p>
            <w:pPr>
              <w:pStyle w:val="TableParagraph"/>
              <w:tabs>
                <w:tab w:pos="809" w:val="left" w:leader="none"/>
                <w:tab w:pos="3599" w:val="left" w:leader="none"/>
              </w:tabs>
              <w:spacing w:line="240" w:lineRule="auto" w:before="64"/>
              <w:ind w:left="13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tab/>
              <w:t>29,400,000.00 -3,089,834.65</w:t>
              <w:tab/>
              <w:t>4,696,777.89</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 w:right="0"/>
              <w:jc w:val="left"/>
              <w:rPr>
                <w:rFonts w:ascii="宋体" w:hAnsi="宋体" w:cs="宋体" w:eastAsia="宋体" w:hint="default"/>
                <w:sz w:val="18"/>
                <w:szCs w:val="18"/>
              </w:rPr>
            </w:pPr>
            <w:r>
              <w:rPr>
                <w:rFonts w:ascii="宋体"/>
                <w:sz w:val="18"/>
              </w:rPr>
              <w:t>31,006,943.24</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tabs>
                <w:tab w:pos="2517" w:val="left" w:leader="none"/>
              </w:tabs>
              <w:spacing w:line="240" w:lineRule="auto" w:before="64"/>
              <w:ind w:right="177"/>
              <w:jc w:val="right"/>
              <w:rPr>
                <w:rFonts w:ascii="宋体" w:hAnsi="宋体" w:cs="宋体" w:eastAsia="宋体" w:hint="default"/>
                <w:sz w:val="18"/>
                <w:szCs w:val="18"/>
              </w:rPr>
            </w:pPr>
            <w:r>
              <w:rPr>
                <w:rFonts w:ascii="宋体" w:hAnsi="宋体" w:cs="宋体" w:eastAsia="宋体" w:hint="default"/>
                <w:sz w:val="18"/>
                <w:szCs w:val="18"/>
              </w:rPr>
              <w:t>浙江维尔科技有限公司</w:t>
              <w:tab/>
              <w:t>21.00%</w:t>
            </w:r>
          </w:p>
        </w:tc>
        <w:tc>
          <w:tcPr>
            <w:tcW w:w="4905" w:type="dxa"/>
            <w:tcBorders>
              <w:top w:val="nil" w:sz="6" w:space="0" w:color="auto"/>
              <w:left w:val="nil" w:sz="6" w:space="0" w:color="auto"/>
              <w:bottom w:val="nil" w:sz="6" w:space="0" w:color="auto"/>
              <w:right w:val="nil" w:sz="6" w:space="0" w:color="auto"/>
            </w:tcBorders>
          </w:tcPr>
          <w:p>
            <w:pPr>
              <w:pStyle w:val="TableParagraph"/>
              <w:tabs>
                <w:tab w:pos="899" w:val="left" w:leader="none"/>
                <w:tab w:pos="3599" w:val="left" w:leader="none"/>
              </w:tabs>
              <w:spacing w:line="240" w:lineRule="auto" w:before="64"/>
              <w:ind w:left="13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tab/>
              <w:t>9,403,231.79</w:t>
            </w:r>
            <w:r>
              <w:rPr>
                <w:rFonts w:ascii="宋体" w:hAnsi="宋体" w:cs="宋体" w:eastAsia="宋体" w:hint="default"/>
                <w:spacing w:val="90"/>
                <w:sz w:val="18"/>
                <w:szCs w:val="18"/>
              </w:rPr>
              <w:t> </w:t>
            </w:r>
            <w:r>
              <w:rPr>
                <w:rFonts w:ascii="宋体" w:hAnsi="宋体" w:cs="宋体" w:eastAsia="宋体" w:hint="default"/>
                <w:sz w:val="18"/>
                <w:szCs w:val="18"/>
              </w:rPr>
              <w:t>3,873,029.45</w:t>
              <w:tab/>
              <w:t>6,248,571.42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 w:right="0"/>
              <w:jc w:val="left"/>
              <w:rPr>
                <w:rFonts w:ascii="宋体" w:hAnsi="宋体" w:cs="宋体" w:eastAsia="宋体" w:hint="default"/>
                <w:sz w:val="18"/>
                <w:szCs w:val="18"/>
              </w:rPr>
            </w:pPr>
            <w:r>
              <w:rPr>
                <w:rFonts w:ascii="宋体"/>
                <w:sz w:val="18"/>
              </w:rPr>
              <w:t>19,524,832.66</w:t>
            </w:r>
          </w:p>
        </w:tc>
      </w:tr>
      <w:tr>
        <w:trPr>
          <w:trHeight w:val="42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7"/>
              <w:jc w:val="right"/>
              <w:rPr>
                <w:rFonts w:ascii="宋体" w:hAnsi="宋体" w:cs="宋体" w:eastAsia="宋体" w:hint="default"/>
                <w:sz w:val="18"/>
                <w:szCs w:val="18"/>
              </w:rPr>
            </w:pPr>
            <w:r>
              <w:rPr>
                <w:rFonts w:ascii="宋体" w:hAnsi="宋体" w:cs="宋体" w:eastAsia="宋体" w:hint="default"/>
                <w:sz w:val="18"/>
                <w:szCs w:val="18"/>
              </w:rPr>
              <w:t>北京美髯公科技发展有限公司</w:t>
            </w:r>
            <w:r>
              <w:rPr>
                <w:rFonts w:ascii="宋体" w:hAnsi="宋体" w:cs="宋体" w:eastAsia="宋体" w:hint="default"/>
                <w:spacing w:val="87"/>
                <w:sz w:val="18"/>
                <w:szCs w:val="18"/>
              </w:rPr>
              <w:t> </w:t>
            </w:r>
            <w:r>
              <w:rPr>
                <w:rFonts w:ascii="宋体" w:hAnsi="宋体" w:cs="宋体" w:eastAsia="宋体" w:hint="default"/>
                <w:sz w:val="18"/>
                <w:szCs w:val="18"/>
              </w:rPr>
              <w:t>26.63%</w:t>
            </w:r>
          </w:p>
        </w:tc>
        <w:tc>
          <w:tcPr>
            <w:tcW w:w="4905" w:type="dxa"/>
            <w:tcBorders>
              <w:top w:val="nil" w:sz="6" w:space="0" w:color="auto"/>
              <w:left w:val="nil" w:sz="6" w:space="0" w:color="auto"/>
              <w:bottom w:val="nil" w:sz="6" w:space="0" w:color="auto"/>
              <w:right w:val="nil" w:sz="6" w:space="0" w:color="auto"/>
            </w:tcBorders>
          </w:tcPr>
          <w:p>
            <w:pPr>
              <w:pStyle w:val="TableParagraph"/>
              <w:tabs>
                <w:tab w:pos="899" w:val="left" w:leader="none"/>
                <w:tab w:pos="2339" w:val="left" w:leader="none"/>
                <w:tab w:pos="3779" w:val="left" w:leader="none"/>
              </w:tabs>
              <w:spacing w:line="240" w:lineRule="auto" w:before="64"/>
              <w:ind w:left="135"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年</w:t>
              <w:tab/>
              <w:t>5,405,225.06</w:t>
              <w:tab/>
              <w:t>591,079.54</w:t>
              <w:tab/>
              <w:t>109,011.29</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5" w:right="0"/>
              <w:jc w:val="left"/>
              <w:rPr>
                <w:rFonts w:ascii="宋体" w:hAnsi="宋体" w:cs="宋体" w:eastAsia="宋体" w:hint="default"/>
                <w:sz w:val="18"/>
                <w:szCs w:val="18"/>
              </w:rPr>
            </w:pPr>
            <w:r>
              <w:rPr>
                <w:rFonts w:ascii="宋体"/>
                <w:sz w:val="18"/>
              </w:rPr>
              <w:t>6,105,315.89</w:t>
            </w:r>
          </w:p>
        </w:tc>
      </w:tr>
      <w:tr>
        <w:trPr>
          <w:trHeight w:val="40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1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4905" w:type="dxa"/>
            <w:tcBorders>
              <w:top w:val="nil" w:sz="6" w:space="0" w:color="auto"/>
              <w:left w:val="nil" w:sz="6" w:space="0" w:color="auto"/>
              <w:bottom w:val="nil" w:sz="6" w:space="0" w:color="auto"/>
              <w:right w:val="nil" w:sz="6" w:space="0" w:color="auto"/>
            </w:tcBorders>
          </w:tcPr>
          <w:p>
            <w:pPr>
              <w:pStyle w:val="TableParagraph"/>
              <w:tabs>
                <w:tab w:pos="3509" w:val="left" w:leader="none"/>
              </w:tabs>
              <w:spacing w:line="240" w:lineRule="auto" w:before="64"/>
              <w:ind w:left="810" w:right="0"/>
              <w:jc w:val="left"/>
              <w:rPr>
                <w:rFonts w:ascii="宋体" w:hAnsi="宋体" w:cs="宋体" w:eastAsia="宋体" w:hint="default"/>
                <w:sz w:val="18"/>
                <w:szCs w:val="18"/>
              </w:rPr>
            </w:pPr>
            <w:r>
              <w:rPr>
                <w:rFonts w:ascii="宋体"/>
                <w:sz w:val="18"/>
              </w:rPr>
            </w:r>
            <w:r>
              <w:rPr>
                <w:rFonts w:ascii="宋体"/>
                <w:sz w:val="18"/>
                <w:u w:val="single" w:color="000000"/>
              </w:rPr>
              <w:t>44,208,456.85</w:t>
            </w:r>
            <w:r>
              <w:rPr>
                <w:rFonts w:ascii="宋体"/>
                <w:spacing w:val="89"/>
                <w:sz w:val="18"/>
                <w:u w:val="single" w:color="000000"/>
              </w:rPr>
              <w:t> </w:t>
            </w:r>
            <w:r>
              <w:rPr>
                <w:rFonts w:ascii="宋体"/>
                <w:spacing w:val="89"/>
                <w:sz w:val="18"/>
              </w:rPr>
            </w:r>
            <w:r>
              <w:rPr>
                <w:rFonts w:ascii="宋体"/>
                <w:sz w:val="18"/>
                <w:u w:val="single" w:color="000000"/>
              </w:rPr>
              <w:t>1,374,274.34</w:t>
            </w:r>
            <w:r>
              <w:rPr>
                <w:rFonts w:ascii="宋体"/>
                <w:sz w:val="18"/>
              </w:rPr>
              <w:tab/>
            </w:r>
            <w:r>
              <w:rPr>
                <w:rFonts w:ascii="宋体"/>
                <w:sz w:val="18"/>
                <w:u w:val="single" w:color="000000"/>
              </w:rPr>
              <w:t>11,054,360.60</w:t>
            </w:r>
            <w:r>
              <w:rPr>
                <w:rFonts w:ascii="宋体"/>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 w:right="0"/>
              <w:jc w:val="left"/>
              <w:rPr>
                <w:rFonts w:ascii="宋体" w:hAnsi="宋体" w:cs="宋体" w:eastAsia="宋体" w:hint="default"/>
                <w:sz w:val="18"/>
                <w:szCs w:val="18"/>
              </w:rPr>
            </w:pPr>
            <w:r>
              <w:rPr>
                <w:rFonts w:ascii="宋体"/>
                <w:sz w:val="18"/>
              </w:rPr>
            </w:r>
            <w:r>
              <w:rPr>
                <w:rFonts w:ascii="宋体"/>
                <w:sz w:val="18"/>
                <w:u w:val="single" w:color="000000"/>
              </w:rPr>
              <w:t>56,637,091.79</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0" w:footer="1263" w:top="1480" w:bottom="1460" w:left="760" w:right="600"/>
        </w:sectPr>
      </w:pPr>
    </w:p>
    <w:p>
      <w:pPr>
        <w:pStyle w:val="BodyText"/>
        <w:spacing w:line="240" w:lineRule="auto" w:before="13"/>
        <w:ind w:left="1637" w:right="1764"/>
        <w:jc w:val="left"/>
      </w:pPr>
      <w:r>
        <w:rPr/>
        <w:t>②</w:t>
      </w:r>
      <w:r>
        <w:rPr>
          <w:spacing w:val="-2"/>
        </w:rPr>
        <w:t> </w:t>
      </w:r>
      <w:r>
        <w:rPr/>
        <w:t>本期增减变动明细情况</w:t>
      </w:r>
    </w:p>
    <w:p>
      <w:pPr>
        <w:spacing w:line="240" w:lineRule="auto" w:before="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419"/>
        <w:gridCol w:w="1349"/>
        <w:gridCol w:w="1440"/>
        <w:gridCol w:w="1350"/>
        <w:gridCol w:w="1260"/>
        <w:gridCol w:w="1351"/>
        <w:gridCol w:w="1339"/>
      </w:tblGrid>
      <w:tr>
        <w:trPr>
          <w:trHeight w:val="633"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96" w:right="1301" w:firstLine="90"/>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134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96" w:right="490"/>
              <w:jc w:val="center"/>
              <w:rPr>
                <w:rFonts w:ascii="宋体" w:hAnsi="宋体" w:cs="宋体" w:eastAsia="宋体" w:hint="default"/>
                <w:sz w:val="18"/>
                <w:szCs w:val="18"/>
              </w:rPr>
            </w:pPr>
            <w:r>
              <w:rPr>
                <w:rFonts w:ascii="宋体" w:hAnsi="宋体" w:cs="宋体" w:eastAsia="宋体" w:hint="default"/>
                <w:sz w:val="18"/>
                <w:szCs w:val="18"/>
              </w:rPr>
              <w:t>初始 金额</w:t>
            </w:r>
          </w:p>
        </w:tc>
        <w:tc>
          <w:tcPr>
            <w:tcW w:w="144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87" w:right="490"/>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35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07" w:right="310" w:hanging="90"/>
              <w:jc w:val="left"/>
              <w:rPr>
                <w:rFonts w:ascii="宋体" w:hAnsi="宋体" w:cs="宋体" w:eastAsia="宋体" w:hint="default"/>
                <w:sz w:val="18"/>
                <w:szCs w:val="18"/>
              </w:rPr>
            </w:pPr>
            <w:r>
              <w:rPr>
                <w:rFonts w:ascii="宋体" w:hAnsi="宋体" w:cs="宋体" w:eastAsia="宋体" w:hint="default"/>
                <w:sz w:val="18"/>
                <w:szCs w:val="18"/>
              </w:rPr>
              <w:t>本期成本 增减额</w:t>
            </w:r>
          </w:p>
        </w:tc>
        <w:tc>
          <w:tcPr>
            <w:tcW w:w="126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7" w:right="310" w:firstLine="90"/>
              <w:jc w:val="left"/>
              <w:rPr>
                <w:rFonts w:ascii="宋体" w:hAnsi="宋体" w:cs="宋体" w:eastAsia="宋体" w:hint="default"/>
                <w:sz w:val="18"/>
                <w:szCs w:val="18"/>
              </w:rPr>
            </w:pPr>
            <w:r>
              <w:rPr>
                <w:rFonts w:ascii="宋体" w:hAnsi="宋体" w:cs="宋体" w:eastAsia="宋体" w:hint="default"/>
                <w:sz w:val="18"/>
                <w:szCs w:val="18"/>
              </w:rPr>
              <w:t>本期损益 调整增减额</w:t>
            </w:r>
          </w:p>
        </w:tc>
        <w:tc>
          <w:tcPr>
            <w:tcW w:w="1351"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227" w:right="131" w:hanging="90"/>
              <w:jc w:val="left"/>
              <w:rPr>
                <w:rFonts w:ascii="宋体" w:hAnsi="宋体" w:cs="宋体" w:eastAsia="宋体" w:hint="default"/>
                <w:sz w:val="18"/>
                <w:szCs w:val="18"/>
              </w:rPr>
            </w:pPr>
            <w:r>
              <w:rPr>
                <w:rFonts w:ascii="宋体" w:hAnsi="宋体" w:cs="宋体" w:eastAsia="宋体" w:hint="default"/>
                <w:sz w:val="18"/>
                <w:szCs w:val="18"/>
              </w:rPr>
              <w:t>本期其他权益 变动增减额</w:t>
            </w:r>
          </w:p>
        </w:tc>
        <w:tc>
          <w:tcPr>
            <w:tcW w:w="133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676" w:right="390" w:hanging="90"/>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421"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杭州恒生世纪实业有限公司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4"/>
              <w:jc w:val="right"/>
              <w:rPr>
                <w:rFonts w:ascii="宋体" w:hAnsi="宋体" w:cs="宋体" w:eastAsia="宋体" w:hint="default"/>
                <w:sz w:val="18"/>
                <w:szCs w:val="18"/>
              </w:rPr>
            </w:pPr>
            <w:r>
              <w:rPr>
                <w:rFonts w:ascii="宋体"/>
                <w:sz w:val="18"/>
              </w:rPr>
              <w:t>29,400,000.00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3"/>
              <w:jc w:val="right"/>
              <w:rPr>
                <w:rFonts w:ascii="宋体" w:hAnsi="宋体" w:cs="宋体" w:eastAsia="宋体" w:hint="default"/>
                <w:sz w:val="18"/>
                <w:szCs w:val="18"/>
              </w:rPr>
            </w:pPr>
            <w:r>
              <w:rPr>
                <w:rFonts w:ascii="宋体"/>
                <w:sz w:val="18"/>
              </w:rPr>
              <w:t>29,530,642.16</w:t>
            </w:r>
          </w:p>
        </w:tc>
        <w:tc>
          <w:tcPr>
            <w:tcW w:w="135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3"/>
              <w:jc w:val="right"/>
              <w:rPr>
                <w:rFonts w:ascii="宋体" w:hAnsi="宋体" w:cs="宋体" w:eastAsia="宋体" w:hint="default"/>
                <w:sz w:val="18"/>
                <w:szCs w:val="18"/>
              </w:rPr>
            </w:pPr>
            <w:r>
              <w:rPr>
                <w:rFonts w:ascii="宋体"/>
                <w:sz w:val="18"/>
              </w:rPr>
              <w:t>-3,220,476.81</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4"/>
              <w:jc w:val="right"/>
              <w:rPr>
                <w:rFonts w:ascii="宋体" w:hAnsi="宋体" w:cs="宋体" w:eastAsia="宋体" w:hint="default"/>
                <w:sz w:val="18"/>
                <w:szCs w:val="18"/>
              </w:rPr>
            </w:pPr>
            <w:r>
              <w:rPr>
                <w:rFonts w:ascii="宋体"/>
                <w:sz w:val="18"/>
              </w:rPr>
              <w:t>4,696,777.89</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31,006,943.24</w:t>
            </w:r>
          </w:p>
        </w:tc>
      </w:tr>
      <w:tr>
        <w:trPr>
          <w:trHeight w:val="42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浙江维尔科技有限公司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t>10,285,700.00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t>13,275,604.18</w:t>
            </w:r>
          </w:p>
        </w:tc>
        <w:tc>
          <w:tcPr>
            <w:tcW w:w="135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96,657.06</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right"/>
              <w:rPr>
                <w:rFonts w:ascii="宋体" w:hAnsi="宋体" w:cs="宋体" w:eastAsia="宋体" w:hint="default"/>
                <w:sz w:val="18"/>
                <w:szCs w:val="18"/>
              </w:rPr>
            </w:pPr>
            <w:r>
              <w:rPr>
                <w:rFonts w:ascii="宋体"/>
                <w:sz w:val="18"/>
              </w:rPr>
              <w:t>6,152,571.42</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19,524,832.66</w:t>
            </w:r>
          </w:p>
        </w:tc>
      </w:tr>
      <w:tr>
        <w:trPr>
          <w:trHeight w:val="42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北京美髯公科技发展有限公司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right"/>
              <w:rPr>
                <w:rFonts w:ascii="宋体" w:hAnsi="宋体" w:cs="宋体" w:eastAsia="宋体" w:hint="default"/>
                <w:sz w:val="18"/>
                <w:szCs w:val="18"/>
              </w:rPr>
            </w:pPr>
            <w:r>
              <w:rPr>
                <w:rFonts w:ascii="宋体"/>
                <w:sz w:val="18"/>
              </w:rPr>
              <w:t>5,405,225.06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t>8,871,616.13</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9" w:right="0"/>
              <w:jc w:val="center"/>
              <w:rPr>
                <w:rFonts w:ascii="宋体" w:hAnsi="宋体" w:cs="宋体" w:eastAsia="宋体" w:hint="default"/>
                <w:sz w:val="18"/>
                <w:szCs w:val="18"/>
              </w:rPr>
            </w:pPr>
            <w:r>
              <w:rPr>
                <w:rFonts w:ascii="宋体"/>
                <w:sz w:val="18"/>
              </w:rPr>
              <w:t>-3,000,000.00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233,699.76</w:t>
            </w:r>
          </w:p>
        </w:tc>
        <w:tc>
          <w:tcPr>
            <w:tcW w:w="1351"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6,105,315.89</w:t>
            </w:r>
          </w:p>
        </w:tc>
      </w:tr>
      <w:tr>
        <w:trPr>
          <w:trHeight w:val="40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6"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r>
            <w:r>
              <w:rPr>
                <w:rFonts w:ascii="宋体"/>
                <w:sz w:val="18"/>
                <w:u w:val="single" w:color="000000"/>
              </w:rPr>
              <w:t>45,090,925.06</w:t>
            </w:r>
            <w:r>
              <w:rPr>
                <w:rFonts w:ascii="宋体"/>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2"/>
              <w:jc w:val="right"/>
              <w:rPr>
                <w:rFonts w:ascii="宋体" w:hAnsi="宋体" w:cs="宋体" w:eastAsia="宋体" w:hint="default"/>
                <w:sz w:val="18"/>
                <w:szCs w:val="18"/>
              </w:rPr>
            </w:pPr>
            <w:r>
              <w:rPr>
                <w:rFonts w:ascii="宋体"/>
                <w:sz w:val="18"/>
              </w:rPr>
            </w:r>
            <w:r>
              <w:rPr>
                <w:rFonts w:ascii="宋体"/>
                <w:sz w:val="18"/>
                <w:u w:val="single" w:color="000000"/>
              </w:rPr>
              <w:t>51,677,862.47</w:t>
            </w:r>
            <w:r>
              <w:rPr>
                <w:rFonts w:ascii="宋体"/>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r>
            <w:r>
              <w:rPr>
                <w:rFonts w:ascii="宋体"/>
                <w:sz w:val="18"/>
                <w:u w:val="single" w:color="000000"/>
              </w:rPr>
              <w:t>-3,000,000.00</w:t>
            </w:r>
            <w:r>
              <w:rPr>
                <w:rFonts w:ascii="宋体"/>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
              <w:jc w:val="right"/>
              <w:rPr>
                <w:rFonts w:ascii="宋体" w:hAnsi="宋体" w:cs="宋体" w:eastAsia="宋体" w:hint="default"/>
                <w:sz w:val="18"/>
                <w:szCs w:val="18"/>
              </w:rPr>
            </w:pPr>
            <w:r>
              <w:rPr>
                <w:rFonts w:ascii="宋体"/>
                <w:sz w:val="18"/>
              </w:rPr>
            </w:r>
            <w:r>
              <w:rPr>
                <w:rFonts w:ascii="宋体"/>
                <w:sz w:val="18"/>
                <w:u w:val="single" w:color="000000"/>
              </w:rPr>
              <w:t>-2,890,119.99</w:t>
            </w:r>
            <w:r>
              <w:rPr>
                <w:rFonts w:ascii="宋体"/>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right"/>
              <w:rPr>
                <w:rFonts w:ascii="宋体" w:hAnsi="宋体" w:cs="宋体" w:eastAsia="宋体" w:hint="default"/>
                <w:sz w:val="18"/>
                <w:szCs w:val="18"/>
              </w:rPr>
            </w:pPr>
            <w:r>
              <w:rPr>
                <w:rFonts w:ascii="宋体"/>
                <w:sz w:val="18"/>
              </w:rPr>
            </w:r>
            <w:r>
              <w:rPr>
                <w:rFonts w:ascii="宋体"/>
                <w:sz w:val="18"/>
                <w:u w:val="single" w:color="000000"/>
              </w:rPr>
              <w:t>10,849,349.31</w:t>
            </w:r>
            <w:r>
              <w:rPr>
                <w:rFonts w:ascii="宋体"/>
                <w:sz w:val="18"/>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r>
            <w:r>
              <w:rPr>
                <w:rFonts w:ascii="宋体"/>
                <w:sz w:val="18"/>
                <w:u w:val="single" w:color="000000"/>
              </w:rPr>
              <w:t>56,637,091.79</w:t>
            </w:r>
            <w:r>
              <w:rPr>
                <w:rFonts w:ascii="宋体"/>
                <w:sz w:val="18"/>
              </w:rPr>
            </w:r>
          </w:p>
        </w:tc>
      </w:tr>
    </w:tbl>
    <w:p>
      <w:pPr>
        <w:pStyle w:val="BodyText"/>
        <w:spacing w:line="240" w:lineRule="auto" w:before="41"/>
        <w:ind w:left="1637" w:right="1764"/>
        <w:jc w:val="left"/>
      </w:pPr>
      <w:r>
        <w:rPr/>
        <w:t>(4)</w:t>
      </w:r>
      <w:r>
        <w:rPr>
          <w:spacing w:val="-2"/>
        </w:rPr>
        <w:t> </w:t>
      </w:r>
      <w:r>
        <w:rPr/>
        <w:t>其他股权投资</w:t>
      </w:r>
    </w:p>
    <w:p>
      <w:pPr>
        <w:pStyle w:val="BodyText"/>
        <w:spacing w:line="240" w:lineRule="auto"/>
        <w:ind w:left="1637" w:right="1764"/>
        <w:jc w:val="left"/>
      </w:pPr>
      <w:r>
        <w:rPr/>
        <w:t>1) 明细情况</w:t>
      </w:r>
    </w:p>
    <w:p>
      <w:pPr>
        <w:spacing w:line="240" w:lineRule="auto" w:before="0"/>
        <w:rPr>
          <w:rFonts w:ascii="宋体" w:hAnsi="宋体" w:cs="宋体" w:eastAsia="宋体" w:hint="default"/>
          <w:sz w:val="11"/>
          <w:szCs w:val="11"/>
        </w:rPr>
      </w:pPr>
    </w:p>
    <w:tbl>
      <w:tblPr>
        <w:tblW w:w="0" w:type="auto"/>
        <w:jc w:val="left"/>
        <w:tblInd w:w="642" w:type="dxa"/>
        <w:tblLayout w:type="fixed"/>
        <w:tblCellMar>
          <w:top w:w="0" w:type="dxa"/>
          <w:left w:w="0" w:type="dxa"/>
          <w:bottom w:w="0" w:type="dxa"/>
          <w:right w:w="0" w:type="dxa"/>
        </w:tblCellMar>
        <w:tblLook w:val="01E0"/>
      </w:tblPr>
      <w:tblGrid>
        <w:gridCol w:w="2645"/>
        <w:gridCol w:w="766"/>
        <w:gridCol w:w="629"/>
        <w:gridCol w:w="1350"/>
        <w:gridCol w:w="1486"/>
        <w:gridCol w:w="585"/>
        <w:gridCol w:w="1304"/>
        <w:gridCol w:w="1205"/>
      </w:tblGrid>
      <w:tr>
        <w:trPr>
          <w:trHeight w:val="633"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96" w:right="1526" w:firstLine="90"/>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76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81" w:right="22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2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35" w:right="13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35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86" w:right="401"/>
              <w:jc w:val="left"/>
              <w:rPr>
                <w:rFonts w:ascii="宋体" w:hAnsi="宋体" w:cs="宋体" w:eastAsia="宋体" w:hint="default"/>
                <w:sz w:val="18"/>
                <w:szCs w:val="18"/>
              </w:rPr>
            </w:pPr>
            <w:r>
              <w:rPr>
                <w:rFonts w:ascii="宋体" w:hAnsi="宋体" w:cs="宋体" w:eastAsia="宋体" w:hint="default"/>
                <w:sz w:val="18"/>
                <w:szCs w:val="18"/>
              </w:rPr>
              <w:t>初始 金额</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86" w:right="537"/>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58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80" w:right="42" w:firstLine="90"/>
              <w:jc w:val="left"/>
              <w:rPr>
                <w:rFonts w:ascii="宋体" w:hAnsi="宋体" w:cs="宋体" w:eastAsia="宋体" w:hint="default"/>
                <w:sz w:val="18"/>
                <w:szCs w:val="18"/>
              </w:rPr>
            </w:pPr>
            <w:r>
              <w:rPr>
                <w:rFonts w:ascii="宋体" w:hAnsi="宋体" w:cs="宋体" w:eastAsia="宋体" w:hint="default"/>
                <w:sz w:val="18"/>
                <w:szCs w:val="18"/>
              </w:rPr>
              <w:t>本 增加</w:t>
            </w:r>
          </w:p>
        </w:tc>
        <w:tc>
          <w:tcPr>
            <w:tcW w:w="1304"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95" w:right="446"/>
              <w:jc w:val="center"/>
              <w:rPr>
                <w:rFonts w:ascii="宋体" w:hAnsi="宋体" w:cs="宋体" w:eastAsia="宋体" w:hint="default"/>
                <w:sz w:val="18"/>
                <w:szCs w:val="18"/>
              </w:rPr>
            </w:pPr>
            <w:r>
              <w:rPr>
                <w:rFonts w:ascii="宋体" w:hAnsi="宋体" w:cs="宋体" w:eastAsia="宋体" w:hint="default"/>
                <w:sz w:val="18"/>
                <w:szCs w:val="18"/>
              </w:rPr>
              <w:t>本期 减少</w:t>
            </w:r>
          </w:p>
        </w:tc>
        <w:tc>
          <w:tcPr>
            <w:tcW w:w="120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41" w:right="391" w:hanging="90"/>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420"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t>10.00%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79"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right"/>
              <w:rPr>
                <w:rFonts w:ascii="宋体" w:hAnsi="宋体" w:cs="宋体" w:eastAsia="宋体" w:hint="default"/>
                <w:sz w:val="18"/>
                <w:szCs w:val="18"/>
              </w:rPr>
            </w:pPr>
            <w:r>
              <w:rPr>
                <w:rFonts w:ascii="宋体"/>
                <w:sz w:val="18"/>
              </w:rPr>
              <w:t>2,000,000.00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
              <w:jc w:val="right"/>
              <w:rPr>
                <w:rFonts w:ascii="宋体" w:hAnsi="宋体" w:cs="宋体" w:eastAsia="宋体" w:hint="default"/>
                <w:sz w:val="18"/>
                <w:szCs w:val="18"/>
              </w:rPr>
            </w:pPr>
            <w:r>
              <w:rPr>
                <w:rFonts w:ascii="宋体"/>
                <w:sz w:val="18"/>
              </w:rPr>
              <w:t>2,000,000.00</w:t>
            </w:r>
          </w:p>
        </w:tc>
        <w:tc>
          <w:tcPr>
            <w:tcW w:w="585"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4" w:right="0"/>
              <w:jc w:val="center"/>
              <w:rPr>
                <w:rFonts w:ascii="宋体" w:hAnsi="宋体" w:cs="宋体" w:eastAsia="宋体" w:hint="default"/>
                <w:sz w:val="18"/>
                <w:szCs w:val="18"/>
              </w:rPr>
            </w:pPr>
            <w:r>
              <w:rPr>
                <w:rFonts w:ascii="宋体"/>
                <w:sz w:val="18"/>
              </w:rPr>
              <w:t>2,000,000.00</w:t>
            </w:r>
          </w:p>
        </w:tc>
      </w:tr>
      <w:tr>
        <w:trPr>
          <w:trHeight w:val="420"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t>0.20%</w:t>
            </w:r>
          </w:p>
        </w:tc>
        <w:tc>
          <w:tcPr>
            <w:tcW w:w="629"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t>24,000,000.00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
              <w:jc w:val="right"/>
              <w:rPr>
                <w:rFonts w:ascii="宋体" w:hAnsi="宋体" w:cs="宋体" w:eastAsia="宋体" w:hint="default"/>
                <w:sz w:val="18"/>
                <w:szCs w:val="18"/>
              </w:rPr>
            </w:pPr>
            <w:r>
              <w:rPr>
                <w:rFonts w:ascii="宋体"/>
                <w:sz w:val="18"/>
              </w:rPr>
              <w:t>24,000,000.00</w:t>
            </w:r>
          </w:p>
        </w:tc>
        <w:tc>
          <w:tcPr>
            <w:tcW w:w="585"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 w:right="0"/>
              <w:jc w:val="left"/>
              <w:rPr>
                <w:rFonts w:ascii="宋体" w:hAnsi="宋体" w:cs="宋体" w:eastAsia="宋体" w:hint="default"/>
                <w:sz w:val="18"/>
                <w:szCs w:val="18"/>
              </w:rPr>
            </w:pPr>
            <w:r>
              <w:rPr>
                <w:rFonts w:ascii="宋体"/>
                <w:sz w:val="18"/>
              </w:rPr>
              <w:t>24,000,000.00</w:t>
            </w:r>
          </w:p>
        </w:tc>
        <w:tc>
          <w:tcPr>
            <w:tcW w:w="1205" w:type="dxa"/>
            <w:tcBorders>
              <w:top w:val="nil" w:sz="6" w:space="0" w:color="auto"/>
              <w:left w:val="nil" w:sz="6" w:space="0" w:color="auto"/>
              <w:bottom w:val="nil" w:sz="6" w:space="0" w:color="auto"/>
              <w:right w:val="nil" w:sz="6" w:space="0" w:color="auto"/>
            </w:tcBorders>
          </w:tcPr>
          <w:p>
            <w:pPr/>
          </w:p>
        </w:tc>
      </w:tr>
      <w:tr>
        <w:trPr>
          <w:trHeight w:val="400"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766"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r>
            <w:r>
              <w:rPr>
                <w:rFonts w:ascii="宋体"/>
                <w:sz w:val="18"/>
                <w:u w:val="single" w:color="000000"/>
              </w:rPr>
              <w:t>26,000,000.00</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
              <w:jc w:val="right"/>
              <w:rPr>
                <w:rFonts w:ascii="宋体" w:hAnsi="宋体" w:cs="宋体" w:eastAsia="宋体" w:hint="default"/>
                <w:sz w:val="18"/>
                <w:szCs w:val="18"/>
              </w:rPr>
            </w:pPr>
            <w:r>
              <w:rPr>
                <w:rFonts w:ascii="宋体"/>
                <w:sz w:val="18"/>
              </w:rPr>
            </w:r>
            <w:r>
              <w:rPr>
                <w:rFonts w:ascii="宋体"/>
                <w:sz w:val="18"/>
                <w:u w:val="single" w:color="000000"/>
              </w:rPr>
              <w:t>26,000,000.00</w:t>
            </w:r>
            <w:r>
              <w:rPr>
                <w:rFonts w:ascii="宋体"/>
                <w:sz w:val="18"/>
              </w:rPr>
            </w:r>
          </w:p>
        </w:tc>
        <w:tc>
          <w:tcPr>
            <w:tcW w:w="585"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 w:right="0"/>
              <w:jc w:val="left"/>
              <w:rPr>
                <w:rFonts w:ascii="宋体" w:hAnsi="宋体" w:cs="宋体" w:eastAsia="宋体" w:hint="default"/>
                <w:sz w:val="18"/>
                <w:szCs w:val="18"/>
              </w:rPr>
            </w:pPr>
            <w:r>
              <w:rPr>
                <w:rFonts w:ascii="宋体"/>
                <w:sz w:val="18"/>
              </w:rPr>
            </w:r>
            <w:r>
              <w:rPr>
                <w:rFonts w:ascii="宋体"/>
                <w:sz w:val="18"/>
                <w:u w:val="single" w:color="000000"/>
              </w:rPr>
              <w:t>24,000,000.00</w:t>
            </w:r>
            <w:r>
              <w:rPr>
                <w:rFonts w:ascii="宋体"/>
                <w:sz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 w:right="0"/>
              <w:jc w:val="center"/>
              <w:rPr>
                <w:rFonts w:ascii="宋体" w:hAnsi="宋体" w:cs="宋体" w:eastAsia="宋体" w:hint="default"/>
                <w:sz w:val="18"/>
                <w:szCs w:val="18"/>
              </w:rPr>
            </w:pPr>
            <w:r>
              <w:rPr>
                <w:rFonts w:ascii="宋体"/>
                <w:sz w:val="18"/>
              </w:rPr>
            </w:r>
            <w:r>
              <w:rPr>
                <w:rFonts w:ascii="宋体"/>
                <w:sz w:val="18"/>
                <w:u w:val="single" w:color="000000"/>
              </w:rPr>
              <w:t>2,000,000.00</w:t>
            </w:r>
            <w:r>
              <w:rPr>
                <w:rFonts w:ascii="宋体"/>
                <w:sz w:val="18"/>
              </w:rPr>
            </w:r>
          </w:p>
        </w:tc>
      </w:tr>
    </w:tbl>
    <w:p>
      <w:pPr>
        <w:pStyle w:val="BodyText"/>
        <w:spacing w:line="240" w:lineRule="auto" w:before="41"/>
        <w:ind w:left="1637" w:right="1764"/>
        <w:jc w:val="left"/>
      </w:pPr>
      <w:r>
        <w:rPr/>
        <w:t>(5)</w:t>
      </w:r>
      <w:r>
        <w:rPr>
          <w:spacing w:val="-2"/>
        </w:rPr>
        <w:t> </w:t>
      </w:r>
      <w:r>
        <w:rPr/>
        <w:t>期末，未发现长期股权投资存在明显减值迹象，无需计提减值准备。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0"/>
        <w:ind w:left="1637" w:right="1764"/>
        <w:jc w:val="left"/>
      </w:pPr>
      <w:r>
        <w:rPr/>
        <w:t>(二)</w:t>
      </w:r>
      <w:r>
        <w:rPr>
          <w:spacing w:val="-2"/>
        </w:rPr>
        <w:t> </w:t>
      </w:r>
      <w:r>
        <w:rPr/>
        <w:t>母公司利润表项目注释</w:t>
      </w:r>
    </w:p>
    <w:p>
      <w:pPr>
        <w:pStyle w:val="BodyText"/>
        <w:tabs>
          <w:tab w:pos="5228" w:val="left" w:leader="none"/>
        </w:tabs>
        <w:spacing w:line="367" w:lineRule="auto"/>
        <w:ind w:left="1637" w:right="1764"/>
        <w:jc w:val="left"/>
      </w:pPr>
      <w:r>
        <w:rPr/>
        <w:t>1.</w:t>
      </w:r>
      <w:r>
        <w:rPr>
          <w:spacing w:val="-2"/>
        </w:rPr>
        <w:t> </w:t>
      </w:r>
      <w:r>
        <w:rPr/>
        <w:t>营业收入/营业成本</w:t>
        <w:tab/>
        <w:t>本期数</w:t>
      </w:r>
      <w:r>
        <w:rPr>
          <w:spacing w:val="-61"/>
        </w:rPr>
        <w:t> </w:t>
      </w:r>
      <w:r>
        <w:rPr/>
        <w:t>477,633,945.31/192,932,482.17</w:t>
      </w:r>
      <w:r>
        <w:rPr/>
        <w:t> (1)</w:t>
      </w:r>
      <w:r>
        <w:rPr>
          <w:spacing w:val="-2"/>
        </w:rPr>
        <w:t> </w:t>
      </w:r>
      <w:r>
        <w:rPr/>
        <w:t>明细情况</w:t>
      </w:r>
    </w:p>
    <w:p>
      <w:pPr>
        <w:pStyle w:val="BodyText"/>
        <w:spacing w:line="240" w:lineRule="auto" w:before="34"/>
        <w:ind w:left="1637" w:right="1764"/>
        <w:jc w:val="left"/>
      </w:pPr>
      <w:r>
        <w:rPr/>
        <w:t>营业收入</w:t>
      </w:r>
    </w:p>
    <w:p>
      <w:pPr>
        <w:pStyle w:val="BodyText"/>
        <w:tabs>
          <w:tab w:pos="2477" w:val="left" w:leader="none"/>
          <w:tab w:pos="4683" w:val="left" w:leader="none"/>
          <w:tab w:pos="5311" w:val="left" w:leader="none"/>
          <w:tab w:pos="6838" w:val="left" w:leader="none"/>
        </w:tabs>
        <w:spacing w:line="367" w:lineRule="auto"/>
        <w:ind w:left="1865" w:right="2414" w:firstLine="192"/>
        <w:jc w:val="left"/>
      </w:pPr>
      <w:r>
        <w:rPr/>
        <w:t>项</w:t>
        <w:tab/>
        <w:t>目</w:t>
        <w:tab/>
        <w:tab/>
      </w:r>
      <w:r>
        <w:rPr>
          <w:spacing w:val="-1"/>
        </w:rPr>
        <w:t>本期数</w:t>
        <w:tab/>
        <w:t>上年同期数</w:t>
      </w:r>
      <w:r>
        <w:rPr/>
        <w:t> </w:t>
      </w:r>
      <w:r>
        <w:rPr>
          <w:spacing w:val="-1"/>
        </w:rPr>
        <w:t>主营业务收入</w:t>
        <w:tab/>
        <w:t>473,260,506.20</w:t>
        <w:tab/>
      </w:r>
      <w:r>
        <w:rPr/>
        <w:t>288,603,099.48</w:t>
      </w:r>
    </w:p>
    <w:p>
      <w:pPr>
        <w:pStyle w:val="BodyText"/>
        <w:tabs>
          <w:tab w:pos="3028" w:val="left" w:leader="none"/>
          <w:tab w:pos="5182" w:val="left" w:leader="none"/>
        </w:tabs>
        <w:spacing w:line="240" w:lineRule="auto" w:before="34"/>
        <w:ind w:left="0" w:right="548"/>
        <w:jc w:val="center"/>
      </w:pPr>
      <w:r>
        <w:rPr>
          <w:spacing w:val="-1"/>
        </w:rPr>
        <w:t>其他业务收入</w:t>
        <w:tab/>
        <w:t>4,373,439.11</w:t>
        <w:tab/>
      </w:r>
      <w:r>
        <w:rPr/>
        <w:t>2,270,021.27</w:t>
      </w:r>
    </w:p>
    <w:p>
      <w:pPr>
        <w:pStyle w:val="BodyText"/>
        <w:tabs>
          <w:tab w:pos="2496" w:val="left" w:leader="none"/>
          <w:tab w:pos="4683" w:val="left" w:leader="none"/>
          <w:tab w:pos="6838" w:val="left" w:leader="none"/>
        </w:tabs>
        <w:spacing w:line="240" w:lineRule="auto"/>
        <w:ind w:left="2075" w:right="1764"/>
        <w:jc w:val="left"/>
      </w:pPr>
      <w:r>
        <w:rPr/>
        <w:t>合</w:t>
        <w:tab/>
        <w:t>计</w:t>
        <w:tab/>
      </w:r>
      <w:r>
        <w:rPr>
          <w:spacing w:val="-1"/>
          <w:u w:val="thick" w:color="000000"/>
        </w:rPr>
        <w:t>477,633,945.31</w:t>
      </w:r>
      <w:r>
        <w:rPr>
          <w:spacing w:val="-1"/>
        </w:rPr>
        <w:tab/>
      </w:r>
      <w:r>
        <w:rPr>
          <w:spacing w:val="-1"/>
          <w:u w:val="thick" w:color="000000"/>
        </w:rPr>
        <w:t>290,873,120.75</w:t>
      </w:r>
      <w:r>
        <w:rPr>
          <w:spacing w:val="-1"/>
        </w:rPr>
      </w:r>
    </w:p>
    <w:p>
      <w:pPr>
        <w:pStyle w:val="BodyText"/>
        <w:spacing w:line="240" w:lineRule="auto"/>
        <w:ind w:left="1637" w:right="1764"/>
        <w:jc w:val="left"/>
      </w:pPr>
      <w:r>
        <w:rPr/>
        <w:t>营业成本</w:t>
      </w:r>
    </w:p>
    <w:p>
      <w:pPr>
        <w:spacing w:line="240" w:lineRule="auto" w:before="5"/>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534"/>
        <w:gridCol w:w="2271"/>
        <w:gridCol w:w="2481"/>
        <w:gridCol w:w="3593"/>
      </w:tblGrid>
      <w:tr>
        <w:trPr>
          <w:trHeight w:val="835" w:hRule="exact"/>
        </w:trPr>
        <w:tc>
          <w:tcPr>
            <w:tcW w:w="3805" w:type="dxa"/>
            <w:gridSpan w:val="2"/>
            <w:tcBorders>
              <w:top w:val="nil" w:sz="6" w:space="0" w:color="auto"/>
              <w:left w:val="nil" w:sz="6" w:space="0" w:color="auto"/>
              <w:bottom w:val="nil" w:sz="6" w:space="0" w:color="auto"/>
              <w:right w:val="nil" w:sz="6" w:space="0" w:color="auto"/>
            </w:tcBorders>
          </w:tcPr>
          <w:p>
            <w:pPr>
              <w:pStyle w:val="TableParagraph"/>
              <w:tabs>
                <w:tab w:pos="2373" w:val="left" w:leader="none"/>
              </w:tabs>
              <w:spacing w:line="367" w:lineRule="auto" w:before="35"/>
              <w:ind w:left="1761" w:right="781" w:firstLine="192"/>
              <w:jc w:val="left"/>
              <w:rPr>
                <w:rFonts w:ascii="宋体" w:hAnsi="宋体" w:cs="宋体" w:eastAsia="宋体" w:hint="default"/>
                <w:sz w:val="21"/>
                <w:szCs w:val="21"/>
              </w:rPr>
            </w:pPr>
            <w:r>
              <w:rPr>
                <w:rFonts w:ascii="宋体" w:hAnsi="宋体" w:cs="宋体" w:eastAsia="宋体" w:hint="default"/>
                <w:sz w:val="21"/>
                <w:szCs w:val="21"/>
              </w:rPr>
              <w:t>项</w:t>
              <w:tab/>
              <w:t>目 </w:t>
            </w:r>
            <w:r>
              <w:rPr>
                <w:rFonts w:ascii="宋体" w:hAnsi="宋体" w:cs="宋体" w:eastAsia="宋体" w:hint="default"/>
                <w:spacing w:val="-1"/>
                <w:sz w:val="21"/>
                <w:szCs w:val="21"/>
              </w:rPr>
              <w:t>主营业务成本</w:t>
            </w:r>
            <w:r>
              <w:rPr>
                <w:rFonts w:ascii="宋体" w:hAnsi="宋体" w:cs="宋体" w:eastAsia="宋体" w:hint="default"/>
                <w:sz w:val="21"/>
                <w:szCs w:val="21"/>
              </w:rPr>
            </w:r>
          </w:p>
        </w:tc>
        <w:tc>
          <w:tcPr>
            <w:tcW w:w="2481" w:type="dxa"/>
            <w:tcBorders>
              <w:top w:val="nil" w:sz="6" w:space="0" w:color="auto"/>
              <w:left w:val="nil" w:sz="6" w:space="0" w:color="auto"/>
              <w:bottom w:val="nil" w:sz="6" w:space="0" w:color="auto"/>
              <w:right w:val="nil" w:sz="6" w:space="0" w:color="auto"/>
            </w:tcBorders>
          </w:tcPr>
          <w:p>
            <w:pPr>
              <w:pStyle w:val="TableParagraph"/>
              <w:spacing w:line="367" w:lineRule="auto" w:before="35"/>
              <w:ind w:left="783" w:right="226" w:firstLine="619"/>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1"/>
                <w:sz w:val="21"/>
                <w:szCs w:val="21"/>
              </w:rPr>
              <w:t> 191,542,957.36</w:t>
            </w:r>
            <w:r>
              <w:rPr>
                <w:rFonts w:ascii="宋体" w:hAnsi="宋体" w:cs="宋体" w:eastAsia="宋体" w:hint="default"/>
                <w:sz w:val="21"/>
                <w:szCs w:val="21"/>
              </w:rPr>
            </w:r>
          </w:p>
        </w:tc>
        <w:tc>
          <w:tcPr>
            <w:tcW w:w="3593" w:type="dxa"/>
            <w:tcBorders>
              <w:top w:val="nil" w:sz="6" w:space="0" w:color="auto"/>
              <w:left w:val="nil" w:sz="6" w:space="0" w:color="auto"/>
              <w:bottom w:val="nil" w:sz="6" w:space="0" w:color="auto"/>
              <w:right w:val="nil" w:sz="6" w:space="0" w:color="auto"/>
            </w:tcBorders>
          </w:tcPr>
          <w:p>
            <w:pPr>
              <w:pStyle w:val="TableParagraph"/>
              <w:spacing w:line="367" w:lineRule="auto" w:before="35"/>
              <w:ind w:left="449" w:right="1671" w:firstLine="152"/>
              <w:jc w:val="left"/>
              <w:rPr>
                <w:rFonts w:ascii="宋体" w:hAnsi="宋体" w:cs="宋体" w:eastAsia="宋体" w:hint="default"/>
                <w:sz w:val="21"/>
                <w:szCs w:val="21"/>
              </w:rPr>
            </w:pPr>
            <w:r>
              <w:rPr>
                <w:rFonts w:ascii="宋体" w:hAnsi="宋体" w:cs="宋体" w:eastAsia="宋体" w:hint="default"/>
                <w:sz w:val="21"/>
                <w:szCs w:val="21"/>
              </w:rPr>
              <w:t>上年同期数 136,431,107.06</w:t>
            </w:r>
          </w:p>
        </w:tc>
      </w:tr>
      <w:tr>
        <w:trPr>
          <w:trHeight w:val="420" w:hRule="exact"/>
        </w:trPr>
        <w:tc>
          <w:tcPr>
            <w:tcW w:w="38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1761"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26"/>
              <w:jc w:val="right"/>
              <w:rPr>
                <w:rFonts w:ascii="宋体" w:hAnsi="宋体" w:cs="宋体" w:eastAsia="宋体" w:hint="default"/>
                <w:sz w:val="21"/>
                <w:szCs w:val="21"/>
              </w:rPr>
            </w:pPr>
            <w:r>
              <w:rPr>
                <w:rFonts w:ascii="宋体"/>
                <w:spacing w:val="-1"/>
                <w:sz w:val="21"/>
              </w:rPr>
              <w:t>1,389,524.81</w:t>
            </w:r>
            <w:r>
              <w:rPr>
                <w:rFonts w:ascii="宋体"/>
                <w:sz w:val="21"/>
              </w:rPr>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71"/>
              <w:jc w:val="right"/>
              <w:rPr>
                <w:rFonts w:ascii="宋体" w:hAnsi="宋体" w:cs="宋体" w:eastAsia="宋体" w:hint="default"/>
                <w:sz w:val="21"/>
                <w:szCs w:val="21"/>
              </w:rPr>
            </w:pPr>
            <w:r>
              <w:rPr>
                <w:rFonts w:ascii="宋体"/>
                <w:sz w:val="21"/>
              </w:rPr>
              <w:t>976,907.26</w:t>
            </w:r>
          </w:p>
        </w:tc>
      </w:tr>
      <w:tr>
        <w:trPr>
          <w:trHeight w:val="315" w:hRule="exact"/>
        </w:trPr>
        <w:tc>
          <w:tcPr>
            <w:tcW w:w="3805" w:type="dxa"/>
            <w:gridSpan w:val="2"/>
            <w:tcBorders>
              <w:top w:val="nil" w:sz="6" w:space="0" w:color="auto"/>
              <w:left w:val="nil" w:sz="6" w:space="0" w:color="auto"/>
              <w:bottom w:val="nil" w:sz="6" w:space="0" w:color="auto"/>
              <w:right w:val="nil" w:sz="6" w:space="0" w:color="auto"/>
            </w:tcBorders>
          </w:tcPr>
          <w:p>
            <w:pPr>
              <w:pStyle w:val="TableParagraph"/>
              <w:tabs>
                <w:tab w:pos="2392" w:val="left" w:leader="none"/>
              </w:tabs>
              <w:spacing w:line="240" w:lineRule="auto" w:before="40"/>
              <w:ind w:left="197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25"/>
              <w:jc w:val="right"/>
              <w:rPr>
                <w:rFonts w:ascii="宋体" w:hAnsi="宋体" w:cs="宋体" w:eastAsia="宋体" w:hint="default"/>
                <w:sz w:val="21"/>
                <w:szCs w:val="21"/>
              </w:rPr>
            </w:pPr>
            <w:r>
              <w:rPr>
                <w:rFonts w:ascii="宋体"/>
                <w:sz w:val="21"/>
              </w:rPr>
            </w:r>
            <w:r>
              <w:rPr>
                <w:rFonts w:ascii="宋体"/>
                <w:spacing w:val="-1"/>
                <w:sz w:val="21"/>
                <w:u w:val="thick" w:color="000000"/>
              </w:rPr>
              <w:t>192,932,482.17</w:t>
            </w:r>
            <w:r>
              <w:rPr>
                <w:rFonts w:ascii="宋体"/>
                <w:spacing w:val="-1"/>
                <w:sz w:val="21"/>
              </w:rPr>
            </w:r>
            <w:r>
              <w:rPr>
                <w:rFonts w:ascii="宋体"/>
                <w:sz w:val="21"/>
              </w:rPr>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71"/>
              <w:jc w:val="right"/>
              <w:rPr>
                <w:rFonts w:ascii="宋体" w:hAnsi="宋体" w:cs="宋体" w:eastAsia="宋体" w:hint="default"/>
                <w:sz w:val="21"/>
                <w:szCs w:val="21"/>
              </w:rPr>
            </w:pPr>
            <w:r>
              <w:rPr>
                <w:rFonts w:ascii="宋体"/>
                <w:sz w:val="21"/>
              </w:rPr>
            </w:r>
            <w:r>
              <w:rPr>
                <w:rFonts w:ascii="宋体"/>
                <w:spacing w:val="-1"/>
                <w:sz w:val="21"/>
                <w:u w:val="thick" w:color="000000"/>
              </w:rPr>
              <w:t>137,408,014.32</w:t>
            </w:r>
            <w:r>
              <w:rPr>
                <w:rFonts w:ascii="宋体"/>
                <w:spacing w:val="-1"/>
                <w:sz w:val="21"/>
              </w:rPr>
            </w:r>
          </w:p>
        </w:tc>
      </w:tr>
      <w:tr>
        <w:trPr>
          <w:trHeight w:val="568" w:hRule="exact"/>
        </w:trPr>
        <w:tc>
          <w:tcPr>
            <w:tcW w:w="987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5"/>
              <w:ind w:left="15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w:t>
            </w:r>
          </w:p>
        </w:tc>
      </w:tr>
      <w:tr>
        <w:trPr>
          <w:trHeight w:val="662"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9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752" w:type="dxa"/>
            <w:gridSpan w:val="2"/>
            <w:tcBorders>
              <w:top w:val="nil" w:sz="6" w:space="0" w:color="auto"/>
              <w:left w:val="nil" w:sz="6" w:space="0" w:color="auto"/>
              <w:bottom w:val="nil" w:sz="6" w:space="0" w:color="auto"/>
              <w:right w:val="nil" w:sz="6" w:space="0" w:color="auto"/>
            </w:tcBorders>
          </w:tcPr>
          <w:p>
            <w:pPr>
              <w:pStyle w:val="TableParagraph"/>
              <w:tabs>
                <w:tab w:pos="1919" w:val="left" w:leader="none"/>
                <w:tab w:pos="2191" w:val="left" w:leader="none"/>
                <w:tab w:pos="3539" w:val="left" w:leader="none"/>
                <w:tab w:pos="3991" w:val="left" w:leader="none"/>
              </w:tabs>
              <w:spacing w:line="240" w:lineRule="auto" w:before="93"/>
              <w:ind w:left="569" w:right="670"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本期数</w:t>
              <w:tab/>
              <w:tab/>
            </w:r>
            <w:r>
              <w:rPr>
                <w:rFonts w:ascii="宋体" w:hAnsi="宋体" w:cs="宋体" w:eastAsia="宋体" w:hint="default"/>
                <w:sz w:val="18"/>
                <w:szCs w:val="18"/>
              </w:rPr>
            </w:r>
            <w:r>
              <w:rPr>
                <w:rFonts w:ascii="宋体" w:hAnsi="宋体" w:cs="宋体" w:eastAsia="宋体" w:hint="default"/>
                <w:sz w:val="18"/>
                <w:szCs w:val="18"/>
              </w:rPr>
              <w:t> 收  入</w:t>
              <w:tab/>
              <w:t>成  本</w:t>
              <w:tab/>
              <w:t>利  润</w:t>
            </w:r>
          </w:p>
        </w:tc>
        <w:tc>
          <w:tcPr>
            <w:tcW w:w="3593" w:type="dxa"/>
            <w:tcBorders>
              <w:top w:val="nil" w:sz="6" w:space="0" w:color="auto"/>
              <w:left w:val="nil" w:sz="6" w:space="0" w:color="auto"/>
              <w:bottom w:val="nil" w:sz="6" w:space="0" w:color="auto"/>
              <w:right w:val="nil" w:sz="6" w:space="0" w:color="auto"/>
            </w:tcBorders>
          </w:tcPr>
          <w:p>
            <w:pPr>
              <w:pStyle w:val="TableParagraph"/>
              <w:tabs>
                <w:tab w:pos="1308" w:val="left" w:leader="none"/>
                <w:tab w:pos="1577" w:val="left" w:leader="none"/>
                <w:tab w:pos="3017" w:val="left" w:leader="none"/>
                <w:tab w:pos="3378" w:val="left" w:leader="none"/>
              </w:tabs>
              <w:spacing w:line="240" w:lineRule="auto" w:before="93"/>
              <w:ind w:left="227" w:right="33"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上年同期数</w:t>
              <w:tab/>
              <w:tab/>
            </w:r>
            <w:r>
              <w:rPr>
                <w:rFonts w:ascii="宋体" w:hAnsi="宋体" w:cs="宋体" w:eastAsia="宋体" w:hint="default"/>
                <w:sz w:val="18"/>
                <w:szCs w:val="18"/>
              </w:rPr>
            </w:r>
            <w:r>
              <w:rPr>
                <w:rFonts w:ascii="宋体" w:hAnsi="宋体" w:cs="宋体" w:eastAsia="宋体" w:hint="default"/>
                <w:sz w:val="18"/>
                <w:szCs w:val="18"/>
              </w:rPr>
              <w:t> 收  入</w:t>
              <w:tab/>
              <w:tab/>
              <w:t>成  本</w:t>
              <w:tab/>
              <w:t>利  润</w:t>
            </w:r>
          </w:p>
        </w:tc>
      </w:tr>
    </w:tbl>
    <w:p>
      <w:pPr>
        <w:spacing w:line="234" w:lineRule="exact" w:before="84"/>
        <w:ind w:left="138" w:right="1764" w:firstLine="0"/>
        <w:jc w:val="left"/>
        <w:rPr>
          <w:rFonts w:ascii="宋体" w:hAnsi="宋体" w:cs="宋体" w:eastAsia="宋体" w:hint="default"/>
          <w:sz w:val="18"/>
          <w:szCs w:val="18"/>
        </w:rPr>
      </w:pPr>
      <w:r>
        <w:rPr>
          <w:rFonts w:ascii="宋体" w:hAnsi="宋体" w:cs="宋体" w:eastAsia="宋体" w:hint="default"/>
          <w:sz w:val="18"/>
          <w:szCs w:val="18"/>
        </w:rPr>
        <w:t>自行开发研制的</w:t>
      </w:r>
    </w:p>
    <w:p>
      <w:pPr>
        <w:tabs>
          <w:tab w:pos="1757" w:val="left" w:leader="none"/>
          <w:tab w:pos="3557" w:val="left" w:leader="none"/>
          <w:tab w:pos="4817" w:val="left" w:leader="none"/>
          <w:tab w:pos="6347" w:val="left" w:leader="none"/>
          <w:tab w:pos="7877" w:val="left" w:leader="none"/>
          <w:tab w:pos="9227" w:val="left" w:leader="none"/>
        </w:tabs>
        <w:spacing w:line="234" w:lineRule="exact"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软件产品销售</w:t>
        <w:tab/>
        <w:t>150,914,845.05</w:t>
        <w:tab/>
        <w:t>488,657.90</w:t>
        <w:tab/>
        <w:t>150,426,187.15</w:t>
        <w:tab/>
        <w:t>56,926,060.83</w:t>
        <w:tab/>
        <w:t>3,638,554.12</w:t>
        <w:tab/>
        <w:t>53,287,506.71</w:t>
      </w:r>
    </w:p>
    <w:p>
      <w:pPr>
        <w:spacing w:after="0" w:line="234" w:lineRule="exact"/>
        <w:jc w:val="left"/>
        <w:rPr>
          <w:rFonts w:ascii="宋体" w:hAnsi="宋体" w:cs="宋体" w:eastAsia="宋体" w:hint="default"/>
          <w:sz w:val="18"/>
          <w:szCs w:val="18"/>
        </w:rPr>
        <w:sectPr>
          <w:pgSz w:w="11910" w:h="16840"/>
          <w:pgMar w:header="0" w:footer="1263" w:top="1540" w:bottom="1460" w:left="580" w:right="600"/>
        </w:sectPr>
      </w:pPr>
    </w:p>
    <w:p>
      <w:pPr>
        <w:spacing w:line="240" w:lineRule="auto" w:before="7"/>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452"/>
        <w:gridCol w:w="1552"/>
        <w:gridCol w:w="1530"/>
        <w:gridCol w:w="1530"/>
        <w:gridCol w:w="1395"/>
        <w:gridCol w:w="1485"/>
        <w:gridCol w:w="1385"/>
      </w:tblGrid>
      <w:tr>
        <w:trPr>
          <w:trHeight w:val="400"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定制软件销售</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8"/>
              <w:jc w:val="right"/>
              <w:rPr>
                <w:rFonts w:ascii="宋体" w:hAnsi="宋体" w:cs="宋体" w:eastAsia="宋体" w:hint="default"/>
                <w:sz w:val="18"/>
                <w:szCs w:val="18"/>
              </w:rPr>
            </w:pPr>
            <w:r>
              <w:rPr>
                <w:rFonts w:ascii="宋体"/>
                <w:sz w:val="18"/>
              </w:rPr>
              <w:t>65,201,025.39</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sz w:val="18"/>
              </w:rPr>
              <w:t>2,499,296.08</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8"/>
              <w:jc w:val="right"/>
              <w:rPr>
                <w:rFonts w:ascii="宋体" w:hAnsi="宋体" w:cs="宋体" w:eastAsia="宋体" w:hint="default"/>
                <w:sz w:val="18"/>
                <w:szCs w:val="18"/>
              </w:rPr>
            </w:pPr>
            <w:r>
              <w:rPr>
                <w:rFonts w:ascii="宋体"/>
                <w:sz w:val="18"/>
              </w:rPr>
              <w:t>62,701,729.31</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right"/>
              <w:rPr>
                <w:rFonts w:ascii="宋体" w:hAnsi="宋体" w:cs="宋体" w:eastAsia="宋体" w:hint="default"/>
                <w:sz w:val="18"/>
                <w:szCs w:val="18"/>
              </w:rPr>
            </w:pPr>
            <w:r>
              <w:rPr>
                <w:rFonts w:ascii="宋体"/>
                <w:sz w:val="18"/>
              </w:rPr>
              <w:t>54,382,075.63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8"/>
              <w:jc w:val="right"/>
              <w:rPr>
                <w:rFonts w:ascii="宋体" w:hAnsi="宋体" w:cs="宋体" w:eastAsia="宋体" w:hint="default"/>
                <w:sz w:val="18"/>
                <w:szCs w:val="18"/>
              </w:rPr>
            </w:pPr>
            <w:r>
              <w:rPr>
                <w:rFonts w:ascii="宋体"/>
                <w:sz w:val="18"/>
              </w:rPr>
              <w:t>2,675,354.98</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51,706,720.65</w:t>
            </w:r>
          </w:p>
        </w:tc>
      </w:tr>
      <w:tr>
        <w:trPr>
          <w:trHeight w:val="420"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20,906,198.83</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
              <w:jc w:val="right"/>
              <w:rPr>
                <w:rFonts w:ascii="宋体" w:hAnsi="宋体" w:cs="宋体" w:eastAsia="宋体" w:hint="default"/>
                <w:sz w:val="18"/>
                <w:szCs w:val="18"/>
              </w:rPr>
            </w:pPr>
            <w:r>
              <w:rPr>
                <w:rFonts w:ascii="宋体"/>
                <w:sz w:val="18"/>
              </w:rPr>
              <w:t>17,761,016.25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3,145,182.58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37,690,390.89</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32,570,931.12</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5,119,459.77</w:t>
            </w:r>
          </w:p>
        </w:tc>
      </w:tr>
      <w:tr>
        <w:trPr>
          <w:trHeight w:val="420"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外购商品销售</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190,832,751.96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
              <w:jc w:val="right"/>
              <w:rPr>
                <w:rFonts w:ascii="宋体" w:hAnsi="宋体" w:cs="宋体" w:eastAsia="宋体" w:hint="default"/>
                <w:sz w:val="18"/>
                <w:szCs w:val="18"/>
              </w:rPr>
            </w:pPr>
            <w:r>
              <w:rPr>
                <w:rFonts w:ascii="宋体"/>
                <w:sz w:val="18"/>
              </w:rPr>
              <w:t>170,793,987.13</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20,038,764.83</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t>102,751,719.45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96,689,918.29</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6,061,801.16</w:t>
            </w:r>
          </w:p>
        </w:tc>
      </w:tr>
      <w:tr>
        <w:trPr>
          <w:trHeight w:val="420"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软件服务[注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t>34,998,468.31</w:t>
            </w:r>
          </w:p>
        </w:tc>
        <w:tc>
          <w:tcPr>
            <w:tcW w:w="1530"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t>34,998,468.31</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宋体" w:hAnsi="宋体" w:cs="宋体" w:eastAsia="宋体" w:hint="default"/>
                <w:sz w:val="18"/>
                <w:szCs w:val="18"/>
              </w:rPr>
            </w:pPr>
            <w:r>
              <w:rPr>
                <w:rFonts w:ascii="宋体"/>
                <w:sz w:val="18"/>
              </w:rPr>
              <w:t>27,359,862.12</w:t>
            </w:r>
          </w:p>
        </w:tc>
        <w:tc>
          <w:tcPr>
            <w:tcW w:w="148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pacing w:val="-1"/>
                <w:sz w:val="18"/>
              </w:rPr>
              <w:t>27,359,862.12</w:t>
            </w:r>
          </w:p>
        </w:tc>
      </w:tr>
      <w:tr>
        <w:trPr>
          <w:trHeight w:val="420"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t>10,407,216.66</w:t>
            </w:r>
          </w:p>
        </w:tc>
        <w:tc>
          <w:tcPr>
            <w:tcW w:w="1530"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t>10,407,216.66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宋体" w:hAnsi="宋体" w:cs="宋体" w:eastAsia="宋体" w:hint="default"/>
                <w:sz w:val="18"/>
                <w:szCs w:val="18"/>
              </w:rPr>
            </w:pPr>
            <w:r>
              <w:rPr>
                <w:rFonts w:ascii="宋体"/>
                <w:sz w:val="18"/>
              </w:rPr>
              <w:t>9,492,990.56</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t>856,348.55</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pacing w:val="-1"/>
                <w:sz w:val="18"/>
              </w:rPr>
              <w:t>8,636,642.01</w:t>
            </w:r>
          </w:p>
        </w:tc>
      </w:tr>
      <w:tr>
        <w:trPr>
          <w:trHeight w:val="400"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r>
            <w:r>
              <w:rPr>
                <w:rFonts w:ascii="宋体"/>
                <w:sz w:val="18"/>
                <w:u w:val="thick" w:color="000000"/>
              </w:rPr>
              <w:t>473,260,506.20</w:t>
            </w:r>
            <w:r>
              <w:rPr>
                <w:rFonts w:ascii="宋体"/>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9"/>
              <w:jc w:val="right"/>
              <w:rPr>
                <w:rFonts w:ascii="宋体" w:hAnsi="宋体" w:cs="宋体" w:eastAsia="宋体" w:hint="default"/>
                <w:sz w:val="18"/>
                <w:szCs w:val="18"/>
              </w:rPr>
            </w:pPr>
            <w:r>
              <w:rPr>
                <w:rFonts w:ascii="宋体"/>
                <w:sz w:val="18"/>
              </w:rPr>
            </w:r>
            <w:r>
              <w:rPr>
                <w:rFonts w:ascii="宋体"/>
                <w:sz w:val="18"/>
                <w:u w:val="thick" w:color="000000"/>
              </w:rPr>
              <w:t>191,542,957.36</w:t>
            </w:r>
            <w:r>
              <w:rPr>
                <w:rFonts w:ascii="宋体"/>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宋体" w:hAnsi="宋体" w:cs="宋体" w:eastAsia="宋体" w:hint="default"/>
                <w:sz w:val="18"/>
                <w:szCs w:val="18"/>
              </w:rPr>
            </w:pPr>
            <w:r>
              <w:rPr>
                <w:rFonts w:ascii="宋体"/>
                <w:sz w:val="18"/>
              </w:rPr>
            </w:r>
            <w:r>
              <w:rPr>
                <w:rFonts w:ascii="宋体"/>
                <w:sz w:val="18"/>
                <w:u w:val="thick" w:color="000000"/>
              </w:rPr>
              <w:t>281,717,548.84</w:t>
            </w:r>
            <w:r>
              <w:rPr>
                <w:rFonts w:ascii="宋体"/>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
              <w:jc w:val="right"/>
              <w:rPr>
                <w:rFonts w:ascii="宋体" w:hAnsi="宋体" w:cs="宋体" w:eastAsia="宋体" w:hint="default"/>
                <w:sz w:val="18"/>
                <w:szCs w:val="18"/>
              </w:rPr>
            </w:pPr>
            <w:r>
              <w:rPr>
                <w:rFonts w:ascii="宋体"/>
                <w:sz w:val="18"/>
              </w:rPr>
            </w:r>
            <w:r>
              <w:rPr>
                <w:rFonts w:ascii="宋体"/>
                <w:sz w:val="18"/>
                <w:u w:val="thick" w:color="000000"/>
              </w:rPr>
              <w:t>288,603,099.48</w:t>
            </w:r>
            <w:r>
              <w:rPr>
                <w:rFonts w:ascii="宋体"/>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w:t>
            </w:r>
            <w:r>
              <w:rPr>
                <w:rFonts w:ascii="宋体"/>
                <w:sz w:val="18"/>
                <w:u w:val="thick" w:color="000000"/>
              </w:rPr>
              <w:t>136,431,107.06</w:t>
            </w:r>
            <w:r>
              <w:rPr>
                <w:rFonts w:ascii="宋体"/>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r>
            <w:r>
              <w:rPr>
                <w:rFonts w:ascii="宋体"/>
                <w:sz w:val="18"/>
                <w:u w:val="thick" w:color="000000"/>
              </w:rPr>
              <w:t>152,171,992.42</w:t>
            </w:r>
            <w:r>
              <w:rPr>
                <w:rFonts w:ascii="宋体"/>
                <w:sz w:val="18"/>
              </w:rPr>
            </w:r>
          </w:p>
        </w:tc>
      </w:tr>
    </w:tbl>
    <w:p>
      <w:pPr>
        <w:pStyle w:val="BodyText"/>
        <w:spacing w:line="384" w:lineRule="auto" w:before="60"/>
        <w:ind w:left="1637" w:right="2852"/>
        <w:jc w:val="left"/>
      </w:pPr>
      <w:r>
        <w:rPr/>
        <w:t>[注</w:t>
      </w:r>
      <w:r>
        <w:rPr>
          <w:spacing w:val="-55"/>
        </w:rPr>
        <w:t> </w:t>
      </w:r>
      <w:r>
        <w:rPr/>
        <w:t>1]：软件服务收入相关的维护费用在“销售费用”科目核算。</w:t>
      </w:r>
      <w:r>
        <w:rPr/>
        <w:t> [注</w:t>
      </w:r>
      <w:r>
        <w:rPr>
          <w:spacing w:val="-55"/>
        </w:rPr>
        <w:t> </w:t>
      </w:r>
      <w:r>
        <w:rPr/>
        <w:t>2]：其他收入主要系技术服务费收入。</w:t>
      </w:r>
    </w:p>
    <w:p>
      <w:pPr>
        <w:pStyle w:val="BodyText"/>
        <w:spacing w:line="240" w:lineRule="auto" w:before="19"/>
        <w:ind w:left="1742" w:right="2852"/>
        <w:jc w:val="left"/>
      </w:pPr>
      <w:r>
        <w:rPr/>
        <w:t>(3)</w:t>
      </w:r>
      <w:r>
        <w:rPr>
          <w:spacing w:val="-2"/>
        </w:rPr>
        <w:t> </w:t>
      </w:r>
      <w:r>
        <w:rPr/>
        <w:t>销售收入前五名情况</w:t>
      </w:r>
    </w:p>
    <w:p>
      <w:pPr>
        <w:spacing w:line="240" w:lineRule="auto" w:before="5"/>
        <w:rPr>
          <w:rFonts w:ascii="宋体" w:hAnsi="宋体" w:cs="宋体" w:eastAsia="宋体" w:hint="default"/>
          <w:sz w:val="8"/>
          <w:szCs w:val="8"/>
        </w:rPr>
      </w:pPr>
    </w:p>
    <w:tbl>
      <w:tblPr>
        <w:tblW w:w="0" w:type="auto"/>
        <w:jc w:val="left"/>
        <w:tblInd w:w="1830" w:type="dxa"/>
        <w:tblLayout w:type="fixed"/>
        <w:tblCellMar>
          <w:top w:w="0" w:type="dxa"/>
          <w:left w:w="0" w:type="dxa"/>
          <w:bottom w:w="0" w:type="dxa"/>
          <w:right w:w="0" w:type="dxa"/>
        </w:tblCellMar>
        <w:tblLook w:val="01E0"/>
      </w:tblPr>
      <w:tblGrid>
        <w:gridCol w:w="2949"/>
        <w:gridCol w:w="2092"/>
        <w:gridCol w:w="1943"/>
      </w:tblGrid>
      <w:tr>
        <w:trPr>
          <w:trHeight w:val="415" w:hRule="exact"/>
        </w:trPr>
        <w:tc>
          <w:tcPr>
            <w:tcW w:w="2949"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20"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向前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名客户销售的收入总额</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40"/>
              <w:jc w:val="right"/>
              <w:rPr>
                <w:rFonts w:ascii="宋体" w:hAnsi="宋体" w:cs="宋体" w:eastAsia="宋体" w:hint="default"/>
                <w:sz w:val="21"/>
                <w:szCs w:val="21"/>
              </w:rPr>
            </w:pPr>
            <w:r>
              <w:rPr>
                <w:rFonts w:ascii="宋体"/>
                <w:sz w:val="21"/>
              </w:rPr>
              <w:t>57,361,437.15</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43,782,129.55</w:t>
            </w:r>
          </w:p>
        </w:tc>
      </w:tr>
      <w:tr>
        <w:trPr>
          <w:trHeight w:val="415"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占当年营业收入比例</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86"/>
              <w:jc w:val="right"/>
              <w:rPr>
                <w:rFonts w:ascii="宋体" w:hAnsi="宋体" w:cs="宋体" w:eastAsia="宋体" w:hint="default"/>
                <w:sz w:val="21"/>
                <w:szCs w:val="21"/>
              </w:rPr>
            </w:pPr>
            <w:r>
              <w:rPr>
                <w:rFonts w:ascii="宋体"/>
                <w:sz w:val="21"/>
              </w:rPr>
              <w:t>12.01%</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
              <w:jc w:val="right"/>
              <w:rPr>
                <w:rFonts w:ascii="宋体" w:hAnsi="宋体" w:cs="宋体" w:eastAsia="宋体" w:hint="default"/>
                <w:sz w:val="21"/>
                <w:szCs w:val="21"/>
              </w:rPr>
            </w:pPr>
            <w:r>
              <w:rPr>
                <w:rFonts w:ascii="宋体"/>
                <w:sz w:val="21"/>
              </w:rPr>
              <w:t>15.05%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602" w:type="dxa"/>
        <w:tblLayout w:type="fixed"/>
        <w:tblCellMar>
          <w:top w:w="0" w:type="dxa"/>
          <w:left w:w="0" w:type="dxa"/>
          <w:bottom w:w="0" w:type="dxa"/>
          <w:right w:w="0" w:type="dxa"/>
        </w:tblCellMar>
        <w:tblLook w:val="01E0"/>
      </w:tblPr>
      <w:tblGrid>
        <w:gridCol w:w="2728"/>
        <w:gridCol w:w="2164"/>
        <w:gridCol w:w="2499"/>
      </w:tblGrid>
      <w:tr>
        <w:trPr>
          <w:trHeight w:val="415"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 投资收益</w:t>
            </w:r>
          </w:p>
        </w:tc>
        <w:tc>
          <w:tcPr>
            <w:tcW w:w="2164"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45,801,854.20</w:t>
            </w:r>
          </w:p>
        </w:tc>
      </w:tr>
      <w:tr>
        <w:trPr>
          <w:trHeight w:val="420"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164"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r>
      <w:tr>
        <w:trPr>
          <w:trHeight w:val="420" w:hRule="exact"/>
        </w:trPr>
        <w:tc>
          <w:tcPr>
            <w:tcW w:w="272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1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20"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交易性金融资产收益</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center"/>
              <w:rPr>
                <w:rFonts w:ascii="宋体" w:hAnsi="宋体" w:cs="宋体" w:eastAsia="宋体" w:hint="default"/>
                <w:sz w:val="21"/>
                <w:szCs w:val="21"/>
              </w:rPr>
            </w:pPr>
            <w:r>
              <w:rPr>
                <w:rFonts w:ascii="宋体"/>
                <w:sz w:val="21"/>
              </w:rPr>
              <w:t>48,691,974.19</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23" w:right="0"/>
              <w:jc w:val="left"/>
              <w:rPr>
                <w:rFonts w:ascii="宋体" w:hAnsi="宋体" w:cs="宋体" w:eastAsia="宋体" w:hint="default"/>
                <w:sz w:val="21"/>
                <w:szCs w:val="21"/>
              </w:rPr>
            </w:pPr>
            <w:r>
              <w:rPr>
                <w:rFonts w:ascii="宋体"/>
                <w:sz w:val="21"/>
              </w:rPr>
              <w:t>3,977,396.77</w:t>
            </w:r>
          </w:p>
        </w:tc>
      </w:tr>
      <w:tr>
        <w:trPr>
          <w:trHeight w:val="692"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72" w:lineRule="exact" w:before="68"/>
              <w:ind w:left="35" w:right="380"/>
              <w:jc w:val="left"/>
              <w:rPr>
                <w:rFonts w:ascii="宋体" w:hAnsi="宋体" w:cs="宋体" w:eastAsia="宋体" w:hint="default"/>
                <w:sz w:val="21"/>
                <w:szCs w:val="21"/>
              </w:rPr>
            </w:pPr>
            <w:r>
              <w:rPr>
                <w:rFonts w:ascii="宋体" w:hAnsi="宋体" w:cs="宋体" w:eastAsia="宋体" w:hint="default"/>
                <w:sz w:val="21"/>
                <w:szCs w:val="21"/>
              </w:rPr>
              <w:t>权益法核算的调整被投资 单位损益净增减的金额</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31"/>
              <w:jc w:val="center"/>
              <w:rPr>
                <w:rFonts w:ascii="宋体" w:hAnsi="宋体" w:cs="宋体" w:eastAsia="宋体" w:hint="default"/>
                <w:sz w:val="21"/>
                <w:szCs w:val="21"/>
              </w:rPr>
            </w:pPr>
            <w:r>
              <w:rPr>
                <w:rFonts w:ascii="宋体"/>
                <w:sz w:val="21"/>
              </w:rPr>
              <w:t>-2,890,119.99</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23" w:right="0"/>
              <w:jc w:val="left"/>
              <w:rPr>
                <w:rFonts w:ascii="宋体" w:hAnsi="宋体" w:cs="宋体" w:eastAsia="宋体" w:hint="default"/>
                <w:sz w:val="21"/>
                <w:szCs w:val="21"/>
              </w:rPr>
            </w:pPr>
            <w:r>
              <w:rPr>
                <w:rFonts w:ascii="宋体"/>
                <w:sz w:val="21"/>
              </w:rPr>
              <w:t>2,814,293.64</w:t>
            </w:r>
          </w:p>
        </w:tc>
      </w:tr>
      <w:tr>
        <w:trPr>
          <w:trHeight w:val="421"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1"/>
                <w:szCs w:val="21"/>
              </w:rPr>
            </w:pPr>
            <w:r>
              <w:rPr>
                <w:rFonts w:ascii="宋体" w:hAnsi="宋体" w:cs="宋体" w:eastAsia="宋体" w:hint="default"/>
                <w:sz w:val="21"/>
                <w:szCs w:val="21"/>
              </w:rPr>
              <w:t>股权投资处置收益</w:t>
            </w:r>
          </w:p>
        </w:tc>
        <w:tc>
          <w:tcPr>
            <w:tcW w:w="2164"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18" w:right="0"/>
              <w:jc w:val="left"/>
              <w:rPr>
                <w:rFonts w:ascii="宋体" w:hAnsi="宋体" w:cs="宋体" w:eastAsia="宋体" w:hint="default"/>
                <w:sz w:val="21"/>
                <w:szCs w:val="21"/>
              </w:rPr>
            </w:pPr>
            <w:r>
              <w:rPr>
                <w:rFonts w:ascii="宋体"/>
                <w:sz w:val="21"/>
              </w:rPr>
              <w:t>18,684,944.30</w:t>
            </w:r>
          </w:p>
        </w:tc>
      </w:tr>
      <w:tr>
        <w:trPr>
          <w:trHeight w:val="420" w:hRule="exact"/>
        </w:trPr>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164"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33" w:right="0"/>
              <w:jc w:val="left"/>
              <w:rPr>
                <w:rFonts w:ascii="宋体" w:hAnsi="宋体" w:cs="宋体" w:eastAsia="宋体" w:hint="default"/>
                <w:sz w:val="21"/>
                <w:szCs w:val="21"/>
              </w:rPr>
            </w:pPr>
            <w:r>
              <w:rPr>
                <w:rFonts w:ascii="宋体"/>
                <w:sz w:val="21"/>
              </w:rPr>
              <w:t>991,090.49</w:t>
            </w:r>
          </w:p>
        </w:tc>
      </w:tr>
      <w:tr>
        <w:trPr>
          <w:trHeight w:val="415" w:hRule="exact"/>
        </w:trPr>
        <w:tc>
          <w:tcPr>
            <w:tcW w:w="272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40"/>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0"/>
              <w:jc w:val="center"/>
              <w:rPr>
                <w:rFonts w:ascii="宋体" w:hAnsi="宋体" w:cs="宋体" w:eastAsia="宋体" w:hint="default"/>
                <w:sz w:val="21"/>
                <w:szCs w:val="21"/>
              </w:rPr>
            </w:pPr>
            <w:r>
              <w:rPr>
                <w:rFonts w:ascii="宋体"/>
                <w:sz w:val="21"/>
              </w:rPr>
            </w:r>
            <w:r>
              <w:rPr>
                <w:rFonts w:ascii="宋体"/>
                <w:sz w:val="21"/>
                <w:u w:val="thick" w:color="000000"/>
              </w:rPr>
              <w:t>45,801,854.20</w:t>
            </w:r>
            <w:r>
              <w:rPr>
                <w:rFonts w:ascii="宋体"/>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918" w:right="0"/>
              <w:jc w:val="left"/>
              <w:rPr>
                <w:rFonts w:ascii="宋体" w:hAnsi="宋体" w:cs="宋体" w:eastAsia="宋体" w:hint="default"/>
                <w:sz w:val="21"/>
                <w:szCs w:val="21"/>
              </w:rPr>
            </w:pPr>
            <w:r>
              <w:rPr>
                <w:rFonts w:ascii="宋体"/>
                <w:sz w:val="21"/>
              </w:rPr>
            </w:r>
            <w:r>
              <w:rPr>
                <w:rFonts w:ascii="宋体"/>
                <w:sz w:val="21"/>
                <w:u w:val="thick" w:color="000000"/>
              </w:rPr>
              <w:t>26,467,725.20</w:t>
            </w:r>
            <w:r>
              <w:rPr>
                <w:rFonts w:ascii="宋体"/>
                <w:sz w:val="21"/>
              </w:rPr>
            </w:r>
          </w:p>
        </w:tc>
      </w:tr>
    </w:tbl>
    <w:p>
      <w:pPr>
        <w:pStyle w:val="BodyText"/>
        <w:spacing w:line="367" w:lineRule="auto" w:before="45"/>
        <w:ind w:left="1637" w:right="857"/>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投资收益本期数较上年同期数增长</w:t>
      </w:r>
      <w:r>
        <w:rPr>
          <w:spacing w:val="-55"/>
        </w:rPr>
        <w:t> </w:t>
      </w:r>
      <w:r>
        <w:rPr/>
        <w:t>73.05%，主要系公司本期交易性金融资产收益增加。</w:t>
      </w:r>
    </w:p>
    <w:p>
      <w:pPr>
        <w:spacing w:line="240" w:lineRule="auto" w:before="6"/>
        <w:rPr>
          <w:rFonts w:ascii="宋体" w:hAnsi="宋体" w:cs="宋体" w:eastAsia="宋体" w:hint="default"/>
          <w:sz w:val="26"/>
          <w:szCs w:val="26"/>
        </w:rPr>
      </w:pPr>
    </w:p>
    <w:p>
      <w:pPr>
        <w:spacing w:before="0"/>
        <w:ind w:left="1639" w:right="2852" w:firstLine="0"/>
        <w:jc w:val="left"/>
        <w:rPr>
          <w:rFonts w:ascii="黑体" w:hAnsi="黑体" w:cs="黑体" w:eastAsia="黑体" w:hint="default"/>
          <w:sz w:val="21"/>
          <w:szCs w:val="21"/>
        </w:rPr>
      </w:pPr>
      <w:r>
        <w:rPr>
          <w:rFonts w:ascii="黑体" w:hAnsi="黑体" w:cs="黑体" w:eastAsia="黑体" w:hint="default"/>
          <w:b/>
          <w:bCs/>
          <w:sz w:val="21"/>
          <w:szCs w:val="21"/>
        </w:rPr>
        <w:t>九、资产减值准备</w:t>
      </w:r>
      <w:r>
        <w:rPr>
          <w:rFonts w:ascii="黑体" w:hAnsi="黑体" w:cs="黑体" w:eastAsia="黑体" w:hint="default"/>
          <w:sz w:val="21"/>
          <w:szCs w:val="21"/>
        </w:rPr>
      </w:r>
    </w:p>
    <w:p>
      <w:pPr>
        <w:pStyle w:val="BodyText"/>
        <w:spacing w:line="240" w:lineRule="auto"/>
        <w:ind w:left="1637" w:right="2852"/>
        <w:jc w:val="left"/>
      </w:pPr>
      <w:r>
        <w:rPr/>
        <w:t>(一)</w:t>
      </w:r>
      <w:r>
        <w:rPr>
          <w:spacing w:val="-2"/>
        </w:rPr>
        <w:t> </w:t>
      </w:r>
      <w:r>
        <w:rPr/>
        <w:t>明细情况</w:t>
      </w:r>
    </w:p>
    <w:p>
      <w:pPr>
        <w:spacing w:line="240" w:lineRule="auto" w:before="5"/>
        <w:rPr>
          <w:rFonts w:ascii="宋体" w:hAnsi="宋体" w:cs="宋体" w:eastAsia="宋体" w:hint="default"/>
          <w:sz w:val="2"/>
          <w:szCs w:val="2"/>
        </w:rPr>
      </w:pPr>
    </w:p>
    <w:tbl>
      <w:tblPr>
        <w:tblW w:w="0" w:type="auto"/>
        <w:jc w:val="left"/>
        <w:tblInd w:w="1212" w:type="dxa"/>
        <w:tblLayout w:type="fixed"/>
        <w:tblCellMar>
          <w:top w:w="0" w:type="dxa"/>
          <w:left w:w="0" w:type="dxa"/>
          <w:bottom w:w="0" w:type="dxa"/>
          <w:right w:w="0" w:type="dxa"/>
        </w:tblCellMar>
        <w:tblLook w:val="01E0"/>
      </w:tblPr>
      <w:tblGrid>
        <w:gridCol w:w="1620"/>
        <w:gridCol w:w="1440"/>
        <w:gridCol w:w="1440"/>
        <w:gridCol w:w="1260"/>
        <w:gridCol w:w="1260"/>
        <w:gridCol w:w="1440"/>
      </w:tblGrid>
      <w:tr>
        <w:trPr>
          <w:trHeight w:val="464"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4" w:hRule="exact"/>
        </w:trPr>
        <w:tc>
          <w:tcPr>
            <w:tcW w:w="16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40" w:type="dxa"/>
            <w:vMerge/>
            <w:tcBorders>
              <w:left w:val="single" w:sz="4" w:space="0" w:color="000000"/>
              <w:bottom w:val="single" w:sz="4" w:space="0" w:color="000000"/>
              <w:right w:val="single" w:sz="4" w:space="0" w:color="000000"/>
            </w:tcBorders>
          </w:tcPr>
          <w:p>
            <w:pP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20,413,573.24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4,308,711.20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24,722,284.44</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680,100.06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432,857.88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1,112,957.94</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400,095.44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sz w:val="18"/>
              </w:rPr>
              <w:t>387,005.31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13,090.13</w:t>
            </w:r>
          </w:p>
        </w:tc>
      </w:tr>
    </w:tbl>
    <w:p>
      <w:pPr>
        <w:spacing w:after="0" w:line="240" w:lineRule="auto"/>
        <w:jc w:val="right"/>
        <w:rPr>
          <w:rFonts w:ascii="宋体" w:hAnsi="宋体" w:cs="宋体" w:eastAsia="宋体" w:hint="default"/>
          <w:sz w:val="18"/>
          <w:szCs w:val="18"/>
        </w:rPr>
        <w:sectPr>
          <w:pgSz w:w="11910" w:h="16840"/>
          <w:pgMar w:header="0" w:footer="1263" w:top="1480" w:bottom="1460" w:left="580" w:right="780"/>
        </w:sectPr>
      </w:pPr>
    </w:p>
    <w:p>
      <w:pPr>
        <w:spacing w:line="240" w:lineRule="auto" w:before="1"/>
        <w:rPr>
          <w:rFonts w:ascii="宋体" w:hAnsi="宋体" w:cs="宋体" w:eastAsia="宋体" w:hint="default"/>
          <w:sz w:val="6"/>
          <w:szCs w:val="6"/>
        </w:rPr>
      </w:pPr>
    </w:p>
    <w:tbl>
      <w:tblPr>
        <w:tblW w:w="0" w:type="auto"/>
        <w:jc w:val="left"/>
        <w:tblInd w:w="832" w:type="dxa"/>
        <w:tblLayout w:type="fixed"/>
        <w:tblCellMar>
          <w:top w:w="0" w:type="dxa"/>
          <w:left w:w="0" w:type="dxa"/>
          <w:bottom w:w="0" w:type="dxa"/>
          <w:right w:w="0" w:type="dxa"/>
        </w:tblCellMar>
        <w:tblLook w:val="01E0"/>
      </w:tblPr>
      <w:tblGrid>
        <w:gridCol w:w="1620"/>
        <w:gridCol w:w="1440"/>
        <w:gridCol w:w="1440"/>
        <w:gridCol w:w="1260"/>
        <w:gridCol w:w="1260"/>
        <w:gridCol w:w="1440"/>
      </w:tblGrid>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3" w:right="0"/>
              <w:jc w:val="center"/>
              <w:rPr>
                <w:rFonts w:ascii="宋体" w:hAnsi="宋体" w:cs="宋体" w:eastAsia="宋体" w:hint="default"/>
                <w:sz w:val="18"/>
                <w:szCs w:val="18"/>
              </w:rPr>
            </w:pPr>
            <w:r>
              <w:rPr>
                <w:rFonts w:ascii="宋体"/>
                <w:sz w:val="18"/>
              </w:rPr>
              <w:t>2,776,666.83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2,776,666.83</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sz w:val="18"/>
              </w:rPr>
              <w:t>24,270,435.57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sz w:val="18"/>
              </w:rPr>
              <w:t>4,741,569.08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sz w:val="18"/>
              </w:rPr>
              <w:t>387,005.31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28,624,999.34</w:t>
            </w:r>
          </w:p>
        </w:tc>
      </w:tr>
    </w:tbl>
    <w:p>
      <w:pPr>
        <w:spacing w:line="240" w:lineRule="auto" w:before="12"/>
        <w:rPr>
          <w:rFonts w:ascii="宋体" w:hAnsi="宋体" w:cs="宋体" w:eastAsia="宋体" w:hint="default"/>
          <w:sz w:val="17"/>
          <w:szCs w:val="17"/>
        </w:rPr>
      </w:pPr>
    </w:p>
    <w:p>
      <w:pPr>
        <w:pStyle w:val="BodyText"/>
        <w:spacing w:line="367" w:lineRule="auto" w:before="35"/>
        <w:ind w:left="1257" w:right="6784"/>
        <w:jc w:val="left"/>
      </w:pPr>
      <w:r>
        <w:rPr/>
        <w:t>(二)</w:t>
      </w:r>
      <w:r>
        <w:rPr>
          <w:spacing w:val="-2"/>
        </w:rPr>
        <w:t> </w:t>
      </w:r>
      <w:r>
        <w:rPr/>
        <w:t>计提原因和依据的说明</w:t>
      </w:r>
      <w:r>
        <w:rPr/>
        <w:t> (1) 坏账准备</w:t>
      </w:r>
    </w:p>
    <w:p>
      <w:pPr>
        <w:pStyle w:val="BodyText"/>
        <w:spacing w:line="367" w:lineRule="auto" w:before="34"/>
        <w:ind w:left="837" w:right="1285" w:firstLine="420"/>
        <w:jc w:val="both"/>
      </w:pPr>
      <w:r>
        <w:rPr>
          <w:spacing w:val="6"/>
        </w:rPr>
        <w:t>对于单项金额重大且有客观证据表明发生了减值的应收款项(包括应收账款和其他应收</w:t>
      </w:r>
      <w:r>
        <w:rPr>
          <w:spacing w:val="7"/>
        </w:rPr>
        <w:t> </w:t>
      </w:r>
      <w:r>
        <w:rPr/>
        <w:t>款)，以及单项金额不重大但信用风险较大的应收款项，根据其未来现金流量现值低于其账面</w:t>
      </w:r>
      <w:r>
        <w:rPr>
          <w:spacing w:val="-67"/>
        </w:rPr>
        <w:t> </w:t>
      </w:r>
      <w:r>
        <w:rPr>
          <w:spacing w:val="-67"/>
        </w:rPr>
      </w:r>
      <w:r>
        <w:rPr>
          <w:spacing w:val="-2"/>
        </w:rPr>
        <w:t>价值的差额计提坏账准备；对于单项金额非重大以及经单独测试后未减值的单项金额重大的应</w:t>
      </w:r>
      <w:r>
        <w:rPr>
          <w:spacing w:val="-82"/>
        </w:rPr>
        <w:t> </w:t>
      </w:r>
      <w:r>
        <w:rPr>
          <w:spacing w:val="-82"/>
        </w:rPr>
      </w:r>
      <w:r>
        <w:rPr>
          <w:spacing w:val="-2"/>
        </w:rPr>
        <w:t>收款项，根据相同账龄应收款项组合的实际损失率为基础，结合现时情况确定报告期各项组合</w:t>
      </w:r>
      <w:r>
        <w:rPr>
          <w:spacing w:val="-85"/>
        </w:rPr>
        <w:t> </w:t>
      </w:r>
      <w:r>
        <w:rPr>
          <w:spacing w:val="-85"/>
        </w:rPr>
      </w:r>
      <w:r>
        <w:rPr/>
        <w:t>计提坏账准备的比例。</w:t>
      </w:r>
    </w:p>
    <w:p>
      <w:pPr>
        <w:pStyle w:val="BodyText"/>
        <w:spacing w:line="367" w:lineRule="auto" w:before="34"/>
        <w:ind w:left="1257" w:right="1282"/>
        <w:jc w:val="left"/>
      </w:pPr>
      <w:r>
        <w:rPr/>
        <w:t>(2) 存货跌价准备 </w:t>
      </w:r>
      <w:r>
        <w:rPr>
          <w:spacing w:val="-2"/>
        </w:rPr>
        <w:t>资产负债表日，存货采用成本与可变现净值孰低计量，按照单个存货成本高于可变现净值</w:t>
      </w:r>
    </w:p>
    <w:p>
      <w:pPr>
        <w:pStyle w:val="BodyText"/>
        <w:spacing w:line="367" w:lineRule="auto" w:before="34"/>
        <w:ind w:left="1257" w:right="7307" w:hanging="420"/>
        <w:jc w:val="left"/>
      </w:pPr>
      <w:r>
        <w:rPr/>
        <w:t>的差额计提存货跌价准备。 (3) 固定资产减值准备</w:t>
      </w:r>
    </w:p>
    <w:p>
      <w:pPr>
        <w:pStyle w:val="BodyText"/>
        <w:spacing w:line="367" w:lineRule="auto" w:before="34"/>
        <w:ind w:left="837" w:right="1282" w:firstLine="420"/>
        <w:jc w:val="left"/>
      </w:pPr>
      <w:r>
        <w:rPr>
          <w:spacing w:val="-2"/>
        </w:rPr>
        <w:t>单项资产的可收回金额低于其账面价值的，按单项资产的账面价值与可收回金额的差额计</w:t>
      </w:r>
      <w:r>
        <w:rPr/>
        <w:t> 提相应的资产减值准备。</w:t>
      </w:r>
    </w:p>
    <w:p>
      <w:pPr>
        <w:pStyle w:val="BodyText"/>
        <w:spacing w:line="367" w:lineRule="auto" w:before="34"/>
        <w:ind w:left="1257" w:right="1282"/>
        <w:jc w:val="left"/>
      </w:pPr>
      <w:r>
        <w:rPr/>
        <w:t>(4) 无形资产减值准备 </w:t>
      </w:r>
      <w:r>
        <w:rPr>
          <w:spacing w:val="-2"/>
        </w:rPr>
        <w:t>单项资产的可收回金额低于其账面价值的，按单项资产的账面价值与可收回金额的差额计</w:t>
      </w:r>
    </w:p>
    <w:p>
      <w:pPr>
        <w:pStyle w:val="BodyText"/>
        <w:spacing w:line="240" w:lineRule="auto" w:before="34"/>
        <w:ind w:left="837" w:right="6784"/>
        <w:jc w:val="left"/>
      </w:pPr>
      <w:r>
        <w:rPr/>
        <w:t>提相应的资产减值准备。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1257" w:right="6784" w:firstLine="0"/>
        <w:jc w:val="left"/>
        <w:rPr>
          <w:rFonts w:ascii="黑体" w:hAnsi="黑体" w:cs="黑体" w:eastAsia="黑体" w:hint="default"/>
          <w:sz w:val="21"/>
          <w:szCs w:val="21"/>
        </w:rPr>
      </w:pPr>
      <w:r>
        <w:rPr>
          <w:rFonts w:ascii="黑体" w:hAnsi="黑体" w:cs="黑体" w:eastAsia="黑体" w:hint="default"/>
          <w:b/>
          <w:bCs/>
          <w:sz w:val="21"/>
          <w:szCs w:val="21"/>
        </w:rPr>
        <w:t>十、关联方关系及其交易</w:t>
      </w:r>
      <w:r>
        <w:rPr>
          <w:rFonts w:ascii="黑体" w:hAnsi="黑体" w:cs="黑体" w:eastAsia="黑体" w:hint="default"/>
          <w:sz w:val="21"/>
          <w:szCs w:val="21"/>
        </w:rPr>
      </w:r>
    </w:p>
    <w:p>
      <w:pPr>
        <w:pStyle w:val="BodyText"/>
        <w:spacing w:line="240" w:lineRule="auto"/>
        <w:ind w:left="1257" w:right="6784"/>
        <w:jc w:val="left"/>
      </w:pPr>
      <w:r>
        <w:rPr/>
        <w:t>(一)</w:t>
      </w:r>
      <w:r>
        <w:rPr>
          <w:spacing w:val="-2"/>
        </w:rPr>
        <w:t> </w:t>
      </w:r>
      <w:r>
        <w:rPr/>
        <w:t>关联方认定标准说明</w:t>
      </w:r>
    </w:p>
    <w:p>
      <w:pPr>
        <w:pStyle w:val="BodyText"/>
        <w:spacing w:line="367" w:lineRule="auto"/>
        <w:ind w:left="837" w:right="1282" w:firstLine="420"/>
        <w:jc w:val="left"/>
      </w:pPr>
      <w:r>
        <w:rPr>
          <w:spacing w:val="-3"/>
        </w:rPr>
        <w:t>根据《企业会计准则第</w:t>
      </w:r>
      <w:r>
        <w:rPr>
          <w:spacing w:val="-48"/>
        </w:rPr>
        <w:t> </w:t>
      </w:r>
      <w:r>
        <w:rPr>
          <w:spacing w:val="-1"/>
        </w:rPr>
        <w:t>36</w:t>
      </w:r>
      <w:r>
        <w:rPr>
          <w:spacing w:val="-47"/>
        </w:rPr>
        <w:t> </w:t>
      </w:r>
      <w:r>
        <w:rPr>
          <w:spacing w:val="-6"/>
        </w:rPr>
        <w:t>号——关联方披露》，一方控制、共同控制另一方或对另一方施</w:t>
      </w:r>
      <w:r>
        <w:rPr/>
        <w:t> 加重大影响，以及两方或两方以上同受一方控制、共同控制或重大影响的，构成关联方。</w:t>
      </w:r>
    </w:p>
    <w:p>
      <w:pPr>
        <w:pStyle w:val="BodyText"/>
        <w:spacing w:line="367" w:lineRule="auto" w:before="34"/>
        <w:ind w:left="837" w:right="1282" w:firstLine="420"/>
        <w:jc w:val="left"/>
      </w:pPr>
      <w:r>
        <w:rPr>
          <w:spacing w:val="-4"/>
        </w:rPr>
        <w:t>根据《上市公司信息披露管理办法》（中国证券监督管理委员会令第</w:t>
      </w:r>
      <w:r>
        <w:rPr/>
        <w:t> 40</w:t>
      </w:r>
      <w:r>
        <w:rPr>
          <w:spacing w:val="-43"/>
        </w:rPr>
        <w:t> </w:t>
      </w:r>
      <w:r>
        <w:rPr>
          <w:spacing w:val="-14"/>
        </w:rPr>
        <w:t>号），将特定情形</w:t>
      </w:r>
      <w:r>
        <w:rPr/>
        <w:t> 的关联法人和关联自然人也认定为关联方。</w:t>
      </w:r>
    </w:p>
    <w:p>
      <w:pPr>
        <w:pStyle w:val="BodyText"/>
        <w:spacing w:line="240" w:lineRule="auto" w:before="34"/>
        <w:ind w:left="1257" w:right="6784"/>
        <w:jc w:val="left"/>
      </w:pPr>
      <w:r>
        <w:rPr/>
        <w:t>(二)</w:t>
      </w:r>
      <w:r>
        <w:rPr>
          <w:spacing w:val="-2"/>
        </w:rPr>
        <w:t> </w:t>
      </w:r>
      <w:r>
        <w:rPr/>
        <w:t>关联方关系</w:t>
      </w:r>
    </w:p>
    <w:p>
      <w:pPr>
        <w:pStyle w:val="BodyText"/>
        <w:spacing w:line="240" w:lineRule="auto"/>
        <w:ind w:left="1257" w:right="6784"/>
        <w:jc w:val="left"/>
      </w:pPr>
      <w:r>
        <w:rPr/>
        <w:t>1.</w:t>
      </w:r>
      <w:r>
        <w:rPr>
          <w:spacing w:val="-2"/>
        </w:rPr>
        <w:t> </w:t>
      </w:r>
      <w:r>
        <w:rPr/>
        <w:t>母公司及最终控制方</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700"/>
        <w:gridCol w:w="900"/>
        <w:gridCol w:w="1336"/>
        <w:gridCol w:w="900"/>
        <w:gridCol w:w="1184"/>
        <w:gridCol w:w="900"/>
        <w:gridCol w:w="1260"/>
        <w:gridCol w:w="1260"/>
      </w:tblGrid>
      <w:tr>
        <w:trPr>
          <w:trHeight w:val="63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81" w:right="77"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406" w:right="-11" w:hanging="406"/>
              <w:jc w:val="left"/>
              <w:rPr>
                <w:rFonts w:ascii="宋体" w:hAnsi="宋体" w:cs="宋体" w:eastAsia="宋体" w:hint="default"/>
                <w:sz w:val="18"/>
                <w:szCs w:val="18"/>
              </w:rPr>
            </w:pPr>
            <w:r>
              <w:rPr>
                <w:rFonts w:ascii="宋体" w:hAnsi="宋体" w:cs="宋体" w:eastAsia="宋体" w:hint="default"/>
                <w:sz w:val="18"/>
                <w:szCs w:val="18"/>
              </w:rPr>
              <w:t>对本公司持股比 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316" w:right="-11" w:hanging="316"/>
              <w:jc w:val="left"/>
              <w:rPr>
                <w:rFonts w:ascii="宋体" w:hAnsi="宋体" w:cs="宋体" w:eastAsia="宋体" w:hint="default"/>
                <w:sz w:val="18"/>
                <w:szCs w:val="18"/>
              </w:rPr>
            </w:pPr>
            <w:r>
              <w:rPr>
                <w:rFonts w:ascii="宋体" w:hAnsi="宋体" w:cs="宋体" w:eastAsia="宋体" w:hint="default"/>
                <w:sz w:val="18"/>
                <w:szCs w:val="18"/>
              </w:rPr>
              <w:t>对本公司表决权 比例(%)</w:t>
            </w:r>
          </w:p>
        </w:tc>
      </w:tr>
      <w:tr>
        <w:trPr>
          <w:trHeight w:val="46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 w:right="0"/>
              <w:jc w:val="center"/>
              <w:rPr>
                <w:rFonts w:ascii="宋体" w:hAnsi="宋体" w:cs="宋体" w:eastAsia="宋体" w:hint="default"/>
                <w:sz w:val="18"/>
                <w:szCs w:val="18"/>
              </w:rPr>
            </w:pPr>
            <w:r>
              <w:rPr>
                <w:rFonts w:ascii="宋体"/>
                <w:sz w:val="18"/>
              </w:rPr>
              <w:t>710977537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 w:right="0"/>
              <w:jc w:val="center"/>
              <w:rPr>
                <w:rFonts w:ascii="宋体" w:hAnsi="宋体" w:cs="宋体" w:eastAsia="宋体" w:hint="default"/>
                <w:sz w:val="18"/>
                <w:szCs w:val="18"/>
              </w:rPr>
            </w:pPr>
            <w:r>
              <w:rPr>
                <w:rFonts w:ascii="宋体" w:hAnsi="宋体" w:cs="宋体" w:eastAsia="宋体" w:hint="default"/>
                <w:sz w:val="18"/>
                <w:szCs w:val="18"/>
              </w:rPr>
              <w:t>第一大股东</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6" w:right="0"/>
              <w:jc w:val="left"/>
              <w:rPr>
                <w:rFonts w:ascii="宋体" w:hAnsi="宋体" w:cs="宋体" w:eastAsia="宋体" w:hint="default"/>
                <w:sz w:val="18"/>
                <w:szCs w:val="18"/>
              </w:rPr>
            </w:pPr>
            <w:r>
              <w:rPr>
                <w:rFonts w:ascii="宋体"/>
                <w:sz w:val="18"/>
              </w:rPr>
              <w:t>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06" w:right="0"/>
              <w:jc w:val="left"/>
              <w:rPr>
                <w:rFonts w:ascii="宋体" w:hAnsi="宋体" w:cs="宋体" w:eastAsia="宋体" w:hint="default"/>
                <w:sz w:val="18"/>
                <w:szCs w:val="18"/>
              </w:rPr>
            </w:pPr>
            <w:r>
              <w:rPr>
                <w:rFonts w:ascii="宋体"/>
                <w:sz w:val="18"/>
              </w:rPr>
              <w:t>22.04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06" w:right="0"/>
              <w:jc w:val="left"/>
              <w:rPr>
                <w:rFonts w:ascii="宋体" w:hAnsi="宋体" w:cs="宋体" w:eastAsia="宋体" w:hint="default"/>
                <w:sz w:val="18"/>
                <w:szCs w:val="18"/>
              </w:rPr>
            </w:pPr>
            <w:r>
              <w:rPr>
                <w:rFonts w:ascii="宋体"/>
                <w:sz w:val="18"/>
              </w:rPr>
              <w:t>22.04</w:t>
            </w:r>
          </w:p>
        </w:tc>
      </w:tr>
    </w:tbl>
    <w:p>
      <w:pPr>
        <w:spacing w:line="240" w:lineRule="auto" w:before="13"/>
        <w:rPr>
          <w:rFonts w:ascii="宋体" w:hAnsi="宋体" w:cs="宋体" w:eastAsia="宋体" w:hint="default"/>
          <w:sz w:val="5"/>
          <w:szCs w:val="5"/>
        </w:rPr>
      </w:pPr>
    </w:p>
    <w:p>
      <w:pPr>
        <w:pStyle w:val="BodyText"/>
        <w:spacing w:line="240" w:lineRule="auto" w:before="35"/>
        <w:ind w:left="1257" w:right="1282"/>
        <w:jc w:val="left"/>
      </w:pPr>
      <w:r>
        <w:rPr/>
        <w:t>2.</w:t>
      </w:r>
      <w:r>
        <w:rPr>
          <w:spacing w:val="-2"/>
        </w:rPr>
        <w:t> </w:t>
      </w:r>
      <w:r>
        <w:rPr/>
        <w:t>子公司信息详见本财务报表附注五（一）之说明。</w:t>
      </w:r>
    </w:p>
    <w:p>
      <w:pPr>
        <w:pStyle w:val="BodyText"/>
        <w:spacing w:line="240" w:lineRule="auto"/>
        <w:ind w:left="1257" w:right="6784"/>
        <w:jc w:val="left"/>
      </w:pPr>
      <w:r>
        <w:rPr/>
        <w:t>3.</w:t>
      </w:r>
      <w:r>
        <w:rPr>
          <w:spacing w:val="-2"/>
        </w:rPr>
        <w:t> </w:t>
      </w:r>
      <w:r>
        <w:rPr/>
        <w:t>合营、联营企业</w:t>
      </w:r>
    </w:p>
    <w:p>
      <w:pPr>
        <w:spacing w:after="0" w:line="240" w:lineRule="auto"/>
        <w:jc w:val="left"/>
        <w:sectPr>
          <w:pgSz w:w="11910" w:h="16840"/>
          <w:pgMar w:header="0" w:footer="1263" w:top="1360" w:bottom="1460" w:left="960" w:right="260"/>
        </w:sectPr>
      </w:pPr>
    </w:p>
    <w:p>
      <w:pPr>
        <w:pStyle w:val="BodyText"/>
        <w:spacing w:line="240" w:lineRule="auto" w:before="13"/>
        <w:ind w:left="1257" w:right="6784"/>
        <w:jc w:val="left"/>
      </w:pPr>
      <w:r>
        <w:rPr/>
        <w:t>1) 基本情况</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700"/>
        <w:gridCol w:w="1080"/>
        <w:gridCol w:w="1440"/>
        <w:gridCol w:w="1440"/>
        <w:gridCol w:w="1500"/>
        <w:gridCol w:w="1080"/>
        <w:gridCol w:w="1200"/>
      </w:tblGrid>
      <w:tr>
        <w:trPr>
          <w:trHeight w:val="63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9" w:right="173" w:hanging="45"/>
              <w:jc w:val="left"/>
              <w:rPr>
                <w:rFonts w:ascii="宋体" w:hAnsi="宋体" w:cs="宋体" w:eastAsia="宋体" w:hint="default"/>
                <w:sz w:val="18"/>
                <w:szCs w:val="18"/>
              </w:rPr>
            </w:pPr>
            <w:r>
              <w:rPr>
                <w:rFonts w:ascii="宋体" w:hAnsi="宋体" w:cs="宋体" w:eastAsia="宋体" w:hint="default"/>
                <w:sz w:val="18"/>
                <w:szCs w:val="18"/>
              </w:rPr>
              <w:t>合计持股 比例(%)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79" w:right="143" w:hanging="135"/>
              <w:jc w:val="left"/>
              <w:rPr>
                <w:rFonts w:ascii="宋体" w:hAnsi="宋体" w:cs="宋体" w:eastAsia="宋体" w:hint="default"/>
                <w:sz w:val="18"/>
                <w:szCs w:val="18"/>
              </w:rPr>
            </w:pPr>
            <w:r>
              <w:rPr>
                <w:rFonts w:ascii="宋体" w:hAnsi="宋体" w:cs="宋体" w:eastAsia="宋体" w:hint="default"/>
                <w:sz w:val="18"/>
                <w:szCs w:val="18"/>
              </w:rPr>
              <w:t>合计表决权 比例(%)</w:t>
            </w:r>
          </w:p>
        </w:tc>
      </w:tr>
      <w:tr>
        <w:trPr>
          <w:trHeight w:val="46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杭州恒生世纪实业有限公司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74718162-0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技术服务,投资</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3" w:right="0"/>
              <w:jc w:val="center"/>
              <w:rPr>
                <w:rFonts w:ascii="宋体" w:hAnsi="宋体" w:cs="宋体" w:eastAsia="宋体" w:hint="default"/>
                <w:sz w:val="18"/>
                <w:szCs w:val="18"/>
              </w:rPr>
            </w:pPr>
            <w:r>
              <w:rPr>
                <w:rFonts w:ascii="宋体"/>
                <w:sz w:val="18"/>
              </w:rPr>
              <w:t>60,000,000.00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49.00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49.00</w:t>
            </w:r>
          </w:p>
        </w:tc>
      </w:tr>
      <w:tr>
        <w:trPr>
          <w:trHeight w:val="46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浙江维尔科技有限公司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71957088-0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3" w:right="0"/>
              <w:jc w:val="center"/>
              <w:rPr>
                <w:rFonts w:ascii="宋体" w:hAnsi="宋体" w:cs="宋体" w:eastAsia="宋体" w:hint="default"/>
                <w:sz w:val="18"/>
                <w:szCs w:val="18"/>
              </w:rPr>
            </w:pPr>
            <w:r>
              <w:rPr>
                <w:rFonts w:ascii="宋体"/>
                <w:sz w:val="18"/>
              </w:rPr>
              <w:t>29,387,756.00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21.00</w:t>
            </w:r>
          </w:p>
        </w:tc>
      </w:tr>
      <w:tr>
        <w:trPr>
          <w:trHeight w:val="46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北京美髯公科技发展有限公司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72147518-8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3" w:right="0"/>
              <w:jc w:val="center"/>
              <w:rPr>
                <w:rFonts w:ascii="宋体" w:hAnsi="宋体" w:cs="宋体" w:eastAsia="宋体" w:hint="default"/>
                <w:sz w:val="18"/>
                <w:szCs w:val="18"/>
              </w:rPr>
            </w:pPr>
            <w:r>
              <w:rPr>
                <w:rFonts w:ascii="宋体"/>
                <w:sz w:val="18"/>
              </w:rPr>
              <w:t>16,708,000.00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26.63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26.63</w:t>
            </w:r>
          </w:p>
        </w:tc>
      </w:tr>
    </w:tbl>
    <w:p>
      <w:pPr>
        <w:spacing w:line="240" w:lineRule="auto" w:before="13"/>
        <w:rPr>
          <w:rFonts w:ascii="宋体" w:hAnsi="宋体" w:cs="宋体" w:eastAsia="宋体" w:hint="default"/>
          <w:sz w:val="5"/>
          <w:szCs w:val="5"/>
        </w:rPr>
      </w:pPr>
    </w:p>
    <w:p>
      <w:pPr>
        <w:pStyle w:val="BodyText"/>
        <w:spacing w:line="240" w:lineRule="auto" w:before="35"/>
        <w:ind w:left="1257" w:right="6784"/>
        <w:jc w:val="left"/>
      </w:pPr>
      <w:r>
        <w:rPr/>
        <w:t>2) 财务信息</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700"/>
        <w:gridCol w:w="1620"/>
        <w:gridCol w:w="1620"/>
        <w:gridCol w:w="1440"/>
        <w:gridCol w:w="1620"/>
        <w:gridCol w:w="1440"/>
      </w:tblGrid>
      <w:tr>
        <w:trPr>
          <w:trHeight w:val="63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625" w:right="443" w:hanging="180"/>
              <w:jc w:val="left"/>
              <w:rPr>
                <w:rFonts w:ascii="宋体" w:hAnsi="宋体" w:cs="宋体" w:eastAsia="宋体" w:hint="default"/>
                <w:sz w:val="18"/>
                <w:szCs w:val="18"/>
              </w:rPr>
            </w:pPr>
            <w:r>
              <w:rPr>
                <w:rFonts w:ascii="宋体" w:hAnsi="宋体" w:cs="宋体" w:eastAsia="宋体" w:hint="default"/>
                <w:sz w:val="18"/>
                <w:szCs w:val="18"/>
              </w:rPr>
              <w:t>期末负债 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625" w:right="173"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715" w:right="173" w:hanging="540"/>
              <w:jc w:val="left"/>
              <w:rPr>
                <w:rFonts w:ascii="宋体" w:hAnsi="宋体" w:cs="宋体" w:eastAsia="宋体" w:hint="default"/>
                <w:sz w:val="18"/>
                <w:szCs w:val="18"/>
              </w:rPr>
            </w:pPr>
            <w:r>
              <w:rPr>
                <w:rFonts w:ascii="宋体" w:hAnsi="宋体" w:cs="宋体" w:eastAsia="宋体" w:hint="default"/>
                <w:sz w:val="18"/>
                <w:szCs w:val="18"/>
              </w:rPr>
              <w:t>本期营业收入总 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445" w:right="443" w:firstLine="90"/>
              <w:jc w:val="left"/>
              <w:rPr>
                <w:rFonts w:ascii="宋体" w:hAnsi="宋体" w:cs="宋体" w:eastAsia="宋体" w:hint="default"/>
                <w:sz w:val="18"/>
                <w:szCs w:val="18"/>
              </w:rPr>
            </w:pPr>
            <w:r>
              <w:rPr>
                <w:rFonts w:ascii="宋体" w:hAnsi="宋体" w:cs="宋体" w:eastAsia="宋体" w:hint="default"/>
                <w:sz w:val="18"/>
                <w:szCs w:val="18"/>
              </w:rPr>
              <w:t>本期 净利润</w:t>
            </w:r>
          </w:p>
        </w:tc>
      </w:tr>
      <w:tr>
        <w:trPr>
          <w:trHeight w:val="46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杭州恒生世纪实业有限公司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231,050,763.22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153,943,404.37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sz w:val="18"/>
              </w:rPr>
              <w:t>77,107,358.85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152,689,936.86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-5,902,571.61</w:t>
            </w:r>
          </w:p>
        </w:tc>
      </w:tr>
      <w:tr>
        <w:trPr>
          <w:trHeight w:val="46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浙江维尔科技有限公司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111,671,477.21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28,681,614.56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sz w:val="18"/>
              </w:rPr>
              <w:t>82,989,862.65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86,299,725.00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14,434,464.10</w:t>
            </w:r>
          </w:p>
        </w:tc>
      </w:tr>
      <w:tr>
        <w:trPr>
          <w:trHeight w:val="46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北京美髯公科技发展有限公司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28,687,273.07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5,760,814.59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sz w:val="18"/>
              </w:rPr>
              <w:t>22,926,458.48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14,238,376.68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2,017,583.90</w:t>
            </w:r>
          </w:p>
        </w:tc>
      </w:tr>
    </w:tbl>
    <w:p>
      <w:pPr>
        <w:spacing w:line="240" w:lineRule="auto" w:before="13"/>
        <w:rPr>
          <w:rFonts w:ascii="宋体" w:hAnsi="宋体" w:cs="宋体" w:eastAsia="宋体" w:hint="default"/>
          <w:sz w:val="5"/>
          <w:szCs w:val="5"/>
        </w:rPr>
      </w:pPr>
    </w:p>
    <w:p>
      <w:pPr>
        <w:pStyle w:val="BodyText"/>
        <w:spacing w:line="240" w:lineRule="auto" w:before="35"/>
        <w:ind w:left="1257" w:right="6784"/>
        <w:jc w:val="left"/>
      </w:pPr>
      <w:r>
        <w:rPr/>
        <w:t>4.</w:t>
      </w:r>
      <w:r>
        <w:rPr>
          <w:spacing w:val="-2"/>
        </w:rPr>
        <w:t> </w:t>
      </w:r>
      <w:r>
        <w:rPr/>
        <w:t>其他关联方</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708"/>
        <w:gridCol w:w="2340"/>
        <w:gridCol w:w="2952"/>
      </w:tblGrid>
      <w:tr>
        <w:trPr>
          <w:trHeight w:val="43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23"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5" w:right="0"/>
              <w:jc w:val="left"/>
              <w:rPr>
                <w:rFonts w:ascii="宋体" w:hAnsi="宋体" w:cs="宋体" w:eastAsia="宋体" w:hint="default"/>
                <w:sz w:val="21"/>
                <w:szCs w:val="21"/>
              </w:rPr>
            </w:pPr>
            <w:r>
              <w:rPr>
                <w:rFonts w:ascii="宋体" w:hAnsi="宋体" w:cs="宋体" w:eastAsia="宋体" w:hint="default"/>
                <w:sz w:val="21"/>
                <w:szCs w:val="21"/>
              </w:rPr>
              <w:t>与本公司的关系</w:t>
            </w:r>
          </w:p>
        </w:tc>
      </w:tr>
      <w:tr>
        <w:trPr>
          <w:trHeight w:val="4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21"/>
                <w:szCs w:val="21"/>
              </w:rPr>
            </w:pPr>
            <w:r>
              <w:rPr>
                <w:rFonts w:ascii="宋体"/>
                <w:sz w:val="21"/>
              </w:rPr>
              <w:t>74349298-2</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4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杭州屹潜软件有限公司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21"/>
                <w:szCs w:val="21"/>
              </w:rPr>
            </w:pPr>
            <w:r>
              <w:rPr>
                <w:rFonts w:ascii="宋体"/>
                <w:sz w:val="21"/>
              </w:rPr>
              <w:t>74347105-7</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43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上海盈合实业投资有限公司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21"/>
                <w:szCs w:val="21"/>
              </w:rPr>
            </w:pPr>
            <w:r>
              <w:rPr>
                <w:rFonts w:ascii="宋体"/>
                <w:sz w:val="21"/>
              </w:rPr>
              <w:t>66437842-8</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5"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4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21"/>
                <w:szCs w:val="21"/>
              </w:rPr>
            </w:pPr>
            <w:r>
              <w:rPr>
                <w:rFonts w:ascii="宋体"/>
                <w:sz w:val="21"/>
              </w:rPr>
              <w:t>77195232-5</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5"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4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九江恒盛置业有限责任公司</w:t>
            </w:r>
          </w:p>
        </w:tc>
        <w:tc>
          <w:tcPr>
            <w:tcW w:w="2340" w:type="dxa"/>
            <w:tcBorders>
              <w:top w:val="single" w:sz="4" w:space="0" w:color="000000"/>
              <w:left w:val="single" w:sz="4" w:space="0" w:color="000000"/>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5" w:right="0"/>
              <w:jc w:val="left"/>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43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长江证券股份有限公司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21"/>
                <w:szCs w:val="21"/>
              </w:rPr>
            </w:pPr>
            <w:r>
              <w:rPr>
                <w:rFonts w:ascii="宋体"/>
                <w:sz w:val="21"/>
              </w:rPr>
              <w:t>70082127-2</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41" w:right="0"/>
              <w:jc w:val="left"/>
              <w:rPr>
                <w:rFonts w:ascii="宋体" w:hAnsi="宋体" w:cs="宋体" w:eastAsia="宋体" w:hint="default"/>
                <w:sz w:val="21"/>
                <w:szCs w:val="21"/>
              </w:rPr>
            </w:pPr>
            <w:r>
              <w:rPr>
                <w:rFonts w:ascii="宋体" w:hAnsi="宋体" w:cs="宋体" w:eastAsia="宋体" w:hint="default"/>
                <w:sz w:val="21"/>
                <w:szCs w:val="21"/>
              </w:rPr>
              <w:t>公司参股企业</w:t>
            </w:r>
          </w:p>
        </w:tc>
      </w:tr>
      <w:tr>
        <w:trPr>
          <w:trHeight w:val="4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杭州恒生普维光电技术有限公司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21"/>
                <w:szCs w:val="21"/>
              </w:rPr>
            </w:pPr>
            <w:r>
              <w:rPr>
                <w:rFonts w:ascii="宋体"/>
                <w:sz w:val="21"/>
              </w:rPr>
              <w:t>74947550-X</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5"/>
              <w:jc w:val="right"/>
              <w:rPr>
                <w:rFonts w:ascii="宋体" w:hAnsi="宋体" w:cs="宋体" w:eastAsia="宋体" w:hint="default"/>
                <w:sz w:val="21"/>
                <w:szCs w:val="21"/>
              </w:rPr>
            </w:pPr>
            <w:r>
              <w:rPr>
                <w:rFonts w:ascii="宋体" w:hAnsi="宋体" w:cs="宋体" w:eastAsia="宋体" w:hint="default"/>
                <w:sz w:val="21"/>
                <w:szCs w:val="21"/>
              </w:rPr>
              <w:t>公司参股企业[注</w:t>
            </w:r>
            <w:r>
              <w:rPr>
                <w:rFonts w:ascii="宋体" w:hAnsi="宋体" w:cs="宋体" w:eastAsia="宋体" w:hint="default"/>
                <w:spacing w:val="-56"/>
                <w:sz w:val="21"/>
                <w:szCs w:val="21"/>
              </w:rPr>
              <w:t> </w:t>
            </w:r>
            <w:r>
              <w:rPr>
                <w:rFonts w:ascii="宋体" w:hAnsi="宋体" w:cs="宋体" w:eastAsia="宋体" w:hint="default"/>
                <w:sz w:val="21"/>
                <w:szCs w:val="21"/>
              </w:rPr>
              <w:t>1]</w:t>
            </w:r>
          </w:p>
        </w:tc>
      </w:tr>
      <w:tr>
        <w:trPr>
          <w:trHeight w:val="43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上海诚丰数码科技有限公司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center"/>
              <w:rPr>
                <w:rFonts w:ascii="宋体" w:hAnsi="宋体" w:cs="宋体" w:eastAsia="宋体" w:hint="default"/>
                <w:sz w:val="21"/>
                <w:szCs w:val="21"/>
              </w:rPr>
            </w:pPr>
            <w:r>
              <w:rPr>
                <w:rFonts w:ascii="宋体"/>
                <w:sz w:val="21"/>
              </w:rPr>
              <w:t>70329108-6</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5"/>
              <w:jc w:val="right"/>
              <w:rPr>
                <w:rFonts w:ascii="宋体" w:hAnsi="宋体" w:cs="宋体" w:eastAsia="宋体" w:hint="default"/>
                <w:sz w:val="21"/>
                <w:szCs w:val="21"/>
              </w:rPr>
            </w:pPr>
            <w:r>
              <w:rPr>
                <w:rFonts w:ascii="宋体" w:hAnsi="宋体" w:cs="宋体" w:eastAsia="宋体" w:hint="default"/>
                <w:sz w:val="21"/>
                <w:szCs w:val="21"/>
              </w:rPr>
              <w:t>公司联营企业[注</w:t>
            </w:r>
            <w:r>
              <w:rPr>
                <w:rFonts w:ascii="宋体" w:hAnsi="宋体" w:cs="宋体" w:eastAsia="宋体" w:hint="default"/>
                <w:spacing w:val="-56"/>
                <w:sz w:val="21"/>
                <w:szCs w:val="21"/>
              </w:rPr>
              <w:t> </w:t>
            </w:r>
            <w:r>
              <w:rPr>
                <w:rFonts w:ascii="宋体" w:hAnsi="宋体" w:cs="宋体" w:eastAsia="宋体" w:hint="default"/>
                <w:sz w:val="21"/>
                <w:szCs w:val="21"/>
              </w:rPr>
              <w:t>2]</w:t>
            </w:r>
          </w:p>
        </w:tc>
      </w:tr>
    </w:tbl>
    <w:p>
      <w:pPr>
        <w:spacing w:line="240" w:lineRule="auto" w:before="13"/>
        <w:rPr>
          <w:rFonts w:ascii="宋体" w:hAnsi="宋体" w:cs="宋体" w:eastAsia="宋体" w:hint="default"/>
          <w:sz w:val="5"/>
          <w:szCs w:val="5"/>
        </w:rPr>
      </w:pPr>
    </w:p>
    <w:p>
      <w:pPr>
        <w:pStyle w:val="BodyText"/>
        <w:spacing w:line="240" w:lineRule="auto" w:before="35"/>
        <w:ind w:left="1257" w:right="0"/>
        <w:jc w:val="left"/>
      </w:pPr>
      <w:r>
        <w:rPr/>
        <w:t>[注</w:t>
      </w:r>
      <w:r>
        <w:rPr>
          <w:spacing w:val="-59"/>
        </w:rPr>
        <w:t> </w:t>
      </w:r>
      <w:r>
        <w:rPr>
          <w:spacing w:val="-5"/>
        </w:rPr>
        <w:t>1]：公司于</w:t>
      </w:r>
      <w:r>
        <w:rPr>
          <w:spacing w:val="-59"/>
        </w:rPr>
        <w:t> </w:t>
      </w:r>
      <w:r>
        <w:rPr/>
        <w:t>2006</w:t>
      </w:r>
      <w:r>
        <w:rPr>
          <w:spacing w:val="-58"/>
        </w:rPr>
        <w:t> </w:t>
      </w:r>
      <w:r>
        <w:rPr/>
        <w:t>年</w:t>
      </w:r>
      <w:r>
        <w:rPr>
          <w:spacing w:val="-59"/>
        </w:rPr>
        <w:t> </w:t>
      </w:r>
      <w:r>
        <w:rPr/>
        <w:t>11</w:t>
      </w:r>
      <w:r>
        <w:rPr>
          <w:spacing w:val="-58"/>
        </w:rPr>
        <w:t> </w:t>
      </w:r>
      <w:r>
        <w:rPr/>
        <w:t>月转让杭州恒生普维光电技术有限公司的股权，该公司在</w:t>
      </w:r>
      <w:r>
        <w:rPr>
          <w:spacing w:val="-59"/>
        </w:rPr>
        <w:t> </w:t>
      </w:r>
      <w:r>
        <w:rPr/>
        <w:t>2006</w:t>
      </w:r>
    </w:p>
    <w:p>
      <w:pPr>
        <w:pStyle w:val="BodyText"/>
        <w:spacing w:line="240" w:lineRule="auto"/>
        <w:ind w:left="824" w:right="7208"/>
        <w:jc w:val="center"/>
      </w:pPr>
      <w:r>
        <w:rPr/>
        <w:t>年</w:t>
      </w:r>
      <w:r>
        <w:rPr>
          <w:spacing w:val="-59"/>
        </w:rPr>
        <w:t> </w:t>
      </w:r>
      <w:r>
        <w:rPr/>
        <w:t>1-11</w:t>
      </w:r>
      <w:r>
        <w:rPr>
          <w:spacing w:val="-59"/>
        </w:rPr>
        <w:t> </w:t>
      </w:r>
      <w:r>
        <w:rPr/>
        <w:t>月为本公司关联方。</w:t>
      </w:r>
    </w:p>
    <w:p>
      <w:pPr>
        <w:pStyle w:val="BodyText"/>
        <w:spacing w:line="367" w:lineRule="auto"/>
        <w:ind w:left="837" w:right="1290" w:firstLine="420"/>
        <w:jc w:val="left"/>
      </w:pPr>
      <w:r>
        <w:rPr/>
        <w:t>[注</w:t>
      </w:r>
      <w:r>
        <w:rPr>
          <w:spacing w:val="-41"/>
        </w:rPr>
        <w:t> </w:t>
      </w:r>
      <w:r>
        <w:rPr/>
        <w:t>2]：公司于</w:t>
      </w:r>
      <w:r>
        <w:rPr>
          <w:spacing w:val="-41"/>
        </w:rPr>
        <w:t> </w:t>
      </w:r>
      <w:r>
        <w:rPr/>
        <w:t>2006</w:t>
      </w:r>
      <w:r>
        <w:rPr>
          <w:spacing w:val="-40"/>
        </w:rPr>
        <w:t> </w:t>
      </w:r>
      <w:r>
        <w:rPr/>
        <w:t>年</w:t>
      </w:r>
      <w:r>
        <w:rPr>
          <w:spacing w:val="-40"/>
        </w:rPr>
        <w:t> </w:t>
      </w:r>
      <w:r>
        <w:rPr/>
        <w:t>12</w:t>
      </w:r>
      <w:r>
        <w:rPr>
          <w:spacing w:val="-40"/>
        </w:rPr>
        <w:t> </w:t>
      </w:r>
      <w:r>
        <w:rPr/>
        <w:t>月转让上海诚丰数码科技有限公司的股权，该公司在</w:t>
      </w:r>
      <w:r>
        <w:rPr>
          <w:spacing w:val="-40"/>
        </w:rPr>
        <w:t> </w:t>
      </w:r>
      <w:r>
        <w:rPr/>
        <w:t>2006</w:t>
      </w:r>
      <w:r>
        <w:rPr>
          <w:spacing w:val="-41"/>
        </w:rPr>
        <w:t> </w:t>
      </w:r>
      <w:r>
        <w:rPr/>
        <w:t>年</w:t>
      </w:r>
      <w:r>
        <w:rPr/>
        <w:t> 度系本公司关联方。</w:t>
      </w:r>
    </w:p>
    <w:p>
      <w:pPr>
        <w:pStyle w:val="BodyText"/>
        <w:spacing w:line="240" w:lineRule="auto" w:before="34"/>
        <w:ind w:left="1244" w:right="6784"/>
        <w:jc w:val="left"/>
      </w:pPr>
      <w:r>
        <w:rPr/>
        <w:t>(三)</w:t>
      </w:r>
      <w:r>
        <w:rPr>
          <w:spacing w:val="-2"/>
        </w:rPr>
        <w:t> </w:t>
      </w:r>
      <w:r>
        <w:rPr/>
        <w:t>关联方交易情况</w:t>
      </w:r>
    </w:p>
    <w:p>
      <w:pPr>
        <w:pStyle w:val="BodyText"/>
        <w:spacing w:line="240" w:lineRule="auto"/>
        <w:ind w:left="1244" w:right="1282"/>
        <w:jc w:val="left"/>
      </w:pPr>
      <w:r>
        <w:rPr/>
        <w:t>1.</w:t>
      </w:r>
      <w:r>
        <w:rPr>
          <w:spacing w:val="-2"/>
        </w:rPr>
        <w:t> </w:t>
      </w:r>
      <w:r>
        <w:rPr/>
        <w:t>母公司报表的关联方交易情况</w:t>
      </w:r>
    </w:p>
    <w:p>
      <w:pPr>
        <w:pStyle w:val="BodyText"/>
        <w:spacing w:line="240" w:lineRule="auto"/>
        <w:ind w:left="1244" w:right="6784"/>
        <w:jc w:val="left"/>
      </w:pPr>
      <w:r>
        <w:rPr/>
        <w:t>(1)</w:t>
      </w:r>
      <w:r>
        <w:rPr>
          <w:spacing w:val="-2"/>
        </w:rPr>
        <w:t> </w:t>
      </w:r>
      <w:r>
        <w:rPr/>
        <w:t>采购货物</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80"/>
        <w:gridCol w:w="1498"/>
        <w:gridCol w:w="1232"/>
        <w:gridCol w:w="768"/>
        <w:gridCol w:w="1542"/>
        <w:gridCol w:w="1216"/>
        <w:gridCol w:w="775"/>
      </w:tblGrid>
      <w:tr>
        <w:trPr>
          <w:trHeight w:val="463"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553" w:right="1865" w:hanging="90"/>
              <w:jc w:val="left"/>
              <w:rPr>
                <w:rFonts w:ascii="宋体" w:hAnsi="宋体" w:cs="宋体" w:eastAsia="宋体" w:hint="default"/>
                <w:sz w:val="18"/>
                <w:szCs w:val="18"/>
              </w:rPr>
            </w:pPr>
            <w:r>
              <w:rPr>
                <w:rFonts w:ascii="宋体" w:hAnsi="宋体" w:cs="宋体" w:eastAsia="宋体" w:hint="default"/>
                <w:sz w:val="18"/>
                <w:szCs w:val="18"/>
              </w:rPr>
              <w:t>关联方 名称</w:t>
            </w:r>
          </w:p>
        </w:tc>
        <w:tc>
          <w:tcPr>
            <w:tcW w:w="3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2880"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hanging="45"/>
              <w:jc w:val="left"/>
              <w:rPr>
                <w:rFonts w:ascii="宋体" w:hAnsi="宋体" w:cs="宋体" w:eastAsia="宋体" w:hint="default"/>
                <w:sz w:val="18"/>
                <w:szCs w:val="18"/>
              </w:rPr>
            </w:pPr>
            <w:r>
              <w:rPr>
                <w:rFonts w:ascii="宋体" w:hAnsi="宋体" w:cs="宋体" w:eastAsia="宋体" w:hint="default"/>
                <w:sz w:val="18"/>
                <w:szCs w:val="18"/>
              </w:rPr>
              <w:t>占同类购货业</w:t>
            </w:r>
          </w:p>
          <w:p>
            <w:pPr>
              <w:pStyle w:val="TableParagraph"/>
              <w:spacing w:line="235" w:lineRule="exact"/>
              <w:ind w:left="153" w:right="0"/>
              <w:jc w:val="left"/>
              <w:rPr>
                <w:rFonts w:ascii="宋体" w:hAnsi="宋体" w:cs="宋体" w:eastAsia="宋体" w:hint="default"/>
                <w:sz w:val="18"/>
                <w:szCs w:val="18"/>
              </w:rPr>
            </w:pPr>
            <w:r>
              <w:rPr>
                <w:rFonts w:ascii="宋体" w:hAnsi="宋体" w:cs="宋体" w:eastAsia="宋体" w:hint="default"/>
                <w:sz w:val="18"/>
                <w:szCs w:val="18"/>
              </w:rPr>
              <w:t>务的比例(%)</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4"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35" w:lineRule="exact"/>
              <w:ind w:left="224" w:right="0"/>
              <w:jc w:val="left"/>
              <w:rPr>
                <w:rFonts w:ascii="宋体" w:hAnsi="宋体" w:cs="宋体" w:eastAsia="宋体" w:hint="default"/>
                <w:sz w:val="18"/>
                <w:szCs w:val="18"/>
              </w:rPr>
            </w:pPr>
            <w:r>
              <w:rPr>
                <w:rFonts w:ascii="宋体" w:hAnsi="宋体" w:cs="宋体" w:eastAsia="宋体" w:hint="default"/>
                <w:sz w:val="18"/>
                <w:szCs w:val="18"/>
              </w:rPr>
              <w:t>政策</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hanging="45"/>
              <w:jc w:val="left"/>
              <w:rPr>
                <w:rFonts w:ascii="宋体" w:hAnsi="宋体" w:cs="宋体" w:eastAsia="宋体" w:hint="default"/>
                <w:sz w:val="18"/>
                <w:szCs w:val="18"/>
              </w:rPr>
            </w:pPr>
            <w:r>
              <w:rPr>
                <w:rFonts w:ascii="宋体" w:hAnsi="宋体" w:cs="宋体" w:eastAsia="宋体" w:hint="default"/>
                <w:sz w:val="18"/>
                <w:szCs w:val="18"/>
              </w:rPr>
              <w:t>占同类购货业</w:t>
            </w:r>
          </w:p>
          <w:p>
            <w:pPr>
              <w:pStyle w:val="TableParagraph"/>
              <w:spacing w:line="235" w:lineRule="exact"/>
              <w:ind w:left="160" w:right="0"/>
              <w:jc w:val="left"/>
              <w:rPr>
                <w:rFonts w:ascii="宋体" w:hAnsi="宋体" w:cs="宋体" w:eastAsia="宋体" w:hint="default"/>
                <w:sz w:val="18"/>
                <w:szCs w:val="18"/>
              </w:rPr>
            </w:pPr>
            <w:r>
              <w:rPr>
                <w:rFonts w:ascii="宋体" w:hAnsi="宋体" w:cs="宋体" w:eastAsia="宋体" w:hint="default"/>
                <w:sz w:val="18"/>
                <w:szCs w:val="18"/>
              </w:rPr>
              <w:t>务的比例(%)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2"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35" w:lineRule="exact"/>
              <w:ind w:left="202" w:right="0"/>
              <w:jc w:val="left"/>
              <w:rPr>
                <w:rFonts w:ascii="宋体" w:hAnsi="宋体" w:cs="宋体" w:eastAsia="宋体" w:hint="default"/>
                <w:sz w:val="18"/>
                <w:szCs w:val="18"/>
              </w:rPr>
            </w:pPr>
            <w:r>
              <w:rPr>
                <w:rFonts w:ascii="宋体" w:hAnsi="宋体" w:cs="宋体" w:eastAsia="宋体" w:hint="default"/>
                <w:sz w:val="18"/>
                <w:szCs w:val="18"/>
              </w:rPr>
              <w:t>政策</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4" w:right="0"/>
              <w:jc w:val="left"/>
              <w:rPr>
                <w:rFonts w:ascii="宋体" w:hAnsi="宋体" w:cs="宋体" w:eastAsia="宋体" w:hint="default"/>
                <w:sz w:val="18"/>
                <w:szCs w:val="18"/>
              </w:rPr>
            </w:pPr>
            <w:r>
              <w:rPr>
                <w:rFonts w:ascii="宋体"/>
                <w:sz w:val="18"/>
              </w:rPr>
              <w:t>10,237,500.03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9" w:right="0"/>
              <w:jc w:val="left"/>
              <w:rPr>
                <w:rFonts w:ascii="宋体" w:hAnsi="宋体" w:cs="宋体" w:eastAsia="宋体" w:hint="default"/>
                <w:sz w:val="18"/>
                <w:szCs w:val="18"/>
              </w:rPr>
            </w:pPr>
            <w:r>
              <w:rPr>
                <w:rFonts w:ascii="宋体"/>
                <w:sz w:val="18"/>
              </w:rPr>
              <w:t>24.83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9" w:right="0"/>
              <w:jc w:val="left"/>
              <w:rPr>
                <w:rFonts w:ascii="宋体" w:hAnsi="宋体" w:cs="宋体" w:eastAsia="宋体" w:hint="default"/>
                <w:sz w:val="18"/>
                <w:szCs w:val="18"/>
              </w:rPr>
            </w:pPr>
            <w:r>
              <w:rPr>
                <w:rFonts w:ascii="宋体"/>
                <w:sz w:val="18"/>
              </w:rPr>
              <w:t>7,837,228.21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51" w:right="0"/>
              <w:jc w:val="left"/>
              <w:rPr>
                <w:rFonts w:ascii="宋体" w:hAnsi="宋体" w:cs="宋体" w:eastAsia="宋体" w:hint="default"/>
                <w:sz w:val="18"/>
                <w:szCs w:val="18"/>
              </w:rPr>
            </w:pPr>
            <w:r>
              <w:rPr>
                <w:rFonts w:ascii="宋体"/>
                <w:sz w:val="18"/>
              </w:rPr>
              <w:t>19.09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市场价</w:t>
            </w:r>
          </w:p>
        </w:tc>
      </w:tr>
    </w:tbl>
    <w:p>
      <w:pPr>
        <w:spacing w:after="0" w:line="240" w:lineRule="auto"/>
        <w:jc w:val="left"/>
        <w:rPr>
          <w:rFonts w:ascii="宋体" w:hAnsi="宋体" w:cs="宋体" w:eastAsia="宋体" w:hint="default"/>
          <w:sz w:val="18"/>
          <w:szCs w:val="18"/>
        </w:rPr>
        <w:sectPr>
          <w:pgSz w:w="11910" w:h="16840"/>
          <w:pgMar w:header="0" w:footer="1263" w:top="1540" w:bottom="1460" w:left="960" w:right="26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2880"/>
        <w:gridCol w:w="1498"/>
        <w:gridCol w:w="1232"/>
        <w:gridCol w:w="768"/>
        <w:gridCol w:w="1542"/>
        <w:gridCol w:w="1216"/>
        <w:gridCol w:w="775"/>
      </w:tblGrid>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杭州恒生信息技术有限公司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598,717.95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378,333.34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0.92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r>
      <w:tr>
        <w:trPr>
          <w:trHeight w:val="46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杭州恒生数字设备科技有限公司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2"/>
              <w:jc w:val="right"/>
              <w:rPr>
                <w:rFonts w:ascii="宋体" w:hAnsi="宋体" w:cs="宋体" w:eastAsia="宋体" w:hint="default"/>
                <w:sz w:val="18"/>
                <w:szCs w:val="18"/>
              </w:rPr>
            </w:pPr>
            <w:r>
              <w:rPr>
                <w:rFonts w:ascii="宋体"/>
                <w:sz w:val="18"/>
              </w:rPr>
              <w:t>387,200.00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7.60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285,452.99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0.70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上海诚丰数码科技有限公司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11,794.87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0.89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42"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11,235,212.85</w:t>
            </w:r>
          </w:p>
        </w:tc>
        <w:tc>
          <w:tcPr>
            <w:tcW w:w="123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8,501,014.54</w:t>
            </w:r>
          </w:p>
        </w:tc>
        <w:tc>
          <w:tcPr>
            <w:tcW w:w="121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240" w:lineRule="auto" w:before="35"/>
        <w:ind w:left="1244" w:right="740"/>
        <w:jc w:val="left"/>
      </w:pPr>
      <w:r>
        <w:rPr/>
        <w:t>(2)</w:t>
      </w:r>
      <w:r>
        <w:rPr>
          <w:spacing w:val="-2"/>
        </w:rPr>
        <w:t> </w:t>
      </w:r>
      <w:r>
        <w:rPr/>
        <w:t>销售货物</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80"/>
        <w:gridCol w:w="1620"/>
        <w:gridCol w:w="1231"/>
        <w:gridCol w:w="768"/>
        <w:gridCol w:w="1241"/>
        <w:gridCol w:w="1217"/>
        <w:gridCol w:w="943"/>
      </w:tblGrid>
      <w:tr>
        <w:trPr>
          <w:trHeight w:val="464"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53" w:right="1865" w:hanging="90"/>
              <w:jc w:val="left"/>
              <w:rPr>
                <w:rFonts w:ascii="宋体" w:hAnsi="宋体" w:cs="宋体" w:eastAsia="宋体" w:hint="default"/>
                <w:sz w:val="18"/>
                <w:szCs w:val="18"/>
              </w:rPr>
            </w:pPr>
            <w:r>
              <w:rPr>
                <w:rFonts w:ascii="宋体" w:hAnsi="宋体" w:cs="宋体" w:eastAsia="宋体" w:hint="default"/>
                <w:sz w:val="18"/>
                <w:szCs w:val="18"/>
              </w:rPr>
              <w:t>关联方 名称</w:t>
            </w:r>
          </w:p>
        </w:tc>
        <w:tc>
          <w:tcPr>
            <w:tcW w:w="36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6" w:hRule="exact"/>
        </w:trPr>
        <w:tc>
          <w:tcPr>
            <w:tcW w:w="288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hanging="46"/>
              <w:jc w:val="left"/>
              <w:rPr>
                <w:rFonts w:ascii="宋体" w:hAnsi="宋体" w:cs="宋体" w:eastAsia="宋体" w:hint="default"/>
                <w:sz w:val="18"/>
                <w:szCs w:val="18"/>
              </w:rPr>
            </w:pPr>
            <w:r>
              <w:rPr>
                <w:rFonts w:ascii="宋体" w:hAnsi="宋体" w:cs="宋体" w:eastAsia="宋体" w:hint="default"/>
                <w:sz w:val="18"/>
                <w:szCs w:val="18"/>
              </w:rPr>
              <w:t>占同类销货业</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务的比例(%)</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4"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34" w:lineRule="exact"/>
              <w:ind w:left="224" w:right="0"/>
              <w:jc w:val="left"/>
              <w:rPr>
                <w:rFonts w:ascii="宋体" w:hAnsi="宋体" w:cs="宋体" w:eastAsia="宋体" w:hint="default"/>
                <w:sz w:val="18"/>
                <w:szCs w:val="18"/>
              </w:rPr>
            </w:pPr>
            <w:r>
              <w:rPr>
                <w:rFonts w:ascii="宋体" w:hAnsi="宋体" w:cs="宋体" w:eastAsia="宋体" w:hint="default"/>
                <w:sz w:val="18"/>
                <w:szCs w:val="18"/>
              </w:rPr>
              <w:t>政策</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hanging="46"/>
              <w:jc w:val="left"/>
              <w:rPr>
                <w:rFonts w:ascii="宋体" w:hAnsi="宋体" w:cs="宋体" w:eastAsia="宋体" w:hint="default"/>
                <w:sz w:val="18"/>
                <w:szCs w:val="18"/>
              </w:rPr>
            </w:pPr>
            <w:r>
              <w:rPr>
                <w:rFonts w:ascii="宋体" w:hAnsi="宋体" w:cs="宋体" w:eastAsia="宋体" w:hint="default"/>
                <w:sz w:val="18"/>
                <w:szCs w:val="18"/>
              </w:rPr>
              <w:t>占同类销货业</w:t>
            </w:r>
          </w:p>
          <w:p>
            <w:pPr>
              <w:pStyle w:val="TableParagraph"/>
              <w:spacing w:line="234" w:lineRule="exact"/>
              <w:ind w:left="161" w:right="0"/>
              <w:jc w:val="left"/>
              <w:rPr>
                <w:rFonts w:ascii="宋体" w:hAnsi="宋体" w:cs="宋体" w:eastAsia="宋体" w:hint="default"/>
                <w:sz w:val="18"/>
                <w:szCs w:val="18"/>
              </w:rPr>
            </w:pPr>
            <w:r>
              <w:rPr>
                <w:rFonts w:ascii="宋体" w:hAnsi="宋体" w:cs="宋体" w:eastAsia="宋体" w:hint="default"/>
                <w:sz w:val="18"/>
                <w:szCs w:val="18"/>
              </w:rPr>
              <w:t>务的比例(%)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6"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34" w:lineRule="exact"/>
              <w:ind w:left="286" w:right="0"/>
              <w:jc w:val="left"/>
              <w:rPr>
                <w:rFonts w:ascii="宋体" w:hAnsi="宋体" w:cs="宋体" w:eastAsia="宋体" w:hint="default"/>
                <w:sz w:val="18"/>
                <w:szCs w:val="18"/>
              </w:rPr>
            </w:pPr>
            <w:r>
              <w:rPr>
                <w:rFonts w:ascii="宋体" w:hAnsi="宋体" w:cs="宋体" w:eastAsia="宋体" w:hint="default"/>
                <w:sz w:val="18"/>
                <w:szCs w:val="18"/>
              </w:rPr>
              <w:t>政策</w:t>
            </w:r>
          </w:p>
        </w:tc>
      </w:tr>
      <w:tr>
        <w:trPr>
          <w:trHeight w:val="47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389,100.00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0.62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4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杭州数米网科技有限公司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124,059.83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1.22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4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杭州恒生数据安全技术有限公司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1,750,000.00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2.78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4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740,765.81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0.82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343,316.75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3.62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市场价</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杭州恒生信息技术有限公司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371,782.07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0.41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4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杭州恒生数字设备科技有限公司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13,504.27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0.01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4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日本恒生软件株式会社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266,780.03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2.46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市场价</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3,389,211.98</w:t>
            </w:r>
          </w:p>
        </w:tc>
        <w:tc>
          <w:tcPr>
            <w:tcW w:w="123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610,096.78</w:t>
            </w:r>
          </w:p>
        </w:tc>
        <w:tc>
          <w:tcPr>
            <w:tcW w:w="121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240" w:lineRule="auto" w:before="35"/>
        <w:ind w:left="1244" w:right="740"/>
        <w:jc w:val="left"/>
      </w:pPr>
      <w:r>
        <w:rPr/>
        <w:t>(3)</w:t>
      </w:r>
      <w:r>
        <w:rPr>
          <w:spacing w:val="-2"/>
        </w:rPr>
        <w:t> </w:t>
      </w:r>
      <w:r>
        <w:rPr/>
        <w:t>关联方未结算项目金额</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240"/>
        <w:gridCol w:w="1620"/>
        <w:gridCol w:w="1800"/>
        <w:gridCol w:w="1620"/>
        <w:gridCol w:w="1620"/>
      </w:tblGrid>
      <w:tr>
        <w:trPr>
          <w:trHeight w:val="464" w:hRule="exact"/>
        </w:trPr>
        <w:tc>
          <w:tcPr>
            <w:tcW w:w="32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项目及关联方名称</w:t>
            </w:r>
          </w:p>
        </w:tc>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4" w:hRule="exact"/>
        </w:trPr>
        <w:tc>
          <w:tcPr>
            <w:tcW w:w="324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 其他应收款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杭州数米网科技有限公司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912,917.22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45,645.86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深圳市恒生科技开发有限公司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2,820,125.00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141,006.25</w:t>
            </w: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杭州恒生世纪实业有限公司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4,485.64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224.28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杭州屹潜软件有限公司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4,329.50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432.95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4,329.50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216.48</w:t>
            </w: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杭州恒生数字设备科技有限公司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360.00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18.00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316.00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15.80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黄大成</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6,196.23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309.81</w:t>
            </w: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  鸿</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50,607.27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2,530.36</w:t>
            </w: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003" w:val="left" w:leader="none"/>
              </w:tabs>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1,022,408.36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98,836.89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2,931,258.00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194,062.90</w:t>
            </w: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 其他应付款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63" w:top="1360" w:bottom="1460" w:left="960" w:right="80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240"/>
        <w:gridCol w:w="1620"/>
        <w:gridCol w:w="1800"/>
        <w:gridCol w:w="1620"/>
        <w:gridCol w:w="1620"/>
      </w:tblGrid>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上海世纪恒生科技有限公司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2,379,257.39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2,379,257.39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南京恒生软件有限公司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618,892.00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618,892.00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35,500.00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北京恒生视讯数字设备科技有限公司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上海诚丰数码科技有限公司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杭州恒生普维光电技术有限公司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10,200.00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10,200.00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1,200.00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北京钱塘恒生科技有限公司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966,013.92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003" w:val="left" w:leader="none"/>
              </w:tabs>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3,095,049.39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3,994,363.31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 预收款项</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九江恒盛置业有限责任公司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003" w:val="left" w:leader="none"/>
              </w:tabs>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240" w:lineRule="auto" w:before="35"/>
        <w:ind w:left="1257" w:right="740"/>
        <w:jc w:val="left"/>
      </w:pPr>
      <w:r>
        <w:rPr/>
        <w:t>(4)</w:t>
      </w:r>
      <w:r>
        <w:rPr>
          <w:spacing w:val="-2"/>
        </w:rPr>
        <w:t> </w:t>
      </w:r>
      <w:r>
        <w:rPr/>
        <w:t>其他关联方交易</w:t>
      </w:r>
    </w:p>
    <w:p>
      <w:pPr>
        <w:pStyle w:val="BodyText"/>
        <w:spacing w:line="240" w:lineRule="auto"/>
        <w:ind w:left="1257" w:right="740"/>
        <w:jc w:val="left"/>
      </w:pPr>
      <w:r>
        <w:rPr/>
        <w:t>1)</w:t>
      </w:r>
      <w:r>
        <w:rPr>
          <w:spacing w:val="-1"/>
        </w:rPr>
        <w:t> </w:t>
      </w:r>
      <w:r>
        <w:rPr/>
        <w:t>担保</w:t>
      </w:r>
    </w:p>
    <w:p>
      <w:pPr>
        <w:pStyle w:val="BodyText"/>
        <w:spacing w:line="367" w:lineRule="auto"/>
        <w:ind w:left="837" w:right="740" w:firstLine="420"/>
        <w:jc w:val="left"/>
      </w:pPr>
      <w:r>
        <w:rPr>
          <w:spacing w:val="5"/>
        </w:rPr>
        <w:t>截至 </w:t>
      </w:r>
      <w:r>
        <w:rPr/>
        <w:t>2007 年 12 月 31</w:t>
      </w:r>
      <w:r>
        <w:rPr>
          <w:spacing w:val="76"/>
        </w:rPr>
        <w:t> </w:t>
      </w:r>
      <w:r>
        <w:rPr>
          <w:spacing w:val="10"/>
        </w:rPr>
        <w:t>日，本公司与关联方之间的担保事项详见本财务报表附注十</w:t>
      </w:r>
      <w:r>
        <w:rPr>
          <w:spacing w:val="10"/>
        </w:rPr>
        <w:t> </w:t>
      </w:r>
      <w:r>
        <w:rPr/>
        <w:t>(三)2(4)1)之说明。</w:t>
      </w:r>
    </w:p>
    <w:p>
      <w:pPr>
        <w:pStyle w:val="BodyText"/>
        <w:spacing w:line="240" w:lineRule="auto" w:before="34"/>
        <w:ind w:left="1257" w:right="740"/>
        <w:jc w:val="left"/>
      </w:pPr>
      <w:r>
        <w:rPr/>
        <w:t>2)</w:t>
      </w:r>
      <w:r>
        <w:rPr>
          <w:spacing w:val="-1"/>
        </w:rPr>
        <w:t> </w:t>
      </w:r>
      <w:r>
        <w:rPr/>
        <w:t>租赁</w:t>
      </w:r>
    </w:p>
    <w:p>
      <w:pPr>
        <w:pStyle w:val="BodyText"/>
        <w:spacing w:line="367" w:lineRule="auto"/>
        <w:ind w:left="837" w:right="740" w:firstLine="420"/>
        <w:jc w:val="left"/>
      </w:pPr>
      <w:r>
        <w:rPr/>
        <w:t>①</w:t>
      </w:r>
      <w:r>
        <w:rPr>
          <w:spacing w:val="19"/>
        </w:rPr>
        <w:t> </w:t>
      </w:r>
      <w:r>
        <w:rPr>
          <w:spacing w:val="-5"/>
        </w:rPr>
        <w:t>根据公司与关联方杭州恒生数字设备科技有限公司签订的《租赁合同》，公司将拥有的</w:t>
      </w:r>
      <w:r>
        <w:rPr/>
        <w:t> </w:t>
      </w:r>
      <w:r>
        <w:rPr>
          <w:spacing w:val="-7"/>
        </w:rPr>
        <w:t>杭州昌地·火炬大厦</w:t>
      </w:r>
      <w:r>
        <w:rPr>
          <w:spacing w:val="-53"/>
        </w:rPr>
        <w:t> </w:t>
      </w:r>
      <w:r>
        <w:rPr/>
        <w:t>2</w:t>
      </w:r>
      <w:r>
        <w:rPr>
          <w:spacing w:val="-52"/>
        </w:rPr>
        <w:t> </w:t>
      </w:r>
      <w:r>
        <w:rPr/>
        <w:t>号楼第</w:t>
      </w:r>
      <w:r>
        <w:rPr>
          <w:spacing w:val="-53"/>
        </w:rPr>
        <w:t> </w:t>
      </w:r>
      <w:r>
        <w:rPr/>
        <w:t>9</w:t>
      </w:r>
      <w:r>
        <w:rPr>
          <w:spacing w:val="-52"/>
        </w:rPr>
        <w:t> </w:t>
      </w:r>
      <w:r>
        <w:rPr/>
        <w:t>层东区的写字楼出租给杭州恒生数字设备科技有限公司作为办</w:t>
      </w:r>
    </w:p>
    <w:p>
      <w:pPr>
        <w:pStyle w:val="BodyText"/>
        <w:spacing w:line="240" w:lineRule="auto" w:before="34"/>
        <w:ind w:left="837" w:right="0"/>
        <w:jc w:val="left"/>
      </w:pPr>
      <w:r>
        <w:rPr/>
        <w:t>公场所，租赁期自</w:t>
      </w:r>
      <w:r>
        <w:rPr>
          <w:spacing w:val="-57"/>
        </w:rPr>
        <w:t> </w:t>
      </w:r>
      <w:r>
        <w:rPr/>
        <w:t>2007</w:t>
      </w:r>
      <w:r>
        <w:rPr>
          <w:spacing w:val="-57"/>
        </w:rPr>
        <w:t> </w:t>
      </w:r>
      <w:r>
        <w:rPr/>
        <w:t>年</w:t>
      </w:r>
      <w:r>
        <w:rPr>
          <w:spacing w:val="-57"/>
        </w:rPr>
        <w:t> </w:t>
      </w:r>
      <w:r>
        <w:rPr/>
        <w:t>1</w:t>
      </w:r>
      <w:r>
        <w:rPr>
          <w:spacing w:val="-56"/>
        </w:rPr>
        <w:t> </w:t>
      </w:r>
      <w:r>
        <w:rPr/>
        <w:t>月起至</w:t>
      </w:r>
      <w:r>
        <w:rPr>
          <w:spacing w:val="-58"/>
        </w:rPr>
        <w:t> </w:t>
      </w:r>
      <w:r>
        <w:rPr/>
        <w:t>2007</w:t>
      </w:r>
      <w:r>
        <w:rPr>
          <w:spacing w:val="-56"/>
        </w:rPr>
        <w:t> </w:t>
      </w:r>
      <w:r>
        <w:rPr/>
        <w:t>年</w:t>
      </w:r>
      <w:r>
        <w:rPr>
          <w:spacing w:val="-58"/>
        </w:rPr>
        <w:t> </w:t>
      </w:r>
      <w:r>
        <w:rPr/>
        <w:t>12</w:t>
      </w:r>
      <w:r>
        <w:rPr>
          <w:spacing w:val="-56"/>
        </w:rPr>
        <w:t> </w:t>
      </w:r>
      <w:r>
        <w:rPr/>
        <w:t>月止，公司本期确认租赁收入</w:t>
      </w:r>
      <w:r>
        <w:rPr>
          <w:spacing w:val="-57"/>
        </w:rPr>
        <w:t> </w:t>
      </w:r>
      <w:r>
        <w:rPr/>
        <w:t>208,741.00</w:t>
      </w:r>
      <w:r>
        <w:rPr>
          <w:spacing w:val="-56"/>
        </w:rPr>
        <w:t> </w:t>
      </w:r>
      <w:r>
        <w:rPr/>
        <w:t>元，</w:t>
      </w:r>
    </w:p>
    <w:p>
      <w:pPr>
        <w:pStyle w:val="BodyText"/>
        <w:spacing w:line="240" w:lineRule="auto"/>
        <w:ind w:left="837" w:right="740"/>
        <w:jc w:val="left"/>
      </w:pPr>
      <w:r>
        <w:rPr/>
        <w:t>上年同期数为</w:t>
      </w:r>
      <w:r>
        <w:rPr>
          <w:spacing w:val="-61"/>
        </w:rPr>
        <w:t> </w:t>
      </w:r>
      <w:r>
        <w:rPr/>
        <w:t>263,259.69</w:t>
      </w:r>
      <w:r>
        <w:rPr>
          <w:spacing w:val="-61"/>
        </w:rPr>
        <w:t> </w:t>
      </w:r>
      <w:r>
        <w:rPr/>
        <w:t>元。</w:t>
      </w:r>
    </w:p>
    <w:p>
      <w:pPr>
        <w:pStyle w:val="BodyText"/>
        <w:spacing w:line="367" w:lineRule="auto"/>
        <w:ind w:left="837" w:right="743" w:firstLine="420"/>
        <w:jc w:val="left"/>
      </w:pPr>
      <w:r>
        <w:rPr/>
        <w:t>②</w:t>
      </w:r>
      <w:r>
        <w:rPr>
          <w:spacing w:val="19"/>
        </w:rPr>
        <w:t> </w:t>
      </w:r>
      <w:r>
        <w:rPr>
          <w:spacing w:val="-5"/>
        </w:rPr>
        <w:t>根据公司与控股子公司杭州恒生科技有限公司签订的《房屋租赁合同》，公司将拥有的</w:t>
      </w:r>
      <w:r>
        <w:rPr/>
        <w:t> 杭州市西湖区文三路</w:t>
      </w:r>
      <w:r>
        <w:rPr>
          <w:spacing w:val="-61"/>
        </w:rPr>
        <w:t> </w:t>
      </w:r>
      <w:r>
        <w:rPr/>
        <w:t>259</w:t>
      </w:r>
      <w:r>
        <w:rPr>
          <w:spacing w:val="-60"/>
        </w:rPr>
        <w:t> </w:t>
      </w:r>
      <w:r>
        <w:rPr/>
        <w:t>号昌地火炬大厦</w:t>
      </w:r>
      <w:r>
        <w:rPr>
          <w:spacing w:val="-61"/>
        </w:rPr>
        <w:t> </w:t>
      </w:r>
      <w:r>
        <w:rPr/>
        <w:t>B</w:t>
      </w:r>
      <w:r>
        <w:rPr>
          <w:spacing w:val="-62"/>
        </w:rPr>
        <w:t> </w:t>
      </w:r>
      <w:r>
        <w:rPr/>
        <w:t>幢</w:t>
      </w:r>
      <w:r>
        <w:rPr>
          <w:spacing w:val="-62"/>
        </w:rPr>
        <w:t> </w:t>
      </w:r>
      <w:r>
        <w:rPr/>
        <w:t>2</w:t>
      </w:r>
      <w:r>
        <w:rPr>
          <w:spacing w:val="-62"/>
        </w:rPr>
        <w:t> </w:t>
      </w:r>
      <w:r>
        <w:rPr/>
        <w:t>号</w:t>
      </w:r>
      <w:r>
        <w:rPr>
          <w:spacing w:val="-61"/>
        </w:rPr>
        <w:t> </w:t>
      </w:r>
      <w:r>
        <w:rPr/>
        <w:t>9</w:t>
      </w:r>
      <w:r>
        <w:rPr>
          <w:spacing w:val="-60"/>
        </w:rPr>
        <w:t> </w:t>
      </w:r>
      <w:r>
        <w:rPr/>
        <w:t>层的房产出租给杭州恒生科技有限公司作</w:t>
      </w:r>
    </w:p>
    <w:p>
      <w:pPr>
        <w:pStyle w:val="BodyText"/>
        <w:spacing w:line="240" w:lineRule="auto" w:before="34"/>
        <w:ind w:left="837" w:right="740"/>
        <w:jc w:val="left"/>
      </w:pPr>
      <w:r>
        <w:rPr/>
        <w:t>为办公场所，租赁期自</w:t>
      </w:r>
      <w:r>
        <w:rPr>
          <w:spacing w:val="-59"/>
        </w:rPr>
        <w:t> </w:t>
      </w:r>
      <w:r>
        <w:rPr/>
        <w:t>2007</w:t>
      </w:r>
      <w:r>
        <w:rPr>
          <w:spacing w:val="-58"/>
        </w:rPr>
        <w:t> </w:t>
      </w:r>
      <w:r>
        <w:rPr/>
        <w:t>年</w:t>
      </w:r>
      <w:r>
        <w:rPr>
          <w:spacing w:val="-60"/>
        </w:rPr>
        <w:t> </w:t>
      </w:r>
      <w:r>
        <w:rPr/>
        <w:t>1</w:t>
      </w:r>
      <w:r>
        <w:rPr>
          <w:spacing w:val="-58"/>
        </w:rPr>
        <w:t> </w:t>
      </w:r>
      <w:r>
        <w:rPr/>
        <w:t>月起至</w:t>
      </w:r>
      <w:r>
        <w:rPr>
          <w:spacing w:val="-59"/>
        </w:rPr>
        <w:t> </w:t>
      </w:r>
      <w:r>
        <w:rPr/>
        <w:t>2007</w:t>
      </w:r>
      <w:r>
        <w:rPr>
          <w:spacing w:val="-58"/>
        </w:rPr>
        <w:t> </w:t>
      </w:r>
      <w:r>
        <w:rPr/>
        <w:t>年</w:t>
      </w:r>
      <w:r>
        <w:rPr>
          <w:spacing w:val="-59"/>
        </w:rPr>
        <w:t> </w:t>
      </w:r>
      <w:r>
        <w:rPr/>
        <w:t>12</w:t>
      </w:r>
      <w:r>
        <w:rPr>
          <w:spacing w:val="-58"/>
        </w:rPr>
        <w:t> </w:t>
      </w:r>
      <w:r>
        <w:rPr/>
        <w:t>月止，公司本期确认租赁收入</w:t>
      </w:r>
      <w:r>
        <w:rPr>
          <w:spacing w:val="-59"/>
        </w:rPr>
        <w:t> </w:t>
      </w:r>
      <w:r>
        <w:rPr/>
        <w:t>281,382.16</w:t>
      </w:r>
    </w:p>
    <w:p>
      <w:pPr>
        <w:pStyle w:val="BodyText"/>
        <w:spacing w:line="240" w:lineRule="auto"/>
        <w:ind w:left="837" w:right="740"/>
        <w:jc w:val="left"/>
      </w:pPr>
      <w:r>
        <w:rPr/>
        <w:t>元，上年同期数为</w:t>
      </w:r>
      <w:r>
        <w:rPr>
          <w:spacing w:val="-59"/>
        </w:rPr>
        <w:t> </w:t>
      </w:r>
      <w:r>
        <w:rPr/>
        <w:t>0.00</w:t>
      </w:r>
      <w:r>
        <w:rPr>
          <w:spacing w:val="-59"/>
        </w:rPr>
        <w:t> </w:t>
      </w:r>
      <w:r>
        <w:rPr/>
        <w:t>元。</w:t>
      </w:r>
    </w:p>
    <w:p>
      <w:pPr>
        <w:pStyle w:val="BodyText"/>
        <w:spacing w:line="240" w:lineRule="auto"/>
        <w:ind w:left="1257" w:right="740"/>
        <w:jc w:val="left"/>
      </w:pPr>
      <w:r>
        <w:rPr/>
        <w:t>3)</w:t>
      </w:r>
      <w:r>
        <w:rPr>
          <w:spacing w:val="-2"/>
        </w:rPr>
        <w:t> </w:t>
      </w:r>
      <w:r>
        <w:rPr/>
        <w:t>关键管理人员薪酬</w:t>
      </w:r>
    </w:p>
    <w:p>
      <w:pPr>
        <w:pStyle w:val="BodyText"/>
        <w:spacing w:line="240" w:lineRule="auto"/>
        <w:ind w:left="1257" w:right="0"/>
        <w:jc w:val="left"/>
      </w:pPr>
      <w:r>
        <w:rPr/>
        <w:t>公司本期共有关键管理人员 19 人</w:t>
      </w:r>
      <w:r>
        <w:rPr>
          <w:spacing w:val="-92"/>
        </w:rPr>
        <w:t>，</w:t>
      </w:r>
      <w:r>
        <w:rPr/>
        <w:t>其中</w:t>
      </w:r>
      <w:r>
        <w:rPr>
          <w:spacing w:val="-91"/>
        </w:rPr>
        <w:t>，</w:t>
      </w:r>
      <w:r>
        <w:rPr/>
        <w:t>在本公司领取报酬 18</w:t>
      </w:r>
      <w:r>
        <w:rPr>
          <w:spacing w:val="-52"/>
        </w:rPr>
        <w:t> </w:t>
      </w:r>
      <w:r>
        <w:rPr/>
        <w:t>人</w:t>
      </w:r>
      <w:r>
        <w:rPr>
          <w:spacing w:val="-91"/>
        </w:rPr>
        <w:t>，</w:t>
      </w:r>
      <w:r>
        <w:rPr/>
        <w:t>全年</w:t>
      </w:r>
      <w:r>
        <w:rPr>
          <w:spacing w:val="-2"/>
        </w:rPr>
        <w:t>报</w:t>
      </w:r>
      <w:r>
        <w:rPr/>
        <w:t>酬总额</w:t>
      </w:r>
      <w:r>
        <w:rPr>
          <w:spacing w:val="-53"/>
        </w:rPr>
        <w:t> </w:t>
      </w:r>
      <w:r>
        <w:rPr/>
        <w:t>391.95</w:t>
      </w:r>
    </w:p>
    <w:p>
      <w:pPr>
        <w:pStyle w:val="BodyText"/>
        <w:tabs>
          <w:tab w:pos="7398" w:val="left" w:leader="none"/>
        </w:tabs>
        <w:spacing w:line="367" w:lineRule="auto"/>
        <w:ind w:left="837" w:right="752"/>
        <w:jc w:val="left"/>
      </w:pPr>
      <w:r>
        <w:rPr/>
        <w:pict>
          <v:shape style="position:absolute;margin-left:116.639999pt;margin-top:43.573971pt;width:394.75pt;height:43.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6"/>
                    <w:gridCol w:w="1753"/>
                    <w:gridCol w:w="1866"/>
                    <w:gridCol w:w="1955"/>
                  </w:tblGrid>
                  <w:tr>
                    <w:trPr>
                      <w:trHeight w:val="43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关键管理人员姓名</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77"/>
                          <w:jc w:val="center"/>
                          <w:rPr>
                            <w:rFonts w:ascii="宋体" w:hAnsi="宋体" w:cs="宋体" w:eastAsia="宋体" w:hint="default"/>
                            <w:sz w:val="21"/>
                            <w:szCs w:val="21"/>
                          </w:rPr>
                        </w:pPr>
                        <w:r>
                          <w:rPr>
                            <w:rFonts w:ascii="宋体" w:hAnsi="宋体" w:cs="宋体" w:eastAsia="宋体" w:hint="default"/>
                            <w:sz w:val="21"/>
                            <w:szCs w:val="21"/>
                          </w:rPr>
                          <w:t>上年同期</w:t>
                        </w: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彭政纲[注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6" w:right="0"/>
                          <w:jc w:val="left"/>
                          <w:rPr>
                            <w:rFonts w:ascii="宋体" w:hAnsi="宋体" w:cs="宋体" w:eastAsia="宋体" w:hint="default"/>
                            <w:sz w:val="21"/>
                            <w:szCs w:val="21"/>
                          </w:rPr>
                        </w:pPr>
                        <w:r>
                          <w:rPr>
                            <w:rFonts w:ascii="宋体"/>
                            <w:sz w:val="21"/>
                          </w:rPr>
                          <w:t>56.62</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15"/>
                          <w:jc w:val="center"/>
                          <w:rPr>
                            <w:rFonts w:ascii="宋体" w:hAnsi="宋体" w:cs="宋体" w:eastAsia="宋体" w:hint="default"/>
                            <w:sz w:val="21"/>
                            <w:szCs w:val="21"/>
                          </w:rPr>
                        </w:pPr>
                        <w:r>
                          <w:rPr>
                            <w:rFonts w:ascii="宋体"/>
                            <w:sz w:val="21"/>
                          </w:rPr>
                          <w:t>43.03</w:t>
                        </w:r>
                      </w:p>
                    </w:tc>
                  </w:tr>
                </w:tbl>
                <w:p>
                  <w:pPr/>
                </w:p>
              </w:txbxContent>
            </v:textbox>
            <w10:wrap type="none"/>
          </v:shape>
        </w:pict>
      </w:r>
      <w:r>
        <w:rPr/>
        <w:t>万元。上年同期本公司共有关键管理人员 15 人，其中，在本公司领取报酬 15</w:t>
      </w:r>
      <w:r>
        <w:rPr>
          <w:spacing w:val="-64"/>
        </w:rPr>
        <w:t> </w:t>
      </w:r>
      <w:r>
        <w:rPr/>
        <w:t>人，全年报酬</w:t>
      </w:r>
      <w:r>
        <w:rPr/>
        <w:t> 总额 438.73</w:t>
      </w:r>
      <w:r>
        <w:rPr>
          <w:spacing w:val="-77"/>
        </w:rPr>
        <w:t> </w:t>
      </w:r>
      <w:r>
        <w:rPr/>
        <w:t>万元。每位关键管理人员报酬方案如下：</w:t>
        <w:tab/>
        <w:t>(单位：万元)</w:t>
      </w:r>
    </w:p>
    <w:p>
      <w:pPr>
        <w:spacing w:after="0" w:line="367" w:lineRule="auto"/>
        <w:jc w:val="left"/>
        <w:sectPr>
          <w:pgSz w:w="11910" w:h="16840"/>
          <w:pgMar w:header="0" w:footer="1263" w:top="1360" w:bottom="1460" w:left="960" w:right="800"/>
        </w:sectPr>
      </w:pPr>
    </w:p>
    <w:p>
      <w:pPr>
        <w:spacing w:line="240" w:lineRule="auto" w:before="1"/>
        <w:rPr>
          <w:rFonts w:ascii="宋体" w:hAnsi="宋体" w:cs="宋体" w:eastAsia="宋体" w:hint="default"/>
          <w:sz w:val="6"/>
          <w:szCs w:val="6"/>
        </w:rPr>
      </w:pPr>
    </w:p>
    <w:tbl>
      <w:tblPr>
        <w:tblW w:w="0" w:type="auto"/>
        <w:jc w:val="left"/>
        <w:tblInd w:w="652" w:type="dxa"/>
        <w:tblLayout w:type="fixed"/>
        <w:tblCellMar>
          <w:top w:w="0" w:type="dxa"/>
          <w:left w:w="0" w:type="dxa"/>
          <w:bottom w:w="0" w:type="dxa"/>
          <w:right w:w="0" w:type="dxa"/>
        </w:tblCellMar>
        <w:tblLook w:val="01E0"/>
      </w:tblPr>
      <w:tblGrid>
        <w:gridCol w:w="2306"/>
        <w:gridCol w:w="1753"/>
        <w:gridCol w:w="1866"/>
        <w:gridCol w:w="1955"/>
      </w:tblGrid>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刘曙峰</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5" w:right="0"/>
              <w:jc w:val="left"/>
              <w:rPr>
                <w:rFonts w:ascii="宋体" w:hAnsi="宋体" w:cs="宋体" w:eastAsia="宋体" w:hint="default"/>
                <w:sz w:val="21"/>
                <w:szCs w:val="21"/>
              </w:rPr>
            </w:pPr>
            <w:r>
              <w:rPr>
                <w:rFonts w:ascii="宋体"/>
                <w:sz w:val="21"/>
              </w:rPr>
              <w:t>57.07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7"/>
              <w:jc w:val="right"/>
              <w:rPr>
                <w:rFonts w:ascii="宋体" w:hAnsi="宋体" w:cs="宋体" w:eastAsia="宋体" w:hint="default"/>
                <w:sz w:val="21"/>
                <w:szCs w:val="21"/>
              </w:rPr>
            </w:pPr>
            <w:r>
              <w:rPr>
                <w:rFonts w:ascii="宋体"/>
                <w:sz w:val="21"/>
              </w:rPr>
              <w:t>50.35</w:t>
            </w:r>
          </w:p>
        </w:tc>
      </w:tr>
      <w:tr>
        <w:trPr>
          <w:trHeight w:val="43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王则江</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5" w:right="0"/>
              <w:jc w:val="left"/>
              <w:rPr>
                <w:rFonts w:ascii="宋体" w:hAnsi="宋体" w:cs="宋体" w:eastAsia="宋体" w:hint="default"/>
                <w:sz w:val="21"/>
                <w:szCs w:val="21"/>
              </w:rPr>
            </w:pPr>
            <w:r>
              <w:rPr>
                <w:rFonts w:ascii="宋体"/>
                <w:sz w:val="21"/>
              </w:rPr>
              <w:t>18.54</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7"/>
              <w:jc w:val="right"/>
              <w:rPr>
                <w:rFonts w:ascii="宋体" w:hAnsi="宋体" w:cs="宋体" w:eastAsia="宋体" w:hint="default"/>
                <w:sz w:val="21"/>
                <w:szCs w:val="21"/>
              </w:rPr>
            </w:pPr>
            <w:r>
              <w:rPr>
                <w:rFonts w:ascii="宋体"/>
                <w:sz w:val="21"/>
              </w:rPr>
              <w:t>24.52</w:t>
            </w: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蒋建圣</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5" w:right="0"/>
              <w:jc w:val="left"/>
              <w:rPr>
                <w:rFonts w:ascii="宋体" w:hAnsi="宋体" w:cs="宋体" w:eastAsia="宋体" w:hint="default"/>
                <w:sz w:val="21"/>
                <w:szCs w:val="21"/>
              </w:rPr>
            </w:pPr>
            <w:r>
              <w:rPr>
                <w:rFonts w:ascii="宋体"/>
                <w:sz w:val="21"/>
              </w:rPr>
              <w:t>37.78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7"/>
              <w:jc w:val="right"/>
              <w:rPr>
                <w:rFonts w:ascii="宋体" w:hAnsi="宋体" w:cs="宋体" w:eastAsia="宋体" w:hint="default"/>
                <w:sz w:val="21"/>
                <w:szCs w:val="21"/>
              </w:rPr>
            </w:pPr>
            <w:r>
              <w:rPr>
                <w:rFonts w:ascii="宋体"/>
                <w:sz w:val="21"/>
              </w:rPr>
              <w:t>54.19</w:t>
            </w: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陈鸿</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6" w:right="0"/>
              <w:jc w:val="left"/>
              <w:rPr>
                <w:rFonts w:ascii="宋体" w:hAnsi="宋体" w:cs="宋体" w:eastAsia="宋体" w:hint="default"/>
                <w:sz w:val="21"/>
                <w:szCs w:val="21"/>
              </w:rPr>
            </w:pPr>
            <w:r>
              <w:rPr>
                <w:rFonts w:ascii="宋体"/>
                <w:sz w:val="21"/>
              </w:rPr>
              <w:t>19.38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7"/>
              <w:jc w:val="right"/>
              <w:rPr>
                <w:rFonts w:ascii="宋体" w:hAnsi="宋体" w:cs="宋体" w:eastAsia="宋体" w:hint="default"/>
                <w:sz w:val="21"/>
                <w:szCs w:val="21"/>
              </w:rPr>
            </w:pPr>
            <w:r>
              <w:rPr>
                <w:rFonts w:ascii="宋体"/>
                <w:spacing w:val="-1"/>
                <w:sz w:val="21"/>
              </w:rPr>
              <w:t>69.67</w:t>
            </w:r>
          </w:p>
        </w:tc>
      </w:tr>
      <w:tr>
        <w:trPr>
          <w:trHeight w:val="43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hAnsi="宋体" w:cs="宋体" w:eastAsia="宋体" w:hint="default"/>
                <w:sz w:val="21"/>
                <w:szCs w:val="21"/>
              </w:rPr>
              <w:t>马占春[注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hAnsi="宋体" w:cs="宋体" w:eastAsia="宋体" w:hint="default"/>
                <w:sz w:val="21"/>
                <w:szCs w:val="21"/>
              </w:rPr>
              <w:t>盛杰伟[注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sz w:val="21"/>
              </w:rPr>
              <w:t>5.25</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胡本立[注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sz w:val="21"/>
              </w:rPr>
              <w:t>5.25</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程厚博[注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sz w:val="21"/>
              </w:rPr>
              <w:t>5.25</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李尊农[注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sz w:val="21"/>
              </w:rPr>
              <w:t>5.25</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俞建午[注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sz w:val="21"/>
              </w:rPr>
              <w:t>5.25</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方汉林</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5" w:right="0"/>
              <w:jc w:val="left"/>
              <w:rPr>
                <w:rFonts w:ascii="宋体" w:hAnsi="宋体" w:cs="宋体" w:eastAsia="宋体" w:hint="default"/>
                <w:sz w:val="21"/>
                <w:szCs w:val="21"/>
              </w:rPr>
            </w:pPr>
            <w:r>
              <w:rPr>
                <w:rFonts w:ascii="宋体"/>
                <w:sz w:val="21"/>
              </w:rPr>
              <w:t>33.06</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6"/>
              <w:jc w:val="right"/>
              <w:rPr>
                <w:rFonts w:ascii="宋体" w:hAnsi="宋体" w:cs="宋体" w:eastAsia="宋体" w:hint="default"/>
                <w:sz w:val="21"/>
                <w:szCs w:val="21"/>
              </w:rPr>
            </w:pPr>
            <w:r>
              <w:rPr>
                <w:rFonts w:ascii="宋体"/>
                <w:sz w:val="21"/>
              </w:rPr>
              <w:t>29.92</w:t>
            </w: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林剑辉</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5" w:right="0"/>
              <w:jc w:val="left"/>
              <w:rPr>
                <w:rFonts w:ascii="宋体" w:hAnsi="宋体" w:cs="宋体" w:eastAsia="宋体" w:hint="default"/>
                <w:sz w:val="21"/>
                <w:szCs w:val="21"/>
              </w:rPr>
            </w:pPr>
            <w:r>
              <w:rPr>
                <w:rFonts w:ascii="宋体"/>
                <w:sz w:val="21"/>
              </w:rPr>
              <w:t>48.14</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6"/>
              <w:jc w:val="right"/>
              <w:rPr>
                <w:rFonts w:ascii="宋体" w:hAnsi="宋体" w:cs="宋体" w:eastAsia="宋体" w:hint="default"/>
                <w:sz w:val="21"/>
                <w:szCs w:val="21"/>
              </w:rPr>
            </w:pPr>
            <w:r>
              <w:rPr>
                <w:rFonts w:ascii="宋体"/>
                <w:sz w:val="21"/>
              </w:rPr>
              <w:t>28.68</w:t>
            </w: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官晓岚[注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5" w:right="0"/>
              <w:jc w:val="left"/>
              <w:rPr>
                <w:rFonts w:ascii="宋体" w:hAnsi="宋体" w:cs="宋体" w:eastAsia="宋体" w:hint="default"/>
                <w:sz w:val="21"/>
                <w:szCs w:val="21"/>
              </w:rPr>
            </w:pPr>
            <w:r>
              <w:rPr>
                <w:rFonts w:ascii="宋体"/>
                <w:sz w:val="21"/>
              </w:rPr>
              <w:t>30.29</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范径武[注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5" w:right="0"/>
              <w:jc w:val="left"/>
              <w:rPr>
                <w:rFonts w:ascii="宋体" w:hAnsi="宋体" w:cs="宋体" w:eastAsia="宋体" w:hint="default"/>
                <w:sz w:val="21"/>
                <w:szCs w:val="21"/>
              </w:rPr>
            </w:pPr>
            <w:r>
              <w:rPr>
                <w:rFonts w:ascii="宋体"/>
                <w:sz w:val="21"/>
              </w:rPr>
              <w:t>32.98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8"/>
              <w:jc w:val="right"/>
              <w:rPr>
                <w:rFonts w:ascii="宋体" w:hAnsi="宋体" w:cs="宋体" w:eastAsia="宋体" w:hint="default"/>
                <w:sz w:val="21"/>
                <w:szCs w:val="21"/>
              </w:rPr>
            </w:pPr>
            <w:r>
              <w:rPr>
                <w:rFonts w:ascii="宋体"/>
                <w:sz w:val="21"/>
              </w:rPr>
              <w:t>24.96</w:t>
            </w: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彭小益[注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sz w:val="21"/>
              </w:rPr>
              <w:t>2.03</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屠海雁[注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sz w:val="21"/>
              </w:rPr>
              <w:t>9.53</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钱屹俊</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7" w:right="0"/>
              <w:jc w:val="left"/>
              <w:rPr>
                <w:rFonts w:ascii="宋体" w:hAnsi="宋体" w:cs="宋体" w:eastAsia="宋体" w:hint="default"/>
                <w:sz w:val="21"/>
                <w:szCs w:val="21"/>
              </w:rPr>
            </w:pPr>
            <w:r>
              <w:rPr>
                <w:rFonts w:ascii="宋体"/>
                <w:sz w:val="21"/>
              </w:rPr>
              <w:t>8.55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7"/>
              <w:jc w:val="right"/>
              <w:rPr>
                <w:rFonts w:ascii="宋体" w:hAnsi="宋体" w:cs="宋体" w:eastAsia="宋体" w:hint="default"/>
                <w:sz w:val="21"/>
                <w:szCs w:val="21"/>
              </w:rPr>
            </w:pPr>
            <w:r>
              <w:rPr>
                <w:rFonts w:ascii="宋体"/>
                <w:spacing w:val="-1"/>
                <w:sz w:val="21"/>
              </w:rPr>
              <w:t>7.21</w:t>
            </w: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童晨晖[注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65" w:right="0"/>
              <w:jc w:val="left"/>
              <w:rPr>
                <w:rFonts w:ascii="宋体" w:hAnsi="宋体" w:cs="宋体" w:eastAsia="宋体" w:hint="default"/>
                <w:sz w:val="21"/>
                <w:szCs w:val="21"/>
              </w:rPr>
            </w:pPr>
            <w:r>
              <w:rPr>
                <w:rFonts w:ascii="宋体"/>
                <w:sz w:val="21"/>
              </w:rPr>
              <w:t>11.73</w:t>
            </w:r>
          </w:p>
        </w:tc>
        <w:tc>
          <w:tcPr>
            <w:tcW w:w="195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其他[注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5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7"/>
              <w:jc w:val="right"/>
              <w:rPr>
                <w:rFonts w:ascii="宋体" w:hAnsi="宋体" w:cs="宋体" w:eastAsia="宋体" w:hint="default"/>
                <w:sz w:val="21"/>
                <w:szCs w:val="21"/>
              </w:rPr>
            </w:pPr>
            <w:r>
              <w:rPr>
                <w:rFonts w:ascii="宋体"/>
                <w:spacing w:val="-1"/>
                <w:sz w:val="21"/>
              </w:rPr>
              <w:t>106.20</w:t>
            </w:r>
          </w:p>
        </w:tc>
      </w:tr>
      <w:tr>
        <w:trPr>
          <w:trHeight w:val="43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5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12" w:right="0"/>
              <w:jc w:val="left"/>
              <w:rPr>
                <w:rFonts w:ascii="宋体" w:hAnsi="宋体" w:cs="宋体" w:eastAsia="宋体" w:hint="default"/>
                <w:sz w:val="21"/>
                <w:szCs w:val="21"/>
              </w:rPr>
            </w:pPr>
            <w:r>
              <w:rPr>
                <w:rFonts w:ascii="宋体"/>
                <w:sz w:val="21"/>
              </w:rPr>
              <w:t>391.95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7"/>
              <w:jc w:val="right"/>
              <w:rPr>
                <w:rFonts w:ascii="宋体" w:hAnsi="宋体" w:cs="宋体" w:eastAsia="宋体" w:hint="default"/>
                <w:sz w:val="21"/>
                <w:szCs w:val="21"/>
              </w:rPr>
            </w:pPr>
            <w:r>
              <w:rPr>
                <w:rFonts w:ascii="宋体"/>
                <w:spacing w:val="-1"/>
                <w:sz w:val="21"/>
              </w:rPr>
              <w:t>438.73</w:t>
            </w:r>
          </w:p>
        </w:tc>
      </w:tr>
    </w:tbl>
    <w:p>
      <w:pPr>
        <w:spacing w:line="240" w:lineRule="auto" w:before="13"/>
        <w:rPr>
          <w:rFonts w:ascii="宋体" w:hAnsi="宋体" w:cs="宋体" w:eastAsia="宋体" w:hint="default"/>
          <w:sz w:val="5"/>
          <w:szCs w:val="5"/>
        </w:rPr>
      </w:pPr>
    </w:p>
    <w:p>
      <w:pPr>
        <w:pStyle w:val="BodyText"/>
        <w:spacing w:line="240" w:lineRule="auto" w:before="35"/>
        <w:ind w:left="537" w:right="0"/>
        <w:jc w:val="left"/>
      </w:pPr>
      <w:r>
        <w:rPr/>
        <w:t>[注</w:t>
      </w:r>
      <w:r>
        <w:rPr>
          <w:spacing w:val="-58"/>
        </w:rPr>
        <w:t> </w:t>
      </w:r>
      <w:r>
        <w:rPr/>
        <w:t>1]：彭政纲自</w:t>
      </w:r>
      <w:r>
        <w:rPr>
          <w:spacing w:val="-58"/>
        </w:rPr>
        <w:t> </w:t>
      </w:r>
      <w:r>
        <w:rPr/>
        <w:t>2007</w:t>
      </w:r>
      <w:r>
        <w:rPr>
          <w:spacing w:val="-57"/>
        </w:rPr>
        <w:t> </w:t>
      </w:r>
      <w:r>
        <w:rPr/>
        <w:t>年</w:t>
      </w:r>
      <w:r>
        <w:rPr>
          <w:spacing w:val="-59"/>
        </w:rPr>
        <w:t> </w:t>
      </w:r>
      <w:r>
        <w:rPr/>
        <w:t>2</w:t>
      </w:r>
      <w:r>
        <w:rPr>
          <w:spacing w:val="-57"/>
        </w:rPr>
        <w:t> </w:t>
      </w:r>
      <w:r>
        <w:rPr/>
        <w:t>月起担任公司董事长；马占春、盛杰伟自</w:t>
      </w:r>
      <w:r>
        <w:rPr>
          <w:spacing w:val="-58"/>
        </w:rPr>
        <w:t> </w:t>
      </w:r>
      <w:r>
        <w:rPr/>
        <w:t>2007</w:t>
      </w:r>
      <w:r>
        <w:rPr>
          <w:spacing w:val="-58"/>
        </w:rPr>
        <w:t> </w:t>
      </w:r>
      <w:r>
        <w:rPr/>
        <w:t>年</w:t>
      </w:r>
      <w:r>
        <w:rPr>
          <w:spacing w:val="-58"/>
        </w:rPr>
        <w:t> </w:t>
      </w:r>
      <w:r>
        <w:rPr/>
        <w:t>2</w:t>
      </w:r>
      <w:r>
        <w:rPr>
          <w:spacing w:val="-57"/>
        </w:rPr>
        <w:t> </w:t>
      </w:r>
      <w:r>
        <w:rPr/>
        <w:t>月起担任</w:t>
      </w:r>
    </w:p>
    <w:p>
      <w:pPr>
        <w:pStyle w:val="BodyText"/>
        <w:spacing w:line="240" w:lineRule="auto"/>
        <w:ind w:right="0"/>
        <w:jc w:val="left"/>
      </w:pPr>
      <w:r>
        <w:rPr/>
        <w:t>公司董事；胡本立、程厚博、李尊农、俞建午自</w:t>
      </w:r>
      <w:r>
        <w:rPr>
          <w:spacing w:val="-42"/>
        </w:rPr>
        <w:t> </w:t>
      </w:r>
      <w:r>
        <w:rPr/>
        <w:t>2007</w:t>
      </w:r>
      <w:r>
        <w:rPr>
          <w:spacing w:val="-41"/>
        </w:rPr>
        <w:t> </w:t>
      </w:r>
      <w:r>
        <w:rPr/>
        <w:t>年</w:t>
      </w:r>
      <w:r>
        <w:rPr>
          <w:spacing w:val="-42"/>
        </w:rPr>
        <w:t> </w:t>
      </w:r>
      <w:r>
        <w:rPr/>
        <w:t>2</w:t>
      </w:r>
      <w:r>
        <w:rPr>
          <w:spacing w:val="-42"/>
        </w:rPr>
        <w:t> </w:t>
      </w:r>
      <w:r>
        <w:rPr/>
        <w:t>月起担任公司独立董事；官晓岚、</w:t>
      </w:r>
    </w:p>
    <w:p>
      <w:pPr>
        <w:pStyle w:val="BodyText"/>
        <w:spacing w:line="240" w:lineRule="auto"/>
        <w:ind w:right="0"/>
        <w:jc w:val="left"/>
      </w:pPr>
      <w:r>
        <w:rPr/>
        <w:t>范径武自</w:t>
      </w:r>
      <w:r>
        <w:rPr>
          <w:spacing w:val="-52"/>
        </w:rPr>
        <w:t> </w:t>
      </w:r>
      <w:r>
        <w:rPr/>
        <w:t>2007</w:t>
      </w:r>
      <w:r>
        <w:rPr>
          <w:spacing w:val="-51"/>
        </w:rPr>
        <w:t> </w:t>
      </w:r>
      <w:r>
        <w:rPr/>
        <w:t>年</w:t>
      </w:r>
      <w:r>
        <w:rPr>
          <w:spacing w:val="-53"/>
        </w:rPr>
        <w:t> </w:t>
      </w:r>
      <w:r>
        <w:rPr/>
        <w:t>10</w:t>
      </w:r>
      <w:r>
        <w:rPr>
          <w:spacing w:val="-51"/>
        </w:rPr>
        <w:t> </w:t>
      </w:r>
      <w:r>
        <w:rPr/>
        <w:t>月起担任公司副总裁；彭小益、屠海雁自</w:t>
      </w:r>
      <w:r>
        <w:rPr>
          <w:spacing w:val="-52"/>
        </w:rPr>
        <w:t> </w:t>
      </w:r>
      <w:r>
        <w:rPr/>
        <w:t>2007</w:t>
      </w:r>
      <w:r>
        <w:rPr>
          <w:spacing w:val="-51"/>
        </w:rPr>
        <w:t> </w:t>
      </w:r>
      <w:r>
        <w:rPr/>
        <w:t>年</w:t>
      </w:r>
      <w:r>
        <w:rPr>
          <w:spacing w:val="-53"/>
        </w:rPr>
        <w:t> </w:t>
      </w:r>
      <w:r>
        <w:rPr/>
        <w:t>2</w:t>
      </w:r>
      <w:r>
        <w:rPr>
          <w:spacing w:val="-52"/>
        </w:rPr>
        <w:t> </w:t>
      </w:r>
      <w:r>
        <w:rPr/>
        <w:t>月起担任公司监事；</w:t>
      </w:r>
    </w:p>
    <w:p>
      <w:pPr>
        <w:pStyle w:val="BodyText"/>
        <w:spacing w:line="240" w:lineRule="auto"/>
        <w:ind w:right="0"/>
        <w:jc w:val="left"/>
      </w:pPr>
      <w:r>
        <w:rPr/>
        <w:t>童晨晖自</w:t>
      </w:r>
      <w:r>
        <w:rPr>
          <w:spacing w:val="-58"/>
        </w:rPr>
        <w:t> </w:t>
      </w:r>
      <w:r>
        <w:rPr/>
        <w:t>2007</w:t>
      </w:r>
      <w:r>
        <w:rPr>
          <w:spacing w:val="-57"/>
        </w:rPr>
        <w:t> </w:t>
      </w:r>
      <w:r>
        <w:rPr/>
        <w:t>年</w:t>
      </w:r>
      <w:r>
        <w:rPr>
          <w:spacing w:val="-59"/>
        </w:rPr>
        <w:t> </w:t>
      </w:r>
      <w:r>
        <w:rPr/>
        <w:t>2</w:t>
      </w:r>
      <w:r>
        <w:rPr>
          <w:spacing w:val="-57"/>
        </w:rPr>
        <w:t> </w:t>
      </w:r>
      <w:r>
        <w:rPr/>
        <w:t>月起担任公司董事会秘书。</w:t>
      </w:r>
    </w:p>
    <w:p>
      <w:pPr>
        <w:pStyle w:val="BodyText"/>
        <w:spacing w:line="367" w:lineRule="auto"/>
        <w:ind w:right="741" w:firstLine="420"/>
        <w:jc w:val="left"/>
      </w:pPr>
      <w:r>
        <w:rPr/>
        <w:t>[注</w:t>
      </w:r>
      <w:r>
        <w:rPr>
          <w:spacing w:val="-64"/>
        </w:rPr>
        <w:t> </w:t>
      </w:r>
      <w:r>
        <w:rPr/>
        <w:t>2]：系黄大成、严晓浪、施继兴、汪祥耀、张磊、刘翔等公司原部分离任董事、独立</w:t>
      </w:r>
      <w:r>
        <w:rPr/>
        <w:t> 董事、监事和高管人员上期在本公司领取的报酬。</w:t>
      </w:r>
    </w:p>
    <w:p>
      <w:pPr>
        <w:pStyle w:val="BodyText"/>
        <w:spacing w:line="240" w:lineRule="auto" w:before="34"/>
        <w:ind w:left="537" w:right="0"/>
        <w:jc w:val="left"/>
      </w:pPr>
      <w:r>
        <w:rPr/>
        <w:t>2.</w:t>
      </w:r>
      <w:r>
        <w:rPr>
          <w:spacing w:val="-2"/>
        </w:rPr>
        <w:t> </w:t>
      </w:r>
      <w:r>
        <w:rPr/>
        <w:t>合并报表的关联方交易情况</w:t>
      </w:r>
    </w:p>
    <w:p>
      <w:pPr>
        <w:pStyle w:val="BodyText"/>
        <w:spacing w:line="240" w:lineRule="auto"/>
        <w:ind w:left="537" w:right="0"/>
        <w:jc w:val="left"/>
      </w:pPr>
      <w:r>
        <w:rPr/>
        <w:t>(1)</w:t>
      </w:r>
      <w:r>
        <w:rPr>
          <w:spacing w:val="-2"/>
        </w:rPr>
        <w:t> </w:t>
      </w:r>
      <w:r>
        <w:rPr/>
        <w:t>采购货物</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80"/>
        <w:gridCol w:w="1260"/>
        <w:gridCol w:w="1212"/>
        <w:gridCol w:w="768"/>
        <w:gridCol w:w="1080"/>
        <w:gridCol w:w="1204"/>
        <w:gridCol w:w="785"/>
      </w:tblGrid>
      <w:tr>
        <w:trPr>
          <w:trHeight w:val="464"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53" w:right="1865" w:hanging="90"/>
              <w:jc w:val="left"/>
              <w:rPr>
                <w:rFonts w:ascii="宋体" w:hAnsi="宋体" w:cs="宋体" w:eastAsia="宋体" w:hint="default"/>
                <w:sz w:val="18"/>
                <w:szCs w:val="18"/>
              </w:rPr>
            </w:pPr>
            <w:r>
              <w:rPr>
                <w:rFonts w:ascii="宋体" w:hAnsi="宋体" w:cs="宋体" w:eastAsia="宋体" w:hint="default"/>
                <w:sz w:val="18"/>
                <w:szCs w:val="18"/>
              </w:rPr>
              <w:t>关联方 名称</w:t>
            </w:r>
          </w:p>
        </w:tc>
        <w:tc>
          <w:tcPr>
            <w:tcW w:w="3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6" w:hRule="exact"/>
        </w:trPr>
        <w:tc>
          <w:tcPr>
            <w:tcW w:w="288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1" w:right="0" w:hanging="46"/>
              <w:jc w:val="left"/>
              <w:rPr>
                <w:rFonts w:ascii="宋体" w:hAnsi="宋体" w:cs="宋体" w:eastAsia="宋体" w:hint="default"/>
                <w:sz w:val="18"/>
                <w:szCs w:val="18"/>
              </w:rPr>
            </w:pPr>
            <w:r>
              <w:rPr>
                <w:rFonts w:ascii="宋体" w:hAnsi="宋体" w:cs="宋体" w:eastAsia="宋体" w:hint="default"/>
                <w:sz w:val="18"/>
                <w:szCs w:val="18"/>
              </w:rPr>
              <w:t>占同类购货业</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务的比例(%)</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9"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34" w:lineRule="exact"/>
              <w:ind w:left="199" w:right="0"/>
              <w:jc w:val="left"/>
              <w:rPr>
                <w:rFonts w:ascii="宋体" w:hAnsi="宋体" w:cs="宋体" w:eastAsia="宋体" w:hint="default"/>
                <w:sz w:val="18"/>
                <w:szCs w:val="18"/>
              </w:rPr>
            </w:pPr>
            <w:r>
              <w:rPr>
                <w:rFonts w:ascii="宋体" w:hAnsi="宋体" w:cs="宋体" w:eastAsia="宋体" w:hint="default"/>
                <w:sz w:val="18"/>
                <w:szCs w:val="18"/>
              </w:rPr>
              <w:t>政策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hanging="45"/>
              <w:jc w:val="left"/>
              <w:rPr>
                <w:rFonts w:ascii="宋体" w:hAnsi="宋体" w:cs="宋体" w:eastAsia="宋体" w:hint="default"/>
                <w:sz w:val="18"/>
                <w:szCs w:val="18"/>
              </w:rPr>
            </w:pPr>
            <w:r>
              <w:rPr>
                <w:rFonts w:ascii="宋体" w:hAnsi="宋体" w:cs="宋体" w:eastAsia="宋体" w:hint="default"/>
                <w:sz w:val="18"/>
                <w:szCs w:val="18"/>
              </w:rPr>
              <w:t>占同类购货业</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务的比例(%)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6"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政策</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杭州恒生数字设备科技有限公司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387,200.00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7.60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18"/>
                <w:szCs w:val="18"/>
              </w:rPr>
            </w:pPr>
            <w:r>
              <w:rPr>
                <w:rFonts w:ascii="宋体"/>
                <w:sz w:val="18"/>
              </w:rPr>
              <w:t>285,452.99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30" w:right="0"/>
              <w:jc w:val="left"/>
              <w:rPr>
                <w:rFonts w:ascii="宋体" w:hAnsi="宋体" w:cs="宋体" w:eastAsia="宋体" w:hint="default"/>
                <w:sz w:val="18"/>
                <w:szCs w:val="18"/>
              </w:rPr>
            </w:pPr>
            <w:r>
              <w:rPr>
                <w:rFonts w:ascii="宋体"/>
                <w:sz w:val="18"/>
              </w:rPr>
              <w:t>0.70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市场价</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上海诚丰数码科技有限公司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11,794.87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0.89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市场价</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1263" w:header="0" w:top="1360" w:bottom="1460" w:left="1680" w:right="80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2880"/>
        <w:gridCol w:w="1260"/>
        <w:gridCol w:w="1212"/>
        <w:gridCol w:w="768"/>
        <w:gridCol w:w="1080"/>
        <w:gridCol w:w="1204"/>
        <w:gridCol w:w="785"/>
      </w:tblGrid>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sz w:val="18"/>
              </w:rPr>
              <w:t>398,994.87</w:t>
            </w:r>
          </w:p>
        </w:tc>
        <w:tc>
          <w:tcPr>
            <w:tcW w:w="121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2" w:right="0"/>
              <w:jc w:val="left"/>
              <w:rPr>
                <w:rFonts w:ascii="宋体" w:hAnsi="宋体" w:cs="宋体" w:eastAsia="宋体" w:hint="default"/>
                <w:sz w:val="18"/>
                <w:szCs w:val="18"/>
              </w:rPr>
            </w:pPr>
            <w:r>
              <w:rPr>
                <w:rFonts w:ascii="宋体"/>
                <w:sz w:val="18"/>
              </w:rPr>
              <w:t>285,452.99</w:t>
            </w:r>
          </w:p>
        </w:tc>
        <w:tc>
          <w:tcPr>
            <w:tcW w:w="12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240" w:lineRule="auto" w:before="35"/>
        <w:ind w:left="537" w:right="0"/>
        <w:jc w:val="left"/>
      </w:pPr>
      <w:r>
        <w:rPr/>
        <w:t>(2)</w:t>
      </w:r>
      <w:r>
        <w:rPr>
          <w:spacing w:val="-2"/>
        </w:rPr>
        <w:t> </w:t>
      </w:r>
      <w:r>
        <w:rPr/>
        <w:t>销售货物</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80"/>
        <w:gridCol w:w="1080"/>
        <w:gridCol w:w="1218"/>
        <w:gridCol w:w="770"/>
        <w:gridCol w:w="1252"/>
        <w:gridCol w:w="1204"/>
        <w:gridCol w:w="785"/>
      </w:tblGrid>
      <w:tr>
        <w:trPr>
          <w:trHeight w:val="464"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53" w:right="1865" w:hanging="90"/>
              <w:jc w:val="left"/>
              <w:rPr>
                <w:rFonts w:ascii="宋体" w:hAnsi="宋体" w:cs="宋体" w:eastAsia="宋体" w:hint="default"/>
                <w:sz w:val="18"/>
                <w:szCs w:val="18"/>
              </w:rPr>
            </w:pPr>
            <w:r>
              <w:rPr>
                <w:rFonts w:ascii="宋体" w:hAnsi="宋体" w:cs="宋体" w:eastAsia="宋体" w:hint="default"/>
                <w:sz w:val="18"/>
                <w:szCs w:val="18"/>
              </w:rPr>
              <w:t>关联方 名称</w:t>
            </w:r>
          </w:p>
        </w:tc>
        <w:tc>
          <w:tcPr>
            <w:tcW w:w="2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0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6" w:hRule="exact"/>
        </w:trPr>
        <w:tc>
          <w:tcPr>
            <w:tcW w:w="288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4" w:right="0" w:hanging="86"/>
              <w:jc w:val="left"/>
              <w:rPr>
                <w:rFonts w:ascii="宋体" w:hAnsi="宋体" w:cs="宋体" w:eastAsia="宋体" w:hint="default"/>
                <w:sz w:val="18"/>
                <w:szCs w:val="18"/>
              </w:rPr>
            </w:pPr>
            <w:r>
              <w:rPr>
                <w:rFonts w:ascii="宋体" w:hAnsi="宋体" w:cs="宋体" w:eastAsia="宋体" w:hint="default"/>
                <w:sz w:val="18"/>
                <w:szCs w:val="18"/>
              </w:rPr>
              <w:t>占同类销货业</w:t>
            </w:r>
          </w:p>
          <w:p>
            <w:pPr>
              <w:pStyle w:val="TableParagraph"/>
              <w:spacing w:line="234" w:lineRule="exact"/>
              <w:ind w:left="154" w:right="0"/>
              <w:jc w:val="left"/>
              <w:rPr>
                <w:rFonts w:ascii="宋体" w:hAnsi="宋体" w:cs="宋体" w:eastAsia="宋体" w:hint="default"/>
                <w:sz w:val="18"/>
                <w:szCs w:val="18"/>
              </w:rPr>
            </w:pPr>
            <w:r>
              <w:rPr>
                <w:rFonts w:ascii="宋体" w:hAnsi="宋体" w:cs="宋体" w:eastAsia="宋体" w:hint="default"/>
                <w:sz w:val="18"/>
                <w:szCs w:val="18"/>
              </w:rPr>
              <w:t>务的比例(%)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0"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34" w:lineRule="exact"/>
              <w:ind w:left="200" w:right="0"/>
              <w:jc w:val="left"/>
              <w:rPr>
                <w:rFonts w:ascii="宋体" w:hAnsi="宋体" w:cs="宋体" w:eastAsia="宋体" w:hint="default"/>
                <w:sz w:val="18"/>
                <w:szCs w:val="18"/>
              </w:rPr>
            </w:pPr>
            <w:r>
              <w:rPr>
                <w:rFonts w:ascii="宋体" w:hAnsi="宋体" w:cs="宋体" w:eastAsia="宋体" w:hint="default"/>
                <w:sz w:val="18"/>
                <w:szCs w:val="18"/>
              </w:rPr>
              <w:t>政策</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5"/>
              <w:jc w:val="center"/>
              <w:rPr>
                <w:rFonts w:ascii="宋体" w:hAnsi="宋体" w:cs="宋体" w:eastAsia="宋体" w:hint="default"/>
                <w:sz w:val="18"/>
                <w:szCs w:val="18"/>
              </w:rPr>
            </w:pPr>
            <w:r>
              <w:rPr>
                <w:rFonts w:ascii="宋体" w:hAnsi="宋体" w:cs="宋体" w:eastAsia="宋体" w:hint="default"/>
                <w:sz w:val="18"/>
                <w:szCs w:val="18"/>
              </w:rPr>
              <w:t>占同类销货务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6"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政策</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浙江维尔科技有限公司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sz w:val="18"/>
              </w:rPr>
              <w:t>25,641.03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0.45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5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杭州恒生数字设备科技有限公司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sz w:val="18"/>
              </w:rPr>
              <w:t>18,119.65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0.01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5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杭州恒生普维光电技术有限公司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9" w:right="0"/>
              <w:jc w:val="left"/>
              <w:rPr>
                <w:rFonts w:ascii="宋体" w:hAnsi="宋体" w:cs="宋体" w:eastAsia="宋体" w:hint="default"/>
                <w:sz w:val="18"/>
                <w:szCs w:val="18"/>
              </w:rPr>
            </w:pPr>
            <w:r>
              <w:rPr>
                <w:rFonts w:ascii="宋体"/>
                <w:sz w:val="18"/>
              </w:rPr>
              <w:t>1,800.00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30" w:right="0"/>
              <w:jc w:val="left"/>
              <w:rPr>
                <w:rFonts w:ascii="宋体" w:hAnsi="宋体" w:cs="宋体" w:eastAsia="宋体" w:hint="default"/>
                <w:sz w:val="18"/>
                <w:szCs w:val="18"/>
              </w:rPr>
            </w:pPr>
            <w:r>
              <w:rPr>
                <w:rFonts w:ascii="宋体"/>
                <w:sz w:val="18"/>
              </w:rPr>
              <w:t>0.02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市场价</w:t>
            </w:r>
          </w:p>
        </w:tc>
      </w:tr>
      <w:tr>
        <w:trPr>
          <w:trHeight w:val="46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sz w:val="18"/>
              </w:rPr>
              <w:t>43,760.68</w:t>
            </w:r>
          </w:p>
        </w:tc>
        <w:tc>
          <w:tcPr>
            <w:tcW w:w="121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9" w:right="0"/>
              <w:jc w:val="left"/>
              <w:rPr>
                <w:rFonts w:ascii="宋体" w:hAnsi="宋体" w:cs="宋体" w:eastAsia="宋体" w:hint="default"/>
                <w:sz w:val="18"/>
                <w:szCs w:val="18"/>
              </w:rPr>
            </w:pPr>
            <w:r>
              <w:rPr>
                <w:rFonts w:ascii="宋体"/>
                <w:sz w:val="18"/>
              </w:rPr>
              <w:t>1,800.00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240" w:lineRule="auto" w:before="35"/>
        <w:ind w:left="537" w:right="0"/>
        <w:jc w:val="left"/>
      </w:pPr>
      <w:r>
        <w:rPr/>
        <w:t>(3)</w:t>
      </w:r>
      <w:r>
        <w:rPr>
          <w:spacing w:val="-2"/>
        </w:rPr>
        <w:t> </w:t>
      </w:r>
      <w:r>
        <w:rPr/>
        <w:t>关联方未结算项目金额</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240"/>
        <w:gridCol w:w="1440"/>
        <w:gridCol w:w="1512"/>
        <w:gridCol w:w="1620"/>
        <w:gridCol w:w="1368"/>
      </w:tblGrid>
      <w:tr>
        <w:trPr>
          <w:trHeight w:val="464" w:hRule="exact"/>
        </w:trPr>
        <w:tc>
          <w:tcPr>
            <w:tcW w:w="32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项目及关联方名称</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32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 其他应收款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杭州恒生世纪实业有限公司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4,485.64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224.28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杭州屹潜软件有限公司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4,329.50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432.95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216.48</w:t>
            </w: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杭州恒生数字设备科技有限公司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360.00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18.00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黄大成</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6,196.23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309.81</w:t>
            </w: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  鸿</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50,607.27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2,530.36</w:t>
            </w: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003" w:val="left" w:leader="none"/>
              </w:tabs>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9,175.14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675.23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61,133.00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3,056.65</w:t>
            </w: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 其他应付款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北京恒生视讯数字设备科技有限公司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上海诚丰数码科技有限公司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20,000.00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杭州恒生普维光电技术有限公司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10,200.00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10,200.00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7,824.50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750,000.00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北京美髯公科技发展有限公司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杭州恒生世纪实业有限公司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769,125.00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003" w:val="left" w:leader="none"/>
              </w:tabs>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68,024.50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sz w:val="18"/>
              </w:rPr>
              <w:t>3,049,325.00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 预收款项</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九江恒盛置业有限责任公司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003" w:val="left" w:leader="none"/>
              </w:tabs>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240" w:lineRule="auto" w:before="35"/>
        <w:ind w:left="642" w:right="0"/>
        <w:jc w:val="left"/>
      </w:pPr>
      <w:r>
        <w:rPr/>
        <w:t>(4)</w:t>
      </w:r>
      <w:r>
        <w:rPr>
          <w:spacing w:val="-2"/>
        </w:rPr>
        <w:t> </w:t>
      </w:r>
      <w:r>
        <w:rPr/>
        <w:t>其他关联方交易</w:t>
      </w:r>
    </w:p>
    <w:p>
      <w:pPr>
        <w:spacing w:after="0" w:line="240" w:lineRule="auto"/>
        <w:jc w:val="left"/>
        <w:sectPr>
          <w:footerReference w:type="default" r:id="rId30"/>
          <w:pgSz w:w="11910" w:h="16840"/>
          <w:pgMar w:footer="1263" w:header="0" w:top="1360" w:bottom="1460" w:left="1680" w:right="800"/>
          <w:pgNumType w:start="101"/>
        </w:sectPr>
      </w:pPr>
    </w:p>
    <w:p>
      <w:pPr>
        <w:pStyle w:val="BodyText"/>
        <w:spacing w:line="240" w:lineRule="auto" w:before="13"/>
        <w:ind w:left="1277" w:right="1660"/>
        <w:jc w:val="left"/>
      </w:pPr>
      <w:r>
        <w:rPr/>
        <w:t>1)</w:t>
      </w:r>
      <w:r>
        <w:rPr>
          <w:spacing w:val="-1"/>
        </w:rPr>
        <w:t> </w:t>
      </w:r>
      <w:r>
        <w:rPr/>
        <w:t>担保</w:t>
      </w:r>
    </w:p>
    <w:p>
      <w:pPr>
        <w:pStyle w:val="BodyText"/>
        <w:spacing w:line="240" w:lineRule="auto"/>
        <w:ind w:left="1216" w:right="1660"/>
        <w:jc w:val="left"/>
      </w:pPr>
      <w:r>
        <w:rPr/>
        <w:t>①</w:t>
      </w:r>
      <w:r>
        <w:rPr>
          <w:spacing w:val="-2"/>
        </w:rPr>
        <w:t> </w:t>
      </w:r>
      <w:r>
        <w:rPr/>
        <w:t>本公司为关联方提供担保的情况</w:t>
      </w:r>
    </w:p>
    <w:p>
      <w:pPr>
        <w:pStyle w:val="BodyText"/>
        <w:spacing w:line="240" w:lineRule="auto"/>
        <w:ind w:left="1216" w:right="1660"/>
        <w:jc w:val="left"/>
      </w:pPr>
      <w:r>
        <w:rPr/>
        <w:t>截至</w:t>
      </w:r>
      <w:r>
        <w:rPr>
          <w:spacing w:val="-59"/>
        </w:rPr>
        <w:t> </w:t>
      </w:r>
      <w:r>
        <w:rPr/>
        <w:t>2007</w:t>
      </w:r>
      <w:r>
        <w:rPr>
          <w:spacing w:val="-58"/>
        </w:rPr>
        <w:t> </w:t>
      </w:r>
      <w:r>
        <w:rPr/>
        <w:t>年</w:t>
      </w:r>
      <w:r>
        <w:rPr>
          <w:spacing w:val="-59"/>
        </w:rPr>
        <w:t> </w:t>
      </w:r>
      <w:r>
        <w:rPr/>
        <w:t>12</w:t>
      </w:r>
      <w:r>
        <w:rPr>
          <w:spacing w:val="-59"/>
        </w:rPr>
        <w:t> </w:t>
      </w:r>
      <w:r>
        <w:rPr/>
        <w:t>月</w:t>
      </w:r>
      <w:r>
        <w:rPr>
          <w:spacing w:val="-59"/>
        </w:rPr>
        <w:t> </w:t>
      </w:r>
      <w:r>
        <w:rPr/>
        <w:t>31</w:t>
      </w:r>
      <w:r>
        <w:rPr>
          <w:spacing w:val="-58"/>
        </w:rPr>
        <w:t> </w:t>
      </w:r>
      <w:r>
        <w:rPr/>
        <w:t>日，本公司为关联方提供保证担保的情况（单位：万元）</w:t>
      </w:r>
    </w:p>
    <w:p>
      <w:pPr>
        <w:spacing w:line="240" w:lineRule="auto" w:before="5"/>
        <w:rPr>
          <w:rFonts w:ascii="宋体" w:hAnsi="宋体" w:cs="宋体" w:eastAsia="宋体" w:hint="default"/>
          <w:sz w:val="14"/>
          <w:szCs w:val="14"/>
        </w:rPr>
      </w:pPr>
    </w:p>
    <w:p>
      <w:pPr>
        <w:tabs>
          <w:tab w:pos="2837" w:val="left" w:leader="none"/>
          <w:tab w:pos="3289" w:val="left" w:leader="none"/>
          <w:tab w:pos="5629" w:val="left" w:leader="none"/>
          <w:tab w:pos="5897" w:val="left" w:leader="none"/>
          <w:tab w:pos="7157" w:val="left" w:leader="none"/>
          <w:tab w:pos="8957" w:val="left" w:leader="none"/>
          <w:tab w:pos="9139" w:val="left" w:leader="none"/>
        </w:tabs>
        <w:spacing w:line="427" w:lineRule="auto" w:before="0"/>
        <w:ind w:left="140" w:right="684" w:firstLine="360"/>
        <w:jc w:val="left"/>
        <w:rPr>
          <w:rFonts w:ascii="宋体" w:hAnsi="宋体" w:cs="宋体" w:eastAsia="宋体" w:hint="default"/>
          <w:sz w:val="18"/>
          <w:szCs w:val="18"/>
        </w:rPr>
      </w:pPr>
      <w:r>
        <w:rPr>
          <w:rFonts w:ascii="宋体" w:hAnsi="宋体" w:cs="宋体" w:eastAsia="宋体" w:hint="default"/>
          <w:sz w:val="18"/>
          <w:szCs w:val="18"/>
        </w:rPr>
        <w:t>被担保单位</w:t>
        <w:tab/>
        <w:tab/>
        <w:t>贷款金融机构</w:t>
        <w:tab/>
        <w:t>担保借款余额</w:t>
        <w:tab/>
        <w:t>借款到期日</w:t>
        <w:tab/>
        <w:tab/>
        <w:t>备注 无锡恒华科技发展有限公司</w:t>
        <w:tab/>
        <w:t>中国农业银行无锡市锡山支行</w:t>
        <w:tab/>
        <w:tab/>
        <w:t>3,500.00</w:t>
        <w:tab/>
        <w:t>09.10.30-10.7.9</w:t>
        <w:tab/>
        <w:t>长期借款</w:t>
      </w:r>
    </w:p>
    <w:p>
      <w:pPr>
        <w:tabs>
          <w:tab w:pos="5937" w:val="left" w:leader="none"/>
          <w:tab w:pos="7017" w:val="left" w:leader="none"/>
          <w:tab w:pos="8817" w:val="left" w:leader="none"/>
        </w:tabs>
        <w:spacing w:before="44"/>
        <w:ind w:left="0" w:right="544" w:firstLine="0"/>
        <w:jc w:val="center"/>
        <w:rPr>
          <w:rFonts w:ascii="宋体" w:hAnsi="宋体" w:cs="宋体" w:eastAsia="宋体" w:hint="default"/>
          <w:sz w:val="18"/>
          <w:szCs w:val="18"/>
        </w:rPr>
      </w:pPr>
      <w:r>
        <w:rPr>
          <w:rFonts w:ascii="宋体" w:hAnsi="宋体" w:cs="宋体" w:eastAsia="宋体" w:hint="default"/>
          <w:sz w:val="18"/>
          <w:szCs w:val="18"/>
        </w:rPr>
        <w:t>杭州恒生数据安全技术有限公司</w:t>
      </w:r>
      <w:r>
        <w:rPr>
          <w:rFonts w:ascii="宋体" w:hAnsi="宋体" w:cs="宋体" w:eastAsia="宋体" w:hint="default"/>
          <w:spacing w:val="87"/>
          <w:sz w:val="18"/>
          <w:szCs w:val="18"/>
        </w:rPr>
        <w:t> </w:t>
      </w:r>
      <w:r>
        <w:rPr>
          <w:rFonts w:ascii="宋体" w:hAnsi="宋体" w:cs="宋体" w:eastAsia="宋体" w:hint="default"/>
          <w:sz w:val="18"/>
          <w:szCs w:val="18"/>
        </w:rPr>
        <w:t>深圳发展银行杭州萧山支行</w:t>
        <w:tab/>
        <w:t>300.00</w:t>
        <w:tab/>
        <w:t>08.2.28</w:t>
        <w:tab/>
        <w:t>短期借款</w:t>
      </w:r>
    </w:p>
    <w:p>
      <w:pPr>
        <w:spacing w:line="240" w:lineRule="auto" w:before="1"/>
        <w:rPr>
          <w:rFonts w:ascii="宋体" w:hAnsi="宋体" w:cs="宋体" w:eastAsia="宋体" w:hint="default"/>
          <w:sz w:val="14"/>
          <w:szCs w:val="14"/>
        </w:rPr>
      </w:pPr>
    </w:p>
    <w:p>
      <w:pPr>
        <w:tabs>
          <w:tab w:pos="5897" w:val="left" w:leader="none"/>
        </w:tabs>
        <w:spacing w:before="0"/>
        <w:ind w:left="500" w:right="166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3,800.00</w:t>
      </w:r>
      <w:r>
        <w:rPr>
          <w:rFonts w:ascii="宋体" w:hAnsi="宋体" w:cs="宋体" w:eastAsia="宋体" w:hint="default"/>
          <w:sz w:val="18"/>
          <w:szCs w:val="18"/>
        </w:rPr>
      </w:r>
    </w:p>
    <w:p>
      <w:pPr>
        <w:pStyle w:val="BodyText"/>
        <w:spacing w:line="240" w:lineRule="auto" w:before="141"/>
        <w:ind w:left="1216" w:right="1660"/>
        <w:jc w:val="left"/>
      </w:pPr>
      <w:r>
        <w:rPr/>
        <w:t>②</w:t>
      </w:r>
      <w:r>
        <w:rPr>
          <w:spacing w:val="-2"/>
        </w:rPr>
        <w:t> </w:t>
      </w:r>
      <w:r>
        <w:rPr/>
        <w:t>关联方为本公司提供担保的情况</w:t>
      </w:r>
    </w:p>
    <w:p>
      <w:pPr>
        <w:pStyle w:val="BodyText"/>
        <w:spacing w:line="240" w:lineRule="auto"/>
        <w:ind w:left="1216" w:right="1660"/>
        <w:jc w:val="left"/>
      </w:pPr>
      <w:r>
        <w:rPr/>
        <w:t>截至</w:t>
      </w:r>
      <w:r>
        <w:rPr>
          <w:spacing w:val="-59"/>
        </w:rPr>
        <w:t> </w:t>
      </w:r>
      <w:r>
        <w:rPr/>
        <w:t>2007</w:t>
      </w:r>
      <w:r>
        <w:rPr>
          <w:spacing w:val="-58"/>
        </w:rPr>
        <w:t> </w:t>
      </w:r>
      <w:r>
        <w:rPr/>
        <w:t>年</w:t>
      </w:r>
      <w:r>
        <w:rPr>
          <w:spacing w:val="-59"/>
        </w:rPr>
        <w:t> </w:t>
      </w:r>
      <w:r>
        <w:rPr/>
        <w:t>12</w:t>
      </w:r>
      <w:r>
        <w:rPr>
          <w:spacing w:val="-59"/>
        </w:rPr>
        <w:t> </w:t>
      </w:r>
      <w:r>
        <w:rPr/>
        <w:t>月</w:t>
      </w:r>
      <w:r>
        <w:rPr>
          <w:spacing w:val="-59"/>
        </w:rPr>
        <w:t> </w:t>
      </w:r>
      <w:r>
        <w:rPr/>
        <w:t>31</w:t>
      </w:r>
      <w:r>
        <w:rPr>
          <w:spacing w:val="-58"/>
        </w:rPr>
        <w:t> </w:t>
      </w:r>
      <w:r>
        <w:rPr/>
        <w:t>日，关联方为本公司提供保证担保的情况（单位：万元）</w:t>
      </w:r>
    </w:p>
    <w:p>
      <w:pPr>
        <w:spacing w:line="240" w:lineRule="auto" w:before="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465"/>
        <w:gridCol w:w="2386"/>
        <w:gridCol w:w="1710"/>
        <w:gridCol w:w="1934"/>
        <w:gridCol w:w="1115"/>
      </w:tblGrid>
      <w:tr>
        <w:trPr>
          <w:trHeight w:val="726"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7"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4"/>
              <w:jc w:val="center"/>
              <w:rPr>
                <w:rFonts w:ascii="宋体" w:hAnsi="宋体" w:cs="宋体" w:eastAsia="宋体" w:hint="default"/>
                <w:sz w:val="18"/>
                <w:szCs w:val="18"/>
              </w:rPr>
            </w:pPr>
            <w:r>
              <w:rPr>
                <w:rFonts w:ascii="宋体" w:hAnsi="宋体" w:cs="宋体" w:eastAsia="宋体" w:hint="default"/>
                <w:sz w:val="18"/>
                <w:szCs w:val="18"/>
              </w:rPr>
              <w:t>贷款金融机构</w:t>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中国工商银行股份有限</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1"/>
              <w:jc w:val="right"/>
              <w:rPr>
                <w:rFonts w:ascii="宋体" w:hAnsi="宋体" w:cs="宋体" w:eastAsia="宋体" w:hint="default"/>
                <w:sz w:val="18"/>
                <w:szCs w:val="18"/>
              </w:rPr>
            </w:pPr>
            <w:r>
              <w:rPr>
                <w:rFonts w:ascii="宋体" w:hAnsi="宋体" w:cs="宋体" w:eastAsia="宋体" w:hint="default"/>
                <w:sz w:val="18"/>
                <w:szCs w:val="18"/>
              </w:rPr>
              <w:t>担保借款余额</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6"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7"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2386"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jc w:val="left"/>
              <w:rPr>
                <w:rFonts w:ascii="宋体" w:hAnsi="宋体" w:cs="宋体" w:eastAsia="宋体" w:hint="default"/>
                <w:sz w:val="18"/>
                <w:szCs w:val="18"/>
              </w:rPr>
            </w:pPr>
            <w:r>
              <w:rPr>
                <w:rFonts w:ascii="宋体" w:hAnsi="宋体" w:cs="宋体" w:eastAsia="宋体" w:hint="default"/>
                <w:sz w:val="18"/>
                <w:szCs w:val="18"/>
              </w:rPr>
              <w:t>公司杭州羊坝头支行</w:t>
            </w:r>
          </w:p>
        </w:tc>
        <w:tc>
          <w:tcPr>
            <w:tcW w:w="1710" w:type="dxa"/>
            <w:tcBorders>
              <w:top w:val="nil" w:sz="6" w:space="0" w:color="auto"/>
              <w:left w:val="nil" w:sz="6" w:space="0" w:color="auto"/>
              <w:bottom w:val="nil" w:sz="6" w:space="0" w:color="auto"/>
              <w:right w:val="nil" w:sz="6" w:space="0" w:color="auto"/>
            </w:tcBorders>
          </w:tcPr>
          <w:p>
            <w:pPr>
              <w:pStyle w:val="TableParagraph"/>
              <w:spacing w:line="206" w:lineRule="exact"/>
              <w:ind w:left="583" w:right="0"/>
              <w:jc w:val="left"/>
              <w:rPr>
                <w:rFonts w:ascii="宋体" w:hAnsi="宋体" w:cs="宋体" w:eastAsia="宋体" w:hint="default"/>
                <w:sz w:val="18"/>
                <w:szCs w:val="18"/>
              </w:rPr>
            </w:pPr>
            <w:r>
              <w:rPr>
                <w:rFonts w:ascii="宋体"/>
                <w:sz w:val="18"/>
              </w:rPr>
              <w:t>4,000.00</w:t>
            </w:r>
          </w:p>
        </w:tc>
        <w:tc>
          <w:tcPr>
            <w:tcW w:w="1934" w:type="dxa"/>
            <w:tcBorders>
              <w:top w:val="nil" w:sz="6" w:space="0" w:color="auto"/>
              <w:left w:val="nil" w:sz="6" w:space="0" w:color="auto"/>
              <w:bottom w:val="nil" w:sz="6" w:space="0" w:color="auto"/>
              <w:right w:val="nil" w:sz="6" w:space="0" w:color="auto"/>
            </w:tcBorders>
          </w:tcPr>
          <w:p>
            <w:pPr>
              <w:pStyle w:val="TableParagraph"/>
              <w:spacing w:line="206" w:lineRule="exact"/>
              <w:ind w:left="313" w:right="0"/>
              <w:jc w:val="left"/>
              <w:rPr>
                <w:rFonts w:ascii="宋体" w:hAnsi="宋体" w:cs="宋体" w:eastAsia="宋体" w:hint="default"/>
                <w:sz w:val="18"/>
                <w:szCs w:val="18"/>
              </w:rPr>
            </w:pPr>
            <w:r>
              <w:rPr>
                <w:rFonts w:ascii="宋体"/>
                <w:sz w:val="18"/>
              </w:rPr>
              <w:t>08.11.23</w:t>
            </w:r>
          </w:p>
        </w:tc>
        <w:tc>
          <w:tcPr>
            <w:tcW w:w="1115" w:type="dxa"/>
            <w:tcBorders>
              <w:top w:val="nil" w:sz="6" w:space="0" w:color="auto"/>
              <w:left w:val="nil" w:sz="6" w:space="0" w:color="auto"/>
              <w:bottom w:val="nil" w:sz="6" w:space="0" w:color="auto"/>
              <w:right w:val="nil" w:sz="6" w:space="0" w:color="auto"/>
            </w:tcBorders>
          </w:tcPr>
          <w:p>
            <w:pPr>
              <w:pStyle w:val="TableParagraph"/>
              <w:spacing w:line="206" w:lineRule="exact"/>
              <w:ind w:left="325" w:right="0"/>
              <w:jc w:val="center"/>
              <w:rPr>
                <w:rFonts w:ascii="宋体" w:hAnsi="宋体" w:cs="宋体" w:eastAsia="宋体" w:hint="default"/>
                <w:sz w:val="18"/>
                <w:szCs w:val="18"/>
              </w:rPr>
            </w:pPr>
            <w:r>
              <w:rPr>
                <w:rFonts w:ascii="宋体" w:hAnsi="宋体" w:cs="宋体" w:eastAsia="宋体" w:hint="default"/>
                <w:sz w:val="18"/>
                <w:szCs w:val="18"/>
              </w:rPr>
              <w:t>短期借款</w:t>
            </w:r>
          </w:p>
        </w:tc>
      </w:tr>
      <w:tr>
        <w:trPr>
          <w:trHeight w:val="653"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2386" w:type="dxa"/>
            <w:tcBorders>
              <w:top w:val="nil" w:sz="6" w:space="0" w:color="auto"/>
              <w:left w:val="nil" w:sz="6" w:space="0" w:color="auto"/>
              <w:bottom w:val="nil" w:sz="6" w:space="0" w:color="auto"/>
              <w:right w:val="nil" w:sz="6" w:space="0" w:color="auto"/>
            </w:tcBorders>
          </w:tcPr>
          <w:p>
            <w:pPr>
              <w:pStyle w:val="TableParagraph"/>
              <w:spacing w:line="232" w:lineRule="exact" w:before="89"/>
              <w:ind w:left="270" w:right="314"/>
              <w:jc w:val="left"/>
              <w:rPr>
                <w:rFonts w:ascii="宋体" w:hAnsi="宋体" w:cs="宋体" w:eastAsia="宋体" w:hint="default"/>
                <w:sz w:val="18"/>
                <w:szCs w:val="18"/>
              </w:rPr>
            </w:pPr>
            <w:r>
              <w:rPr>
                <w:rFonts w:ascii="宋体" w:hAnsi="宋体" w:cs="宋体" w:eastAsia="宋体" w:hint="default"/>
                <w:sz w:val="18"/>
                <w:szCs w:val="18"/>
              </w:rPr>
              <w:t>中国银行股份有限公司 杭州市钱塘支行</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04"/>
              <w:jc w:val="right"/>
              <w:rPr>
                <w:rFonts w:ascii="宋体" w:hAnsi="宋体" w:cs="宋体" w:eastAsia="宋体" w:hint="default"/>
                <w:sz w:val="18"/>
                <w:szCs w:val="18"/>
              </w:rPr>
            </w:pPr>
            <w:r>
              <w:rPr>
                <w:rFonts w:ascii="宋体"/>
                <w:sz w:val="18"/>
              </w:rPr>
              <w:t>800.00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13" w:right="0"/>
              <w:jc w:val="left"/>
              <w:rPr>
                <w:rFonts w:ascii="宋体" w:hAnsi="宋体" w:cs="宋体" w:eastAsia="宋体" w:hint="default"/>
                <w:sz w:val="18"/>
                <w:szCs w:val="18"/>
              </w:rPr>
            </w:pPr>
            <w:r>
              <w:rPr>
                <w:rFonts w:ascii="宋体"/>
                <w:sz w:val="18"/>
              </w:rPr>
              <w:t>08.6.25</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24" w:right="0"/>
              <w:jc w:val="center"/>
              <w:rPr>
                <w:rFonts w:ascii="宋体" w:hAnsi="宋体" w:cs="宋体" w:eastAsia="宋体" w:hint="default"/>
                <w:sz w:val="18"/>
                <w:szCs w:val="18"/>
              </w:rPr>
            </w:pPr>
            <w:r>
              <w:rPr>
                <w:rFonts w:ascii="宋体" w:hAnsi="宋体" w:cs="宋体" w:eastAsia="宋体" w:hint="default"/>
                <w:sz w:val="18"/>
                <w:szCs w:val="18"/>
              </w:rPr>
              <w:t>短期借款</w:t>
            </w:r>
          </w:p>
        </w:tc>
      </w:tr>
      <w:tr>
        <w:trPr>
          <w:trHeight w:val="653"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2386" w:type="dxa"/>
            <w:tcBorders>
              <w:top w:val="nil" w:sz="6" w:space="0" w:color="auto"/>
              <w:left w:val="nil" w:sz="6" w:space="0" w:color="auto"/>
              <w:bottom w:val="nil" w:sz="6" w:space="0" w:color="auto"/>
              <w:right w:val="nil" w:sz="6" w:space="0" w:color="auto"/>
            </w:tcBorders>
          </w:tcPr>
          <w:p>
            <w:pPr>
              <w:pStyle w:val="TableParagraph"/>
              <w:spacing w:line="232" w:lineRule="exact" w:before="89"/>
              <w:ind w:left="270" w:right="1034"/>
              <w:jc w:val="left"/>
              <w:rPr>
                <w:rFonts w:ascii="宋体" w:hAnsi="宋体" w:cs="宋体" w:eastAsia="宋体" w:hint="default"/>
                <w:sz w:val="18"/>
                <w:szCs w:val="18"/>
              </w:rPr>
            </w:pPr>
            <w:r>
              <w:rPr>
                <w:rFonts w:ascii="宋体" w:hAnsi="宋体" w:cs="宋体" w:eastAsia="宋体" w:hint="default"/>
                <w:sz w:val="18"/>
                <w:szCs w:val="18"/>
              </w:rPr>
              <w:t>中国农业银行 杭州滨江支行</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04"/>
              <w:jc w:val="right"/>
              <w:rPr>
                <w:rFonts w:ascii="宋体" w:hAnsi="宋体" w:cs="宋体" w:eastAsia="宋体" w:hint="default"/>
                <w:sz w:val="18"/>
                <w:szCs w:val="18"/>
              </w:rPr>
            </w:pPr>
            <w:r>
              <w:rPr>
                <w:rFonts w:ascii="宋体"/>
                <w:sz w:val="18"/>
              </w:rPr>
              <w:t>335.82</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3" w:right="0"/>
              <w:jc w:val="left"/>
              <w:rPr>
                <w:rFonts w:ascii="宋体" w:hAnsi="宋体" w:cs="宋体" w:eastAsia="宋体" w:hint="default"/>
                <w:sz w:val="18"/>
                <w:szCs w:val="18"/>
              </w:rPr>
            </w:pPr>
            <w:r>
              <w:rPr>
                <w:rFonts w:ascii="宋体"/>
                <w:sz w:val="18"/>
              </w:rPr>
              <w:t>08.1.4-08.2.9</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24" w:right="0"/>
              <w:jc w:val="center"/>
              <w:rPr>
                <w:rFonts w:ascii="宋体" w:hAnsi="宋体" w:cs="宋体" w:eastAsia="宋体" w:hint="default"/>
                <w:sz w:val="18"/>
                <w:szCs w:val="18"/>
              </w:rPr>
            </w:pPr>
            <w:r>
              <w:rPr>
                <w:rFonts w:ascii="宋体" w:hAnsi="宋体" w:cs="宋体" w:eastAsia="宋体" w:hint="default"/>
                <w:sz w:val="18"/>
                <w:szCs w:val="18"/>
              </w:rPr>
              <w:t>承兑汇票</w:t>
            </w:r>
          </w:p>
        </w:tc>
      </w:tr>
      <w:tr>
        <w:trPr>
          <w:trHeight w:val="653"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杭州恒生电子集团有限公司</w:t>
            </w:r>
          </w:p>
        </w:tc>
        <w:tc>
          <w:tcPr>
            <w:tcW w:w="2386" w:type="dxa"/>
            <w:tcBorders>
              <w:top w:val="nil" w:sz="6" w:space="0" w:color="auto"/>
              <w:left w:val="nil" w:sz="6" w:space="0" w:color="auto"/>
              <w:bottom w:val="nil" w:sz="6" w:space="0" w:color="auto"/>
              <w:right w:val="nil" w:sz="6" w:space="0" w:color="auto"/>
            </w:tcBorders>
          </w:tcPr>
          <w:p>
            <w:pPr>
              <w:pStyle w:val="TableParagraph"/>
              <w:spacing w:line="232" w:lineRule="exact" w:before="89"/>
              <w:ind w:left="270" w:right="314"/>
              <w:jc w:val="left"/>
              <w:rPr>
                <w:rFonts w:ascii="宋体" w:hAnsi="宋体" w:cs="宋体" w:eastAsia="宋体" w:hint="default"/>
                <w:sz w:val="18"/>
                <w:szCs w:val="18"/>
              </w:rPr>
            </w:pPr>
            <w:r>
              <w:rPr>
                <w:rFonts w:ascii="宋体" w:hAnsi="宋体" w:cs="宋体" w:eastAsia="宋体" w:hint="default"/>
                <w:sz w:val="18"/>
                <w:szCs w:val="18"/>
              </w:rPr>
              <w:t>中国银行股份有限公司 杭州市钱塘支行</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04"/>
              <w:jc w:val="right"/>
              <w:rPr>
                <w:rFonts w:ascii="宋体" w:hAnsi="宋体" w:cs="宋体" w:eastAsia="宋体" w:hint="default"/>
                <w:sz w:val="18"/>
                <w:szCs w:val="18"/>
              </w:rPr>
            </w:pPr>
            <w:r>
              <w:rPr>
                <w:rFonts w:ascii="宋体"/>
                <w:sz w:val="18"/>
              </w:rPr>
              <w:t>353.78</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13" w:right="0"/>
              <w:jc w:val="left"/>
              <w:rPr>
                <w:rFonts w:ascii="宋体" w:hAnsi="宋体" w:cs="宋体" w:eastAsia="宋体" w:hint="default"/>
                <w:sz w:val="18"/>
                <w:szCs w:val="18"/>
              </w:rPr>
            </w:pPr>
            <w:r>
              <w:rPr>
                <w:rFonts w:ascii="宋体"/>
                <w:sz w:val="18"/>
              </w:rPr>
              <w:t>08.1.12-08.2.7</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25" w:right="0"/>
              <w:jc w:val="center"/>
              <w:rPr>
                <w:rFonts w:ascii="宋体" w:hAnsi="宋体" w:cs="宋体" w:eastAsia="宋体" w:hint="default"/>
                <w:sz w:val="18"/>
                <w:szCs w:val="18"/>
              </w:rPr>
            </w:pPr>
            <w:r>
              <w:rPr>
                <w:rFonts w:ascii="宋体" w:hAnsi="宋体" w:cs="宋体" w:eastAsia="宋体" w:hint="default"/>
                <w:sz w:val="18"/>
                <w:szCs w:val="18"/>
              </w:rPr>
              <w:t>承兑汇票</w:t>
            </w:r>
          </w:p>
        </w:tc>
      </w:tr>
      <w:tr>
        <w:trPr>
          <w:trHeight w:val="400"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7"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86"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83" w:right="0"/>
              <w:jc w:val="left"/>
              <w:rPr>
                <w:rFonts w:ascii="宋体" w:hAnsi="宋体" w:cs="宋体" w:eastAsia="宋体" w:hint="default"/>
                <w:sz w:val="18"/>
                <w:szCs w:val="18"/>
              </w:rPr>
            </w:pPr>
            <w:r>
              <w:rPr>
                <w:rFonts w:ascii="宋体"/>
                <w:sz w:val="18"/>
              </w:rPr>
            </w:r>
            <w:r>
              <w:rPr>
                <w:rFonts w:ascii="宋体"/>
                <w:sz w:val="18"/>
                <w:u w:val="single" w:color="000000"/>
              </w:rPr>
              <w:t>5,489.60</w:t>
            </w:r>
            <w:r>
              <w:rPr>
                <w:rFonts w:ascii="宋体"/>
                <w:sz w:val="18"/>
              </w:rPr>
            </w:r>
          </w:p>
        </w:tc>
        <w:tc>
          <w:tcPr>
            <w:tcW w:w="193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r>
    </w:tbl>
    <w:p>
      <w:pPr>
        <w:pStyle w:val="BodyText"/>
        <w:spacing w:line="367" w:lineRule="auto" w:before="41"/>
        <w:ind w:left="1277" w:right="5077"/>
        <w:jc w:val="left"/>
      </w:pPr>
      <w:r>
        <w:rPr/>
        <w:t>2)</w:t>
      </w:r>
      <w:r>
        <w:rPr>
          <w:spacing w:val="-1"/>
        </w:rPr>
        <w:t> </w:t>
      </w:r>
      <w:r>
        <w:rPr/>
        <w:t>租赁</w:t>
      </w:r>
      <w:r>
        <w:rPr/>
        <w:t> 详见本财务报表附注十(三)1(4)2)之说明。 3)</w:t>
      </w:r>
      <w:r>
        <w:rPr>
          <w:spacing w:val="-1"/>
        </w:rPr>
        <w:t> </w:t>
      </w:r>
      <w:r>
        <w:rPr/>
        <w:t>其他</w:t>
      </w:r>
    </w:p>
    <w:p>
      <w:pPr>
        <w:pStyle w:val="BodyText"/>
        <w:spacing w:line="367" w:lineRule="auto" w:before="34"/>
        <w:ind w:left="857" w:right="953" w:firstLine="420"/>
        <w:jc w:val="both"/>
      </w:pPr>
      <w:r>
        <w:rPr>
          <w:spacing w:val="-2"/>
        </w:rPr>
        <w:t>公司控股子公司无锡恒华科技发展有限公司因业务发展资金需要，本期向公司关联方杭州</w:t>
      </w:r>
      <w:r>
        <w:rPr/>
        <w:t> 恒生世纪实业有限公司借入资金</w:t>
      </w:r>
      <w:r>
        <w:rPr>
          <w:spacing w:val="-43"/>
        </w:rPr>
        <w:t> </w:t>
      </w:r>
      <w:r>
        <w:rPr/>
        <w:t>8,750,000.00</w:t>
      </w:r>
      <w:r>
        <w:rPr>
          <w:spacing w:val="-42"/>
        </w:rPr>
        <w:t> </w:t>
      </w:r>
      <w:r>
        <w:rPr/>
        <w:t>元，支付利息</w:t>
      </w:r>
      <w:r>
        <w:rPr>
          <w:spacing w:val="-43"/>
        </w:rPr>
        <w:t> </w:t>
      </w:r>
      <w:r>
        <w:rPr/>
        <w:t>69,187.50</w:t>
      </w:r>
      <w:r>
        <w:rPr>
          <w:spacing w:val="-42"/>
        </w:rPr>
        <w:t> </w:t>
      </w:r>
      <w:r>
        <w:rPr/>
        <w:t>元；向公司关联方上</w:t>
      </w:r>
      <w:r>
        <w:rPr/>
        <w:t> 海盈合实业投资有限公司借入资金 14,900,000.00 元，按年利率</w:t>
      </w:r>
      <w:r>
        <w:rPr>
          <w:spacing w:val="-64"/>
        </w:rPr>
        <w:t> </w:t>
      </w:r>
      <w:r>
        <w:rPr/>
        <w:t>1%计缴资金占用利息。截至</w:t>
      </w:r>
      <w:r>
        <w:rPr/>
        <w:t> 2007</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日上述借款均已归还。</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277" w:right="1660" w:firstLine="0"/>
        <w:jc w:val="left"/>
        <w:rPr>
          <w:rFonts w:ascii="黑体" w:hAnsi="黑体" w:cs="黑体" w:eastAsia="黑体" w:hint="default"/>
          <w:sz w:val="21"/>
          <w:szCs w:val="21"/>
        </w:rPr>
      </w:pPr>
      <w:r>
        <w:rPr>
          <w:rFonts w:ascii="黑体" w:hAnsi="黑体" w:cs="黑体" w:eastAsia="黑体" w:hint="default"/>
          <w:b/>
          <w:bCs/>
          <w:sz w:val="21"/>
          <w:szCs w:val="21"/>
        </w:rPr>
        <w:t>十一、或有事项</w:t>
      </w:r>
      <w:r>
        <w:rPr>
          <w:rFonts w:ascii="黑体" w:hAnsi="黑体" w:cs="黑体" w:eastAsia="黑体" w:hint="default"/>
          <w:sz w:val="21"/>
          <w:szCs w:val="21"/>
        </w:rPr>
      </w:r>
    </w:p>
    <w:p>
      <w:pPr>
        <w:pStyle w:val="BodyText"/>
        <w:spacing w:line="240" w:lineRule="auto"/>
        <w:ind w:left="1277" w:right="1660"/>
        <w:jc w:val="left"/>
      </w:pPr>
      <w:r>
        <w:rPr/>
        <w:t>(一)</w:t>
      </w:r>
      <w:r>
        <w:rPr>
          <w:spacing w:val="-2"/>
        </w:rPr>
        <w:t> </w:t>
      </w:r>
      <w:r>
        <w:rPr/>
        <w:t>公司提供的各种债务担保</w:t>
      </w:r>
    </w:p>
    <w:p>
      <w:pPr>
        <w:pStyle w:val="BodyText"/>
        <w:spacing w:line="240" w:lineRule="auto"/>
        <w:ind w:left="1277" w:right="1660"/>
        <w:jc w:val="left"/>
      </w:pPr>
      <w:r>
        <w:rPr/>
        <w:t>1．截至</w:t>
      </w:r>
      <w:r>
        <w:rPr>
          <w:spacing w:val="-58"/>
        </w:rPr>
        <w:t> </w:t>
      </w:r>
      <w:r>
        <w:rPr/>
        <w:t>2007</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日，本公司财产抵押情况（单位：万元）</w:t>
      </w:r>
    </w:p>
    <w:p>
      <w:pPr>
        <w:spacing w:line="240" w:lineRule="auto" w:before="0"/>
        <w:rPr>
          <w:rFonts w:ascii="宋体" w:hAnsi="宋体" w:cs="宋体" w:eastAsia="宋体" w:hint="default"/>
          <w:sz w:val="11"/>
          <w:szCs w:val="11"/>
        </w:rPr>
      </w:pPr>
    </w:p>
    <w:tbl>
      <w:tblPr>
        <w:tblW w:w="0" w:type="auto"/>
        <w:jc w:val="left"/>
        <w:tblInd w:w="459" w:type="dxa"/>
        <w:tblLayout w:type="fixed"/>
        <w:tblCellMar>
          <w:top w:w="0" w:type="dxa"/>
          <w:left w:w="0" w:type="dxa"/>
          <w:bottom w:w="0" w:type="dxa"/>
          <w:right w:w="0" w:type="dxa"/>
        </w:tblCellMar>
        <w:tblLook w:val="01E0"/>
      </w:tblPr>
      <w:tblGrid>
        <w:gridCol w:w="1213"/>
        <w:gridCol w:w="1172"/>
        <w:gridCol w:w="1833"/>
        <w:gridCol w:w="1298"/>
        <w:gridCol w:w="1045"/>
        <w:gridCol w:w="1175"/>
        <w:gridCol w:w="1435"/>
        <w:gridCol w:w="625"/>
      </w:tblGrid>
      <w:tr>
        <w:trPr>
          <w:trHeight w:val="639"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2344" w:type="dxa"/>
            <w:gridSpan w:val="2"/>
            <w:tcBorders>
              <w:top w:val="nil" w:sz="6" w:space="0" w:color="auto"/>
              <w:left w:val="nil" w:sz="6" w:space="0" w:color="auto"/>
              <w:bottom w:val="nil" w:sz="6" w:space="0" w:color="auto"/>
              <w:right w:val="nil" w:sz="6" w:space="0" w:color="auto"/>
            </w:tcBorders>
          </w:tcPr>
          <w:p>
            <w:pPr>
              <w:pStyle w:val="TableParagraph"/>
              <w:tabs>
                <w:tab w:pos="948" w:val="left" w:leader="none"/>
                <w:tab w:pos="1403" w:val="left" w:leader="none"/>
                <w:tab w:pos="2027" w:val="left" w:leader="none"/>
              </w:tabs>
              <w:spacing w:line="232" w:lineRule="exact" w:before="69"/>
              <w:ind w:left="413" w:right="218" w:firstLine="11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抵押物</w:t>
              <w:tab/>
            </w:r>
            <w:r>
              <w:rPr>
                <w:rFonts w:ascii="宋体" w:hAnsi="宋体" w:cs="宋体" w:eastAsia="宋体" w:hint="default"/>
                <w:sz w:val="18"/>
                <w:szCs w:val="18"/>
              </w:rPr>
            </w:r>
            <w:r>
              <w:rPr>
                <w:rFonts w:ascii="宋体" w:hAnsi="宋体" w:cs="宋体" w:eastAsia="宋体" w:hint="default"/>
                <w:sz w:val="18"/>
                <w:szCs w:val="18"/>
              </w:rPr>
              <w:t> 账面原值</w:t>
              <w:tab/>
              <w:t>账面净值</w:t>
            </w:r>
          </w:p>
        </w:tc>
        <w:tc>
          <w:tcPr>
            <w:tcW w:w="117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39" w:right="314" w:firstLine="174"/>
              <w:jc w:val="left"/>
              <w:rPr>
                <w:rFonts w:ascii="宋体" w:hAnsi="宋体" w:cs="宋体" w:eastAsia="宋体" w:hint="default"/>
                <w:sz w:val="18"/>
                <w:szCs w:val="18"/>
              </w:rPr>
            </w:pPr>
            <w:r>
              <w:rPr>
                <w:rFonts w:ascii="宋体" w:hAnsi="宋体" w:cs="宋体" w:eastAsia="宋体" w:hint="default"/>
                <w:sz w:val="18"/>
                <w:szCs w:val="18"/>
              </w:rPr>
              <w:t>担保 借款金额</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704"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32" w:lineRule="exact" w:before="95"/>
              <w:ind w:left="35" w:right="95"/>
              <w:jc w:val="left"/>
              <w:rPr>
                <w:rFonts w:ascii="宋体" w:hAnsi="宋体" w:cs="宋体" w:eastAsia="宋体" w:hint="default"/>
                <w:sz w:val="18"/>
                <w:szCs w:val="18"/>
              </w:rPr>
            </w:pPr>
            <w:r>
              <w:rPr>
                <w:rFonts w:ascii="宋体" w:hAnsi="宋体" w:cs="宋体" w:eastAsia="宋体" w:hint="default"/>
                <w:sz w:val="18"/>
                <w:szCs w:val="18"/>
              </w:rPr>
              <w:t>无锡恒华科技 发展有限公司</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3" w:type="dxa"/>
            <w:tcBorders>
              <w:top w:val="nil" w:sz="6" w:space="0" w:color="auto"/>
              <w:left w:val="nil" w:sz="6" w:space="0" w:color="auto"/>
              <w:bottom w:val="nil" w:sz="6" w:space="0" w:color="auto"/>
              <w:right w:val="nil" w:sz="6" w:space="0" w:color="auto"/>
            </w:tcBorders>
          </w:tcPr>
          <w:p>
            <w:pPr>
              <w:pStyle w:val="TableParagraph"/>
              <w:spacing w:line="232" w:lineRule="exact" w:before="95"/>
              <w:ind w:left="179" w:right="391"/>
              <w:jc w:val="left"/>
              <w:rPr>
                <w:rFonts w:ascii="宋体" w:hAnsi="宋体" w:cs="宋体" w:eastAsia="宋体" w:hint="default"/>
                <w:sz w:val="18"/>
                <w:szCs w:val="18"/>
              </w:rPr>
            </w:pPr>
            <w:r>
              <w:rPr>
                <w:rFonts w:ascii="宋体" w:hAnsi="宋体" w:cs="宋体" w:eastAsia="宋体" w:hint="default"/>
                <w:sz w:val="18"/>
                <w:szCs w:val="18"/>
              </w:rPr>
              <w:t>中国农业银行 无锡市锡山支行</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3"/>
              <w:jc w:val="right"/>
              <w:rPr>
                <w:rFonts w:ascii="宋体" w:hAnsi="宋体" w:cs="宋体" w:eastAsia="宋体" w:hint="default"/>
                <w:sz w:val="18"/>
                <w:szCs w:val="18"/>
              </w:rPr>
            </w:pPr>
            <w:r>
              <w:rPr>
                <w:rFonts w:ascii="宋体"/>
                <w:sz w:val="18"/>
              </w:rPr>
              <w:t>2,315.10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7"/>
              <w:jc w:val="right"/>
              <w:rPr>
                <w:rFonts w:ascii="宋体" w:hAnsi="宋体" w:cs="宋体" w:eastAsia="宋体" w:hint="default"/>
                <w:sz w:val="18"/>
                <w:szCs w:val="18"/>
              </w:rPr>
            </w:pPr>
            <w:r>
              <w:rPr>
                <w:rFonts w:ascii="宋体"/>
                <w:sz w:val="18"/>
              </w:rPr>
              <w:t>2,245.65</w:t>
            </w:r>
          </w:p>
        </w:tc>
        <w:tc>
          <w:tcPr>
            <w:tcW w:w="323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tabs>
                <w:tab w:pos="1224" w:val="left" w:leader="none"/>
              </w:tabs>
              <w:spacing w:line="240" w:lineRule="auto"/>
              <w:ind w:left="288" w:right="0"/>
              <w:jc w:val="left"/>
              <w:rPr>
                <w:rFonts w:ascii="宋体" w:hAnsi="宋体" w:cs="宋体" w:eastAsia="宋体" w:hint="default"/>
                <w:sz w:val="18"/>
                <w:szCs w:val="18"/>
              </w:rPr>
            </w:pPr>
            <w:r>
              <w:rPr>
                <w:rFonts w:ascii="宋体"/>
                <w:sz w:val="18"/>
              </w:rPr>
              <w:t>3,500.00</w:t>
              <w:tab/>
              <w:t>07.1.18-09.1.17</w:t>
            </w:r>
          </w:p>
        </w:tc>
      </w:tr>
      <w:tr>
        <w:trPr>
          <w:trHeight w:val="445"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36"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72" w:type="dxa"/>
            <w:tcBorders>
              <w:top w:val="nil" w:sz="6" w:space="0" w:color="auto"/>
              <w:left w:val="nil" w:sz="6" w:space="0" w:color="auto"/>
              <w:bottom w:val="nil" w:sz="6" w:space="0" w:color="auto"/>
              <w:right w:val="nil" w:sz="6" w:space="0" w:color="auto"/>
            </w:tcBorders>
          </w:tcPr>
          <w:p>
            <w:pPr/>
          </w:p>
        </w:tc>
        <w:tc>
          <w:tcPr>
            <w:tcW w:w="18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3"/>
              <w:jc w:val="right"/>
              <w:rPr>
                <w:rFonts w:ascii="宋体" w:hAnsi="宋体" w:cs="宋体" w:eastAsia="宋体" w:hint="default"/>
                <w:sz w:val="18"/>
                <w:szCs w:val="18"/>
              </w:rPr>
            </w:pPr>
            <w:r>
              <w:rPr>
                <w:rFonts w:ascii="宋体"/>
                <w:sz w:val="18"/>
              </w:rPr>
            </w:r>
            <w:r>
              <w:rPr>
                <w:rFonts w:ascii="宋体"/>
                <w:sz w:val="18"/>
                <w:u w:val="single" w:color="000000"/>
              </w:rPr>
              <w:t>2,315.10</w:t>
            </w:r>
            <w:r>
              <w:rPr>
                <w:rFonts w:ascii="宋体"/>
                <w:sz w:val="18"/>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7"/>
              <w:jc w:val="right"/>
              <w:rPr>
                <w:rFonts w:ascii="宋体" w:hAnsi="宋体" w:cs="宋体" w:eastAsia="宋体" w:hint="default"/>
                <w:sz w:val="18"/>
                <w:szCs w:val="18"/>
              </w:rPr>
            </w:pPr>
            <w:r>
              <w:rPr>
                <w:rFonts w:ascii="宋体"/>
                <w:sz w:val="18"/>
              </w:rPr>
            </w:r>
            <w:r>
              <w:rPr>
                <w:rFonts w:ascii="宋体"/>
                <w:sz w:val="18"/>
                <w:u w:val="single" w:color="000000"/>
              </w:rPr>
              <w:t>2,245.65</w:t>
            </w:r>
            <w:r>
              <w:rPr>
                <w:rFonts w:ascii="宋体"/>
                <w:sz w:val="18"/>
              </w:rPr>
            </w:r>
          </w:p>
        </w:tc>
        <w:tc>
          <w:tcPr>
            <w:tcW w:w="323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9"/>
              <w:ind w:left="314" w:right="0"/>
              <w:jc w:val="left"/>
              <w:rPr>
                <w:rFonts w:ascii="宋体" w:hAnsi="宋体" w:cs="宋体" w:eastAsia="宋体" w:hint="default"/>
                <w:sz w:val="18"/>
                <w:szCs w:val="18"/>
              </w:rPr>
            </w:pPr>
            <w:r>
              <w:rPr>
                <w:rFonts w:ascii="宋体"/>
                <w:sz w:val="18"/>
              </w:rPr>
            </w:r>
            <w:r>
              <w:rPr>
                <w:rFonts w:ascii="宋体"/>
                <w:sz w:val="18"/>
                <w:u w:val="single" w:color="000000"/>
              </w:rPr>
              <w:t>3,500.00</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0" w:footer="1263" w:top="1540" w:bottom="1460" w:left="940" w:right="600"/>
        </w:sectPr>
      </w:pPr>
    </w:p>
    <w:p>
      <w:pPr>
        <w:pStyle w:val="BodyText"/>
        <w:spacing w:line="367" w:lineRule="auto" w:before="13"/>
        <w:ind w:left="537" w:right="979"/>
        <w:jc w:val="left"/>
      </w:pPr>
      <w:r>
        <w:rPr/>
        <w:t>2．本公司为关联方提供的担保事项详见本财务报表附注十(三)2(4)1)</w:t>
      </w:r>
      <w:r>
        <w:rPr>
          <w:spacing w:val="-2"/>
        </w:rPr>
        <w:t> </w:t>
      </w:r>
      <w:r>
        <w:rPr/>
        <w:t>之说明。</w:t>
      </w:r>
      <w:r>
        <w:rPr/>
        <w:t> (二)</w:t>
      </w:r>
      <w:r>
        <w:rPr>
          <w:spacing w:val="-2"/>
        </w:rPr>
        <w:t> </w:t>
      </w:r>
      <w:r>
        <w:rPr/>
        <w:t>其他或有事项</w:t>
      </w:r>
    </w:p>
    <w:p>
      <w:pPr>
        <w:pStyle w:val="BodyText"/>
        <w:spacing w:line="240" w:lineRule="auto" w:before="34"/>
        <w:ind w:left="537" w:right="95"/>
        <w:jc w:val="left"/>
      </w:pPr>
      <w:r>
        <w:rPr/>
        <w:t>截至</w:t>
      </w:r>
      <w:r>
        <w:rPr>
          <w:spacing w:val="-46"/>
        </w:rPr>
        <w:t> </w:t>
      </w:r>
      <w:r>
        <w:rPr/>
        <w:t>2007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日，本公司在中国银行股份有限公司杭州市钱塘支行和中国工商银</w:t>
      </w:r>
    </w:p>
    <w:p>
      <w:pPr>
        <w:pStyle w:val="BodyText"/>
        <w:spacing w:line="240" w:lineRule="auto"/>
        <w:ind w:right="95"/>
        <w:jc w:val="left"/>
      </w:pPr>
      <w:r>
        <w:rPr/>
        <w:t>行股份有限公司杭州羊坝头支行共开具保函</w:t>
      </w:r>
      <w:r>
        <w:rPr>
          <w:spacing w:val="-69"/>
        </w:rPr>
        <w:t> </w:t>
      </w:r>
      <w:r>
        <w:rPr/>
        <w:t>2,113,666.75</w:t>
      </w:r>
      <w:r>
        <w:rPr>
          <w:spacing w:val="-68"/>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537" w:right="95" w:firstLine="0"/>
        <w:jc w:val="left"/>
        <w:rPr>
          <w:rFonts w:ascii="黑体" w:hAnsi="黑体" w:cs="黑体" w:eastAsia="黑体" w:hint="default"/>
          <w:sz w:val="21"/>
          <w:szCs w:val="21"/>
        </w:rPr>
      </w:pPr>
      <w:r>
        <w:rPr>
          <w:rFonts w:ascii="黑体" w:hAnsi="黑体" w:cs="黑体" w:eastAsia="黑体" w:hint="default"/>
          <w:b/>
          <w:bCs/>
          <w:sz w:val="21"/>
          <w:szCs w:val="21"/>
        </w:rPr>
        <w:t>十二、承诺事项</w:t>
      </w:r>
      <w:r>
        <w:rPr>
          <w:rFonts w:ascii="黑体" w:hAnsi="黑体" w:cs="黑体" w:eastAsia="黑体" w:hint="default"/>
          <w:sz w:val="21"/>
          <w:szCs w:val="21"/>
        </w:rPr>
      </w:r>
    </w:p>
    <w:p>
      <w:pPr>
        <w:pStyle w:val="BodyText"/>
        <w:spacing w:line="240" w:lineRule="auto"/>
        <w:ind w:left="550" w:right="95"/>
        <w:jc w:val="left"/>
      </w:pPr>
      <w:r>
        <w:rPr/>
        <w:t>无重大承诺事项。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552" w:right="95" w:firstLine="0"/>
        <w:jc w:val="left"/>
        <w:rPr>
          <w:rFonts w:ascii="黑体" w:hAnsi="黑体" w:cs="黑体" w:eastAsia="黑体" w:hint="default"/>
          <w:sz w:val="21"/>
          <w:szCs w:val="21"/>
        </w:rPr>
      </w:pPr>
      <w:r>
        <w:rPr>
          <w:rFonts w:ascii="黑体" w:hAnsi="黑体" w:cs="黑体" w:eastAsia="黑体" w:hint="default"/>
          <w:b/>
          <w:bCs/>
          <w:sz w:val="21"/>
          <w:szCs w:val="21"/>
        </w:rPr>
        <w:t>十三、资产负债表日后事项中的非调整事项</w:t>
      </w:r>
      <w:r>
        <w:rPr>
          <w:rFonts w:ascii="黑体" w:hAnsi="黑体" w:cs="黑体" w:eastAsia="黑体" w:hint="default"/>
          <w:sz w:val="21"/>
          <w:szCs w:val="21"/>
        </w:rPr>
      </w:r>
    </w:p>
    <w:p>
      <w:pPr>
        <w:pStyle w:val="BodyText"/>
        <w:spacing w:line="240" w:lineRule="auto"/>
        <w:ind w:left="537" w:right="95"/>
        <w:jc w:val="left"/>
      </w:pPr>
      <w:r>
        <w:rPr/>
        <w:t>(一)</w:t>
      </w:r>
      <w:r>
        <w:rPr>
          <w:spacing w:val="-16"/>
        </w:rPr>
        <w:t> </w:t>
      </w:r>
      <w:r>
        <w:rPr/>
        <w:t>2007</w:t>
      </w:r>
      <w:r>
        <w:rPr>
          <w:spacing w:val="-59"/>
        </w:rPr>
        <w:t> </w:t>
      </w:r>
      <w:r>
        <w:rPr/>
        <w:t>年</w:t>
      </w:r>
      <w:r>
        <w:rPr>
          <w:spacing w:val="-59"/>
        </w:rPr>
        <w:t> </w:t>
      </w:r>
      <w:r>
        <w:rPr/>
        <w:t>10</w:t>
      </w:r>
      <w:r>
        <w:rPr>
          <w:spacing w:val="-58"/>
        </w:rPr>
        <w:t> </w:t>
      </w:r>
      <w:r>
        <w:rPr/>
        <w:t>月</w:t>
      </w:r>
      <w:r>
        <w:rPr>
          <w:spacing w:val="-59"/>
        </w:rPr>
        <w:t> </w:t>
      </w:r>
      <w:r>
        <w:rPr/>
        <w:t>26</w:t>
      </w:r>
      <w:r>
        <w:rPr>
          <w:spacing w:val="-59"/>
        </w:rPr>
        <w:t> </w:t>
      </w:r>
      <w:r>
        <w:rPr/>
        <w:t>日，公司三届八次董事会通过《关于投资设立恒生网络有限公司的</w:t>
      </w:r>
    </w:p>
    <w:p>
      <w:pPr>
        <w:pStyle w:val="BodyText"/>
        <w:spacing w:line="240" w:lineRule="auto"/>
        <w:ind w:right="95"/>
        <w:jc w:val="left"/>
      </w:pPr>
      <w:r>
        <w:rPr/>
        <w:t>议案</w:t>
      </w:r>
      <w:r>
        <w:rPr>
          <w:spacing w:val="-105"/>
        </w:rPr>
        <w:t>》</w:t>
      </w:r>
      <w:r>
        <w:rPr>
          <w:spacing w:val="-15"/>
        </w:rPr>
        <w:t>，</w:t>
      </w:r>
      <w:r>
        <w:rPr>
          <w:spacing w:val="-1"/>
        </w:rPr>
        <w:t>并</w:t>
      </w:r>
      <w:r>
        <w:rPr>
          <w:spacing w:val="-2"/>
        </w:rPr>
        <w:t>经</w:t>
      </w:r>
      <w:r>
        <w:rPr>
          <w:spacing w:val="-1"/>
        </w:rPr>
        <w:t>中华人民共和国商务</w:t>
      </w:r>
      <w:r>
        <w:rPr>
          <w:spacing w:val="-15"/>
        </w:rPr>
        <w:t>部</w:t>
      </w:r>
      <w:r>
        <w:rPr>
          <w:spacing w:val="-1"/>
        </w:rPr>
        <w:t>〔2007</w:t>
      </w:r>
      <w:r>
        <w:rPr>
          <w:spacing w:val="-15"/>
        </w:rPr>
        <w:t>〕</w:t>
      </w:r>
      <w:r>
        <w:rPr>
          <w:spacing w:val="-2"/>
        </w:rPr>
        <w:t>商</w:t>
      </w:r>
      <w:r>
        <w:rPr>
          <w:spacing w:val="-1"/>
        </w:rPr>
        <w:t>合境外投资证字</w:t>
      </w:r>
      <w:r>
        <w:rPr/>
        <w:t>第</w:t>
      </w:r>
      <w:r>
        <w:rPr>
          <w:spacing w:val="-53"/>
        </w:rPr>
        <w:t> </w:t>
      </w:r>
      <w:r>
        <w:rPr>
          <w:spacing w:val="-1"/>
        </w:rPr>
        <w:t>00201</w:t>
      </w:r>
      <w:r>
        <w:rPr/>
        <w:t>2</w:t>
      </w:r>
      <w:r>
        <w:rPr>
          <w:spacing w:val="-52"/>
        </w:rPr>
        <w:t> </w:t>
      </w:r>
      <w:r>
        <w:rPr>
          <w:spacing w:val="-1"/>
        </w:rPr>
        <w:t>号批准证</w:t>
      </w:r>
      <w:r>
        <w:rPr>
          <w:spacing w:val="-2"/>
        </w:rPr>
        <w:t>书</w:t>
      </w:r>
      <w:r>
        <w:rPr>
          <w:spacing w:val="-1"/>
        </w:rPr>
        <w:t>批准</w:t>
      </w:r>
      <w:r>
        <w:rPr>
          <w:spacing w:val="-15"/>
        </w:rPr>
        <w:t>，</w:t>
      </w:r>
      <w:r>
        <w:rPr/>
        <w:t>公</w:t>
      </w:r>
    </w:p>
    <w:p>
      <w:pPr>
        <w:pStyle w:val="BodyText"/>
        <w:spacing w:line="240" w:lineRule="auto"/>
        <w:ind w:right="95"/>
        <w:jc w:val="left"/>
      </w:pPr>
      <w:r>
        <w:rPr/>
        <w:t>司独家出资</w:t>
      </w:r>
      <w:r>
        <w:rPr>
          <w:spacing w:val="-52"/>
        </w:rPr>
        <w:t> </w:t>
      </w:r>
      <w:r>
        <w:rPr/>
        <w:t>128</w:t>
      </w:r>
      <w:r>
        <w:rPr>
          <w:spacing w:val="-51"/>
        </w:rPr>
        <w:t> </w:t>
      </w:r>
      <w:r>
        <w:rPr/>
        <w:t>万美元设立恒生网络有限公司，恒生网络有限公司已于</w:t>
      </w:r>
      <w:r>
        <w:rPr>
          <w:spacing w:val="-52"/>
        </w:rPr>
        <w:t> </w:t>
      </w:r>
      <w:r>
        <w:rPr/>
        <w:t>2008</w:t>
      </w:r>
      <w:r>
        <w:rPr>
          <w:spacing w:val="-51"/>
        </w:rPr>
        <w:t> </w:t>
      </w:r>
      <w:r>
        <w:rPr/>
        <w:t>年</w:t>
      </w:r>
      <w:r>
        <w:rPr>
          <w:spacing w:val="-53"/>
        </w:rPr>
        <w:t> </w:t>
      </w:r>
      <w:r>
        <w:rPr/>
        <w:t>1</w:t>
      </w:r>
      <w:r>
        <w:rPr>
          <w:spacing w:val="-52"/>
        </w:rPr>
        <w:t> </w:t>
      </w:r>
      <w:r>
        <w:rPr/>
        <w:t>月</w:t>
      </w:r>
      <w:r>
        <w:rPr>
          <w:spacing w:val="-53"/>
        </w:rPr>
        <w:t> </w:t>
      </w:r>
      <w:r>
        <w:rPr/>
        <w:t>7</w:t>
      </w:r>
      <w:r>
        <w:rPr>
          <w:spacing w:val="-51"/>
        </w:rPr>
        <w:t> </w:t>
      </w:r>
      <w:r>
        <w:rPr/>
        <w:t>日在香</w:t>
      </w:r>
    </w:p>
    <w:p>
      <w:pPr>
        <w:pStyle w:val="BodyText"/>
        <w:spacing w:line="240" w:lineRule="auto"/>
        <w:ind w:right="95"/>
        <w:jc w:val="left"/>
      </w:pPr>
      <w:r>
        <w:rPr/>
        <w:t>港公司注册处注册登记，并取得注册号为</w:t>
      </w:r>
      <w:r>
        <w:rPr>
          <w:spacing w:val="-54"/>
        </w:rPr>
        <w:t> </w:t>
      </w:r>
      <w:r>
        <w:rPr/>
        <w:t>1201558</w:t>
      </w:r>
      <w:r>
        <w:rPr>
          <w:spacing w:val="-53"/>
        </w:rPr>
        <w:t> </w:t>
      </w:r>
      <w:r>
        <w:rPr/>
        <w:t>的公司注册证书。</w:t>
      </w:r>
    </w:p>
    <w:p>
      <w:pPr>
        <w:pStyle w:val="BodyText"/>
        <w:spacing w:line="367" w:lineRule="auto"/>
        <w:ind w:right="213" w:firstLine="420"/>
        <w:jc w:val="both"/>
      </w:pPr>
      <w:r>
        <w:rPr/>
        <w:t>(二) 2008</w:t>
      </w:r>
      <w:r>
        <w:rPr>
          <w:spacing w:val="-34"/>
        </w:rPr>
        <w:t> </w:t>
      </w:r>
      <w:r>
        <w:rPr/>
        <w:t>年</w:t>
      </w:r>
      <w:r>
        <w:rPr>
          <w:spacing w:val="-33"/>
        </w:rPr>
        <w:t> </w:t>
      </w:r>
      <w:r>
        <w:rPr/>
        <w:t>3</w:t>
      </w:r>
      <w:r>
        <w:rPr>
          <w:spacing w:val="-33"/>
        </w:rPr>
        <w:t> </w:t>
      </w:r>
      <w:r>
        <w:rPr/>
        <w:t>月</w:t>
      </w:r>
      <w:r>
        <w:rPr>
          <w:spacing w:val="-33"/>
        </w:rPr>
        <w:t> </w:t>
      </w:r>
      <w:r>
        <w:rPr/>
        <w:t>14</w:t>
      </w:r>
      <w:r>
        <w:rPr>
          <w:spacing w:val="-34"/>
        </w:rPr>
        <w:t> </w:t>
      </w:r>
      <w:r>
        <w:rPr/>
        <w:t>日，公司与杨曙方签订协议，鉴于公司与杨曙方曾共同投资于上海</w:t>
      </w:r>
      <w:r>
        <w:rPr/>
        <w:t> </w:t>
      </w:r>
      <w:r>
        <w:rPr>
          <w:spacing w:val="-2"/>
        </w:rPr>
        <w:t>诚丰数码科技有限公司，公司为上海诚丰数码科技有限公司的发展作出了积极的贡献，杨曙方</w:t>
      </w:r>
      <w:r>
        <w:rPr>
          <w:spacing w:val="-85"/>
        </w:rPr>
        <w:t> </w:t>
      </w:r>
      <w:r>
        <w:rPr>
          <w:spacing w:val="-85"/>
        </w:rPr>
      </w:r>
      <w:r>
        <w:rPr/>
        <w:t>自愿对公司作出业务补偿，并计划在</w:t>
      </w:r>
      <w:r>
        <w:rPr>
          <w:spacing w:val="-52"/>
        </w:rPr>
        <w:t> </w:t>
      </w:r>
      <w:r>
        <w:rPr/>
        <w:t>2008</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日之前分四期向公司支付业务补偿款人</w:t>
      </w:r>
    </w:p>
    <w:p>
      <w:pPr>
        <w:pStyle w:val="BodyText"/>
        <w:spacing w:line="240" w:lineRule="auto" w:before="34"/>
        <w:ind w:right="95"/>
        <w:jc w:val="left"/>
      </w:pPr>
      <w:r>
        <w:rPr/>
        <w:t>民币</w:t>
      </w:r>
      <w:r>
        <w:rPr>
          <w:spacing w:val="-63"/>
        </w:rPr>
        <w:t> </w:t>
      </w:r>
      <w:r>
        <w:rPr/>
        <w:t>875.00</w:t>
      </w:r>
      <w:r>
        <w:rPr>
          <w:spacing w:val="-63"/>
        </w:rPr>
        <w:t> </w:t>
      </w:r>
      <w:r>
        <w:rPr/>
        <w:t>万元，截至本财务报表批准报出日，公司已收到上述部分补偿款</w:t>
      </w:r>
      <w:r>
        <w:rPr>
          <w:spacing w:val="-63"/>
        </w:rPr>
        <w:t> </w:t>
      </w:r>
      <w:r>
        <w:rPr/>
        <w:t>87.50</w:t>
      </w:r>
      <w:r>
        <w:rPr>
          <w:spacing w:val="-63"/>
        </w:rPr>
        <w:t> </w:t>
      </w:r>
      <w:r>
        <w:rPr/>
        <w:t>万元。</w:t>
      </w:r>
    </w:p>
    <w:p>
      <w:pPr>
        <w:pStyle w:val="BodyText"/>
        <w:spacing w:line="240" w:lineRule="auto"/>
        <w:ind w:left="537" w:right="95"/>
        <w:jc w:val="left"/>
      </w:pPr>
      <w:r>
        <w:rPr/>
        <w:t>(三) 截至 2007 年 12 月 31</w:t>
      </w:r>
      <w:r>
        <w:rPr>
          <w:spacing w:val="33"/>
        </w:rPr>
        <w:t> </w:t>
      </w:r>
      <w:r>
        <w:rPr/>
        <w:t>日，公司持有的长江证券股份有限公司有限售条件流通股</w:t>
      </w:r>
    </w:p>
    <w:p>
      <w:pPr>
        <w:pStyle w:val="BodyText"/>
        <w:spacing w:line="240" w:lineRule="auto"/>
        <w:ind w:right="95"/>
        <w:jc w:val="left"/>
      </w:pPr>
      <w:r>
        <w:rPr/>
        <w:t>3</w:t>
      </w:r>
      <w:r>
        <w:rPr>
          <w:spacing w:val="-1"/>
        </w:rPr>
        <w:t>,</w:t>
      </w:r>
      <w:r>
        <w:rPr/>
        <w:t>3</w:t>
      </w:r>
      <w:r>
        <w:rPr>
          <w:spacing w:val="-1"/>
        </w:rPr>
        <w:t>5</w:t>
      </w:r>
      <w:r>
        <w:rPr/>
        <w:t>4</w:t>
      </w:r>
      <w:r>
        <w:rPr>
          <w:spacing w:val="-1"/>
        </w:rPr>
        <w:t>,</w:t>
      </w:r>
      <w:r>
        <w:rPr/>
        <w:t>582</w:t>
      </w:r>
      <w:r>
        <w:rPr>
          <w:spacing w:val="-68"/>
        </w:rPr>
        <w:t> </w:t>
      </w:r>
      <w:r>
        <w:rPr>
          <w:spacing w:val="-2"/>
        </w:rPr>
        <w:t>股</w:t>
      </w:r>
      <w:r>
        <w:rPr>
          <w:spacing w:val="-105"/>
        </w:rPr>
        <w:t>，</w:t>
      </w:r>
      <w:r>
        <w:rPr/>
        <w:t>截至</w:t>
      </w:r>
      <w:r>
        <w:rPr>
          <w:spacing w:val="-68"/>
        </w:rPr>
        <w:t> </w:t>
      </w:r>
      <w:r>
        <w:rPr/>
        <w:t>2007</w:t>
      </w:r>
      <w:r>
        <w:rPr>
          <w:spacing w:val="-69"/>
        </w:rPr>
        <w:t> </w:t>
      </w:r>
      <w:r>
        <w:rPr/>
        <w:t>年最后一个交易日</w:t>
      </w:r>
      <w:r>
        <w:rPr>
          <w:spacing w:val="-105"/>
        </w:rPr>
        <w:t>，</w:t>
      </w:r>
      <w:r>
        <w:rPr/>
        <w:t>长</w:t>
      </w:r>
      <w:r>
        <w:rPr>
          <w:spacing w:val="-2"/>
        </w:rPr>
        <w:t>江</w:t>
      </w:r>
      <w:r>
        <w:rPr/>
        <w:t>证券股份有限公司的股票收盘价为每股</w:t>
      </w:r>
      <w:r>
        <w:rPr>
          <w:spacing w:val="-68"/>
        </w:rPr>
        <w:t> </w:t>
      </w:r>
      <w:r>
        <w:rPr/>
        <w:t>38.26</w:t>
      </w:r>
    </w:p>
    <w:p>
      <w:pPr>
        <w:pStyle w:val="BodyText"/>
        <w:spacing w:line="240" w:lineRule="auto"/>
        <w:ind w:right="95"/>
        <w:jc w:val="left"/>
      </w:pPr>
      <w:r>
        <w:rPr>
          <w:spacing w:val="-3"/>
        </w:rPr>
        <w:t>元，公允价值变动扣除已确认的递延所得税负债后的净额</w:t>
      </w:r>
      <w:r>
        <w:rPr>
          <w:spacing w:val="-45"/>
        </w:rPr>
        <w:t> </w:t>
      </w:r>
      <w:r>
        <w:rPr/>
        <w:t>85,563,972.00</w:t>
      </w:r>
      <w:r>
        <w:rPr>
          <w:spacing w:val="-45"/>
        </w:rPr>
        <w:t> </w:t>
      </w:r>
      <w:r>
        <w:rPr/>
        <w:t>元记入资本公积—其</w:t>
      </w:r>
    </w:p>
    <w:p>
      <w:pPr>
        <w:pStyle w:val="BodyText"/>
        <w:spacing w:line="240" w:lineRule="auto"/>
        <w:ind w:right="95"/>
        <w:jc w:val="left"/>
      </w:pPr>
      <w:r>
        <w:rPr/>
        <w:t>他资本公积。截至</w:t>
      </w:r>
      <w:r>
        <w:rPr>
          <w:spacing w:val="-58"/>
        </w:rPr>
        <w:t> </w:t>
      </w:r>
      <w:r>
        <w:rPr/>
        <w:t>2008</w:t>
      </w:r>
      <w:r>
        <w:rPr>
          <w:spacing w:val="-58"/>
        </w:rPr>
        <w:t> </w:t>
      </w:r>
      <w:r>
        <w:rPr/>
        <w:t>年</w:t>
      </w:r>
      <w:r>
        <w:rPr>
          <w:spacing w:val="-58"/>
        </w:rPr>
        <w:t> </w:t>
      </w:r>
      <w:r>
        <w:rPr/>
        <w:t>4</w:t>
      </w:r>
      <w:r>
        <w:rPr>
          <w:spacing w:val="-57"/>
        </w:rPr>
        <w:t> </w:t>
      </w:r>
      <w:r>
        <w:rPr/>
        <w:t>月</w:t>
      </w:r>
      <w:r>
        <w:rPr>
          <w:spacing w:val="-59"/>
        </w:rPr>
        <w:t> </w:t>
      </w:r>
      <w:r>
        <w:rPr/>
        <w:t>20</w:t>
      </w:r>
      <w:r>
        <w:rPr>
          <w:spacing w:val="-57"/>
        </w:rPr>
        <w:t> </w:t>
      </w:r>
      <w:r>
        <w:rPr/>
        <w:t>日，长江证券股份有限公司的股票收盘价为每股</w:t>
      </w:r>
      <w:r>
        <w:rPr>
          <w:spacing w:val="-58"/>
        </w:rPr>
        <w:t> </w:t>
      </w:r>
      <w:r>
        <w:rPr/>
        <w:t>16.45</w:t>
      </w:r>
      <w:r>
        <w:rPr>
          <w:spacing w:val="-57"/>
        </w:rPr>
        <w:t> </w:t>
      </w:r>
      <w:r>
        <w:rPr/>
        <w:t>元，</w:t>
      </w:r>
    </w:p>
    <w:p>
      <w:pPr>
        <w:pStyle w:val="BodyText"/>
        <w:spacing w:line="240" w:lineRule="auto"/>
        <w:ind w:right="95"/>
        <w:jc w:val="left"/>
      </w:pPr>
      <w:r>
        <w:rPr/>
        <w:t>公允价值变动扣除应确认的递延所得税负债后的净额为</w:t>
      </w:r>
      <w:r>
        <w:rPr>
          <w:spacing w:val="-53"/>
        </w:rPr>
        <w:t> </w:t>
      </w:r>
      <w:r>
        <w:rPr/>
        <w:t>25,569,956.60</w:t>
      </w:r>
      <w:r>
        <w:rPr>
          <w:spacing w:val="-53"/>
        </w:rPr>
        <w:t> </w:t>
      </w:r>
      <w:r>
        <w:rPr/>
        <w:t>元。</w:t>
      </w:r>
    </w:p>
    <w:p>
      <w:pPr>
        <w:pStyle w:val="BodyText"/>
        <w:spacing w:line="240" w:lineRule="auto"/>
        <w:ind w:left="537" w:right="95"/>
        <w:jc w:val="left"/>
      </w:pPr>
      <w:r>
        <w:rPr/>
        <w:t>公司持有的中国龙进取资本市场集合资金信托计划产品，初始投资成本为</w:t>
      </w:r>
      <w:r>
        <w:rPr>
          <w:spacing w:val="39"/>
        </w:rPr>
        <w:t> </w:t>
      </w:r>
      <w:r>
        <w:rPr/>
        <w:t>2,000,000.00</w:t>
      </w:r>
    </w:p>
    <w:p>
      <w:pPr>
        <w:pStyle w:val="BodyText"/>
        <w:spacing w:line="240" w:lineRule="auto"/>
        <w:ind w:right="95"/>
        <w:jc w:val="left"/>
      </w:pPr>
      <w:r>
        <w:rPr/>
        <w:t>元，持有个数为</w:t>
      </w:r>
      <w:r>
        <w:rPr>
          <w:spacing w:val="-58"/>
        </w:rPr>
        <w:t> </w:t>
      </w:r>
      <w:r>
        <w:rPr/>
        <w:t>1,740,023</w:t>
      </w:r>
      <w:r>
        <w:rPr>
          <w:spacing w:val="-57"/>
        </w:rPr>
        <w:t> </w:t>
      </w:r>
      <w:r>
        <w:rPr/>
        <w:t>个，</w:t>
      </w:r>
      <w:r>
        <w:rPr>
          <w:spacing w:val="-14"/>
        </w:rPr>
        <w:t> </w:t>
      </w:r>
      <w:r>
        <w:rPr/>
        <w:t>2007</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日云南国际信托有限公司公布的该信托产品</w:t>
      </w:r>
    </w:p>
    <w:p>
      <w:pPr>
        <w:pStyle w:val="BodyText"/>
        <w:spacing w:line="240" w:lineRule="auto"/>
        <w:ind w:right="95"/>
        <w:jc w:val="left"/>
      </w:pPr>
      <w:r>
        <w:rPr/>
        <w:t>的单位净值为</w:t>
      </w:r>
      <w:r>
        <w:rPr>
          <w:spacing w:val="-54"/>
        </w:rPr>
        <w:t> </w:t>
      </w:r>
      <w:r>
        <w:rPr/>
        <w:t>1.5418</w:t>
      </w:r>
      <w:r>
        <w:rPr>
          <w:spacing w:val="-53"/>
        </w:rPr>
        <w:t> </w:t>
      </w:r>
      <w:r>
        <w:rPr>
          <w:spacing w:val="-4"/>
        </w:rPr>
        <w:t>元，公允价值变动扣除已确认的递延所得税负债后的净额</w:t>
      </w:r>
      <w:r>
        <w:rPr>
          <w:spacing w:val="-54"/>
        </w:rPr>
        <w:t> </w:t>
      </w:r>
      <w:r>
        <w:rPr/>
        <w:t>559,869.32</w:t>
      </w:r>
      <w:r>
        <w:rPr>
          <w:spacing w:val="-53"/>
        </w:rPr>
        <w:t> </w:t>
      </w:r>
      <w:r>
        <w:rPr/>
        <w:t>元</w:t>
      </w:r>
    </w:p>
    <w:p>
      <w:pPr>
        <w:pStyle w:val="BodyText"/>
        <w:spacing w:line="240" w:lineRule="auto"/>
        <w:ind w:right="95"/>
        <w:jc w:val="left"/>
      </w:pPr>
      <w:r>
        <w:rPr>
          <w:spacing w:val="-3"/>
        </w:rPr>
        <w:t>记入资本公积—其他资本公积。截至</w:t>
      </w:r>
      <w:r>
        <w:rPr>
          <w:spacing w:val="-53"/>
        </w:rPr>
        <w:t> </w:t>
      </w:r>
      <w:r>
        <w:rPr/>
        <w:t>2008</w:t>
      </w:r>
      <w:r>
        <w:rPr>
          <w:spacing w:val="-52"/>
        </w:rPr>
        <w:t> </w:t>
      </w:r>
      <w:r>
        <w:rPr/>
        <w:t>年</w:t>
      </w:r>
      <w:r>
        <w:rPr>
          <w:spacing w:val="-54"/>
        </w:rPr>
        <w:t> </w:t>
      </w:r>
      <w:r>
        <w:rPr/>
        <w:t>4</w:t>
      </w:r>
      <w:r>
        <w:rPr>
          <w:spacing w:val="-53"/>
        </w:rPr>
        <w:t> </w:t>
      </w:r>
      <w:r>
        <w:rPr/>
        <w:t>月</w:t>
      </w:r>
      <w:r>
        <w:rPr>
          <w:spacing w:val="-53"/>
        </w:rPr>
        <w:t> </w:t>
      </w:r>
      <w:r>
        <w:rPr/>
        <w:t>20</w:t>
      </w:r>
      <w:r>
        <w:rPr>
          <w:spacing w:val="-52"/>
        </w:rPr>
        <w:t> </w:t>
      </w:r>
      <w:r>
        <w:rPr>
          <w:spacing w:val="-4"/>
        </w:rPr>
        <w:t>日，该信托产品的单位净值为</w:t>
      </w:r>
      <w:r>
        <w:rPr>
          <w:spacing w:val="-53"/>
        </w:rPr>
        <w:t> </w:t>
      </w:r>
      <w:r>
        <w:rPr/>
        <w:t>1.3275</w:t>
      </w:r>
      <w:r>
        <w:rPr>
          <w:spacing w:val="-52"/>
        </w:rPr>
        <w:t> </w:t>
      </w:r>
      <w:r>
        <w:rPr/>
        <w:t>元，</w:t>
      </w:r>
    </w:p>
    <w:p>
      <w:pPr>
        <w:pStyle w:val="BodyText"/>
        <w:spacing w:line="240" w:lineRule="auto"/>
        <w:ind w:right="95"/>
        <w:jc w:val="left"/>
      </w:pPr>
      <w:r>
        <w:rPr/>
        <w:t>公允价值变动扣除应确认的递延所得税负债后的净额为</w:t>
      </w:r>
      <w:r>
        <w:rPr>
          <w:spacing w:val="-70"/>
        </w:rPr>
        <w:t> </w:t>
      </w:r>
      <w:r>
        <w:rPr/>
        <w:t>254,102.04</w:t>
      </w:r>
      <w:r>
        <w:rPr>
          <w:spacing w:val="-70"/>
        </w:rPr>
        <w:t> </w:t>
      </w:r>
      <w:r>
        <w:rPr/>
        <w:t>元。</w:t>
      </w:r>
    </w:p>
    <w:p>
      <w:pPr>
        <w:pStyle w:val="BodyText"/>
        <w:spacing w:line="367" w:lineRule="auto"/>
        <w:ind w:right="213" w:firstLine="420"/>
        <w:jc w:val="left"/>
      </w:pPr>
      <w:r>
        <w:rPr/>
        <w:t>(四)</w:t>
      </w:r>
      <w:r>
        <w:rPr>
          <w:spacing w:val="4"/>
        </w:rPr>
        <w:t> </w:t>
      </w:r>
      <w:r>
        <w:rPr>
          <w:spacing w:val="-1"/>
        </w:rPr>
        <w:t>截至</w:t>
      </w:r>
      <w:r>
        <w:rPr>
          <w:spacing w:val="-52"/>
        </w:rPr>
        <w:t> </w:t>
      </w:r>
      <w:r>
        <w:rPr>
          <w:spacing w:val="-1"/>
        </w:rPr>
        <w:t>2008</w:t>
      </w:r>
      <w:r>
        <w:rPr>
          <w:spacing w:val="-51"/>
        </w:rPr>
        <w:t> </w:t>
      </w:r>
      <w:r>
        <w:rPr/>
        <w:t>年</w:t>
      </w:r>
      <w:r>
        <w:rPr>
          <w:spacing w:val="-53"/>
        </w:rPr>
        <w:t> </w:t>
      </w:r>
      <w:r>
        <w:rPr/>
        <w:t>4</w:t>
      </w:r>
      <w:r>
        <w:rPr>
          <w:spacing w:val="-51"/>
        </w:rPr>
        <w:t> </w:t>
      </w:r>
      <w:r>
        <w:rPr/>
        <w:t>月</w:t>
      </w:r>
      <w:r>
        <w:rPr>
          <w:spacing w:val="-52"/>
        </w:rPr>
        <w:t> </w:t>
      </w:r>
      <w:r>
        <w:rPr>
          <w:spacing w:val="-1"/>
        </w:rPr>
        <w:t>20</w:t>
      </w:r>
      <w:r>
        <w:rPr>
          <w:spacing w:val="-52"/>
        </w:rPr>
        <w:t> </w:t>
      </w:r>
      <w:r>
        <w:rPr>
          <w:spacing w:val="-6"/>
        </w:rPr>
        <w:t>日，公司因交易性金融资产转让实现的投资收益</w:t>
      </w:r>
      <w:r>
        <w:rPr>
          <w:spacing w:val="-52"/>
        </w:rPr>
        <w:t> </w:t>
      </w:r>
      <w:r>
        <w:rPr/>
        <w:t>11,679,402.99</w:t>
      </w:r>
      <w:r>
        <w:rPr/>
        <w:t> </w:t>
      </w:r>
      <w:r>
        <w:rPr>
          <w:spacing w:val="-1"/>
        </w:rPr>
        <w:t>元，所持有的交易性金融资产公允价值变动实现的收益-32,133,155.94</w:t>
      </w:r>
      <w:r>
        <w:rPr>
          <w:spacing w:val="-52"/>
        </w:rPr>
        <w:t> </w:t>
      </w:r>
      <w:r>
        <w:rPr>
          <w:spacing w:val="-1"/>
        </w:rPr>
        <w:t>元。</w:t>
      </w:r>
      <w:r>
        <w:rPr/>
      </w:r>
    </w:p>
    <w:p>
      <w:pPr>
        <w:spacing w:line="240" w:lineRule="auto" w:before="8"/>
        <w:rPr>
          <w:rFonts w:ascii="宋体" w:hAnsi="宋体" w:cs="宋体" w:eastAsia="宋体" w:hint="default"/>
          <w:sz w:val="23"/>
          <w:szCs w:val="23"/>
        </w:rPr>
      </w:pPr>
    </w:p>
    <w:p>
      <w:pPr>
        <w:spacing w:line="420" w:lineRule="atLeast" w:before="0"/>
        <w:ind w:left="537" w:right="6227" w:firstLine="0"/>
        <w:jc w:val="left"/>
        <w:rPr>
          <w:rFonts w:ascii="宋体" w:hAnsi="宋体" w:cs="宋体" w:eastAsia="宋体" w:hint="default"/>
          <w:sz w:val="21"/>
          <w:szCs w:val="21"/>
        </w:rPr>
      </w:pPr>
      <w:r>
        <w:rPr>
          <w:rFonts w:ascii="黑体" w:hAnsi="黑体" w:cs="黑体" w:eastAsia="黑体" w:hint="default"/>
          <w:b/>
          <w:bCs/>
          <w:sz w:val="21"/>
          <w:szCs w:val="21"/>
        </w:rPr>
        <w:t>十四、其他重要事项</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债务重组事项</w:t>
      </w:r>
      <w:r>
        <w:rPr>
          <w:rFonts w:ascii="宋体" w:hAnsi="宋体" w:cs="宋体" w:eastAsia="宋体" w:hint="default"/>
          <w:sz w:val="21"/>
          <w:szCs w:val="21"/>
        </w:rPr>
        <w:t> 无重大债务重组事项。</w:t>
      </w:r>
    </w:p>
    <w:p>
      <w:pPr>
        <w:spacing w:after="0" w:line="420" w:lineRule="atLeast"/>
        <w:jc w:val="left"/>
        <w:rPr>
          <w:rFonts w:ascii="宋体" w:hAnsi="宋体" w:cs="宋体" w:eastAsia="宋体" w:hint="default"/>
          <w:sz w:val="21"/>
          <w:szCs w:val="21"/>
        </w:rPr>
        <w:sectPr>
          <w:pgSz w:w="11910" w:h="16840"/>
          <w:pgMar w:header="0" w:footer="1263" w:top="1540" w:bottom="1460" w:left="1680" w:right="1340"/>
        </w:sectPr>
      </w:pPr>
    </w:p>
    <w:p>
      <w:pPr>
        <w:pStyle w:val="BodyText"/>
        <w:spacing w:line="367" w:lineRule="auto" w:before="13"/>
        <w:ind w:left="537" w:right="6167"/>
        <w:jc w:val="left"/>
      </w:pPr>
      <w:r>
        <w:rPr/>
        <w:t>(二)</w:t>
      </w:r>
      <w:r>
        <w:rPr>
          <w:spacing w:val="-1"/>
        </w:rPr>
        <w:t> </w:t>
      </w:r>
      <w:r>
        <w:rPr/>
        <w:t>非货币性交易事项</w:t>
      </w:r>
      <w:r>
        <w:rPr/>
        <w:t> 无重大非货币性交易事项。 (三) 租赁</w:t>
      </w:r>
    </w:p>
    <w:p>
      <w:pPr>
        <w:pStyle w:val="BodyText"/>
        <w:spacing w:line="367" w:lineRule="auto" w:before="34"/>
        <w:ind w:left="537" w:right="2597"/>
        <w:jc w:val="left"/>
      </w:pPr>
      <w:r>
        <w:rPr/>
        <w:t>公司本期重要租赁事项详见本财务报表附注十(三)1(4)2)之说明。 (四)</w:t>
      </w:r>
      <w:r>
        <w:rPr>
          <w:spacing w:val="-2"/>
        </w:rPr>
        <w:t> </w:t>
      </w:r>
      <w:r>
        <w:rPr/>
        <w:t>与现金流量表相关的信息</w:t>
      </w:r>
    </w:p>
    <w:p>
      <w:pPr>
        <w:pStyle w:val="BodyText"/>
        <w:spacing w:line="240" w:lineRule="auto" w:before="34"/>
        <w:ind w:left="537" w:right="554"/>
        <w:jc w:val="left"/>
      </w:pPr>
      <w:r>
        <w:rPr/>
        <w:t>1.</w:t>
      </w:r>
      <w:r>
        <w:rPr>
          <w:spacing w:val="-2"/>
        </w:rPr>
        <w:t> </w:t>
      </w:r>
      <w:r>
        <w:rPr/>
        <w:t>现金流量表补充资料</w:t>
      </w:r>
    </w:p>
    <w:p>
      <w:pPr>
        <w:spacing w:line="240" w:lineRule="auto" w:before="6"/>
        <w:rPr>
          <w:rFonts w:ascii="宋体" w:hAnsi="宋体" w:cs="宋体" w:eastAsia="宋体" w:hint="default"/>
          <w:sz w:val="2"/>
          <w:szCs w:val="2"/>
        </w:rPr>
      </w:pPr>
    </w:p>
    <w:tbl>
      <w:tblPr>
        <w:tblW w:w="0" w:type="auto"/>
        <w:jc w:val="left"/>
        <w:tblInd w:w="292" w:type="dxa"/>
        <w:tblLayout w:type="fixed"/>
        <w:tblCellMar>
          <w:top w:w="0" w:type="dxa"/>
          <w:left w:w="0" w:type="dxa"/>
          <w:bottom w:w="0" w:type="dxa"/>
          <w:right w:w="0" w:type="dxa"/>
        </w:tblCellMar>
        <w:tblLook w:val="01E0"/>
      </w:tblPr>
      <w:tblGrid>
        <w:gridCol w:w="5580"/>
        <w:gridCol w:w="1620"/>
        <w:gridCol w:w="1620"/>
      </w:tblGrid>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5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8"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130,447,868.54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54,730,264.13</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9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4,741,569.08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6,543,211.83</w:t>
            </w:r>
          </w:p>
        </w:tc>
      </w:tr>
      <w:tr>
        <w:trPr>
          <w:trHeight w:val="434"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91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9,074,236.92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11,614,106.70</w:t>
            </w: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1,671,239.29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1,184,640.00</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31"/>
              <w:ind w:left="914" w:right="103" w:hanging="20"/>
              <w:jc w:val="left"/>
              <w:rPr>
                <w:rFonts w:ascii="宋体" w:hAnsi="宋体" w:cs="宋体" w:eastAsia="宋体" w:hint="default"/>
                <w:sz w:val="18"/>
                <w:szCs w:val="18"/>
              </w:rPr>
            </w:pPr>
            <w:r>
              <w:rPr>
                <w:rFonts w:ascii="宋体" w:hAnsi="宋体" w:cs="宋体" w:eastAsia="宋体" w:hint="default"/>
                <w:spacing w:val="5"/>
                <w:position w:val="1"/>
                <w:sz w:val="18"/>
                <w:szCs w:val="18"/>
              </w:rPr>
              <w:t>处置固定资产、无形资产和其他长期资产的损失(收益</w:t>
            </w:r>
            <w:r>
              <w:rPr>
                <w:rFonts w:ascii="宋体" w:hAnsi="宋体" w:cs="宋体" w:eastAsia="宋体" w:hint="default"/>
                <w:spacing w:val="5"/>
                <w:sz w:val="18"/>
                <w:szCs w:val="18"/>
              </w:rPr>
              <w:t>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884,008.69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-443,483.44</w:t>
            </w: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-8,705,551.56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-15,277,840.19</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2,441,059.62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819,673.44</w:t>
            </w: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-51,450,143.24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-26,678,449.62</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794,422.62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756,870.60</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21,127,043.34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2,446,776.93</w:t>
            </w: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-13,753,801.57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8,444,302.22</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-67,527,855.62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613,641.19</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126,868,292.44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18,397,691.12</w:t>
            </w: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1,480,853.06</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9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156,612,388.55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64,632,257.97</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99"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99"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99"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263,678,183.89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220,362,115.95</w:t>
            </w:r>
          </w:p>
        </w:tc>
      </w:tr>
    </w:tbl>
    <w:p>
      <w:pPr>
        <w:spacing w:after="0" w:line="240" w:lineRule="auto"/>
        <w:jc w:val="right"/>
        <w:rPr>
          <w:rFonts w:ascii="宋体" w:hAnsi="宋体" w:cs="宋体" w:eastAsia="宋体" w:hint="default"/>
          <w:sz w:val="18"/>
          <w:szCs w:val="18"/>
        </w:rPr>
        <w:sectPr>
          <w:pgSz w:w="11910" w:h="16840"/>
          <w:pgMar w:header="0" w:footer="1263" w:top="1540" w:bottom="1460" w:left="1680" w:right="980"/>
        </w:sectPr>
      </w:pPr>
    </w:p>
    <w:p>
      <w:pPr>
        <w:spacing w:line="240" w:lineRule="auto" w:before="1"/>
        <w:rPr>
          <w:rFonts w:ascii="宋体" w:hAnsi="宋体" w:cs="宋体" w:eastAsia="宋体" w:hint="default"/>
          <w:sz w:val="6"/>
          <w:szCs w:val="6"/>
        </w:rPr>
      </w:pPr>
    </w:p>
    <w:tbl>
      <w:tblPr>
        <w:tblW w:w="0" w:type="auto"/>
        <w:jc w:val="left"/>
        <w:tblInd w:w="292" w:type="dxa"/>
        <w:tblLayout w:type="fixed"/>
        <w:tblCellMar>
          <w:top w:w="0" w:type="dxa"/>
          <w:left w:w="0" w:type="dxa"/>
          <w:bottom w:w="0" w:type="dxa"/>
          <w:right w:w="0" w:type="dxa"/>
        </w:tblCellMar>
        <w:tblLook w:val="01E0"/>
      </w:tblPr>
      <w:tblGrid>
        <w:gridCol w:w="5580"/>
        <w:gridCol w:w="1620"/>
        <w:gridCol w:w="1620"/>
      </w:tblGrid>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220,362,115.95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147,850,306.37</w:t>
            </w: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6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99"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0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43,316,067.94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72,511,809.58</w:t>
            </w:r>
          </w:p>
        </w:tc>
      </w:tr>
    </w:tbl>
    <w:p>
      <w:pPr>
        <w:spacing w:line="240" w:lineRule="auto" w:before="13"/>
        <w:rPr>
          <w:rFonts w:ascii="宋体" w:hAnsi="宋体" w:cs="宋体" w:eastAsia="宋体" w:hint="default"/>
          <w:sz w:val="5"/>
          <w:szCs w:val="5"/>
        </w:rPr>
      </w:pPr>
    </w:p>
    <w:p>
      <w:pPr>
        <w:pStyle w:val="BodyText"/>
        <w:spacing w:line="240" w:lineRule="auto" w:before="35"/>
        <w:ind w:left="537" w:right="554"/>
        <w:jc w:val="left"/>
      </w:pPr>
      <w:r>
        <w:rPr/>
        <w:t>2.</w:t>
      </w:r>
      <w:r>
        <w:rPr>
          <w:spacing w:val="-2"/>
        </w:rPr>
        <w:t> </w:t>
      </w:r>
      <w:r>
        <w:rPr/>
        <w:t>现金和现金等价物</w:t>
      </w:r>
    </w:p>
    <w:p>
      <w:pPr>
        <w:spacing w:line="240" w:lineRule="auto" w:before="6"/>
        <w:rPr>
          <w:rFonts w:ascii="宋体" w:hAnsi="宋体" w:cs="宋体" w:eastAsia="宋体" w:hint="default"/>
          <w:sz w:val="2"/>
          <w:szCs w:val="2"/>
        </w:rPr>
      </w:pPr>
    </w:p>
    <w:tbl>
      <w:tblPr>
        <w:tblW w:w="0" w:type="auto"/>
        <w:jc w:val="left"/>
        <w:tblInd w:w="292" w:type="dxa"/>
        <w:tblLayout w:type="fixed"/>
        <w:tblCellMar>
          <w:top w:w="0" w:type="dxa"/>
          <w:left w:w="0" w:type="dxa"/>
          <w:bottom w:w="0" w:type="dxa"/>
          <w:right w:w="0" w:type="dxa"/>
        </w:tblCellMar>
        <w:tblLook w:val="01E0"/>
      </w:tblPr>
      <w:tblGrid>
        <w:gridCol w:w="5580"/>
        <w:gridCol w:w="1620"/>
        <w:gridCol w:w="1620"/>
      </w:tblGrid>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5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263,678,183.89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220,362,115.95</w:t>
            </w: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7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237,269.22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126,142.01</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91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259,376,019.12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183,716,772.62</w:t>
            </w:r>
          </w:p>
        </w:tc>
      </w:tr>
      <w:tr>
        <w:trPr>
          <w:trHeight w:val="436"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91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4,064,895.55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36,519,201.32</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6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263,678,183.89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220,362,115.95</w:t>
            </w:r>
          </w:p>
        </w:tc>
      </w:tr>
      <w:tr>
        <w:trPr>
          <w:trHeight w:val="43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7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240" w:lineRule="auto" w:before="35"/>
        <w:ind w:left="537" w:right="554"/>
        <w:jc w:val="left"/>
      </w:pPr>
      <w:r>
        <w:rPr/>
        <w:t>不属于现金及现金等价物的货币资金情况的说明：</w:t>
      </w:r>
    </w:p>
    <w:p>
      <w:pPr>
        <w:pStyle w:val="BodyText"/>
        <w:spacing w:line="240" w:lineRule="auto"/>
        <w:ind w:left="537" w:right="474"/>
        <w:jc w:val="left"/>
      </w:pPr>
      <w:r>
        <w:rPr/>
        <w:t>2007</w:t>
      </w:r>
      <w:r>
        <w:rPr>
          <w:spacing w:val="-56"/>
        </w:rPr>
        <w:t> </w:t>
      </w:r>
      <w:r>
        <w:rPr/>
        <w:t>年度现金流量表中现金期末数为</w:t>
      </w:r>
      <w:r>
        <w:rPr>
          <w:spacing w:val="-57"/>
        </w:rPr>
        <w:t> </w:t>
      </w:r>
      <w:r>
        <w:rPr/>
        <w:t>263,678,183.89</w:t>
      </w:r>
      <w:r>
        <w:rPr>
          <w:spacing w:val="-56"/>
        </w:rPr>
        <w:t> </w:t>
      </w:r>
      <w:r>
        <w:rPr/>
        <w:t>元，资产负债表中货币资金期末数</w:t>
      </w:r>
    </w:p>
    <w:p>
      <w:pPr>
        <w:pStyle w:val="BodyText"/>
        <w:spacing w:line="240" w:lineRule="auto"/>
        <w:ind w:right="474"/>
        <w:jc w:val="left"/>
      </w:pPr>
      <w:r>
        <w:rPr/>
        <w:t>为 264,685,646.77</w:t>
      </w:r>
      <w:r>
        <w:rPr>
          <w:spacing w:val="-61"/>
        </w:rPr>
        <w:t> </w:t>
      </w:r>
      <w:r>
        <w:rPr/>
        <w:t>元，差额系现金流量表现金期末数扣除了不符合现金及现金等价物标准的</w:t>
      </w:r>
    </w:p>
    <w:p>
      <w:pPr>
        <w:pStyle w:val="BodyText"/>
        <w:spacing w:line="240" w:lineRule="auto"/>
        <w:ind w:right="554"/>
        <w:jc w:val="left"/>
      </w:pPr>
      <w:r>
        <w:rPr/>
        <w:t>三个月以上到期的承兑汇票保证金</w:t>
      </w:r>
      <w:r>
        <w:rPr>
          <w:spacing w:val="-67"/>
        </w:rPr>
        <w:t> </w:t>
      </w:r>
      <w:r>
        <w:rPr/>
        <w:t>1,007,462.88</w:t>
      </w:r>
      <w:r>
        <w:rPr>
          <w:spacing w:val="-67"/>
        </w:rPr>
        <w:t> </w:t>
      </w:r>
      <w:r>
        <w:rPr/>
        <w:t>元。</w:t>
      </w:r>
    </w:p>
    <w:p>
      <w:pPr>
        <w:pStyle w:val="BodyText"/>
        <w:spacing w:line="240" w:lineRule="auto"/>
        <w:ind w:left="537" w:right="474"/>
        <w:jc w:val="left"/>
      </w:pPr>
      <w:r>
        <w:rPr/>
        <w:t>2006</w:t>
      </w:r>
      <w:r>
        <w:rPr>
          <w:spacing w:val="-56"/>
        </w:rPr>
        <w:t> </w:t>
      </w:r>
      <w:r>
        <w:rPr/>
        <w:t>年度现金流量表中现金期末数为</w:t>
      </w:r>
      <w:r>
        <w:rPr>
          <w:spacing w:val="-57"/>
        </w:rPr>
        <w:t> </w:t>
      </w:r>
      <w:r>
        <w:rPr/>
        <w:t>220,362,115.95</w:t>
      </w:r>
      <w:r>
        <w:rPr>
          <w:spacing w:val="-56"/>
        </w:rPr>
        <w:t> </w:t>
      </w:r>
      <w:r>
        <w:rPr/>
        <w:t>元，资产负债表中货币资金期末数</w:t>
      </w:r>
    </w:p>
    <w:p>
      <w:pPr>
        <w:pStyle w:val="BodyText"/>
        <w:spacing w:line="240" w:lineRule="auto"/>
        <w:ind w:right="474"/>
        <w:jc w:val="left"/>
      </w:pPr>
      <w:r>
        <w:rPr/>
        <w:t>为 222,311,656.91</w:t>
      </w:r>
      <w:r>
        <w:rPr>
          <w:spacing w:val="-61"/>
        </w:rPr>
        <w:t> </w:t>
      </w:r>
      <w:r>
        <w:rPr/>
        <w:t>元，差额系现金流量表现金期末数扣除了不符合现金及现金等价物标准的</w:t>
      </w:r>
    </w:p>
    <w:p>
      <w:pPr>
        <w:pStyle w:val="BodyText"/>
        <w:spacing w:line="367" w:lineRule="auto"/>
        <w:ind w:left="537" w:right="4441" w:hanging="420"/>
        <w:jc w:val="left"/>
      </w:pPr>
      <w:r>
        <w:rPr/>
        <w:t>三个月以上到期的定期存款</w:t>
      </w:r>
      <w:r>
        <w:rPr>
          <w:spacing w:val="-62"/>
        </w:rPr>
        <w:t> </w:t>
      </w:r>
      <w:r>
        <w:rPr/>
        <w:t>1,949,540.96</w:t>
      </w:r>
      <w:r>
        <w:rPr>
          <w:spacing w:val="-62"/>
        </w:rPr>
        <w:t> </w:t>
      </w:r>
      <w:r>
        <w:rPr/>
        <w:t>元。</w:t>
      </w:r>
      <w:r>
        <w:rPr>
          <w:spacing w:val="-1"/>
        </w:rPr>
        <w:t> </w:t>
      </w:r>
      <w:r>
        <w:rPr/>
        <w:t>(五)</w:t>
      </w:r>
      <w:r>
        <w:rPr>
          <w:spacing w:val="-2"/>
        </w:rPr>
        <w:t> </w:t>
      </w:r>
      <w:r>
        <w:rPr/>
        <w:t>政府补助</w:t>
      </w:r>
    </w:p>
    <w:p>
      <w:pPr>
        <w:pStyle w:val="BodyText"/>
        <w:spacing w:line="367" w:lineRule="auto" w:before="34"/>
        <w:ind w:left="537" w:right="554"/>
        <w:jc w:val="left"/>
      </w:pPr>
      <w:r>
        <w:rPr/>
        <w:t>1. 税收返还 </w:t>
      </w:r>
      <w:r>
        <w:rPr>
          <w:spacing w:val="-2"/>
        </w:rPr>
        <w:t>本期公司、控股子公司杭州恒生信息技术有限公司和杭州恒生数据安全技术有限公司共收</w:t>
      </w:r>
    </w:p>
    <w:p>
      <w:pPr>
        <w:pStyle w:val="BodyText"/>
        <w:spacing w:line="367" w:lineRule="auto" w:before="34"/>
        <w:ind w:right="554"/>
        <w:jc w:val="left"/>
      </w:pPr>
      <w:r>
        <w:rPr/>
        <w:t>到浙江省杭州市国家税务局的软件企业超税负增值税返还</w:t>
      </w:r>
      <w:r>
        <w:rPr>
          <w:spacing w:val="-65"/>
        </w:rPr>
        <w:t> </w:t>
      </w:r>
      <w:r>
        <w:rPr/>
        <w:t>22,026,122.32</w:t>
      </w:r>
      <w:r>
        <w:rPr>
          <w:spacing w:val="-65"/>
        </w:rPr>
        <w:t> </w:t>
      </w:r>
      <w:r>
        <w:rPr>
          <w:spacing w:val="-7"/>
        </w:rPr>
        <w:t>元，已记入营业外收</w:t>
      </w:r>
      <w:r>
        <w:rPr/>
        <w:t> 入科目。</w:t>
      </w:r>
    </w:p>
    <w:p>
      <w:pPr>
        <w:pStyle w:val="BodyText"/>
        <w:spacing w:line="240" w:lineRule="auto" w:before="34"/>
        <w:ind w:left="537" w:right="554"/>
        <w:jc w:val="left"/>
      </w:pPr>
      <w:r>
        <w:rPr/>
        <w:t>2.</w:t>
      </w:r>
      <w:r>
        <w:rPr>
          <w:spacing w:val="-2"/>
        </w:rPr>
        <w:t> </w:t>
      </w:r>
      <w:r>
        <w:rPr/>
        <w:t>财政拨款和贴息</w:t>
      </w:r>
    </w:p>
    <w:p>
      <w:pPr>
        <w:pStyle w:val="BodyText"/>
        <w:spacing w:line="367" w:lineRule="auto"/>
        <w:ind w:right="554" w:firstLine="420"/>
        <w:jc w:val="left"/>
      </w:pPr>
      <w:r>
        <w:rPr/>
        <w:t>公司本期实际收到与资产相关的政府补助共计</w:t>
      </w:r>
      <w:r>
        <w:rPr>
          <w:spacing w:val="-46"/>
        </w:rPr>
        <w:t> </w:t>
      </w:r>
      <w:r>
        <w:rPr/>
        <w:t>2,148,000.00</w:t>
      </w:r>
      <w:r>
        <w:rPr>
          <w:spacing w:val="-46"/>
        </w:rPr>
        <w:t> </w:t>
      </w:r>
      <w:r>
        <w:rPr/>
        <w:t>元，记入递延收益。本期部</w:t>
      </w:r>
      <w:r>
        <w:rPr>
          <w:spacing w:val="-1"/>
        </w:rPr>
        <w:t> </w:t>
      </w:r>
      <w:r>
        <w:rPr/>
        <w:t>分科研开发项目完工验收后转入相关科目。其中：</w:t>
      </w:r>
    </w:p>
    <w:p>
      <w:pPr>
        <w:pStyle w:val="BodyText"/>
        <w:spacing w:line="367" w:lineRule="auto" w:before="34"/>
        <w:ind w:right="469" w:firstLine="420"/>
        <w:jc w:val="both"/>
      </w:pPr>
      <w:r>
        <w:rPr/>
        <w:t>1)</w:t>
      </w:r>
      <w:r>
        <w:rPr>
          <w:spacing w:val="18"/>
        </w:rPr>
        <w:t> </w:t>
      </w:r>
      <w:r>
        <w:rPr/>
        <w:t>根据杭州高新技术产业开发区发展改革和经济局、杭州市滨江区发展改革和经济局、</w:t>
      </w:r>
      <w:r>
        <w:rPr>
          <w:spacing w:val="1"/>
        </w:rPr>
        <w:t> </w:t>
      </w:r>
      <w:r>
        <w:rPr/>
        <w:t>杭州高新技术产业开发区财政局、杭州市高新技术产业开发区财政局和杭州市滨江区财政局区</w:t>
      </w:r>
      <w:r>
        <w:rPr/>
        <w:t> </w:t>
      </w:r>
      <w:r>
        <w:rPr>
          <w:spacing w:val="-3"/>
        </w:rPr>
        <w:t>发改〔2006〕209</w:t>
      </w:r>
      <w:r>
        <w:rPr>
          <w:spacing w:val="-58"/>
        </w:rPr>
        <w:t> </w:t>
      </w:r>
      <w:r>
        <w:rPr>
          <w:spacing w:val="-4"/>
        </w:rPr>
        <w:t>号、区财〔2006〕61</w:t>
      </w:r>
      <w:r>
        <w:rPr>
          <w:spacing w:val="-58"/>
        </w:rPr>
        <w:t> </w:t>
      </w:r>
      <w:r>
        <w:rPr/>
        <w:t>号等文件，公司本期收到项目资助资金</w:t>
      </w:r>
      <w:r>
        <w:rPr>
          <w:spacing w:val="-59"/>
        </w:rPr>
        <w:t> </w:t>
      </w:r>
      <w:r>
        <w:rPr/>
        <w:t>710,500.00</w:t>
      </w:r>
      <w:r>
        <w:rPr>
          <w:spacing w:val="-58"/>
        </w:rPr>
        <w:t> </w:t>
      </w:r>
      <w:r>
        <w:rPr/>
        <w:t>元。</w:t>
      </w:r>
    </w:p>
    <w:p>
      <w:pPr>
        <w:spacing w:after="0" w:line="367" w:lineRule="auto"/>
        <w:jc w:val="both"/>
        <w:sectPr>
          <w:pgSz w:w="11910" w:h="16840"/>
          <w:pgMar w:header="0" w:footer="1263" w:top="1360" w:bottom="1460" w:left="1680" w:right="980"/>
        </w:sectPr>
      </w:pPr>
    </w:p>
    <w:p>
      <w:pPr>
        <w:pStyle w:val="BodyText"/>
        <w:spacing w:line="240" w:lineRule="auto" w:before="13"/>
        <w:ind w:left="537" w:right="0"/>
        <w:jc w:val="left"/>
      </w:pPr>
      <w:r>
        <w:rPr/>
        <w:t>2) 根据杭州市信息化办公室和杭州市财政局杭信办〔2007〕6</w:t>
      </w:r>
      <w:r>
        <w:rPr>
          <w:spacing w:val="39"/>
        </w:rPr>
        <w:t> </w:t>
      </w:r>
      <w:r>
        <w:rPr/>
        <w:t>号和杭财企一〔2007〕49</w:t>
      </w:r>
    </w:p>
    <w:p>
      <w:pPr>
        <w:pStyle w:val="BodyText"/>
        <w:spacing w:line="240" w:lineRule="auto"/>
        <w:ind w:right="0"/>
        <w:jc w:val="both"/>
      </w:pPr>
      <w:r>
        <w:rPr/>
        <w:t>号等文件，公司本期收到项目资助资金</w:t>
      </w:r>
      <w:r>
        <w:rPr>
          <w:spacing w:val="-67"/>
        </w:rPr>
        <w:t> </w:t>
      </w:r>
      <w:r>
        <w:rPr/>
        <w:t>510,000.00</w:t>
      </w:r>
      <w:r>
        <w:rPr>
          <w:spacing w:val="-66"/>
        </w:rPr>
        <w:t> </w:t>
      </w:r>
      <w:r>
        <w:rPr/>
        <w:t>元。</w:t>
      </w:r>
    </w:p>
    <w:p>
      <w:pPr>
        <w:pStyle w:val="BodyText"/>
        <w:spacing w:line="240" w:lineRule="auto"/>
        <w:ind w:left="537" w:right="0"/>
        <w:jc w:val="left"/>
      </w:pPr>
      <w:r>
        <w:rPr/>
        <w:t>3) 根据杭州市发展和改革委员会和杭州市财政局杭发改高技〔2007〕226</w:t>
      </w:r>
      <w:r>
        <w:rPr>
          <w:spacing w:val="34"/>
        </w:rPr>
        <w:t> </w:t>
      </w:r>
      <w:r>
        <w:rPr/>
        <w:t>号和杭财企一</w:t>
      </w:r>
    </w:p>
    <w:p>
      <w:pPr>
        <w:pStyle w:val="BodyText"/>
        <w:spacing w:line="367" w:lineRule="auto"/>
        <w:ind w:right="172"/>
        <w:jc w:val="both"/>
      </w:pPr>
      <w:r>
        <w:rPr/>
        <w:t>〔2007〕831 号文件，公司本期收到国家高新技术产业发展项目 2007</w:t>
      </w:r>
      <w:r>
        <w:rPr>
          <w:spacing w:val="-63"/>
        </w:rPr>
        <w:t> </w:t>
      </w:r>
      <w:r>
        <w:rPr/>
        <w:t>年第一批省财政配套补</w:t>
      </w:r>
      <w:r>
        <w:rPr/>
        <w:t> 助资金</w:t>
      </w:r>
      <w:r>
        <w:rPr>
          <w:spacing w:val="-57"/>
        </w:rPr>
        <w:t> </w:t>
      </w:r>
      <w:r>
        <w:rPr/>
        <w:t>447,500.00</w:t>
      </w:r>
      <w:r>
        <w:rPr>
          <w:spacing w:val="-56"/>
        </w:rPr>
        <w:t> </w:t>
      </w:r>
      <w:r>
        <w:rPr/>
        <w:t>元</w:t>
      </w:r>
    </w:p>
    <w:p>
      <w:pPr>
        <w:pStyle w:val="BodyText"/>
        <w:spacing w:line="240" w:lineRule="auto" w:before="34"/>
        <w:ind w:left="537" w:right="0"/>
        <w:jc w:val="left"/>
      </w:pPr>
      <w:r>
        <w:rPr/>
        <w:t>4)</w:t>
      </w:r>
      <w:r>
        <w:rPr>
          <w:spacing w:val="-34"/>
        </w:rPr>
        <w:t> </w:t>
      </w:r>
      <w:r>
        <w:rPr/>
        <w:t>根据杭州市科学技术局和杭州市财政局杭科计〔2007〕159</w:t>
      </w:r>
      <w:r>
        <w:rPr>
          <w:spacing w:val="-69"/>
        </w:rPr>
        <w:t> </w:t>
      </w:r>
      <w:r>
        <w:rPr/>
        <w:t>号和杭财企一〔2007〕593</w:t>
      </w:r>
    </w:p>
    <w:p>
      <w:pPr>
        <w:pStyle w:val="BodyText"/>
        <w:spacing w:line="240" w:lineRule="auto"/>
        <w:ind w:right="0"/>
        <w:jc w:val="both"/>
      </w:pPr>
      <w:r>
        <w:rPr/>
        <w:t>号文件，公司本期收到</w:t>
      </w:r>
      <w:r>
        <w:rPr>
          <w:spacing w:val="-63"/>
        </w:rPr>
        <w:t> </w:t>
      </w:r>
      <w:r>
        <w:rPr/>
        <w:t>2007</w:t>
      </w:r>
      <w:r>
        <w:rPr>
          <w:spacing w:val="-62"/>
        </w:rPr>
        <w:t> </w:t>
      </w:r>
      <w:r>
        <w:rPr/>
        <w:t>年杭州市第一批产学研项目补助经费</w:t>
      </w:r>
      <w:r>
        <w:rPr>
          <w:spacing w:val="-63"/>
        </w:rPr>
        <w:t> </w:t>
      </w:r>
      <w:r>
        <w:rPr/>
        <w:t>300,000.00</w:t>
      </w:r>
      <w:r>
        <w:rPr>
          <w:spacing w:val="-62"/>
        </w:rPr>
        <w:t> </w:t>
      </w:r>
      <w:r>
        <w:rPr/>
        <w:t>元。</w:t>
      </w:r>
    </w:p>
    <w:p>
      <w:pPr>
        <w:pStyle w:val="BodyText"/>
        <w:spacing w:line="367" w:lineRule="auto"/>
        <w:ind w:right="169" w:firstLine="420"/>
        <w:jc w:val="left"/>
      </w:pPr>
      <w:r>
        <w:rPr/>
        <w:t>5)</w:t>
      </w:r>
      <w:r>
        <w:rPr>
          <w:spacing w:val="33"/>
        </w:rPr>
        <w:t> </w:t>
      </w:r>
      <w:r>
        <w:rPr/>
        <w:t>根据本公司和科技部科技型中小企业技术创新基金管理中心签订《科技型中小企业技</w:t>
      </w:r>
      <w:r>
        <w:rPr>
          <w:spacing w:val="1"/>
        </w:rPr>
        <w:t> </w:t>
      </w:r>
      <w:r>
        <w:rPr/>
        <w:t>术创新基金无偿资助项目合同》,</w:t>
      </w:r>
      <w:r>
        <w:rPr>
          <w:spacing w:val="-20"/>
        </w:rPr>
        <w:t> </w:t>
      </w:r>
      <w:r>
        <w:rPr/>
        <w:t>公司本期收到该项资金资助资金</w:t>
      </w:r>
      <w:r>
        <w:rPr>
          <w:spacing w:val="-63"/>
        </w:rPr>
        <w:t> </w:t>
      </w:r>
      <w:r>
        <w:rPr/>
        <w:t>180,000.00</w:t>
      </w:r>
      <w:r>
        <w:rPr>
          <w:spacing w:val="-62"/>
        </w:rPr>
        <w:t> </w:t>
      </w:r>
      <w:r>
        <w:rPr/>
        <w:t>元。</w:t>
      </w:r>
    </w:p>
    <w:p>
      <w:pPr>
        <w:pStyle w:val="BodyText"/>
        <w:spacing w:line="367" w:lineRule="auto" w:before="34"/>
        <w:ind w:left="537" w:right="3564"/>
        <w:jc w:val="left"/>
      </w:pPr>
      <w:r>
        <w:rPr/>
        <w:t>(七)</w:t>
      </w:r>
      <w:r>
        <w:rPr>
          <w:spacing w:val="-2"/>
        </w:rPr>
        <w:t> </w:t>
      </w:r>
      <w:r>
        <w:rPr/>
        <w:t>其他对财务报表使用者决策有影响的重要事项</w:t>
      </w:r>
      <w:r>
        <w:rPr/>
        <w:t> 1.投资情况说明</w:t>
      </w:r>
    </w:p>
    <w:p>
      <w:pPr>
        <w:pStyle w:val="BodyText"/>
        <w:spacing w:line="240" w:lineRule="auto" w:before="34"/>
        <w:ind w:left="545" w:right="0"/>
        <w:jc w:val="left"/>
      </w:pPr>
      <w:r>
        <w:rPr/>
        <w:t>(1)</w:t>
      </w:r>
      <w:r>
        <w:rPr>
          <w:spacing w:val="30"/>
        </w:rPr>
        <w:t> </w:t>
      </w:r>
      <w:r>
        <w:rPr>
          <w:spacing w:val="-9"/>
        </w:rPr>
        <w:t>根据公司三届五次董事会通过的《公司投资杭州数米网科技有限公司的议案》，公司与</w:t>
      </w:r>
    </w:p>
    <w:p>
      <w:pPr>
        <w:pStyle w:val="BodyText"/>
        <w:spacing w:line="367" w:lineRule="auto"/>
        <w:ind w:right="174"/>
        <w:jc w:val="both"/>
      </w:pPr>
      <w:r>
        <w:rPr>
          <w:spacing w:val="-9"/>
        </w:rPr>
        <w:t>自然人宋川、陈柏青、金德玮共同出资设立杭州数米网科技有限公司。该公司注册资本</w:t>
      </w:r>
      <w:r>
        <w:rPr>
          <w:spacing w:val="-53"/>
        </w:rPr>
        <w:t> </w:t>
      </w:r>
      <w:r>
        <w:rPr>
          <w:spacing w:val="-5"/>
        </w:rPr>
        <w:t>2,000.00</w:t>
      </w:r>
      <w:r>
        <w:rPr>
          <w:spacing w:val="-92"/>
        </w:rPr>
        <w:t> </w:t>
      </w:r>
      <w:r>
        <w:rPr>
          <w:spacing w:val="-92"/>
        </w:rPr>
      </w:r>
      <w:r>
        <w:rPr>
          <w:spacing w:val="-6"/>
        </w:rPr>
        <w:t>万元，其中本公司以现金出资</w:t>
      </w:r>
      <w:r>
        <w:rPr>
          <w:spacing w:val="-56"/>
        </w:rPr>
        <w:t> </w:t>
      </w:r>
      <w:r>
        <w:rPr/>
        <w:t>1,600.00</w:t>
      </w:r>
      <w:r>
        <w:rPr>
          <w:spacing w:val="-53"/>
        </w:rPr>
        <w:t> </w:t>
      </w:r>
      <w:r>
        <w:rPr>
          <w:spacing w:val="-5"/>
        </w:rPr>
        <w:t>万元，占注册资本的比例为</w:t>
      </w:r>
      <w:r>
        <w:rPr>
          <w:spacing w:val="-56"/>
        </w:rPr>
        <w:t> </w:t>
      </w:r>
      <w:r>
        <w:rPr>
          <w:spacing w:val="-4"/>
        </w:rPr>
        <w:t>80%，宋川以知识产权出资</w:t>
      </w:r>
      <w:r>
        <w:rPr>
          <w:spacing w:val="-99"/>
        </w:rPr>
        <w:t> </w:t>
      </w:r>
      <w:r>
        <w:rPr>
          <w:spacing w:val="-99"/>
        </w:rPr>
      </w:r>
      <w:r>
        <w:rPr/>
        <w:t>200.00</w:t>
      </w:r>
      <w:r>
        <w:rPr>
          <w:spacing w:val="-54"/>
        </w:rPr>
        <w:t> </w:t>
      </w:r>
      <w:r>
        <w:rPr>
          <w:spacing w:val="-5"/>
        </w:rPr>
        <w:t>万元，占注册资本的比例为</w:t>
      </w:r>
      <w:r>
        <w:rPr>
          <w:spacing w:val="-57"/>
        </w:rPr>
        <w:t> </w:t>
      </w:r>
      <w:r>
        <w:rPr>
          <w:spacing w:val="-4"/>
        </w:rPr>
        <w:t>10%，陈柏青以现金出资</w:t>
      </w:r>
      <w:r>
        <w:rPr>
          <w:spacing w:val="-57"/>
        </w:rPr>
        <w:t> </w:t>
      </w:r>
      <w:r>
        <w:rPr/>
        <w:t>100.00</w:t>
      </w:r>
      <w:r>
        <w:rPr>
          <w:spacing w:val="-54"/>
        </w:rPr>
        <w:t> </w:t>
      </w:r>
      <w:r>
        <w:rPr>
          <w:spacing w:val="-5"/>
        </w:rPr>
        <w:t>万元，占注册资本的比例为</w:t>
      </w:r>
    </w:p>
    <w:p>
      <w:pPr>
        <w:pStyle w:val="BodyText"/>
        <w:spacing w:line="367" w:lineRule="auto" w:before="34"/>
        <w:ind w:right="172"/>
        <w:jc w:val="both"/>
      </w:pPr>
      <w:r>
        <w:rPr>
          <w:spacing w:val="-6"/>
        </w:rPr>
        <w:t>5%，金德玮以现金出资</w:t>
      </w:r>
      <w:r>
        <w:rPr>
          <w:spacing w:val="-57"/>
        </w:rPr>
        <w:t> </w:t>
      </w:r>
      <w:r>
        <w:rPr/>
        <w:t>100.00</w:t>
      </w:r>
      <w:r>
        <w:rPr>
          <w:spacing w:val="-53"/>
        </w:rPr>
        <w:t> </w:t>
      </w:r>
      <w:r>
        <w:rPr>
          <w:spacing w:val="-6"/>
        </w:rPr>
        <w:t>万元，占注册资本的比例为</w:t>
      </w:r>
      <w:r>
        <w:rPr>
          <w:spacing w:val="-57"/>
        </w:rPr>
        <w:t> </w:t>
      </w:r>
      <w:r>
        <w:rPr>
          <w:spacing w:val="-5"/>
        </w:rPr>
        <w:t>5%。上述出资业经浙江岳华会计师事</w:t>
      </w:r>
      <w:r>
        <w:rPr/>
        <w:t> </w:t>
      </w:r>
      <w:r>
        <w:rPr>
          <w:spacing w:val="-4"/>
        </w:rPr>
        <w:t>务所审验，并由其出具浙岳华〔2007〕第</w:t>
      </w:r>
      <w:r>
        <w:rPr>
          <w:spacing w:val="-60"/>
        </w:rPr>
        <w:t> </w:t>
      </w:r>
      <w:r>
        <w:rPr/>
        <w:t>708</w:t>
      </w:r>
      <w:r>
        <w:rPr>
          <w:spacing w:val="-57"/>
        </w:rPr>
        <w:t> </w:t>
      </w:r>
      <w:r>
        <w:rPr>
          <w:spacing w:val="-4"/>
        </w:rPr>
        <w:t>号验资报告。该公司已于</w:t>
      </w:r>
      <w:r>
        <w:rPr>
          <w:spacing w:val="-60"/>
        </w:rPr>
        <w:t> </w:t>
      </w:r>
      <w:r>
        <w:rPr/>
        <w:t>2007</w:t>
      </w:r>
      <w:r>
        <w:rPr>
          <w:spacing w:val="-57"/>
        </w:rPr>
        <w:t> </w:t>
      </w:r>
      <w:r>
        <w:rPr/>
        <w:t>年</w:t>
      </w:r>
      <w:r>
        <w:rPr>
          <w:spacing w:val="-60"/>
        </w:rPr>
        <w:t> </w:t>
      </w:r>
      <w:r>
        <w:rPr/>
        <w:t>8</w:t>
      </w:r>
      <w:r>
        <w:rPr>
          <w:spacing w:val="-57"/>
        </w:rPr>
        <w:t> </w:t>
      </w:r>
      <w:r>
        <w:rPr/>
        <w:t>月</w:t>
      </w:r>
      <w:r>
        <w:rPr>
          <w:spacing w:val="-60"/>
        </w:rPr>
        <w:t> </w:t>
      </w:r>
      <w:r>
        <w:rPr/>
        <w:t>6</w:t>
      </w:r>
      <w:r>
        <w:rPr>
          <w:spacing w:val="-57"/>
        </w:rPr>
        <w:t> </w:t>
      </w:r>
      <w:r>
        <w:rPr>
          <w:spacing w:val="-4"/>
        </w:rPr>
        <w:t>日在杭州</w:t>
      </w:r>
    </w:p>
    <w:p>
      <w:pPr>
        <w:pStyle w:val="BodyText"/>
        <w:spacing w:line="367" w:lineRule="auto" w:before="34"/>
        <w:ind w:right="0"/>
        <w:jc w:val="left"/>
      </w:pPr>
      <w:r>
        <w:rPr>
          <w:spacing w:val="-5"/>
        </w:rPr>
        <w:t>市工商行政管理局余杭分局登记注册，并取得注册号为</w:t>
      </w:r>
      <w:r>
        <w:rPr>
          <w:spacing w:val="-46"/>
        </w:rPr>
        <w:t> </w:t>
      </w:r>
      <w:r>
        <w:rPr>
          <w:spacing w:val="-3"/>
        </w:rPr>
        <w:t>330184000006294</w:t>
      </w:r>
      <w:r>
        <w:rPr>
          <w:spacing w:val="-43"/>
        </w:rPr>
        <w:t> </w:t>
      </w:r>
      <w:r>
        <w:rPr>
          <w:spacing w:val="-4"/>
        </w:rPr>
        <w:t>的《企业法人营业执</w:t>
      </w:r>
      <w:r>
        <w:rPr>
          <w:spacing w:val="-99"/>
        </w:rPr>
        <w:t> </w:t>
      </w:r>
      <w:r>
        <w:rPr>
          <w:spacing w:val="-99"/>
        </w:rPr>
      </w:r>
      <w:r>
        <w:rPr>
          <w:spacing w:val="-3"/>
        </w:rPr>
        <w:t>照》。</w:t>
      </w:r>
    </w:p>
    <w:p>
      <w:pPr>
        <w:pStyle w:val="BodyText"/>
        <w:spacing w:line="240" w:lineRule="auto" w:before="34"/>
        <w:ind w:left="537" w:right="0"/>
        <w:jc w:val="left"/>
      </w:pPr>
      <w:r>
        <w:rPr/>
        <w:t>(2)</w:t>
      </w:r>
      <w:r>
        <w:rPr>
          <w:spacing w:val="-2"/>
        </w:rPr>
        <w:t> </w:t>
      </w:r>
      <w:r>
        <w:rPr/>
        <w:t>根据公司三届七次董事会通过的《关于向无锡恒华科技发展有限公司增资的议案》，</w:t>
      </w:r>
    </w:p>
    <w:p>
      <w:pPr>
        <w:pStyle w:val="BodyText"/>
        <w:spacing w:line="240" w:lineRule="auto"/>
        <w:ind w:right="0"/>
        <w:jc w:val="both"/>
      </w:pPr>
      <w:r>
        <w:rPr/>
        <w:t>无锡恒华科技发展有限公司注册资本从原</w:t>
      </w:r>
      <w:r>
        <w:rPr>
          <w:spacing w:val="-62"/>
        </w:rPr>
        <w:t> </w:t>
      </w:r>
      <w:r>
        <w:rPr/>
        <w:t>2,200.00</w:t>
      </w:r>
      <w:r>
        <w:rPr>
          <w:spacing w:val="-61"/>
        </w:rPr>
        <w:t> </w:t>
      </w:r>
      <w:r>
        <w:rPr/>
        <w:t>万元增至</w:t>
      </w:r>
      <w:r>
        <w:rPr>
          <w:spacing w:val="-62"/>
        </w:rPr>
        <w:t> </w:t>
      </w:r>
      <w:r>
        <w:rPr/>
        <w:t>5,000.00</w:t>
      </w:r>
      <w:r>
        <w:rPr>
          <w:spacing w:val="-62"/>
        </w:rPr>
        <w:t> </w:t>
      </w:r>
      <w:r>
        <w:rPr>
          <w:spacing w:val="-6"/>
        </w:rPr>
        <w:t>万元，原股东以货币资</w:t>
      </w:r>
    </w:p>
    <w:p>
      <w:pPr>
        <w:pStyle w:val="BodyText"/>
        <w:spacing w:line="367" w:lineRule="auto"/>
        <w:ind w:right="173"/>
        <w:jc w:val="both"/>
      </w:pPr>
      <w:r>
        <w:rPr>
          <w:spacing w:val="-3"/>
        </w:rPr>
        <w:t>金同比例增资。公司本次增资</w:t>
      </w:r>
      <w:r>
        <w:rPr>
          <w:spacing w:val="-53"/>
        </w:rPr>
        <w:t> </w:t>
      </w:r>
      <w:r>
        <w:rPr/>
        <w:t>1,540.00</w:t>
      </w:r>
      <w:r>
        <w:rPr>
          <w:spacing w:val="-52"/>
        </w:rPr>
        <w:t> </w:t>
      </w:r>
      <w:r>
        <w:rPr>
          <w:spacing w:val="-3"/>
        </w:rPr>
        <w:t>万元，增资后累计出资</w:t>
      </w:r>
      <w:r>
        <w:rPr>
          <w:spacing w:val="-53"/>
        </w:rPr>
        <w:t> </w:t>
      </w:r>
      <w:r>
        <w:rPr/>
        <w:t>2,750.00</w:t>
      </w:r>
      <w:r>
        <w:rPr>
          <w:spacing w:val="-53"/>
        </w:rPr>
        <w:t> </w:t>
      </w:r>
      <w:r>
        <w:rPr>
          <w:spacing w:val="-4"/>
        </w:rPr>
        <w:t>万元，占该公司注册</w:t>
      </w:r>
      <w:r>
        <w:rPr>
          <w:spacing w:val="-1"/>
        </w:rPr>
        <w:t> </w:t>
      </w:r>
      <w:r>
        <w:rPr/>
        <w:t>资本比例仍为</w:t>
      </w:r>
      <w:r>
        <w:rPr>
          <w:spacing w:val="-55"/>
        </w:rPr>
        <w:t> </w:t>
      </w:r>
      <w:r>
        <w:rPr/>
        <w:t>55%。上述增资业经无锡嘉誉会计师事务所有限公司审验，并出具锡嘉会内验</w:t>
      </w:r>
    </w:p>
    <w:p>
      <w:pPr>
        <w:pStyle w:val="BodyText"/>
        <w:spacing w:line="240" w:lineRule="auto" w:before="34"/>
        <w:ind w:right="0"/>
        <w:jc w:val="both"/>
      </w:pPr>
      <w:r>
        <w:rPr/>
        <w:t>〔2007〕289</w:t>
      </w:r>
      <w:r>
        <w:rPr>
          <w:spacing w:val="-55"/>
        </w:rPr>
        <w:t> </w:t>
      </w:r>
      <w:r>
        <w:rPr/>
        <w:t>号验资报告，该公司已办妥工商变更登记手续。</w:t>
      </w:r>
    </w:p>
    <w:p>
      <w:pPr>
        <w:pStyle w:val="BodyText"/>
        <w:spacing w:line="240" w:lineRule="auto"/>
        <w:ind w:left="537" w:right="0"/>
        <w:jc w:val="left"/>
      </w:pPr>
      <w:r>
        <w:rPr/>
        <w:t>(3)</w:t>
      </w:r>
      <w:r>
        <w:rPr>
          <w:spacing w:val="4"/>
        </w:rPr>
        <w:t> </w:t>
      </w:r>
      <w:r>
        <w:rPr>
          <w:spacing w:val="-3"/>
        </w:rPr>
        <w:t>根据</w:t>
      </w:r>
      <w:r>
        <w:rPr>
          <w:spacing w:val="-58"/>
        </w:rPr>
        <w:t> </w:t>
      </w:r>
      <w:r>
        <w:rPr/>
        <w:t>2007</w:t>
      </w:r>
      <w:r>
        <w:rPr>
          <w:spacing w:val="-55"/>
        </w:rPr>
        <w:t> </w:t>
      </w:r>
      <w:r>
        <w:rPr/>
        <w:t>年</w:t>
      </w:r>
      <w:r>
        <w:rPr>
          <w:spacing w:val="-58"/>
        </w:rPr>
        <w:t> </w:t>
      </w:r>
      <w:r>
        <w:rPr/>
        <w:t>9</w:t>
      </w:r>
      <w:r>
        <w:rPr>
          <w:spacing w:val="-55"/>
        </w:rPr>
        <w:t> </w:t>
      </w:r>
      <w:r>
        <w:rPr/>
        <w:t>月</w:t>
      </w:r>
      <w:r>
        <w:rPr>
          <w:spacing w:val="-58"/>
        </w:rPr>
        <w:t> </w:t>
      </w:r>
      <w:r>
        <w:rPr/>
        <w:t>13</w:t>
      </w:r>
      <w:r>
        <w:rPr>
          <w:spacing w:val="-55"/>
        </w:rPr>
        <w:t> </w:t>
      </w:r>
      <w:r>
        <w:rPr>
          <w:spacing w:val="-5"/>
        </w:rPr>
        <w:t>日北京美髯公科技发展有限公司第五届三次股东会决议，同意本</w:t>
      </w:r>
    </w:p>
    <w:p>
      <w:pPr>
        <w:pStyle w:val="BodyText"/>
        <w:spacing w:line="367" w:lineRule="auto"/>
        <w:ind w:right="174"/>
        <w:jc w:val="both"/>
      </w:pPr>
      <w:r>
        <w:rPr>
          <w:spacing w:val="-7"/>
        </w:rPr>
        <w:t>公司减资</w:t>
      </w:r>
      <w:r>
        <w:rPr>
          <w:spacing w:val="-56"/>
        </w:rPr>
        <w:t> </w:t>
      </w:r>
      <w:r>
        <w:rPr>
          <w:spacing w:val="-4"/>
        </w:rPr>
        <w:t>300.00</w:t>
      </w:r>
      <w:r>
        <w:rPr>
          <w:spacing w:val="-53"/>
        </w:rPr>
        <w:t> </w:t>
      </w:r>
      <w:r>
        <w:rPr>
          <w:spacing w:val="-12"/>
        </w:rPr>
        <w:t>万元，减资后公司持有北京美髯公科技发展有限公司的实收资本为</w:t>
      </w:r>
      <w:r>
        <w:rPr>
          <w:spacing w:val="-56"/>
        </w:rPr>
        <w:t> </w:t>
      </w:r>
      <w:r>
        <w:rPr>
          <w:spacing w:val="-5"/>
        </w:rPr>
        <w:t>4,448,944.00</w:t>
      </w:r>
      <w:r>
        <w:rPr>
          <w:spacing w:val="-99"/>
        </w:rPr>
        <w:t> </w:t>
      </w:r>
      <w:r>
        <w:rPr>
          <w:spacing w:val="-99"/>
        </w:rPr>
      </w:r>
      <w:r>
        <w:rPr>
          <w:spacing w:val="-8"/>
        </w:rPr>
        <w:t>元，占该公司注册资本比例为</w:t>
      </w:r>
      <w:r>
        <w:rPr>
          <w:spacing w:val="-57"/>
        </w:rPr>
        <w:t> </w:t>
      </w:r>
      <w:r>
        <w:rPr>
          <w:spacing w:val="-8"/>
        </w:rPr>
        <w:t>26.63%。本次减资业经北京润鹏冀能会计师事务所审验并出具润鹏</w:t>
      </w:r>
      <w:r>
        <w:rPr>
          <w:spacing w:val="-100"/>
        </w:rPr>
        <w:t> </w:t>
      </w:r>
      <w:r>
        <w:rPr>
          <w:spacing w:val="-100"/>
        </w:rPr>
      </w:r>
      <w:r>
        <w:rPr>
          <w:spacing w:val="-6"/>
        </w:rPr>
        <w:t>审字〔2007〕H2839</w:t>
      </w:r>
      <w:r>
        <w:rPr>
          <w:spacing w:val="-45"/>
        </w:rPr>
        <w:t> </w:t>
      </w:r>
      <w:r>
        <w:rPr>
          <w:spacing w:val="-9"/>
        </w:rPr>
        <w:t>号验资报告，并已办妥相关工商变更登记手续。</w:t>
      </w:r>
      <w:r>
        <w:rPr/>
      </w:r>
    </w:p>
    <w:p>
      <w:pPr>
        <w:pStyle w:val="BodyText"/>
        <w:spacing w:line="240" w:lineRule="auto" w:before="34"/>
        <w:ind w:left="526" w:right="0"/>
        <w:jc w:val="left"/>
      </w:pPr>
      <w:r>
        <w:rPr/>
        <w:t>(4)</w:t>
      </w:r>
      <w:r>
        <w:rPr>
          <w:spacing w:val="-1"/>
        </w:rPr>
        <w:t> </w:t>
      </w:r>
      <w:r>
        <w:rPr/>
        <w:t>2007</w:t>
      </w:r>
      <w:r>
        <w:rPr>
          <w:spacing w:val="-54"/>
        </w:rPr>
        <w:t> </w:t>
      </w:r>
      <w:r>
        <w:rPr/>
        <w:t>年</w:t>
      </w:r>
      <w:r>
        <w:rPr>
          <w:spacing w:val="-54"/>
        </w:rPr>
        <w:t> </w:t>
      </w:r>
      <w:r>
        <w:rPr/>
        <w:t>12</w:t>
      </w:r>
      <w:r>
        <w:rPr>
          <w:spacing w:val="-53"/>
        </w:rPr>
        <w:t> </w:t>
      </w:r>
      <w:r>
        <w:rPr/>
        <w:t>月</w:t>
      </w:r>
      <w:r>
        <w:rPr>
          <w:spacing w:val="-54"/>
        </w:rPr>
        <w:t> </w:t>
      </w:r>
      <w:r>
        <w:rPr/>
        <w:t>5</w:t>
      </w:r>
      <w:r>
        <w:rPr>
          <w:spacing w:val="-52"/>
        </w:rPr>
        <w:t> </w:t>
      </w:r>
      <w:r>
        <w:rPr/>
        <w:t>日，浙江维尔科技有限公司各方股东签订增资扩股协议，新增苏州唐</w:t>
      </w:r>
    </w:p>
    <w:p>
      <w:pPr>
        <w:pStyle w:val="BodyText"/>
        <w:spacing w:line="240" w:lineRule="auto"/>
        <w:ind w:right="0"/>
        <w:jc w:val="both"/>
      </w:pPr>
      <w:r>
        <w:rPr/>
        <w:t>联科技研发有限公司和浙江万均投资有限公司两家股东，上述两家股东认缴出资 881.6327</w:t>
      </w:r>
      <w:r>
        <w:rPr>
          <w:spacing w:val="-59"/>
        </w:rPr>
        <w:t> </w:t>
      </w:r>
      <w:r>
        <w:rPr/>
        <w:t>万</w:t>
      </w:r>
    </w:p>
    <w:p>
      <w:pPr>
        <w:pStyle w:val="BodyText"/>
        <w:spacing w:line="420" w:lineRule="atLeast" w:before="0"/>
        <w:ind w:right="172"/>
        <w:jc w:val="both"/>
      </w:pPr>
      <w:r>
        <w:rPr/>
        <w:t>元人民币，原股东出资额不变。本次增资扩股后，该公司的注册资本从原 2,057.1429</w:t>
      </w:r>
      <w:r>
        <w:rPr>
          <w:spacing w:val="-59"/>
        </w:rPr>
        <w:t> </w:t>
      </w:r>
      <w:r>
        <w:rPr/>
        <w:t>万元增</w:t>
      </w:r>
      <w:r>
        <w:rPr/>
        <w:t> 加至</w:t>
      </w:r>
      <w:r>
        <w:rPr>
          <w:spacing w:val="-60"/>
        </w:rPr>
        <w:t> </w:t>
      </w:r>
      <w:r>
        <w:rPr/>
        <w:t>2,938.7756</w:t>
      </w:r>
      <w:r>
        <w:rPr>
          <w:spacing w:val="-60"/>
        </w:rPr>
        <w:t> </w:t>
      </w:r>
      <w:r>
        <w:rPr/>
        <w:t>万元，公司对浙江维尔科技有限公司的股权比例由</w:t>
      </w:r>
      <w:r>
        <w:rPr>
          <w:spacing w:val="-60"/>
        </w:rPr>
        <w:t> </w:t>
      </w:r>
      <w:r>
        <w:rPr/>
        <w:t>30%下降至</w:t>
      </w:r>
      <w:r>
        <w:rPr>
          <w:spacing w:val="-60"/>
        </w:rPr>
        <w:t> </w:t>
      </w:r>
      <w:r>
        <w:rPr>
          <w:spacing w:val="-4"/>
        </w:rPr>
        <w:t>21%。上述变更</w:t>
      </w:r>
      <w:r>
        <w:rPr/>
        <w:t> 业经浙江天平会计师事务所有限责任公司审验并出具浙天验〔2007〕209</w:t>
      </w:r>
      <w:r>
        <w:rPr>
          <w:spacing w:val="-63"/>
        </w:rPr>
        <w:t> </w:t>
      </w:r>
      <w:r>
        <w:rPr/>
        <w:t>号验资报告，该公司</w:t>
      </w:r>
    </w:p>
    <w:p>
      <w:pPr>
        <w:spacing w:after="0" w:line="420" w:lineRule="atLeast"/>
        <w:jc w:val="both"/>
        <w:sectPr>
          <w:pgSz w:w="11910" w:h="16840"/>
          <w:pgMar w:header="0" w:footer="1263" w:top="1540" w:bottom="1460" w:left="1680" w:right="1380"/>
        </w:sectPr>
      </w:pPr>
    </w:p>
    <w:p>
      <w:pPr>
        <w:pStyle w:val="BodyText"/>
        <w:spacing w:line="240" w:lineRule="auto" w:before="13"/>
        <w:ind w:right="95"/>
        <w:jc w:val="left"/>
      </w:pPr>
      <w:r>
        <w:rPr/>
        <w:t>已办妥工商变更登记手续。</w:t>
      </w:r>
    </w:p>
    <w:p>
      <w:pPr>
        <w:pStyle w:val="BodyText"/>
        <w:spacing w:line="240" w:lineRule="auto"/>
        <w:ind w:left="537" w:right="95"/>
        <w:jc w:val="left"/>
      </w:pPr>
      <w:r>
        <w:rPr/>
        <w:t>(5)</w:t>
      </w:r>
      <w:r>
        <w:rPr>
          <w:spacing w:val="-1"/>
        </w:rPr>
        <w:t> </w:t>
      </w:r>
      <w:r>
        <w:rPr/>
        <w:t>2006</w:t>
      </w:r>
      <w:r>
        <w:rPr>
          <w:spacing w:val="-53"/>
        </w:rPr>
        <w:t> </w:t>
      </w:r>
      <w:r>
        <w:rPr/>
        <w:t>年公司受让武汉鑫茂实业有限公司原持有长江证券股份有限公司的</w:t>
      </w:r>
      <w:r>
        <w:rPr>
          <w:spacing w:val="-54"/>
        </w:rPr>
        <w:t> </w:t>
      </w:r>
      <w:r>
        <w:rPr/>
        <w:t>500</w:t>
      </w:r>
      <w:r>
        <w:rPr>
          <w:spacing w:val="-54"/>
        </w:rPr>
        <w:t> </w:t>
      </w:r>
      <w:r>
        <w:rPr/>
        <w:t>万股股</w:t>
      </w:r>
    </w:p>
    <w:p>
      <w:pPr>
        <w:pStyle w:val="BodyText"/>
        <w:spacing w:line="240" w:lineRule="auto"/>
        <w:ind w:right="95"/>
        <w:jc w:val="left"/>
      </w:pPr>
      <w:r>
        <w:rPr/>
        <w:t>权，占其股权比例为</w:t>
      </w:r>
      <w:r>
        <w:rPr>
          <w:spacing w:val="-59"/>
        </w:rPr>
        <w:t> </w:t>
      </w:r>
      <w:r>
        <w:rPr/>
        <w:t>0.25%，股权转让款为</w:t>
      </w:r>
      <w:r>
        <w:rPr>
          <w:spacing w:val="-59"/>
        </w:rPr>
        <w:t> </w:t>
      </w:r>
      <w:r>
        <w:rPr/>
        <w:t>2,400.00</w:t>
      </w:r>
      <w:r>
        <w:rPr>
          <w:spacing w:val="-58"/>
        </w:rPr>
        <w:t> </w:t>
      </w:r>
      <w:r>
        <w:rPr/>
        <w:t>万元。2007</w:t>
      </w:r>
      <w:r>
        <w:rPr>
          <w:spacing w:val="-59"/>
        </w:rPr>
        <w:t> </w:t>
      </w:r>
      <w:r>
        <w:rPr/>
        <w:t>年</w:t>
      </w:r>
      <w:r>
        <w:rPr>
          <w:spacing w:val="-59"/>
        </w:rPr>
        <w:t> </w:t>
      </w:r>
      <w:r>
        <w:rPr/>
        <w:t>12</w:t>
      </w:r>
      <w:r>
        <w:rPr>
          <w:spacing w:val="-58"/>
        </w:rPr>
        <w:t> </w:t>
      </w:r>
      <w:r>
        <w:rPr/>
        <w:t>月</w:t>
      </w:r>
      <w:r>
        <w:rPr>
          <w:spacing w:val="-60"/>
        </w:rPr>
        <w:t> </w:t>
      </w:r>
      <w:r>
        <w:rPr/>
        <w:t>20</w:t>
      </w:r>
      <w:r>
        <w:rPr>
          <w:spacing w:val="-58"/>
        </w:rPr>
        <w:t> </w:t>
      </w:r>
      <w:r>
        <w:rPr/>
        <w:t>日长江证券股份</w:t>
      </w:r>
    </w:p>
    <w:p>
      <w:pPr>
        <w:pStyle w:val="BodyText"/>
        <w:spacing w:line="367" w:lineRule="auto"/>
        <w:ind w:right="208"/>
        <w:jc w:val="left"/>
      </w:pPr>
      <w:r>
        <w:rPr/>
        <w:t>有限公司刊登了《股权分置改革方案实施公告》，2007</w:t>
      </w:r>
      <w:r>
        <w:rPr>
          <w:spacing w:val="-54"/>
        </w:rPr>
        <w:t> </w:t>
      </w:r>
      <w:r>
        <w:rPr/>
        <w:t>年</w:t>
      </w:r>
      <w:r>
        <w:rPr>
          <w:spacing w:val="-55"/>
        </w:rPr>
        <w:t> </w:t>
      </w:r>
      <w:r>
        <w:rPr/>
        <w:t>12</w:t>
      </w:r>
      <w:r>
        <w:rPr>
          <w:spacing w:val="-54"/>
        </w:rPr>
        <w:t> </w:t>
      </w:r>
      <w:r>
        <w:rPr/>
        <w:t>月</w:t>
      </w:r>
      <w:r>
        <w:rPr>
          <w:spacing w:val="-54"/>
        </w:rPr>
        <w:t> </w:t>
      </w:r>
      <w:r>
        <w:rPr/>
        <w:t>27</w:t>
      </w:r>
      <w:r>
        <w:rPr>
          <w:spacing w:val="-53"/>
        </w:rPr>
        <w:t> </w:t>
      </w:r>
      <w:r>
        <w:rPr/>
        <w:t>日长江证券股份有限公司</w:t>
      </w:r>
      <w:r>
        <w:rPr/>
        <w:t> 股权分置改革方案正式实施，股权分置改革方案实施后，本公司持有长江证券股份有限公司 3,354,582</w:t>
      </w:r>
      <w:r>
        <w:rPr>
          <w:spacing w:val="-53"/>
        </w:rPr>
        <w:t> </w:t>
      </w:r>
      <w:r>
        <w:rPr/>
        <w:t>股限售流通股，解禁日为</w:t>
      </w:r>
      <w:r>
        <w:rPr>
          <w:spacing w:val="-54"/>
        </w:rPr>
        <w:t> </w:t>
      </w:r>
      <w:r>
        <w:rPr/>
        <w:t>2008</w:t>
      </w:r>
      <w:r>
        <w:rPr>
          <w:spacing w:val="-53"/>
        </w:rPr>
        <w:t> </w:t>
      </w:r>
      <w:r>
        <w:rPr/>
        <w:t>年</w:t>
      </w:r>
      <w:r>
        <w:rPr>
          <w:spacing w:val="-55"/>
        </w:rPr>
        <w:t> </w:t>
      </w:r>
      <w:r>
        <w:rPr/>
        <w:t>12</w:t>
      </w:r>
      <w:r>
        <w:rPr>
          <w:spacing w:val="-54"/>
        </w:rPr>
        <w:t> </w:t>
      </w:r>
      <w:r>
        <w:rPr/>
        <w:t>月</w:t>
      </w:r>
      <w:r>
        <w:rPr>
          <w:spacing w:val="-55"/>
        </w:rPr>
        <w:t> </w:t>
      </w:r>
      <w:r>
        <w:rPr/>
        <w:t>27</w:t>
      </w:r>
      <w:r>
        <w:rPr>
          <w:spacing w:val="-53"/>
        </w:rPr>
        <w:t> </w:t>
      </w:r>
      <w:r>
        <w:rPr/>
        <w:t>日。截至</w:t>
      </w:r>
      <w:r>
        <w:rPr>
          <w:spacing w:val="-55"/>
        </w:rPr>
        <w:t> </w:t>
      </w:r>
      <w:r>
        <w:rPr/>
        <w:t>2007</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日，公司持有</w:t>
      </w:r>
      <w:r>
        <w:rPr/>
        <w:t> 长江证券股份有限公司</w:t>
      </w:r>
      <w:r>
        <w:rPr>
          <w:spacing w:val="-54"/>
        </w:rPr>
        <w:t> </w:t>
      </w:r>
      <w:r>
        <w:rPr/>
        <w:t>3,354,582</w:t>
      </w:r>
      <w:r>
        <w:rPr>
          <w:spacing w:val="-53"/>
        </w:rPr>
        <w:t> </w:t>
      </w:r>
      <w:r>
        <w:rPr/>
        <w:t>股股份，占该公司总股本的</w:t>
      </w:r>
      <w:r>
        <w:rPr>
          <w:spacing w:val="-54"/>
        </w:rPr>
        <w:t> </w:t>
      </w:r>
      <w:r>
        <w:rPr/>
        <w:t>0.2%。</w:t>
      </w:r>
    </w:p>
    <w:p>
      <w:pPr>
        <w:pStyle w:val="BodyText"/>
        <w:spacing w:line="367" w:lineRule="auto" w:before="34"/>
        <w:ind w:right="154" w:firstLine="420"/>
        <w:jc w:val="both"/>
      </w:pPr>
      <w:r>
        <w:rPr/>
        <w:t>(6)</w:t>
      </w:r>
      <w:r>
        <w:rPr>
          <w:spacing w:val="-8"/>
        </w:rPr>
        <w:t> </w:t>
      </w:r>
      <w:r>
        <w:rPr/>
        <w:t>2007</w:t>
      </w:r>
      <w:r>
        <w:rPr>
          <w:spacing w:val="-53"/>
        </w:rPr>
        <w:t> </w:t>
      </w:r>
      <w:r>
        <w:rPr/>
        <w:t>年</w:t>
      </w:r>
      <w:r>
        <w:rPr>
          <w:spacing w:val="-55"/>
        </w:rPr>
        <w:t> </w:t>
      </w:r>
      <w:r>
        <w:rPr/>
        <w:t>6</w:t>
      </w:r>
      <w:r>
        <w:rPr>
          <w:spacing w:val="-53"/>
        </w:rPr>
        <w:t> </w:t>
      </w:r>
      <w:r>
        <w:rPr/>
        <w:t>月</w:t>
      </w:r>
      <w:r>
        <w:rPr>
          <w:spacing w:val="-55"/>
        </w:rPr>
        <w:t> </w:t>
      </w:r>
      <w:r>
        <w:rPr/>
        <w:t>22</w:t>
      </w:r>
      <w:r>
        <w:rPr>
          <w:spacing w:val="-53"/>
        </w:rPr>
        <w:t> </w:t>
      </w:r>
      <w:r>
        <w:rPr/>
        <w:t>日，公司与青岛市商业银行股份有限公司签订了青岛市商业银行股份</w:t>
      </w:r>
      <w:r>
        <w:rPr/>
        <w:t> 有限公司增资扩股协议书，根据青岛市商业银行股份有限公司股东大会通过的增资扩股决议， 青岛市商业银行股份有限公司股东会决议同意对本公司定向增发</w:t>
      </w:r>
      <w:r>
        <w:rPr>
          <w:spacing w:val="-53"/>
        </w:rPr>
        <w:t> </w:t>
      </w:r>
      <w:r>
        <w:rPr/>
        <w:t>2,000</w:t>
      </w:r>
      <w:r>
        <w:rPr>
          <w:spacing w:val="-52"/>
        </w:rPr>
        <w:t> </w:t>
      </w:r>
      <w:r>
        <w:rPr>
          <w:spacing w:val="-9"/>
        </w:rPr>
        <w:t>万股，每股价格</w:t>
      </w:r>
      <w:r>
        <w:rPr>
          <w:spacing w:val="-53"/>
        </w:rPr>
        <w:t> </w:t>
      </w:r>
      <w:r>
        <w:rPr/>
        <w:t>2.6</w:t>
      </w:r>
      <w:r>
        <w:rPr>
          <w:spacing w:val="-52"/>
        </w:rPr>
        <w:t> </w:t>
      </w:r>
      <w:r>
        <w:rPr/>
        <w:t>元</w:t>
      </w:r>
    </w:p>
    <w:p>
      <w:pPr>
        <w:pStyle w:val="BodyText"/>
        <w:spacing w:line="240" w:lineRule="auto" w:before="34"/>
        <w:ind w:right="95"/>
        <w:jc w:val="left"/>
      </w:pPr>
      <w:r>
        <w:rPr/>
        <w:t>人民币，认股价款为 5,200.00</w:t>
      </w:r>
      <w:r>
        <w:rPr>
          <w:spacing w:val="-61"/>
        </w:rPr>
        <w:t> </w:t>
      </w:r>
      <w:r>
        <w:rPr/>
        <w:t>万元，增资完成后青岛市商业银行股份有限公司总股本将增加</w:t>
      </w:r>
    </w:p>
    <w:p>
      <w:pPr>
        <w:pStyle w:val="BodyText"/>
        <w:spacing w:line="240" w:lineRule="auto"/>
        <w:ind w:right="0"/>
        <w:jc w:val="left"/>
      </w:pPr>
      <w:r>
        <w:rPr/>
        <w:t>至</w:t>
      </w:r>
      <w:r>
        <w:rPr>
          <w:spacing w:val="-75"/>
        </w:rPr>
        <w:t> </w:t>
      </w:r>
      <w:r>
        <w:rPr/>
        <w:t>20</w:t>
      </w:r>
      <w:r>
        <w:rPr>
          <w:spacing w:val="-1"/>
        </w:rPr>
        <w:t>3</w:t>
      </w:r>
      <w:r>
        <w:rPr/>
        <w:t>,</w:t>
      </w:r>
      <w:r>
        <w:rPr>
          <w:spacing w:val="-1"/>
        </w:rPr>
        <w:t>7</w:t>
      </w:r>
      <w:r>
        <w:rPr/>
        <w:t>87</w:t>
      </w:r>
      <w:r>
        <w:rPr>
          <w:spacing w:val="-75"/>
        </w:rPr>
        <w:t> </w:t>
      </w:r>
      <w:r>
        <w:rPr>
          <w:spacing w:val="-2"/>
        </w:rPr>
        <w:t>万</w:t>
      </w:r>
      <w:r>
        <w:rPr>
          <w:spacing w:val="-1"/>
        </w:rPr>
        <w:t>股</w:t>
      </w:r>
      <w:r>
        <w:rPr>
          <w:spacing w:val="-105"/>
        </w:rPr>
        <w:t>，</w:t>
      </w:r>
      <w:r>
        <w:rPr/>
        <w:t>本公司</w:t>
      </w:r>
      <w:r>
        <w:rPr>
          <w:spacing w:val="-2"/>
        </w:rPr>
        <w:t>拟</w:t>
      </w:r>
      <w:r>
        <w:rPr/>
        <w:t>持有青岛市商业银行股份有限公司</w:t>
      </w:r>
      <w:r>
        <w:rPr>
          <w:spacing w:val="-75"/>
        </w:rPr>
        <w:t> </w:t>
      </w:r>
      <w:r>
        <w:rPr/>
        <w:t>2,000</w:t>
      </w:r>
      <w:r>
        <w:rPr>
          <w:spacing w:val="-75"/>
        </w:rPr>
        <w:t> </w:t>
      </w:r>
      <w:r>
        <w:rPr/>
        <w:t>万股</w:t>
      </w:r>
      <w:r>
        <w:rPr>
          <w:spacing w:val="-105"/>
        </w:rPr>
        <w:t>，</w:t>
      </w:r>
      <w:r>
        <w:rPr>
          <w:spacing w:val="-2"/>
        </w:rPr>
        <w:t>占</w:t>
      </w:r>
      <w:r>
        <w:rPr/>
        <w:t>其总股本的</w:t>
      </w:r>
      <w:r>
        <w:rPr>
          <w:spacing w:val="-75"/>
        </w:rPr>
        <w:t> </w:t>
      </w:r>
      <w:r>
        <w:rPr/>
        <w:t>0.98%。</w:t>
      </w:r>
    </w:p>
    <w:p>
      <w:pPr>
        <w:pStyle w:val="BodyText"/>
        <w:spacing w:line="367" w:lineRule="auto"/>
        <w:ind w:right="202"/>
        <w:jc w:val="left"/>
      </w:pPr>
      <w:r>
        <w:rPr/>
        <w:t>截至</w:t>
      </w:r>
      <w:r>
        <w:rPr>
          <w:spacing w:val="-46"/>
        </w:rPr>
        <w:t> </w:t>
      </w:r>
      <w:r>
        <w:rPr/>
        <w:t>2007</w:t>
      </w:r>
      <w:r>
        <w:rPr>
          <w:spacing w:val="-46"/>
        </w:rPr>
        <w:t> </w:t>
      </w:r>
      <w:r>
        <w:rPr/>
        <w:t>年</w:t>
      </w:r>
      <w:r>
        <w:rPr>
          <w:spacing w:val="-46"/>
        </w:rPr>
        <w:t> </w:t>
      </w:r>
      <w:r>
        <w:rPr/>
        <w:t>12</w:t>
      </w:r>
      <w:r>
        <w:rPr>
          <w:spacing w:val="-45"/>
        </w:rPr>
        <w:t> </w:t>
      </w:r>
      <w:r>
        <w:rPr/>
        <w:t>月</w:t>
      </w:r>
      <w:r>
        <w:rPr>
          <w:spacing w:val="-46"/>
        </w:rPr>
        <w:t> </w:t>
      </w:r>
      <w:r>
        <w:rPr/>
        <w:t>31</w:t>
      </w:r>
      <w:r>
        <w:rPr>
          <w:spacing w:val="-46"/>
        </w:rPr>
        <w:t> </w:t>
      </w:r>
      <w:r>
        <w:rPr/>
        <w:t>日，公司已全部支付上述认股价款，本次增资扩股及定向增发尚需要中</w:t>
      </w:r>
      <w:r>
        <w:rPr/>
        <w:t> 国银行业监督管理委员会或者其授权机构审批，尚未办妥工商变更登记手续。</w:t>
      </w:r>
    </w:p>
    <w:p>
      <w:pPr>
        <w:pStyle w:val="BodyText"/>
        <w:spacing w:line="367" w:lineRule="auto" w:before="34"/>
        <w:ind w:right="95" w:firstLine="420"/>
        <w:jc w:val="left"/>
      </w:pPr>
      <w:r>
        <w:rPr/>
        <w:t>(7)</w:t>
      </w:r>
      <w:r>
        <w:rPr>
          <w:spacing w:val="-1"/>
        </w:rPr>
        <w:t> </w:t>
      </w:r>
      <w:r>
        <w:rPr/>
        <w:t>2007</w:t>
      </w:r>
      <w:r>
        <w:rPr>
          <w:spacing w:val="-54"/>
        </w:rPr>
        <w:t> </w:t>
      </w:r>
      <w:r>
        <w:rPr/>
        <w:t>年</w:t>
      </w:r>
      <w:r>
        <w:rPr>
          <w:spacing w:val="-55"/>
        </w:rPr>
        <w:t> </w:t>
      </w:r>
      <w:r>
        <w:rPr/>
        <w:t>10</w:t>
      </w:r>
      <w:r>
        <w:rPr>
          <w:spacing w:val="-54"/>
        </w:rPr>
        <w:t> </w:t>
      </w:r>
      <w:r>
        <w:rPr/>
        <w:t>月</w:t>
      </w:r>
      <w:r>
        <w:rPr>
          <w:spacing w:val="-54"/>
        </w:rPr>
        <w:t> </w:t>
      </w:r>
      <w:r>
        <w:rPr/>
        <w:t>30</w:t>
      </w:r>
      <w:r>
        <w:rPr>
          <w:spacing w:val="-53"/>
        </w:rPr>
        <w:t> </w:t>
      </w:r>
      <w:r>
        <w:rPr/>
        <w:t>日，公司与国金证券有限责任公司、中国通用技术(集团)控股有限</w:t>
      </w:r>
      <w:r>
        <w:rPr/>
        <w:t> </w:t>
      </w:r>
      <w:r>
        <w:rPr>
          <w:spacing w:val="-2"/>
        </w:rPr>
        <w:t>责任公司、苏州工业园区地产经营管理公司签订了国金通用基金管理有限公司发起人协议，拟</w:t>
      </w:r>
      <w:r>
        <w:rPr>
          <w:spacing w:val="-85"/>
        </w:rPr>
        <w:t> </w:t>
      </w:r>
      <w:r>
        <w:rPr>
          <w:spacing w:val="-85"/>
        </w:rPr>
      </w:r>
      <w:r>
        <w:rPr>
          <w:spacing w:val="-2"/>
        </w:rPr>
        <w:t>共同发起设立国金通用基金管理有限公司（以中国证监会批准并经工商管理部门核准的名称为</w:t>
      </w:r>
      <w:r>
        <w:rPr>
          <w:spacing w:val="-82"/>
        </w:rPr>
        <w:t> </w:t>
      </w:r>
      <w:r>
        <w:rPr>
          <w:spacing w:val="-82"/>
        </w:rPr>
      </w:r>
      <w:r>
        <w:rPr/>
        <w:t>准），注册资本</w:t>
      </w:r>
      <w:r>
        <w:rPr>
          <w:spacing w:val="-54"/>
        </w:rPr>
        <w:t> </w:t>
      </w:r>
      <w:r>
        <w:rPr/>
        <w:t>1.6</w:t>
      </w:r>
      <w:r>
        <w:rPr>
          <w:spacing w:val="-53"/>
        </w:rPr>
        <w:t> </w:t>
      </w:r>
      <w:r>
        <w:rPr/>
        <w:t>亿元，其中公司以现金方式认缴</w:t>
      </w:r>
      <w:r>
        <w:rPr>
          <w:spacing w:val="-54"/>
        </w:rPr>
        <w:t> </w:t>
      </w:r>
      <w:r>
        <w:rPr/>
        <w:t>2,400</w:t>
      </w:r>
      <w:r>
        <w:rPr>
          <w:spacing w:val="-53"/>
        </w:rPr>
        <w:t> </w:t>
      </w:r>
      <w:r>
        <w:rPr/>
        <w:t>万元人民币，占注册资本总额的</w:t>
      </w:r>
      <w:r>
        <w:rPr/>
        <w:t> 15%。根据发起人协议，公司已按出资金额的</w:t>
      </w:r>
      <w:r>
        <w:rPr>
          <w:spacing w:val="-61"/>
        </w:rPr>
        <w:t> </w:t>
      </w:r>
      <w:r>
        <w:rPr/>
        <w:t>20%即</w:t>
      </w:r>
      <w:r>
        <w:rPr>
          <w:spacing w:val="-61"/>
        </w:rPr>
        <w:t> </w:t>
      </w:r>
      <w:r>
        <w:rPr/>
        <w:t>480</w:t>
      </w:r>
      <w:r>
        <w:rPr>
          <w:spacing w:val="-60"/>
        </w:rPr>
        <w:t> </w:t>
      </w:r>
      <w:r>
        <w:rPr/>
        <w:t>万元划入国金证券有限责任公司开设</w:t>
      </w:r>
      <w:r>
        <w:rPr>
          <w:spacing w:val="-1"/>
        </w:rPr>
        <w:t> </w:t>
      </w:r>
      <w:r>
        <w:rPr>
          <w:spacing w:val="-2"/>
        </w:rPr>
        <w:t>的筹备组临时专用账户作为垫付筹备费用，该等因筹备基金公司设立而发生的费用由基金公司</w:t>
      </w:r>
      <w:r>
        <w:rPr>
          <w:spacing w:val="-82"/>
        </w:rPr>
        <w:t> </w:t>
      </w:r>
      <w:r>
        <w:rPr>
          <w:spacing w:val="-82"/>
        </w:rPr>
      </w:r>
      <w:r>
        <w:rPr/>
        <w:t>承担。上述发起设立基金公司事项尚需获得中国证券监督管理委员会的批准。</w:t>
      </w:r>
    </w:p>
    <w:p>
      <w:pPr>
        <w:pStyle w:val="BodyText"/>
        <w:spacing w:line="367" w:lineRule="auto" w:before="34"/>
        <w:ind w:left="537" w:right="95"/>
        <w:jc w:val="left"/>
      </w:pPr>
      <w:r>
        <w:rPr/>
        <w:t>2.经营事项说明 </w:t>
      </w:r>
      <w:r>
        <w:rPr>
          <w:spacing w:val="-2"/>
        </w:rPr>
        <w:t>本公司主要的业务客户为金融和证券机构，尽管公司日常发生的业务较为均衡，但由于受</w:t>
      </w:r>
    </w:p>
    <w:p>
      <w:pPr>
        <w:pStyle w:val="BodyText"/>
        <w:spacing w:line="367" w:lineRule="auto" w:before="34"/>
        <w:ind w:right="137"/>
        <w:jc w:val="left"/>
      </w:pPr>
      <w:r>
        <w:rPr/>
        <w:t>客户群货款支付习惯等因素的影响，一般情况下大量的经营性现金流入主要发生在第四季度， 公司年末货币资金的余额较大，相应部分财务数据反映在年度内也显示不均衡。</w:t>
      </w:r>
    </w:p>
    <w:p>
      <w:pPr>
        <w:pStyle w:val="BodyText"/>
        <w:spacing w:line="240" w:lineRule="auto" w:before="34"/>
        <w:ind w:left="524" w:right="95"/>
        <w:jc w:val="left"/>
      </w:pPr>
      <w:r>
        <w:rPr/>
        <w:t>3.税收情况说明</w:t>
      </w:r>
    </w:p>
    <w:p>
      <w:pPr>
        <w:pStyle w:val="BodyText"/>
        <w:spacing w:line="367" w:lineRule="auto"/>
        <w:ind w:right="137" w:firstLine="406"/>
        <w:jc w:val="left"/>
      </w:pPr>
      <w:r>
        <w:rPr/>
        <w:t>(1) </w:t>
      </w:r>
      <w:r>
        <w:rPr>
          <w:spacing w:val="-3"/>
        </w:rPr>
        <w:t>根据财政部、国家税务总局和海关总署财税〔2000〕25</w:t>
      </w:r>
      <w:r>
        <w:rPr>
          <w:spacing w:val="-52"/>
        </w:rPr>
        <w:t> </w:t>
      </w:r>
      <w:r>
        <w:rPr>
          <w:spacing w:val="-7"/>
        </w:rPr>
        <w:t>号文，自</w:t>
      </w:r>
      <w:r>
        <w:rPr>
          <w:spacing w:val="-53"/>
        </w:rPr>
        <w:t> </w:t>
      </w:r>
      <w:r>
        <w:rPr/>
        <w:t>2000</w:t>
      </w:r>
      <w:r>
        <w:rPr>
          <w:spacing w:val="-52"/>
        </w:rPr>
        <w:t> </w:t>
      </w:r>
      <w:r>
        <w:rPr/>
        <w:t>年</w:t>
      </w:r>
      <w:r>
        <w:rPr>
          <w:spacing w:val="-54"/>
        </w:rPr>
        <w:t> </w:t>
      </w:r>
      <w:r>
        <w:rPr/>
        <w:t>6</w:t>
      </w:r>
      <w:r>
        <w:rPr>
          <w:spacing w:val="-52"/>
        </w:rPr>
        <w:t> </w:t>
      </w:r>
      <w:r>
        <w:rPr/>
        <w:t>月</w:t>
      </w:r>
      <w:r>
        <w:rPr>
          <w:spacing w:val="-54"/>
        </w:rPr>
        <w:t> </w:t>
      </w:r>
      <w:r>
        <w:rPr/>
        <w:t>24</w:t>
      </w:r>
      <w:r>
        <w:rPr>
          <w:spacing w:val="-52"/>
        </w:rPr>
        <w:t> </w:t>
      </w:r>
      <w:r>
        <w:rPr/>
        <w:t>日至</w:t>
      </w:r>
      <w:r>
        <w:rPr/>
        <w:t> 2010</w:t>
      </w:r>
      <w:r>
        <w:rPr>
          <w:spacing w:val="-53"/>
        </w:rPr>
        <w:t> </w:t>
      </w:r>
      <w:r>
        <w:rPr/>
        <w:t>年底以前，公司软件产品销售收入先按</w:t>
      </w:r>
      <w:r>
        <w:rPr>
          <w:spacing w:val="-54"/>
        </w:rPr>
        <w:t> </w:t>
      </w:r>
      <w:r>
        <w:rPr/>
        <w:t>17%的税率计缴，实际税负超过</w:t>
      </w:r>
      <w:r>
        <w:rPr>
          <w:spacing w:val="-54"/>
        </w:rPr>
        <w:t> </w:t>
      </w:r>
      <w:r>
        <w:rPr/>
        <w:t>3%部分经主管税</w:t>
      </w:r>
      <w:r>
        <w:rPr/>
        <w:t> 务部门审核后返还记入营业外收入，上述政府补助用于企业研究开发软件产品和扩大再生产。 公司本期实际收到上述补助款</w:t>
      </w:r>
      <w:r>
        <w:rPr>
          <w:spacing w:val="-54"/>
        </w:rPr>
        <w:t> </w:t>
      </w:r>
      <w:r>
        <w:rPr/>
        <w:t>22,026,122.32</w:t>
      </w:r>
      <w:r>
        <w:rPr>
          <w:spacing w:val="-53"/>
        </w:rPr>
        <w:t> </w:t>
      </w:r>
      <w:r>
        <w:rPr/>
        <w:t>元。</w:t>
      </w:r>
    </w:p>
    <w:p>
      <w:pPr>
        <w:pStyle w:val="BodyText"/>
        <w:spacing w:line="240" w:lineRule="auto" w:before="34"/>
        <w:ind w:left="537" w:right="95"/>
        <w:jc w:val="left"/>
      </w:pPr>
      <w:r>
        <w:rPr/>
        <w:t>(2)</w:t>
      </w:r>
      <w:r>
        <w:rPr>
          <w:spacing w:val="-2"/>
        </w:rPr>
        <w:t> </w:t>
      </w:r>
      <w:r>
        <w:rPr/>
        <w:t>公司及控股子公司</w:t>
      </w:r>
      <w:r>
        <w:rPr>
          <w:spacing w:val="-54"/>
        </w:rPr>
        <w:t> </w:t>
      </w:r>
      <w:r>
        <w:rPr/>
        <w:t>2007</w:t>
      </w:r>
      <w:r>
        <w:rPr>
          <w:spacing w:val="-53"/>
        </w:rPr>
        <w:t> </w:t>
      </w:r>
      <w:r>
        <w:rPr/>
        <w:t>年度企业所得税的汇算清缴手续尚在办理中。</w:t>
      </w:r>
    </w:p>
    <w:p>
      <w:pPr>
        <w:spacing w:after="0" w:line="240" w:lineRule="auto"/>
        <w:jc w:val="left"/>
        <w:sectPr>
          <w:pgSz w:w="11910" w:h="16840"/>
          <w:pgMar w:header="0" w:footer="1263" w:top="1540" w:bottom="1460" w:left="1680" w:right="1340"/>
        </w:sectPr>
      </w:pPr>
    </w:p>
    <w:p>
      <w:pPr>
        <w:spacing w:before="13"/>
        <w:ind w:left="640" w:right="0" w:firstLine="0"/>
        <w:jc w:val="left"/>
        <w:rPr>
          <w:rFonts w:ascii="黑体" w:hAnsi="黑体" w:cs="黑体" w:eastAsia="黑体" w:hint="default"/>
          <w:sz w:val="21"/>
          <w:szCs w:val="21"/>
        </w:rPr>
      </w:pPr>
      <w:r>
        <w:rPr>
          <w:rFonts w:ascii="黑体" w:hAnsi="黑体" w:cs="黑体" w:eastAsia="黑体" w:hint="default"/>
          <w:b/>
          <w:bCs/>
          <w:sz w:val="21"/>
          <w:szCs w:val="21"/>
        </w:rPr>
        <w:t>十五、其他补充资料</w:t>
      </w:r>
      <w:r>
        <w:rPr>
          <w:rFonts w:ascii="黑体" w:hAnsi="黑体" w:cs="黑体" w:eastAsia="黑体" w:hint="default"/>
          <w:sz w:val="21"/>
          <w:szCs w:val="21"/>
        </w:rPr>
      </w:r>
    </w:p>
    <w:p>
      <w:pPr>
        <w:pStyle w:val="BodyText"/>
        <w:spacing w:line="240" w:lineRule="auto"/>
        <w:ind w:left="637" w:right="0"/>
        <w:jc w:val="left"/>
      </w:pPr>
      <w:r>
        <w:rPr/>
        <w:t>(一) 根据中国证券监督管理委员会《公开发行证券的公司的信息披露规范问答第 1</w:t>
      </w:r>
      <w:r>
        <w:rPr>
          <w:spacing w:val="-61"/>
        </w:rPr>
        <w:t> </w:t>
      </w:r>
      <w:r>
        <w:rPr/>
        <w:t>号—</w:t>
      </w:r>
    </w:p>
    <w:p>
      <w:pPr>
        <w:pStyle w:val="BodyText"/>
        <w:spacing w:line="367" w:lineRule="auto"/>
        <w:ind w:left="217" w:right="294"/>
        <w:jc w:val="left"/>
      </w:pPr>
      <w:r>
        <w:rPr/>
        <w:pict>
          <v:shape style="position:absolute;margin-left:84.239998pt;margin-top:43.573975pt;width:442.65pt;height:437.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08"/>
                    <w:gridCol w:w="1530"/>
                  </w:tblGrid>
                  <w:tr>
                    <w:trPr>
                      <w:trHeight w:val="36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9"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-643,965.04</w:t>
                        </w:r>
                      </w:p>
                    </w:tc>
                  </w:tr>
                  <w:tr>
                    <w:trPr>
                      <w:trHeight w:val="431"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计入当期损益的政府补助（与公司业务密切相关，按照国家统一标准定额或定量享受除外）</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3,316,200.00</w:t>
                        </w:r>
                      </w:p>
                    </w:tc>
                  </w:tr>
                  <w:tr>
                    <w:trPr>
                      <w:trHeight w:val="634"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计入当期损益的对非金融企业收取的资金占用费（经国家有关部门批准设立的有经营资格</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的金融机构对非金融企业收取的资金占用费除外）</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企业合并的合并成本小于合并时应享有被合并单位可辨认净资产公允价值产生的损益</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委托投资损益</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因不可抗力因素，如自然灾害而计提的各项资产减值准备</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与公司主营业务无关的预计负债产生的损益</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111,681.05</w:t>
                        </w: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其他非经常性损益项目</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1,285,588.46</w:t>
                        </w: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tabs>
                            <w:tab w:pos="1003" w:val="left" w:leader="none"/>
                          </w:tabs>
                          <w:spacing w:line="240" w:lineRule="auto" w:before="157"/>
                          <w:ind w:left="46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4,069,504.47</w:t>
                        </w:r>
                      </w:p>
                    </w:tc>
                  </w:tr>
                  <w:tr>
                    <w:trPr>
                      <w:trHeight w:val="431"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562,074.80</w:t>
                        </w:r>
                      </w:p>
                    </w:tc>
                  </w:tr>
                  <w:tr>
                    <w:trPr>
                      <w:trHeight w:val="430"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63" w:right="0"/>
                          <w:jc w:val="left"/>
                          <w:rPr>
                            <w:rFonts w:ascii="宋体" w:hAnsi="宋体" w:cs="宋体" w:eastAsia="宋体" w:hint="default"/>
                            <w:sz w:val="18"/>
                            <w:szCs w:val="18"/>
                          </w:rPr>
                        </w:pPr>
                        <w:r>
                          <w:rPr>
                            <w:rFonts w:ascii="宋体" w:hAnsi="宋体" w:cs="宋体" w:eastAsia="宋体" w:hint="default"/>
                            <w:sz w:val="18"/>
                            <w:szCs w:val="18"/>
                          </w:rPr>
                          <w:t>少数股东所占份额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60,572.48</w:t>
                        </w:r>
                      </w:p>
                    </w:tc>
                  </w:tr>
                  <w:tr>
                    <w:trPr>
                      <w:trHeight w:val="431" w:hRule="exact"/>
                    </w:trPr>
                    <w:tc>
                      <w:tcPr>
                        <w:tcW w:w="7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3,446,857.19</w:t>
                        </w:r>
                      </w:p>
                    </w:tc>
                  </w:tr>
                </w:tbl>
                <w:p>
                  <w:pPr/>
                </w:p>
              </w:txbxContent>
            </v:textbox>
            <w10:wrap type="none"/>
          </v:shape>
        </w:pict>
      </w:r>
      <w:r>
        <w:rPr/>
        <w:t>—非经常性损益》（2007</w:t>
      </w:r>
      <w:r>
        <w:rPr>
          <w:spacing w:val="32"/>
        </w:rPr>
        <w:t> </w:t>
      </w:r>
      <w:r>
        <w:rPr/>
        <w:t>修订）的规定，本公司非经常性损益发生额情况如下（收益为＋，</w:t>
      </w:r>
      <w:r>
        <w:rPr>
          <w:spacing w:val="-101"/>
        </w:rPr>
        <w:t> </w:t>
      </w:r>
      <w:r>
        <w:rPr>
          <w:spacing w:val="-101"/>
        </w:rPr>
      </w:r>
      <w:r>
        <w:rPr/>
        <w:t>损失为-）：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367" w:lineRule="auto" w:before="35"/>
        <w:ind w:left="217" w:right="294" w:firstLine="420"/>
        <w:jc w:val="both"/>
      </w:pPr>
      <w:r>
        <w:rPr/>
        <w:t>(二) 根据中国证券监督管理委员会《公开发行证券公司信息编报规则第 9</w:t>
      </w:r>
      <w:r>
        <w:rPr>
          <w:spacing w:val="-63"/>
        </w:rPr>
        <w:t> </w:t>
      </w:r>
      <w:r>
        <w:rPr/>
        <w:t>号——净资产</w:t>
      </w:r>
      <w:r>
        <w:rPr/>
        <w:t> 收益率和每股收益的计算及披露》（2007</w:t>
      </w:r>
      <w:r>
        <w:rPr>
          <w:spacing w:val="32"/>
        </w:rPr>
        <w:t> </w:t>
      </w:r>
      <w:r>
        <w:rPr/>
        <w:t>修订）的规定，本公司全面摊薄和加权平均计算的</w:t>
      </w:r>
      <w:r>
        <w:rPr>
          <w:spacing w:val="-101"/>
        </w:rPr>
        <w:t> </w:t>
      </w:r>
      <w:r>
        <w:rPr>
          <w:spacing w:val="-101"/>
        </w:rPr>
      </w:r>
      <w:r>
        <w:rPr/>
        <w:t>净资产收益率及基本每股收益和稀释每股收益如下：</w:t>
      </w:r>
    </w:p>
    <w:p>
      <w:pPr>
        <w:spacing w:after="0" w:line="367" w:lineRule="auto"/>
        <w:jc w:val="both"/>
        <w:sectPr>
          <w:pgSz w:w="11910" w:h="16840"/>
          <w:pgMar w:header="0" w:footer="1263" w:top="1540" w:bottom="1460" w:left="1580" w:right="1260"/>
        </w:sectPr>
      </w:pPr>
    </w:p>
    <w:p>
      <w:pPr>
        <w:pStyle w:val="BodyText"/>
        <w:spacing w:line="240" w:lineRule="auto" w:before="13"/>
        <w:ind w:left="637" w:right="6904"/>
        <w:jc w:val="left"/>
      </w:pPr>
      <w:r>
        <w:rPr/>
        <w:t>1. 明细情况</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48"/>
        <w:gridCol w:w="886"/>
        <w:gridCol w:w="887"/>
        <w:gridCol w:w="886"/>
        <w:gridCol w:w="886"/>
        <w:gridCol w:w="887"/>
        <w:gridCol w:w="886"/>
        <w:gridCol w:w="886"/>
        <w:gridCol w:w="887"/>
      </w:tblGrid>
      <w:tr>
        <w:trPr>
          <w:trHeight w:val="430" w:hRule="exact"/>
        </w:trPr>
        <w:tc>
          <w:tcPr>
            <w:tcW w:w="24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769"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02"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5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64" w:right="0"/>
              <w:jc w:val="left"/>
              <w:rPr>
                <w:rFonts w:ascii="Courier New" w:hAnsi="Courier New" w:cs="Courier New" w:eastAsia="Courier New" w:hint="default"/>
                <w:sz w:val="18"/>
                <w:szCs w:val="18"/>
              </w:rPr>
            </w:pPr>
            <w:r>
              <w:rPr>
                <w:rFonts w:ascii="宋体" w:hAnsi="宋体" w:cs="宋体" w:eastAsia="宋体" w:hint="default"/>
                <w:sz w:val="18"/>
                <w:szCs w:val="18"/>
              </w:rPr>
              <w:t>每股收益</w:t>
            </w:r>
            <w:r>
              <w:rPr>
                <w:rFonts w:ascii="Courier New" w:hAnsi="Courier New" w:cs="Courier New" w:eastAsia="Courier New" w:hint="default"/>
                <w:sz w:val="18"/>
                <w:szCs w:val="18"/>
              </w:rPr>
              <w:t>(</w:t>
            </w:r>
            <w:r>
              <w:rPr>
                <w:rFonts w:ascii="宋体" w:hAnsi="宋体" w:cs="宋体" w:eastAsia="宋体" w:hint="default"/>
                <w:sz w:val="18"/>
                <w:szCs w:val="18"/>
              </w:rPr>
              <w:t>元</w:t>
            </w:r>
            <w:r>
              <w:rPr>
                <w:rFonts w:ascii="Courier New" w:hAnsi="Courier New" w:cs="Courier New" w:eastAsia="Courier New" w:hint="default"/>
                <w:sz w:val="18"/>
                <w:szCs w:val="18"/>
              </w:rPr>
              <w:t>/</w:t>
            </w:r>
            <w:r>
              <w:rPr>
                <w:rFonts w:ascii="宋体" w:hAnsi="宋体" w:cs="宋体" w:eastAsia="宋体" w:hint="default"/>
                <w:sz w:val="18"/>
                <w:szCs w:val="18"/>
              </w:rPr>
              <w:t>股</w:t>
            </w:r>
            <w:r>
              <w:rPr>
                <w:rFonts w:ascii="Courier New" w:hAnsi="Courier New" w:cs="Courier New" w:eastAsia="Courier New" w:hint="default"/>
                <w:sz w:val="18"/>
                <w:szCs w:val="18"/>
              </w:rPr>
              <w:t>)</w:t>
            </w:r>
          </w:p>
        </w:tc>
      </w:tr>
      <w:tr>
        <w:trPr>
          <w:trHeight w:val="431" w:hRule="exact"/>
        </w:trPr>
        <w:tc>
          <w:tcPr>
            <w:tcW w:w="2448" w:type="dxa"/>
            <w:vMerge/>
            <w:tcBorders>
              <w:left w:val="single" w:sz="4" w:space="0" w:color="000000"/>
              <w:right w:val="single" w:sz="4" w:space="0" w:color="000000"/>
            </w:tcBorders>
          </w:tcPr>
          <w:p>
            <w:pP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0"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0"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4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4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76" w:hRule="exact"/>
        </w:trPr>
        <w:tc>
          <w:tcPr>
            <w:tcW w:w="2448"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本期数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firstLine="90"/>
              <w:jc w:val="lef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同期数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firstLine="90"/>
              <w:jc w:val="lef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同期数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firstLine="90"/>
              <w:jc w:val="lef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同期数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本期数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firstLine="90"/>
              <w:jc w:val="lef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同期数</w:t>
            </w:r>
          </w:p>
        </w:tc>
      </w:tr>
      <w:tr>
        <w:trPr>
          <w:trHeight w:val="63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96"/>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21.38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14.29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28.37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14.10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0.68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0.29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0.68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0.29</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公司普通股股东的净利润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20.80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8.90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27.60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8.79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0.66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0.18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0.66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0.18</w:t>
            </w:r>
          </w:p>
        </w:tc>
      </w:tr>
    </w:tbl>
    <w:p>
      <w:pPr>
        <w:spacing w:line="240" w:lineRule="auto" w:before="13"/>
        <w:rPr>
          <w:rFonts w:ascii="宋体" w:hAnsi="宋体" w:cs="宋体" w:eastAsia="宋体" w:hint="default"/>
          <w:sz w:val="5"/>
          <w:szCs w:val="5"/>
        </w:rPr>
      </w:pPr>
    </w:p>
    <w:p>
      <w:pPr>
        <w:pStyle w:val="BodyText"/>
        <w:spacing w:line="367" w:lineRule="auto" w:before="35"/>
        <w:ind w:left="637" w:right="6904"/>
        <w:jc w:val="left"/>
      </w:pPr>
      <w:r>
        <w:rPr/>
        <w:t>2.</w:t>
      </w:r>
      <w:r>
        <w:rPr>
          <w:spacing w:val="-2"/>
        </w:rPr>
        <w:t> </w:t>
      </w:r>
      <w:r>
        <w:rPr/>
        <w:t>每股收益的计算过程</w:t>
      </w:r>
      <w:r>
        <w:rPr/>
        <w:t> 基本每股收益=P÷S</w:t>
      </w:r>
    </w:p>
    <w:p>
      <w:pPr>
        <w:pStyle w:val="BodyText"/>
        <w:spacing w:line="240" w:lineRule="auto" w:before="34"/>
        <w:ind w:left="637" w:right="977"/>
        <w:jc w:val="left"/>
      </w:pPr>
      <w:r>
        <w:rPr/>
        <w:t>S= S0 ＋ S1 ＋ Si×Mi÷M0 －</w:t>
      </w:r>
      <w:r>
        <w:rPr>
          <w:spacing w:val="-15"/>
        </w:rPr>
        <w:t> </w:t>
      </w:r>
      <w:r>
        <w:rPr/>
        <w:t>Sj×Mj÷M0－Sk</w:t>
      </w:r>
    </w:p>
    <w:p>
      <w:pPr>
        <w:pStyle w:val="BodyText"/>
        <w:spacing w:line="367" w:lineRule="auto"/>
        <w:ind w:left="217" w:right="992" w:firstLine="420"/>
        <w:jc w:val="both"/>
      </w:pPr>
      <w:r>
        <w:rPr/>
        <w:t>其中：P</w:t>
      </w:r>
      <w:r>
        <w:rPr>
          <w:spacing w:val="-60"/>
        </w:rPr>
        <w:t> </w:t>
      </w:r>
      <w:r>
        <w:rPr/>
        <w:t>为归属于公司普通股股东的净利润或扣除非经常性损益后归属于普通股股东的净</w:t>
      </w:r>
      <w:r>
        <w:rPr/>
        <w:t> 利润；S 为发行在外的普通股加权平均数；S0 为期初股份总数；S1</w:t>
      </w:r>
      <w:r>
        <w:rPr>
          <w:spacing w:val="-63"/>
        </w:rPr>
        <w:t> </w:t>
      </w:r>
      <w:r>
        <w:rPr/>
        <w:t>为报告期因公积金转增股</w:t>
      </w:r>
      <w:r>
        <w:rPr/>
        <w:t> 本或股票股利分配等增加股份数；Si 为报告期因发行新股或债转股等增加股份数；Sj</w:t>
      </w:r>
      <w:r>
        <w:rPr>
          <w:spacing w:val="-60"/>
        </w:rPr>
        <w:t> </w:t>
      </w:r>
      <w:r>
        <w:rPr/>
        <w:t>为报告</w:t>
      </w:r>
      <w:r>
        <w:rPr/>
        <w:t> 期因回购等减少股份数；Sk</w:t>
      </w:r>
      <w:r>
        <w:rPr>
          <w:spacing w:val="-57"/>
        </w:rPr>
        <w:t> </w:t>
      </w:r>
      <w:r>
        <w:rPr/>
        <w:t>为报告期缩股数；M0</w:t>
      </w:r>
      <w:r>
        <w:rPr>
          <w:spacing w:val="-57"/>
        </w:rPr>
        <w:t> </w:t>
      </w:r>
      <w:r>
        <w:rPr/>
        <w:t>报告期月份数；Mi</w:t>
      </w:r>
      <w:r>
        <w:rPr>
          <w:spacing w:val="-57"/>
        </w:rPr>
        <w:t> </w:t>
      </w:r>
      <w:r>
        <w:rPr/>
        <w:t>为增加股份下一月份起至</w:t>
      </w:r>
      <w:r>
        <w:rPr/>
        <w:t> 报告期期末的月份数；Mj</w:t>
      </w:r>
      <w:r>
        <w:rPr>
          <w:spacing w:val="-85"/>
        </w:rPr>
        <w:t> </w:t>
      </w:r>
      <w:r>
        <w:rPr/>
        <w:t>为减少股份下一月份起至报告期期末的月份数。</w:t>
      </w:r>
    </w:p>
    <w:p>
      <w:pPr>
        <w:pStyle w:val="BodyText"/>
        <w:spacing w:line="367" w:lineRule="auto" w:before="34"/>
        <w:ind w:left="217" w:right="994" w:firstLine="420"/>
        <w:jc w:val="both"/>
      </w:pPr>
      <w:r>
        <w:rPr>
          <w:spacing w:val="2"/>
        </w:rPr>
        <w:t>稀释每股收益=[P+（已确认为费用的稀释性潜在普通股利息－转换费用）×（1-所得税</w:t>
      </w:r>
      <w:r>
        <w:rPr/>
        <w:t> 率）]/（S0 ＋ S1 ＋ Si×Mi÷M0 －</w:t>
      </w:r>
      <w:r>
        <w:rPr>
          <w:spacing w:val="28"/>
        </w:rPr>
        <w:t> </w:t>
      </w:r>
      <w:r>
        <w:rPr/>
        <w:t>Sj×Mj÷M0—Sk+认股权证、股份期权、可转换债券等</w:t>
      </w:r>
    </w:p>
    <w:p>
      <w:pPr>
        <w:pStyle w:val="BodyText"/>
        <w:spacing w:line="240" w:lineRule="auto" w:before="34"/>
        <w:ind w:left="217" w:right="6904"/>
        <w:jc w:val="left"/>
      </w:pPr>
      <w:r>
        <w:rPr/>
        <w:t>增加的普通股加权平均数）</w:t>
      </w:r>
    </w:p>
    <w:p>
      <w:pPr>
        <w:pStyle w:val="BodyText"/>
        <w:spacing w:line="273" w:lineRule="auto" w:before="17"/>
        <w:ind w:left="217" w:right="977"/>
        <w:jc w:val="left"/>
      </w:pPr>
      <w:r>
        <w:rPr/>
        <w:t>其中，P</w:t>
      </w:r>
      <w:r>
        <w:rPr>
          <w:spacing w:val="-60"/>
        </w:rPr>
        <w:t> </w:t>
      </w:r>
      <w:r>
        <w:rPr/>
        <w:t>为归属于公司普通股股东的净利润或扣除非经常性损益后归属于公司普通股股东的净</w:t>
      </w:r>
      <w:r>
        <w:rPr/>
        <w:t> 利润。</w:t>
      </w:r>
    </w:p>
    <w:p>
      <w:pPr>
        <w:pStyle w:val="BodyText"/>
        <w:spacing w:line="367" w:lineRule="auto" w:before="136"/>
        <w:ind w:left="217" w:right="988" w:firstLine="525"/>
        <w:jc w:val="both"/>
      </w:pPr>
      <w:r>
        <w:rPr/>
        <w:pict>
          <v:shape style="position:absolute;margin-left:84.239998pt;margin-top:64.117981pt;width:429.15pt;height:215.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28"/>
                    <w:gridCol w:w="3240"/>
                  </w:tblGrid>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tabs>
                            <w:tab w:pos="630" w:val="left" w:leader="none"/>
                          </w:tabs>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31"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年度（2006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1－12</w:t>
                        </w:r>
                        <w:r>
                          <w:rPr>
                            <w:rFonts w:ascii="宋体" w:hAnsi="宋体" w:cs="宋体" w:eastAsia="宋体" w:hint="default"/>
                            <w:spacing w:val="-59"/>
                            <w:sz w:val="21"/>
                            <w:szCs w:val="21"/>
                          </w:rPr>
                          <w:t> </w:t>
                        </w:r>
                        <w:r>
                          <w:rPr>
                            <w:rFonts w:ascii="宋体" w:hAnsi="宋体" w:cs="宋体" w:eastAsia="宋体" w:hint="default"/>
                            <w:sz w:val="21"/>
                            <w:szCs w:val="21"/>
                          </w:rPr>
                          <w:t>月）净利润（原会计准则）</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41,910,035.08</w:t>
                        </w:r>
                        <w:r>
                          <w:rPr>
                            <w:rFonts w:ascii="宋体"/>
                            <w:sz w:val="21"/>
                          </w:rPr>
                        </w:r>
                      </w:p>
                    </w:tc>
                  </w:tr>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3"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z w:val="21"/>
                          </w:rPr>
                          <w:t>12,820,229.05</w:t>
                        </w:r>
                      </w:p>
                    </w:tc>
                  </w:tr>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23" w:right="0"/>
                          <w:jc w:val="left"/>
                          <w:rPr>
                            <w:rFonts w:ascii="宋体" w:hAnsi="宋体" w:cs="宋体" w:eastAsia="宋体" w:hint="default"/>
                            <w:sz w:val="21"/>
                            <w:szCs w:val="21"/>
                          </w:rPr>
                        </w:pPr>
                        <w:r>
                          <w:rPr>
                            <w:rFonts w:ascii="宋体" w:hAnsi="宋体" w:cs="宋体" w:eastAsia="宋体" w:hint="default"/>
                            <w:sz w:val="21"/>
                            <w:szCs w:val="21"/>
                          </w:rPr>
                          <w:t>其中：所得税</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z w:val="21"/>
                          </w:rPr>
                          <w:t>-2,306,283.01</w:t>
                        </w:r>
                      </w:p>
                    </w:tc>
                  </w:tr>
                  <w:tr>
                    <w:trPr>
                      <w:trHeight w:val="431"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53"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z w:val="21"/>
                          </w:rPr>
                          <w:t>15,277,840.19</w:t>
                        </w:r>
                      </w:p>
                    </w:tc>
                  </w:tr>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5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3" w:right="0"/>
                          <w:jc w:val="left"/>
                          <w:rPr>
                            <w:rFonts w:ascii="宋体" w:hAnsi="宋体" w:cs="宋体" w:eastAsia="宋体" w:hint="default"/>
                            <w:sz w:val="21"/>
                            <w:szCs w:val="21"/>
                          </w:rPr>
                        </w:pPr>
                        <w:r>
                          <w:rPr>
                            <w:rFonts w:ascii="宋体" w:hAnsi="宋体" w:cs="宋体" w:eastAsia="宋体" w:hint="default"/>
                            <w:sz w:val="21"/>
                            <w:szCs w:val="21"/>
                          </w:rPr>
                          <w:t>加：少数股东损益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21"/>
                            <w:szCs w:val="21"/>
                          </w:rPr>
                        </w:pPr>
                        <w:r>
                          <w:rPr>
                            <w:rFonts w:ascii="宋体"/>
                            <w:sz w:val="21"/>
                          </w:rPr>
                          <w:t>-151,328.13</w:t>
                        </w:r>
                      </w:p>
                    </w:tc>
                  </w:tr>
                  <w:tr>
                    <w:trPr>
                      <w:trHeight w:val="431"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年度（2006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1－12</w:t>
                        </w:r>
                        <w:r>
                          <w:rPr>
                            <w:rFonts w:ascii="宋体" w:hAnsi="宋体" w:cs="宋体" w:eastAsia="宋体" w:hint="default"/>
                            <w:spacing w:val="-59"/>
                            <w:sz w:val="21"/>
                            <w:szCs w:val="21"/>
                          </w:rPr>
                          <w:t> </w:t>
                        </w:r>
                        <w:r>
                          <w:rPr>
                            <w:rFonts w:ascii="宋体" w:hAnsi="宋体" w:cs="宋体" w:eastAsia="宋体" w:hint="default"/>
                            <w:sz w:val="21"/>
                            <w:szCs w:val="21"/>
                          </w:rPr>
                          <w:t>月）净利润（新会计准则）</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54,730,264.13</w:t>
                        </w:r>
                        <w:r>
                          <w:rPr>
                            <w:rFonts w:ascii="宋体"/>
                            <w:sz w:val="21"/>
                          </w:rPr>
                        </w:r>
                      </w:p>
                    </w:tc>
                  </w:tr>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其中：归属于母公司股东之净利润</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z w:val="21"/>
                          </w:rPr>
                          <w:t>54,628,706.39</w:t>
                        </w:r>
                      </w:p>
                    </w:tc>
                  </w:tr>
                  <w:tr>
                    <w:trPr>
                      <w:trHeight w:val="431"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21"/>
                            <w:szCs w:val="21"/>
                          </w:rPr>
                        </w:pPr>
                        <w:r>
                          <w:rPr>
                            <w:rFonts w:ascii="宋体"/>
                            <w:sz w:val="21"/>
                          </w:rPr>
                          <w:t>101,557.74</w:t>
                        </w:r>
                      </w:p>
                    </w:tc>
                  </w:tr>
                </w:tbl>
                <w:p>
                  <w:pPr/>
                </w:p>
              </w:txbxContent>
            </v:textbox>
            <w10:wrap type="none"/>
          </v:shape>
        </w:pict>
      </w:r>
      <w:r>
        <w:rPr/>
        <w:t>(三)</w:t>
      </w:r>
      <w:r>
        <w:rPr>
          <w:spacing w:val="-30"/>
        </w:rPr>
        <w:t> </w:t>
      </w:r>
      <w:r>
        <w:rPr/>
        <w:t>根据中国证券监督管理委员会《公开发行证券的公司信息披露规范问答第</w:t>
      </w:r>
      <w:r>
        <w:rPr>
          <w:spacing w:val="-68"/>
        </w:rPr>
        <w:t> </w:t>
      </w:r>
      <w:r>
        <w:rPr/>
        <w:t>7</w:t>
      </w:r>
      <w:r>
        <w:rPr>
          <w:spacing w:val="-68"/>
        </w:rPr>
        <w:t> </w:t>
      </w:r>
      <w:r>
        <w:rPr/>
        <w:t>号——</w:t>
      </w:r>
      <w:r>
        <w:rPr/>
        <w:t> </w:t>
      </w:r>
      <w:r>
        <w:rPr>
          <w:spacing w:val="-4"/>
        </w:rPr>
        <w:t>新旧会计准则过渡期间比较财务会计信息的编制和披露》（证监会计〔2007〕10</w:t>
      </w:r>
      <w:r>
        <w:rPr>
          <w:spacing w:val="-27"/>
        </w:rPr>
        <w:t> </w:t>
      </w:r>
      <w:r>
        <w:rPr>
          <w:spacing w:val="-2"/>
        </w:rPr>
        <w:t>号）的规定，</w:t>
      </w:r>
      <w:r>
        <w:rPr>
          <w:spacing w:val="-92"/>
        </w:rPr>
        <w:t> </w:t>
      </w:r>
      <w:r>
        <w:rPr>
          <w:spacing w:val="-92"/>
        </w:rPr>
      </w:r>
      <w:r>
        <w:rPr/>
        <w:t>本公司</w:t>
      </w:r>
      <w:r>
        <w:rPr>
          <w:spacing w:val="-59"/>
        </w:rPr>
        <w:t> </w:t>
      </w:r>
      <w:r>
        <w:rPr/>
        <w:t>2006</w:t>
      </w:r>
      <w:r>
        <w:rPr>
          <w:spacing w:val="-59"/>
        </w:rPr>
        <w:t> </w:t>
      </w:r>
      <w:r>
        <w:rPr/>
        <w:t>年度（2006</w:t>
      </w:r>
      <w:r>
        <w:rPr>
          <w:spacing w:val="-59"/>
        </w:rPr>
        <w:t> </w:t>
      </w:r>
      <w:r>
        <w:rPr/>
        <w:t>年</w:t>
      </w:r>
      <w:r>
        <w:rPr>
          <w:spacing w:val="-59"/>
        </w:rPr>
        <w:t> </w:t>
      </w:r>
      <w:r>
        <w:rPr/>
        <w:t>1－12</w:t>
      </w:r>
      <w:r>
        <w:rPr>
          <w:spacing w:val="-58"/>
        </w:rPr>
        <w:t> </w:t>
      </w:r>
      <w:r>
        <w:rPr/>
        <w:t>月）净利润差异调节表如下：</w:t>
      </w:r>
    </w:p>
    <w:p>
      <w:pPr>
        <w:spacing w:after="0" w:line="367" w:lineRule="auto"/>
        <w:jc w:val="both"/>
        <w:sectPr>
          <w:pgSz w:w="11910" w:h="16840"/>
          <w:pgMar w:header="0" w:footer="1263" w:top="1540" w:bottom="1460" w:left="1580" w:right="560"/>
        </w:sectPr>
      </w:pPr>
    </w:p>
    <w:p>
      <w:pPr>
        <w:spacing w:line="240" w:lineRule="auto" w:before="1"/>
        <w:rPr>
          <w:rFonts w:ascii="宋体" w:hAnsi="宋体" w:cs="宋体" w:eastAsia="宋体" w:hint="default"/>
          <w:sz w:val="6"/>
          <w:szCs w:val="6"/>
        </w:rPr>
      </w:pPr>
    </w:p>
    <w:tbl>
      <w:tblPr>
        <w:tblW w:w="0" w:type="auto"/>
        <w:jc w:val="left"/>
        <w:tblInd w:w="184" w:type="dxa"/>
        <w:tblLayout w:type="fixed"/>
        <w:tblCellMar>
          <w:top w:w="0" w:type="dxa"/>
          <w:left w:w="0" w:type="dxa"/>
          <w:bottom w:w="0" w:type="dxa"/>
          <w:right w:w="0" w:type="dxa"/>
        </w:tblCellMar>
        <w:tblLook w:val="01E0"/>
      </w:tblPr>
      <w:tblGrid>
        <w:gridCol w:w="5328"/>
        <w:gridCol w:w="3240"/>
      </w:tblGrid>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3" w:right="0"/>
              <w:jc w:val="left"/>
              <w:rPr>
                <w:rFonts w:ascii="宋体" w:hAnsi="宋体" w:cs="宋体" w:eastAsia="宋体" w:hint="default"/>
                <w:sz w:val="21"/>
                <w:szCs w:val="21"/>
              </w:rPr>
            </w:pPr>
            <w:r>
              <w:rPr>
                <w:rFonts w:ascii="宋体" w:hAnsi="宋体" w:cs="宋体" w:eastAsia="宋体" w:hint="default"/>
                <w:sz w:val="21"/>
                <w:szCs w:val="21"/>
              </w:rPr>
              <w:t>其他项目影响合计数</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z w:val="21"/>
              </w:rPr>
              <w:t>10,915,758.96</w:t>
            </w:r>
          </w:p>
        </w:tc>
      </w:tr>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23" w:right="0"/>
              <w:jc w:val="left"/>
              <w:rPr>
                <w:rFonts w:ascii="宋体" w:hAnsi="宋体" w:cs="宋体" w:eastAsia="宋体" w:hint="default"/>
                <w:sz w:val="21"/>
                <w:szCs w:val="21"/>
              </w:rPr>
            </w:pPr>
            <w:r>
              <w:rPr>
                <w:rFonts w:ascii="宋体" w:hAnsi="宋体" w:cs="宋体" w:eastAsia="宋体" w:hint="default"/>
                <w:sz w:val="21"/>
                <w:szCs w:val="21"/>
              </w:rPr>
              <w:t>其中：福利费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z w:val="21"/>
              </w:rPr>
              <w:t>10,567,376.72</w:t>
            </w:r>
          </w:p>
        </w:tc>
      </w:tr>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3" w:right="0"/>
              <w:jc w:val="left"/>
              <w:rPr>
                <w:rFonts w:ascii="宋体" w:hAnsi="宋体" w:cs="宋体" w:eastAsia="宋体" w:hint="default"/>
                <w:sz w:val="21"/>
                <w:szCs w:val="21"/>
              </w:rPr>
            </w:pPr>
            <w:r>
              <w:rPr>
                <w:rFonts w:ascii="宋体" w:hAnsi="宋体" w:cs="宋体" w:eastAsia="宋体" w:hint="default"/>
                <w:sz w:val="21"/>
                <w:szCs w:val="21"/>
              </w:rPr>
              <w:t>加：少数股东损益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21"/>
                <w:szCs w:val="21"/>
              </w:rPr>
            </w:pPr>
            <w:r>
              <w:rPr>
                <w:rFonts w:ascii="宋体"/>
                <w:sz w:val="21"/>
              </w:rPr>
              <w:t>348,382.24</w:t>
            </w:r>
          </w:p>
        </w:tc>
      </w:tr>
      <w:tr>
        <w:trPr>
          <w:trHeight w:val="431"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年度（2006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1－12</w:t>
            </w:r>
            <w:r>
              <w:rPr>
                <w:rFonts w:ascii="宋体" w:hAnsi="宋体" w:cs="宋体" w:eastAsia="宋体" w:hint="default"/>
                <w:spacing w:val="-58"/>
                <w:sz w:val="21"/>
                <w:szCs w:val="21"/>
              </w:rPr>
              <w:t> </w:t>
            </w:r>
            <w:r>
              <w:rPr>
                <w:rFonts w:ascii="宋体" w:hAnsi="宋体" w:cs="宋体" w:eastAsia="宋体" w:hint="default"/>
                <w:sz w:val="21"/>
                <w:szCs w:val="21"/>
              </w:rPr>
              <w:t>月）模拟净利润</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65,646,023.09</w:t>
            </w:r>
            <w:r>
              <w:rPr>
                <w:rFonts w:ascii="宋体"/>
                <w:sz w:val="21"/>
              </w:rPr>
            </w:r>
          </w:p>
        </w:tc>
      </w:tr>
      <w:tr>
        <w:trPr>
          <w:trHeight w:val="43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其中：归属于母公司股东之净利润</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z w:val="21"/>
              </w:rPr>
              <w:t>65,196,083.11</w:t>
            </w:r>
          </w:p>
        </w:tc>
      </w:tr>
      <w:tr>
        <w:trPr>
          <w:trHeight w:val="431"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21"/>
                <w:szCs w:val="21"/>
              </w:rPr>
            </w:pPr>
            <w:r>
              <w:rPr>
                <w:rFonts w:ascii="宋体"/>
                <w:sz w:val="21"/>
              </w:rPr>
              <w:t>449,939.98</w:t>
            </w:r>
          </w:p>
        </w:tc>
      </w:tr>
    </w:tbl>
    <w:p>
      <w:pPr>
        <w:spacing w:line="240" w:lineRule="auto" w:before="13"/>
        <w:rPr>
          <w:rFonts w:ascii="宋体" w:hAnsi="宋体" w:cs="宋体" w:eastAsia="宋体" w:hint="default"/>
          <w:sz w:val="5"/>
          <w:szCs w:val="5"/>
        </w:rPr>
      </w:pPr>
    </w:p>
    <w:p>
      <w:pPr>
        <w:pStyle w:val="BodyText"/>
        <w:spacing w:line="367" w:lineRule="auto" w:before="35"/>
        <w:ind w:left="297" w:right="934" w:firstLine="420"/>
        <w:jc w:val="both"/>
      </w:pPr>
      <w:r>
        <w:rPr/>
        <w:pict>
          <v:shape style="position:absolute;margin-left:80.639999pt;margin-top:59.073956pt;width:477.75pt;height:477.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0"/>
                    <w:gridCol w:w="3600"/>
                    <w:gridCol w:w="1620"/>
                    <w:gridCol w:w="1620"/>
                    <w:gridCol w:w="1440"/>
                    <w:gridCol w:w="720"/>
                  </w:tblGrid>
                  <w:tr>
                    <w:trPr>
                      <w:trHeight w:val="114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427" w:lineRule="auto"/>
                          <w:ind w:left="175" w:right="173"/>
                          <w:jc w:val="left"/>
                          <w:rPr>
                            <w:rFonts w:ascii="宋体" w:hAnsi="宋体" w:cs="宋体" w:eastAsia="宋体" w:hint="default"/>
                            <w:sz w:val="18"/>
                            <w:szCs w:val="18"/>
                          </w:rPr>
                        </w:pPr>
                        <w:r>
                          <w:rPr>
                            <w:rFonts w:ascii="宋体" w:hAnsi="宋体" w:cs="宋体" w:eastAsia="宋体" w:hint="default"/>
                            <w:sz w:val="18"/>
                            <w:szCs w:val="18"/>
                          </w:rPr>
                          <w:t>编 号</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165" w:right="0"/>
                          <w:jc w:val="left"/>
                          <w:rPr>
                            <w:rFonts w:ascii="宋体" w:hAnsi="宋体" w:cs="宋体" w:eastAsia="宋体" w:hint="default"/>
                            <w:sz w:val="18"/>
                            <w:szCs w:val="18"/>
                          </w:rPr>
                        </w:pPr>
                        <w:r>
                          <w:rPr>
                            <w:rFonts w:ascii="宋体" w:hAnsi="宋体" w:cs="宋体" w:eastAsia="宋体" w:hint="default"/>
                            <w:sz w:val="18"/>
                            <w:szCs w:val="18"/>
                          </w:rPr>
                          <w:t>项  目  名  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427" w:lineRule="auto"/>
                          <w:ind w:left="535" w:right="421" w:hanging="113"/>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年报</w:t>
                        </w:r>
                        <w:r>
                          <w:rPr>
                            <w:rFonts w:ascii="宋体" w:hAnsi="宋体" w:cs="宋体" w:eastAsia="宋体" w:hint="default"/>
                            <w:sz w:val="18"/>
                            <w:szCs w:val="18"/>
                          </w:rPr>
                          <w:t> 披露数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427" w:lineRule="auto"/>
                          <w:ind w:left="445" w:right="421" w:hanging="23"/>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年报</w:t>
                        </w:r>
                        <w:r>
                          <w:rPr>
                            <w:rFonts w:ascii="宋体" w:hAnsi="宋体" w:cs="宋体" w:eastAsia="宋体" w:hint="default"/>
                            <w:sz w:val="18"/>
                            <w:szCs w:val="18"/>
                          </w:rPr>
                          <w:t> 原披露数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差异</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427" w:lineRule="auto"/>
                          <w:ind w:left="175" w:right="173"/>
                          <w:jc w:val="left"/>
                          <w:rPr>
                            <w:rFonts w:ascii="宋体" w:hAnsi="宋体" w:cs="宋体" w:eastAsia="宋体" w:hint="default"/>
                            <w:sz w:val="18"/>
                            <w:szCs w:val="18"/>
                          </w:rPr>
                        </w:pPr>
                        <w:r>
                          <w:rPr>
                            <w:rFonts w:ascii="宋体" w:hAnsi="宋体" w:cs="宋体" w:eastAsia="宋体" w:hint="default"/>
                            <w:sz w:val="18"/>
                            <w:szCs w:val="18"/>
                          </w:rPr>
                          <w:t>原因 说明</w:t>
                        </w: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日股东权益（原会计准则）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366,858,374.30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366,858,374.30</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8"/>
                          <w:jc w:val="right"/>
                          <w:rPr>
                            <w:rFonts w:ascii="宋体" w:hAnsi="宋体" w:cs="宋体" w:eastAsia="宋体" w:hint="default"/>
                            <w:sz w:val="18"/>
                            <w:szCs w:val="18"/>
                          </w:rPr>
                        </w:pPr>
                        <w:r>
                          <w:rPr>
                            <w:rFonts w:ascii="宋体"/>
                            <w:sz w:val="18"/>
                          </w:rPr>
                          <w:t>1</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85,228.71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-557,995.04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643,223.75</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其中：同一控制下企业合并形成的长期股权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投资差额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-643,223.75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643,223.75</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pacing w:val="9"/>
                            <w:sz w:val="18"/>
                            <w:szCs w:val="18"/>
                          </w:rPr>
                          <w:t>其他采用权益法核算的长期股权投</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资贷方差额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85,228.71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85,228.71</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8"/>
                          <w:jc w:val="right"/>
                          <w:rPr>
                            <w:rFonts w:ascii="宋体" w:hAnsi="宋体" w:cs="宋体" w:eastAsia="宋体" w:hint="default"/>
                            <w:sz w:val="18"/>
                            <w:szCs w:val="18"/>
                          </w:rPr>
                        </w:pPr>
                        <w:r>
                          <w:rPr>
                            <w:rFonts w:ascii="宋体"/>
                            <w:sz w:val="18"/>
                          </w:rPr>
                          <w:t>2</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拟以公允价值模式计量的投资性房地产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8"/>
                          <w:jc w:val="right"/>
                          <w:rPr>
                            <w:rFonts w:ascii="宋体" w:hAnsi="宋体" w:cs="宋体" w:eastAsia="宋体" w:hint="default"/>
                            <w:sz w:val="18"/>
                            <w:szCs w:val="18"/>
                          </w:rPr>
                        </w:pPr>
                        <w:r>
                          <w:rPr>
                            <w:rFonts w:ascii="宋体"/>
                            <w:sz w:val="18"/>
                          </w:rPr>
                          <w:t>3</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因预计资产弃置费用应补提的以前年度折</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旧等</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8"/>
                          <w:jc w:val="right"/>
                          <w:rPr>
                            <w:rFonts w:ascii="宋体" w:hAnsi="宋体" w:cs="宋体" w:eastAsia="宋体" w:hint="default"/>
                            <w:sz w:val="18"/>
                            <w:szCs w:val="18"/>
                          </w:rPr>
                        </w:pPr>
                        <w:r>
                          <w:rPr>
                            <w:rFonts w:ascii="宋体"/>
                            <w:sz w:val="18"/>
                          </w:rPr>
                          <w:t>4</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符合预计负债确认条件的辞退补偿</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8"/>
                          <w:jc w:val="right"/>
                          <w:rPr>
                            <w:rFonts w:ascii="宋体" w:hAnsi="宋体" w:cs="宋体" w:eastAsia="宋体" w:hint="default"/>
                            <w:sz w:val="18"/>
                            <w:szCs w:val="18"/>
                          </w:rPr>
                        </w:pPr>
                        <w:r>
                          <w:rPr>
                            <w:rFonts w:ascii="宋体"/>
                            <w:sz w:val="18"/>
                          </w:rPr>
                          <w:t>5</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8"/>
                          <w:jc w:val="right"/>
                          <w:rPr>
                            <w:rFonts w:ascii="宋体" w:hAnsi="宋体" w:cs="宋体" w:eastAsia="宋体" w:hint="default"/>
                            <w:sz w:val="18"/>
                            <w:szCs w:val="18"/>
                          </w:rPr>
                        </w:pPr>
                        <w:r>
                          <w:rPr>
                            <w:rFonts w:ascii="宋体"/>
                            <w:sz w:val="18"/>
                          </w:rPr>
                          <w:t>6</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符合预计负债确认条件的重组义务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8"/>
                          <w:jc w:val="right"/>
                          <w:rPr>
                            <w:rFonts w:ascii="宋体" w:hAnsi="宋体" w:cs="宋体" w:eastAsia="宋体" w:hint="default"/>
                            <w:sz w:val="18"/>
                            <w:szCs w:val="18"/>
                          </w:rPr>
                        </w:pPr>
                        <w:r>
                          <w:rPr>
                            <w:rFonts w:ascii="宋体"/>
                            <w:sz w:val="18"/>
                          </w:rPr>
                          <w:t>7</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其中：同一控制下企业合并商誉的账面价值</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43" w:right="0"/>
                          <w:jc w:val="left"/>
                          <w:rPr>
                            <w:rFonts w:ascii="宋体" w:hAnsi="宋体" w:cs="宋体" w:eastAsia="宋体" w:hint="default"/>
                            <w:sz w:val="18"/>
                            <w:szCs w:val="18"/>
                          </w:rPr>
                        </w:pPr>
                        <w:r>
                          <w:rPr>
                            <w:rFonts w:ascii="宋体" w:hAnsi="宋体" w:cs="宋体" w:eastAsia="宋体" w:hint="default"/>
                            <w:sz w:val="18"/>
                            <w:szCs w:val="18"/>
                          </w:rPr>
                          <w:t>根据新准则计提的商誉减值准备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8"/>
                          <w:jc w:val="right"/>
                          <w:rPr>
                            <w:rFonts w:ascii="宋体" w:hAnsi="宋体" w:cs="宋体" w:eastAsia="宋体" w:hint="default"/>
                            <w:sz w:val="18"/>
                            <w:szCs w:val="18"/>
                          </w:rPr>
                        </w:pPr>
                        <w:r>
                          <w:rPr>
                            <w:rFonts w:ascii="宋体"/>
                            <w:sz w:val="18"/>
                          </w:rPr>
                          <w:t>8</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以公允价值计量且其变动计入当期损益的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金融资产以及可供出售金融资产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15,068,566.85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15,068,566.85</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8"/>
                          <w:jc w:val="right"/>
                          <w:rPr>
                            <w:rFonts w:ascii="宋体" w:hAnsi="宋体" w:cs="宋体" w:eastAsia="宋体" w:hint="default"/>
                            <w:sz w:val="18"/>
                            <w:szCs w:val="18"/>
                          </w:rPr>
                        </w:pPr>
                        <w:r>
                          <w:rPr>
                            <w:rFonts w:ascii="宋体"/>
                            <w:sz w:val="18"/>
                          </w:rPr>
                          <w:t>9</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以公允价值计量且其变动计入当期损益的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宋体" w:hAnsi="宋体" w:cs="宋体" w:eastAsia="宋体" w:hint="default"/>
                            <w:sz w:val="18"/>
                            <w:szCs w:val="18"/>
                          </w:rPr>
                        </w:pPr>
                        <w:r>
                          <w:rPr>
                            <w:rFonts w:ascii="宋体"/>
                            <w:sz w:val="18"/>
                          </w:rPr>
                          <w:t>10</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金融工具分拆增加的权益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宋体" w:hAnsi="宋体" w:cs="宋体" w:eastAsia="宋体" w:hint="default"/>
                            <w:sz w:val="18"/>
                            <w:szCs w:val="18"/>
                          </w:rPr>
                        </w:pPr>
                        <w:r>
                          <w:rPr>
                            <w:rFonts w:ascii="宋体"/>
                            <w:sz w:val="18"/>
                          </w:rPr>
                          <w:t>11</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宋体" w:hAnsi="宋体" w:cs="宋体" w:eastAsia="宋体" w:hint="default"/>
                            <w:sz w:val="18"/>
                            <w:szCs w:val="18"/>
                          </w:rPr>
                        </w:pPr>
                        <w:r>
                          <w:rPr>
                            <w:rFonts w:ascii="宋体"/>
                            <w:sz w:val="18"/>
                          </w:rPr>
                          <w:t>12</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395,905.52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480,825.41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-84,919.89</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宋体" w:hAnsi="宋体" w:cs="宋体" w:eastAsia="宋体" w:hint="default"/>
                            <w:sz w:val="18"/>
                            <w:szCs w:val="18"/>
                          </w:rPr>
                        </w:pPr>
                        <w:r>
                          <w:rPr>
                            <w:rFonts w:ascii="宋体"/>
                            <w:sz w:val="18"/>
                          </w:rPr>
                          <w:t>13</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15,084,829.76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14,927,037.94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157,791.82</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3"/>
                          <w:jc w:val="right"/>
                          <w:rPr>
                            <w:rFonts w:ascii="宋体" w:hAnsi="宋体" w:cs="宋体" w:eastAsia="宋体" w:hint="default"/>
                            <w:sz w:val="18"/>
                            <w:szCs w:val="18"/>
                          </w:rPr>
                        </w:pPr>
                        <w:r>
                          <w:rPr>
                            <w:rFonts w:ascii="宋体"/>
                            <w:sz w:val="18"/>
                          </w:rPr>
                          <w:t>14</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股、H</w:t>
                        </w:r>
                        <w:r>
                          <w:rPr>
                            <w:rFonts w:ascii="宋体" w:hAnsi="宋体" w:cs="宋体" w:eastAsia="宋体" w:hint="default"/>
                            <w:spacing w:val="-46"/>
                            <w:sz w:val="18"/>
                            <w:szCs w:val="18"/>
                          </w:rPr>
                          <w:t> </w:t>
                        </w:r>
                        <w:r>
                          <w:rPr>
                            <w:rFonts w:ascii="宋体" w:hAnsi="宋体" w:cs="宋体" w:eastAsia="宋体" w:hint="default"/>
                            <w:sz w:val="18"/>
                            <w:szCs w:val="18"/>
                          </w:rPr>
                          <w:t>股等上市公司特别追溯调整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(四) 根据中国证监会《关于切实做好上市公司 2007</w:t>
      </w:r>
      <w:r>
        <w:rPr>
          <w:spacing w:val="34"/>
        </w:rPr>
        <w:t> </w:t>
      </w:r>
      <w:r>
        <w:rPr/>
        <w:t>年报执行新会计准则监管工作的通</w:t>
      </w:r>
      <w:r>
        <w:rPr>
          <w:spacing w:val="1"/>
        </w:rPr>
        <w:t> </w:t>
      </w:r>
      <w:r>
        <w:rPr>
          <w:spacing w:val="-9"/>
        </w:rPr>
        <w:t>知》（证监办发〔2008〕7</w:t>
      </w:r>
      <w:r>
        <w:rPr>
          <w:spacing w:val="-49"/>
        </w:rPr>
        <w:t> </w:t>
      </w:r>
      <w:r>
        <w:rPr>
          <w:spacing w:val="-1"/>
        </w:rPr>
        <w:t>号）规定，本公司</w:t>
      </w:r>
      <w:r>
        <w:rPr>
          <w:spacing w:val="-49"/>
        </w:rPr>
        <w:t> </w:t>
      </w:r>
      <w:r>
        <w:rPr/>
        <w:t>2007</w:t>
      </w:r>
      <w:r>
        <w:rPr>
          <w:spacing w:val="-49"/>
        </w:rPr>
        <w:t> </w:t>
      </w:r>
      <w:r>
        <w:rPr/>
        <w:t>年</w:t>
      </w:r>
      <w:r>
        <w:rPr>
          <w:spacing w:val="-49"/>
        </w:rPr>
        <w:t> </w:t>
      </w:r>
      <w:r>
        <w:rPr/>
        <w:t>1</w:t>
      </w:r>
      <w:r>
        <w:rPr>
          <w:spacing w:val="-48"/>
        </w:rPr>
        <w:t> </w:t>
      </w:r>
      <w:r>
        <w:rPr/>
        <w:t>月</w:t>
      </w:r>
      <w:r>
        <w:rPr>
          <w:spacing w:val="-50"/>
        </w:rPr>
        <w:t> </w:t>
      </w:r>
      <w:r>
        <w:rPr/>
        <w:t>1</w:t>
      </w:r>
      <w:r>
        <w:rPr>
          <w:spacing w:val="-48"/>
        </w:rPr>
        <w:t> </w:t>
      </w:r>
      <w:r>
        <w:rPr>
          <w:spacing w:val="-1"/>
        </w:rPr>
        <w:t>日股东权益调节过程及作出修正的</w:t>
      </w:r>
      <w:r>
        <w:rPr/>
        <w:t> 项目、影响金额及其原因如下：</w:t>
      </w:r>
    </w:p>
    <w:p>
      <w:pPr>
        <w:spacing w:after="0" w:line="367" w:lineRule="auto"/>
        <w:jc w:val="both"/>
        <w:sectPr>
          <w:footerReference w:type="default" r:id="rId31"/>
          <w:pgSz w:w="11910" w:h="16840"/>
          <w:pgMar w:footer="1263" w:header="0" w:top="1360" w:bottom="1460" w:left="1500" w:right="620"/>
          <w:pgNumType w:start="11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540"/>
        <w:gridCol w:w="3600"/>
        <w:gridCol w:w="1620"/>
        <w:gridCol w:w="1620"/>
        <w:gridCol w:w="1440"/>
        <w:gridCol w:w="720"/>
      </w:tblGrid>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75" w:right="0"/>
              <w:jc w:val="left"/>
              <w:rPr>
                <w:rFonts w:ascii="宋体" w:hAnsi="宋体" w:cs="宋体" w:eastAsia="宋体" w:hint="default"/>
                <w:sz w:val="18"/>
                <w:szCs w:val="18"/>
              </w:rPr>
            </w:pPr>
            <w:r>
              <w:rPr>
                <w:rFonts w:ascii="宋体"/>
                <w:sz w:val="18"/>
              </w:rPr>
              <w:t>15</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日股东权益（新会计准则）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7" w:right="0"/>
              <w:jc w:val="left"/>
              <w:rPr>
                <w:rFonts w:ascii="宋体" w:hAnsi="宋体" w:cs="宋体" w:eastAsia="宋体" w:hint="default"/>
                <w:sz w:val="18"/>
                <w:szCs w:val="18"/>
              </w:rPr>
            </w:pPr>
            <w:r>
              <w:rPr>
                <w:rFonts w:ascii="宋体"/>
                <w:sz w:val="18"/>
              </w:rPr>
              <w:t>397,492,905.14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7" w:right="0"/>
              <w:jc w:val="left"/>
              <w:rPr>
                <w:rFonts w:ascii="宋体" w:hAnsi="宋体" w:cs="宋体" w:eastAsia="宋体" w:hint="default"/>
                <w:sz w:val="18"/>
                <w:szCs w:val="18"/>
              </w:rPr>
            </w:pPr>
            <w:r>
              <w:rPr>
                <w:rFonts w:ascii="宋体"/>
                <w:sz w:val="18"/>
              </w:rPr>
              <w:t>396,776,809.46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27" w:right="0"/>
              <w:jc w:val="left"/>
              <w:rPr>
                <w:rFonts w:ascii="宋体" w:hAnsi="宋体" w:cs="宋体" w:eastAsia="宋体" w:hint="default"/>
                <w:sz w:val="18"/>
                <w:szCs w:val="18"/>
              </w:rPr>
            </w:pPr>
            <w:r>
              <w:rPr>
                <w:rFonts w:ascii="宋体"/>
                <w:sz w:val="18"/>
              </w:rPr>
              <w:t>716,095.68</w:t>
            </w:r>
          </w:p>
        </w:tc>
        <w:tc>
          <w:tcPr>
            <w:tcW w:w="7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367" w:lineRule="auto" w:before="35"/>
        <w:ind w:left="297" w:right="0" w:firstLine="420"/>
        <w:jc w:val="left"/>
      </w:pPr>
      <w:r>
        <w:rPr/>
        <w:pict>
          <v:shape style="position:absolute;margin-left:89.160004pt;margin-top:38.073975pt;width:429.25pt;height:510.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71"/>
                    <w:gridCol w:w="3199"/>
                  </w:tblGrid>
                  <w:tr>
                    <w:trPr>
                      <w:trHeight w:val="538"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55"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日股东权益（原会计准则）</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1"/>
                            <w:szCs w:val="21"/>
                          </w:rPr>
                        </w:pPr>
                        <w:r>
                          <w:rPr>
                            <w:rFonts w:ascii="宋体"/>
                            <w:spacing w:val="-1"/>
                            <w:sz w:val="21"/>
                          </w:rPr>
                          <w:t>354,286,716.14</w:t>
                        </w: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21"/>
                            <w:szCs w:val="21"/>
                          </w:rPr>
                        </w:pPr>
                        <w:r>
                          <w:rPr>
                            <w:rFonts w:ascii="宋体"/>
                            <w:sz w:val="21"/>
                          </w:rPr>
                          <w:t>-807,429.96</w:t>
                        </w: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其中：同一控制下企业合并形成的长期股权投资差额</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21"/>
                            <w:szCs w:val="21"/>
                          </w:rPr>
                        </w:pPr>
                        <w:r>
                          <w:rPr>
                            <w:rFonts w:ascii="宋体"/>
                            <w:sz w:val="21"/>
                          </w:rPr>
                          <w:t>-807,429.96</w:t>
                        </w:r>
                      </w:p>
                    </w:tc>
                  </w:tr>
                  <w:tr>
                    <w:trPr>
                      <w:trHeight w:val="455"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28"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其他采用权益法核算的长期股权投资贷方差额</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拟以公允价值模式计量的投资性房地产</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因预计资产弃置费用应补提的以前年度折旧等</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其中：同一控制下企业合并商誉的账面价值</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733"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851"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22"/>
                          <w:ind w:left="103" w:right="95"/>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以公允价值计量且其变动计入当期损益的金融资产以及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可供出售金融资产</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25,873.99</w:t>
                        </w: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319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21"/>
                            <w:szCs w:val="21"/>
                          </w:rPr>
                        </w:pPr>
                        <w:r>
                          <w:rPr>
                            <w:rFonts w:ascii="宋体"/>
                            <w:spacing w:val="-1"/>
                            <w:sz w:val="21"/>
                          </w:rPr>
                          <w:t>2,710,274.35</w:t>
                        </w:r>
                        <w:r>
                          <w:rPr>
                            <w:rFonts w:ascii="宋体"/>
                            <w:sz w:val="21"/>
                          </w:rPr>
                        </w:r>
                      </w:p>
                    </w:tc>
                  </w:tr>
                  <w:tr>
                    <w:trPr>
                      <w:trHeight w:val="454"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1"/>
                            <w:szCs w:val="21"/>
                          </w:rPr>
                        </w:pPr>
                        <w:r>
                          <w:rPr>
                            <w:rFonts w:ascii="宋体"/>
                            <w:spacing w:val="-1"/>
                            <w:sz w:val="21"/>
                          </w:rPr>
                          <w:t>4,038,497.75</w:t>
                        </w:r>
                      </w:p>
                    </w:tc>
                  </w:tr>
                  <w:tr>
                    <w:trPr>
                      <w:trHeight w:val="455"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按照新会计准则调整的少数股东权益</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1"/>
                            <w:szCs w:val="21"/>
                          </w:rPr>
                        </w:pPr>
                        <w:r>
                          <w:rPr>
                            <w:rFonts w:ascii="宋体"/>
                            <w:sz w:val="21"/>
                          </w:rPr>
                          <w:t>14,983,272.02</w:t>
                        </w:r>
                      </w:p>
                    </w:tc>
                  </w:tr>
                  <w:tr>
                    <w:trPr>
                      <w:trHeight w:val="610" w:hRule="exact"/>
                    </w:trPr>
                    <w:tc>
                      <w:tcPr>
                        <w:tcW w:w="5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日股东权益（新会计准则）</w:t>
                        </w:r>
                      </w:p>
                    </w:tc>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375,237,204.29</w:t>
                        </w:r>
                      </w:p>
                    </w:tc>
                  </w:tr>
                </w:tbl>
                <w:p>
                  <w:pPr/>
                </w:p>
              </w:txbxContent>
            </v:textbox>
            <w10:wrap type="none"/>
          </v:shape>
        </w:pict>
      </w:r>
      <w:r>
        <w:rPr/>
        <w:t>(五)</w:t>
      </w:r>
      <w:r>
        <w:rPr>
          <w:spacing w:val="3"/>
        </w:rPr>
        <w:t> </w:t>
      </w:r>
      <w:r>
        <w:rPr>
          <w:spacing w:val="-4"/>
        </w:rPr>
        <w:t>本财务报表附注三（二十二）所述之会计政策变更事项对本公司</w:t>
      </w:r>
      <w:r>
        <w:rPr>
          <w:spacing w:val="-51"/>
        </w:rPr>
        <w:t> </w:t>
      </w:r>
      <w:r>
        <w:rPr/>
        <w:t>2006</w:t>
      </w:r>
      <w:r>
        <w:rPr>
          <w:spacing w:val="-50"/>
        </w:rPr>
        <w:t> </w:t>
      </w:r>
      <w:r>
        <w:rPr/>
        <w:t>年</w:t>
      </w:r>
      <w:r>
        <w:rPr>
          <w:spacing w:val="-52"/>
        </w:rPr>
        <w:t> </w:t>
      </w:r>
      <w:r>
        <w:rPr/>
        <w:t>1</w:t>
      </w:r>
      <w:r>
        <w:rPr>
          <w:spacing w:val="-50"/>
        </w:rPr>
        <w:t> </w:t>
      </w:r>
      <w:r>
        <w:rPr/>
        <w:t>月</w:t>
      </w:r>
      <w:r>
        <w:rPr>
          <w:spacing w:val="-52"/>
        </w:rPr>
        <w:t> </w:t>
      </w:r>
      <w:r>
        <w:rPr/>
        <w:t>1</w:t>
      </w:r>
      <w:r>
        <w:rPr>
          <w:spacing w:val="-50"/>
        </w:rPr>
        <w:t> </w:t>
      </w:r>
      <w:r>
        <w:rPr/>
        <w:t>日股</w:t>
      </w:r>
      <w:r>
        <w:rPr/>
        <w:t> 东权益影响如下：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before="0"/>
        <w:ind w:left="7220" w:right="933" w:hanging="472"/>
        <w:jc w:val="right"/>
      </w:pPr>
      <w:r>
        <w:rPr/>
        <w:t>恒生电子股份有限公司 2008</w:t>
      </w:r>
      <w:r>
        <w:rPr>
          <w:spacing w:val="-54"/>
        </w:rPr>
        <w:t> </w:t>
      </w:r>
      <w:r>
        <w:rPr/>
        <w:t>年</w:t>
      </w:r>
      <w:r>
        <w:rPr>
          <w:spacing w:val="-54"/>
        </w:rPr>
        <w:t> </w:t>
      </w:r>
      <w:r>
        <w:rPr/>
        <w:t>4</w:t>
      </w:r>
      <w:r>
        <w:rPr>
          <w:spacing w:val="-54"/>
        </w:rPr>
        <w:t> </w:t>
      </w:r>
      <w:r>
        <w:rPr/>
        <w:t>月</w:t>
      </w:r>
      <w:r>
        <w:rPr>
          <w:spacing w:val="-55"/>
        </w:rPr>
        <w:t> </w:t>
      </w:r>
      <w:r>
        <w:rPr/>
        <w:t>21</w:t>
      </w:r>
      <w:r>
        <w:rPr>
          <w:spacing w:val="-53"/>
        </w:rPr>
        <w:t> </w:t>
      </w:r>
      <w:r>
        <w:rPr/>
        <w:t>日</w:t>
      </w:r>
    </w:p>
    <w:p>
      <w:pPr>
        <w:spacing w:after="0" w:line="367" w:lineRule="auto"/>
        <w:jc w:val="right"/>
        <w:sectPr>
          <w:pgSz w:w="11910" w:h="16840"/>
          <w:pgMar w:header="0" w:footer="1263" w:top="1360" w:bottom="1460" w:left="1500" w:right="620"/>
        </w:sectPr>
      </w:pPr>
    </w:p>
    <w:p>
      <w:pPr>
        <w:spacing w:line="351" w:lineRule="exact" w:before="0"/>
        <w:ind w:left="1054" w:right="178" w:firstLine="0"/>
        <w:jc w:val="left"/>
        <w:rPr>
          <w:rFonts w:ascii="黑体" w:hAnsi="黑体" w:cs="黑体" w:eastAsia="黑体" w:hint="default"/>
          <w:sz w:val="28"/>
          <w:szCs w:val="28"/>
        </w:rPr>
      </w:pPr>
      <w:bookmarkStart w:name="600570-恒生电子-独立董事对公司对外担保情况的专项说明和独立意见.pdf" w:id="13"/>
      <w:bookmarkEnd w:id="13"/>
      <w:r>
        <w:rPr/>
      </w:r>
      <w:r>
        <w:rPr>
          <w:rFonts w:ascii="黑体" w:hAnsi="黑体" w:cs="黑体" w:eastAsia="黑体" w:hint="default"/>
          <w:sz w:val="28"/>
          <w:szCs w:val="28"/>
        </w:rPr>
        <w:t>独立董事对公司对外担保情况的专项说明和独立意见</w:t>
      </w:r>
    </w:p>
    <w:p>
      <w:pPr>
        <w:spacing w:line="357" w:lineRule="auto" w:before="213"/>
        <w:ind w:left="120" w:right="197" w:firstLine="480"/>
        <w:jc w:val="both"/>
        <w:rPr>
          <w:rFonts w:ascii="宋体" w:hAnsi="宋体" w:cs="宋体" w:eastAsia="宋体" w:hint="default"/>
          <w:sz w:val="24"/>
          <w:szCs w:val="24"/>
        </w:rPr>
      </w:pPr>
      <w:r>
        <w:rPr>
          <w:rFonts w:ascii="宋体" w:hAnsi="宋体" w:cs="宋体" w:eastAsia="宋体" w:hint="default"/>
          <w:spacing w:val="-3"/>
          <w:sz w:val="24"/>
          <w:szCs w:val="24"/>
        </w:rPr>
        <w:t>根据中国证监会《关于规范上市公司与关联方资金往来及上市公司对外担保</w:t>
      </w:r>
      <w:r>
        <w:rPr>
          <w:rFonts w:ascii="宋体" w:hAnsi="宋体" w:cs="宋体" w:eastAsia="宋体" w:hint="default"/>
          <w:sz w:val="24"/>
          <w:szCs w:val="24"/>
        </w:rPr>
        <w:t> </w:t>
      </w:r>
      <w:r>
        <w:rPr>
          <w:rFonts w:ascii="宋体" w:hAnsi="宋体" w:cs="宋体" w:eastAsia="宋体" w:hint="default"/>
          <w:spacing w:val="-3"/>
          <w:sz w:val="24"/>
          <w:szCs w:val="24"/>
        </w:rPr>
        <w:t>若干问题的通知》、《关于加强社会公众股股东权益保护的若干规定》和上海证</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券交易所《关于做好上市公司 2007</w:t>
      </w:r>
      <w:r>
        <w:rPr>
          <w:rFonts w:ascii="宋体" w:hAnsi="宋体" w:cs="宋体" w:eastAsia="宋体" w:hint="default"/>
          <w:spacing w:val="-94"/>
          <w:sz w:val="24"/>
          <w:szCs w:val="24"/>
        </w:rPr>
        <w:t> </w:t>
      </w:r>
      <w:r>
        <w:rPr>
          <w:rFonts w:ascii="宋体" w:hAnsi="宋体" w:cs="宋体" w:eastAsia="宋体" w:hint="default"/>
          <w:sz w:val="24"/>
          <w:szCs w:val="24"/>
        </w:rPr>
        <w:t>年年度报告工作的通知》的要求，作为恒生</w:t>
      </w:r>
    </w:p>
    <w:p>
      <w:pPr>
        <w:spacing w:line="357" w:lineRule="auto" w:before="36"/>
        <w:ind w:left="120" w:right="178" w:firstLine="0"/>
        <w:jc w:val="left"/>
        <w:rPr>
          <w:rFonts w:ascii="宋体" w:hAnsi="宋体" w:cs="宋体" w:eastAsia="宋体" w:hint="default"/>
          <w:sz w:val="24"/>
          <w:szCs w:val="24"/>
        </w:rPr>
      </w:pPr>
      <w:r>
        <w:rPr>
          <w:rFonts w:ascii="宋体" w:hAnsi="宋体" w:cs="宋体" w:eastAsia="宋体" w:hint="default"/>
          <w:sz w:val="24"/>
          <w:szCs w:val="24"/>
        </w:rPr>
        <w:t>电子股份有限公司独立董事，对公司 2007</w:t>
      </w:r>
      <w:r>
        <w:rPr>
          <w:rFonts w:ascii="宋体" w:hAnsi="宋体" w:cs="宋体" w:eastAsia="宋体" w:hint="default"/>
          <w:spacing w:val="-94"/>
          <w:sz w:val="24"/>
          <w:szCs w:val="24"/>
        </w:rPr>
        <w:t> </w:t>
      </w:r>
      <w:r>
        <w:rPr>
          <w:rFonts w:ascii="宋体" w:hAnsi="宋体" w:cs="宋体" w:eastAsia="宋体" w:hint="default"/>
          <w:sz w:val="24"/>
          <w:szCs w:val="24"/>
        </w:rPr>
        <w:t>年度报告期内对外担保，会计政策、</w:t>
      </w:r>
      <w:r>
        <w:rPr>
          <w:rFonts w:ascii="宋体" w:hAnsi="宋体" w:cs="宋体" w:eastAsia="宋体" w:hint="default"/>
          <w:sz w:val="24"/>
          <w:szCs w:val="24"/>
        </w:rPr>
        <w:t> 会计估计和合并会计报表的编制方法等发表独立意见如下： 一、公司对外担保情况专项说明及意见</w:t>
      </w:r>
    </w:p>
    <w:p>
      <w:pPr>
        <w:spacing w:line="357" w:lineRule="auto" w:before="36"/>
        <w:ind w:left="600" w:right="180" w:firstLine="0"/>
        <w:jc w:val="left"/>
        <w:rPr>
          <w:rFonts w:ascii="宋体" w:hAnsi="宋体" w:cs="宋体" w:eastAsia="宋体" w:hint="default"/>
          <w:sz w:val="24"/>
          <w:szCs w:val="24"/>
        </w:rPr>
      </w:pPr>
      <w:r>
        <w:rPr>
          <w:rFonts w:ascii="宋体" w:hAnsi="宋体" w:cs="宋体" w:eastAsia="宋体" w:hint="default"/>
          <w:sz w:val="24"/>
          <w:szCs w:val="24"/>
        </w:rPr>
        <w:t>本年度公司发生的担保事项有： 为控股子公司无锡恒华科技发展有限公司担保贷款</w:t>
      </w:r>
      <w:r>
        <w:rPr>
          <w:rFonts w:ascii="宋体" w:hAnsi="宋体" w:cs="宋体" w:eastAsia="宋体" w:hint="default"/>
          <w:spacing w:val="-60"/>
          <w:sz w:val="24"/>
          <w:szCs w:val="24"/>
        </w:rPr>
        <w:t> </w:t>
      </w:r>
      <w:r>
        <w:rPr>
          <w:rFonts w:ascii="宋体" w:hAnsi="宋体" w:cs="宋体" w:eastAsia="宋体" w:hint="default"/>
          <w:sz w:val="24"/>
          <w:szCs w:val="24"/>
        </w:rPr>
        <w:t>3500</w:t>
      </w:r>
      <w:r>
        <w:rPr>
          <w:rFonts w:ascii="宋体" w:hAnsi="宋体" w:cs="宋体" w:eastAsia="宋体" w:hint="default"/>
          <w:spacing w:val="-60"/>
          <w:sz w:val="24"/>
          <w:szCs w:val="24"/>
        </w:rPr>
        <w:t> </w:t>
      </w:r>
      <w:r>
        <w:rPr>
          <w:rFonts w:ascii="宋体" w:hAnsi="宋体" w:cs="宋体" w:eastAsia="宋体" w:hint="default"/>
          <w:spacing w:val="-6"/>
          <w:sz w:val="24"/>
          <w:szCs w:val="24"/>
        </w:rPr>
        <w:t>万元，期限自</w:t>
      </w:r>
      <w:r>
        <w:rPr>
          <w:rFonts w:ascii="宋体" w:hAnsi="宋体" w:cs="宋体" w:eastAsia="宋体" w:hint="default"/>
          <w:spacing w:val="-60"/>
          <w:sz w:val="24"/>
          <w:szCs w:val="24"/>
        </w:rPr>
        <w:t> </w:t>
      </w:r>
      <w:r>
        <w:rPr>
          <w:rFonts w:ascii="宋体" w:hAnsi="宋体" w:cs="宋体" w:eastAsia="宋体" w:hint="default"/>
          <w:sz w:val="24"/>
          <w:szCs w:val="24"/>
        </w:rPr>
        <w:t>2006</w:t>
      </w:r>
    </w:p>
    <w:p>
      <w:pPr>
        <w:spacing w:before="36"/>
        <w:ind w:left="120" w:right="178"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357" w:lineRule="auto" w:before="154"/>
        <w:ind w:left="120" w:right="197" w:firstLine="480"/>
        <w:jc w:val="both"/>
        <w:rPr>
          <w:rFonts w:ascii="宋体" w:hAnsi="宋体" w:cs="宋体" w:eastAsia="宋体" w:hint="default"/>
          <w:sz w:val="24"/>
          <w:szCs w:val="24"/>
        </w:rPr>
      </w:pPr>
      <w:r>
        <w:rPr>
          <w:rFonts w:ascii="宋体" w:hAnsi="宋体" w:cs="宋体" w:eastAsia="宋体" w:hint="default"/>
          <w:sz w:val="24"/>
          <w:szCs w:val="24"/>
        </w:rPr>
        <w:t>为控股子公司杭州数据安全技术有限公司担保贷款</w:t>
      </w:r>
      <w:r>
        <w:rPr>
          <w:rFonts w:ascii="宋体" w:hAnsi="宋体" w:cs="宋体" w:eastAsia="宋体" w:hint="default"/>
          <w:spacing w:val="-32"/>
          <w:sz w:val="24"/>
          <w:szCs w:val="24"/>
        </w:rPr>
        <w:t> </w:t>
      </w:r>
      <w:r>
        <w:rPr>
          <w:rFonts w:ascii="宋体" w:hAnsi="宋体" w:cs="宋体" w:eastAsia="宋体" w:hint="default"/>
          <w:sz w:val="24"/>
          <w:szCs w:val="24"/>
        </w:rPr>
        <w:t>300</w:t>
      </w:r>
      <w:r>
        <w:rPr>
          <w:rFonts w:ascii="宋体" w:hAnsi="宋体" w:cs="宋体" w:eastAsia="宋体" w:hint="default"/>
          <w:spacing w:val="-32"/>
          <w:sz w:val="24"/>
          <w:szCs w:val="24"/>
        </w:rPr>
        <w:t> </w:t>
      </w:r>
      <w:r>
        <w:rPr>
          <w:rFonts w:ascii="宋体" w:hAnsi="宋体" w:cs="宋体" w:eastAsia="宋体" w:hint="default"/>
          <w:sz w:val="24"/>
          <w:szCs w:val="24"/>
        </w:rPr>
        <w:t>万元，期限自</w:t>
      </w:r>
      <w:r>
        <w:rPr>
          <w:rFonts w:ascii="宋体" w:hAnsi="宋体" w:cs="宋体" w:eastAsia="宋体" w:hint="default"/>
          <w:spacing w:val="-32"/>
          <w:sz w:val="24"/>
          <w:szCs w:val="24"/>
        </w:rPr>
        <w:t> </w:t>
      </w:r>
      <w:r>
        <w:rPr>
          <w:rFonts w:ascii="宋体" w:hAnsi="宋体" w:cs="宋体" w:eastAsia="宋体" w:hint="default"/>
          <w:sz w:val="24"/>
          <w:szCs w:val="24"/>
        </w:rPr>
        <w:t>2007</w:t>
      </w:r>
      <w:r>
        <w:rPr>
          <w:rFonts w:ascii="宋体" w:hAnsi="宋体" w:cs="宋体" w:eastAsia="宋体" w:hint="default"/>
          <w:sz w:val="24"/>
          <w:szCs w:val="24"/>
        </w:rPr>
        <w:t> </w:t>
      </w:r>
      <w:r>
        <w:rPr>
          <w:rFonts w:ascii="宋体" w:hAnsi="宋体" w:cs="宋体" w:eastAsia="宋体" w:hint="default"/>
          <w:spacing w:val="40"/>
          <w:sz w:val="24"/>
          <w:szCs w:val="24"/>
        </w:rPr>
        <w:t>年8月</w:t>
      </w:r>
      <w:r>
        <w:rPr>
          <w:rFonts w:ascii="宋体" w:hAnsi="宋体" w:cs="宋体" w:eastAsia="宋体" w:hint="default"/>
          <w:spacing w:val="-59"/>
          <w:sz w:val="24"/>
          <w:szCs w:val="24"/>
        </w:rPr>
        <w:t> </w:t>
      </w:r>
      <w:r>
        <w:rPr>
          <w:rFonts w:ascii="宋体" w:hAnsi="宋体" w:cs="宋体" w:eastAsia="宋体" w:hint="default"/>
          <w:sz w:val="24"/>
          <w:szCs w:val="24"/>
        </w:rPr>
        <w:t>28</w:t>
      </w:r>
      <w:r>
        <w:rPr>
          <w:rFonts w:ascii="宋体" w:hAnsi="宋体" w:cs="宋体" w:eastAsia="宋体" w:hint="default"/>
          <w:spacing w:val="-59"/>
          <w:sz w:val="24"/>
          <w:szCs w:val="24"/>
        </w:rPr>
        <w:t> </w:t>
      </w:r>
      <w:r>
        <w:rPr>
          <w:rFonts w:ascii="宋体" w:hAnsi="宋体" w:cs="宋体" w:eastAsia="宋体" w:hint="default"/>
          <w:sz w:val="24"/>
          <w:szCs w:val="24"/>
        </w:rPr>
        <w:t>日至</w:t>
      </w:r>
      <w:r>
        <w:rPr>
          <w:rFonts w:ascii="宋体" w:hAnsi="宋体" w:cs="宋体" w:eastAsia="宋体" w:hint="default"/>
          <w:spacing w:val="-59"/>
          <w:sz w:val="24"/>
          <w:szCs w:val="24"/>
        </w:rPr>
        <w:t> </w:t>
      </w:r>
      <w:r>
        <w:rPr>
          <w:rFonts w:ascii="宋体" w:hAnsi="宋体" w:cs="宋体" w:eastAsia="宋体" w:hint="default"/>
          <w:spacing w:val="25"/>
          <w:sz w:val="24"/>
          <w:szCs w:val="24"/>
        </w:rPr>
        <w:t>2008年2月</w:t>
      </w:r>
      <w:r>
        <w:rPr>
          <w:rFonts w:ascii="宋体" w:hAnsi="宋体" w:cs="宋体" w:eastAsia="宋体" w:hint="default"/>
          <w:spacing w:val="-59"/>
          <w:sz w:val="24"/>
          <w:szCs w:val="24"/>
        </w:rPr>
        <w:t> </w:t>
      </w:r>
      <w:r>
        <w:rPr>
          <w:rFonts w:ascii="宋体" w:hAnsi="宋体" w:cs="宋体" w:eastAsia="宋体" w:hint="default"/>
          <w:sz w:val="24"/>
          <w:szCs w:val="24"/>
        </w:rPr>
        <w:t>28</w:t>
      </w:r>
      <w:r>
        <w:rPr>
          <w:rFonts w:ascii="宋体" w:hAnsi="宋体" w:cs="宋体" w:eastAsia="宋体" w:hint="default"/>
          <w:spacing w:val="-59"/>
          <w:sz w:val="24"/>
          <w:szCs w:val="24"/>
        </w:rPr>
        <w:t> </w:t>
      </w:r>
      <w:r>
        <w:rPr>
          <w:rFonts w:ascii="宋体" w:hAnsi="宋体" w:cs="宋体" w:eastAsia="宋体" w:hint="default"/>
          <w:sz w:val="24"/>
          <w:szCs w:val="24"/>
        </w:rPr>
        <w:t>日。</w:t>
      </w:r>
    </w:p>
    <w:p>
      <w:pPr>
        <w:spacing w:line="357" w:lineRule="auto" w:before="36"/>
        <w:ind w:left="120" w:right="197" w:firstLine="480"/>
        <w:jc w:val="both"/>
        <w:rPr>
          <w:rFonts w:ascii="宋体" w:hAnsi="宋体" w:cs="宋体" w:eastAsia="宋体" w:hint="default"/>
          <w:sz w:val="24"/>
          <w:szCs w:val="24"/>
        </w:rPr>
      </w:pPr>
      <w:r>
        <w:rPr>
          <w:rFonts w:ascii="宋体" w:hAnsi="宋体" w:cs="宋体" w:eastAsia="宋体" w:hint="default"/>
          <w:sz w:val="24"/>
          <w:szCs w:val="24"/>
        </w:rPr>
        <w:t>包括上述担保在内，本公司及控股子公司的对外担保累计金额为 3800</w:t>
      </w:r>
      <w:r>
        <w:rPr>
          <w:rFonts w:ascii="宋体" w:hAnsi="宋体" w:cs="宋体" w:eastAsia="宋体" w:hint="default"/>
          <w:spacing w:val="-94"/>
          <w:sz w:val="24"/>
          <w:szCs w:val="24"/>
        </w:rPr>
        <w:t> </w:t>
      </w:r>
      <w:r>
        <w:rPr>
          <w:rFonts w:ascii="宋体" w:hAnsi="宋体" w:cs="宋体" w:eastAsia="宋体" w:hint="default"/>
          <w:sz w:val="24"/>
          <w:szCs w:val="24"/>
        </w:rPr>
        <w:t>万元</w:t>
      </w:r>
      <w:r>
        <w:rPr>
          <w:rFonts w:ascii="宋体" w:hAnsi="宋体" w:cs="宋体" w:eastAsia="宋体" w:hint="default"/>
          <w:sz w:val="24"/>
          <w:szCs w:val="24"/>
        </w:rPr>
        <w:t> 人民币，未有逾期担保。</w:t>
      </w:r>
    </w:p>
    <w:p>
      <w:pPr>
        <w:spacing w:line="357" w:lineRule="auto" w:before="36"/>
        <w:ind w:left="120" w:right="192" w:firstLine="480"/>
        <w:jc w:val="both"/>
        <w:rPr>
          <w:rFonts w:ascii="宋体" w:hAnsi="宋体" w:cs="宋体" w:eastAsia="宋体" w:hint="default"/>
          <w:sz w:val="24"/>
          <w:szCs w:val="24"/>
        </w:rPr>
      </w:pPr>
      <w:r>
        <w:rPr>
          <w:rFonts w:ascii="宋体" w:hAnsi="宋体" w:cs="宋体" w:eastAsia="宋体" w:hint="default"/>
          <w:spacing w:val="3"/>
          <w:sz w:val="24"/>
          <w:szCs w:val="24"/>
        </w:rPr>
        <w:t>公司本年度没有发生对控股股东及本公司持股</w:t>
      </w:r>
      <w:r>
        <w:rPr>
          <w:rFonts w:ascii="宋体" w:hAnsi="宋体" w:cs="宋体" w:eastAsia="宋体" w:hint="default"/>
          <w:spacing w:val="20"/>
          <w:sz w:val="24"/>
          <w:szCs w:val="24"/>
        </w:rPr>
        <w:t> </w:t>
      </w:r>
      <w:r>
        <w:rPr>
          <w:rFonts w:ascii="宋体" w:hAnsi="宋体" w:cs="宋体" w:eastAsia="宋体" w:hint="default"/>
          <w:spacing w:val="3"/>
          <w:sz w:val="24"/>
          <w:szCs w:val="24"/>
        </w:rPr>
        <w:t>50%以下的其他关联方或个</w:t>
      </w:r>
      <w:r>
        <w:rPr>
          <w:rFonts w:ascii="宋体" w:hAnsi="宋体" w:cs="宋体" w:eastAsia="宋体" w:hint="default"/>
          <w:spacing w:val="4"/>
          <w:sz w:val="24"/>
          <w:szCs w:val="24"/>
        </w:rPr>
        <w:t> </w:t>
      </w:r>
      <w:r>
        <w:rPr>
          <w:rFonts w:ascii="宋体" w:hAnsi="宋体" w:cs="宋体" w:eastAsia="宋体" w:hint="default"/>
          <w:sz w:val="24"/>
          <w:szCs w:val="24"/>
        </w:rPr>
        <w:t>人、及资产负债率超过</w:t>
      </w:r>
      <w:r>
        <w:rPr>
          <w:rFonts w:ascii="宋体" w:hAnsi="宋体" w:cs="宋体" w:eastAsia="宋体" w:hint="default"/>
          <w:spacing w:val="-89"/>
          <w:sz w:val="24"/>
          <w:szCs w:val="24"/>
        </w:rPr>
        <w:t> </w:t>
      </w:r>
      <w:r>
        <w:rPr>
          <w:rFonts w:ascii="宋体" w:hAnsi="宋体" w:cs="宋体" w:eastAsia="宋体" w:hint="default"/>
          <w:sz w:val="24"/>
          <w:szCs w:val="24"/>
        </w:rPr>
        <w:t>70%的公司提供担保；公司对外担保总额未超过净资产的</w:t>
      </w:r>
      <w:r>
        <w:rPr>
          <w:rFonts w:ascii="宋体" w:hAnsi="宋体" w:cs="宋体" w:eastAsia="宋体" w:hint="default"/>
          <w:sz w:val="24"/>
          <w:szCs w:val="24"/>
        </w:rPr>
        <w:t> 50%。未发现公司对外担保违反现行法规和《公司章程》规定的情形。</w:t>
      </w:r>
    </w:p>
    <w:p>
      <w:pPr>
        <w:spacing w:line="357" w:lineRule="auto" w:before="156"/>
        <w:ind w:left="120" w:right="197" w:firstLine="480"/>
        <w:jc w:val="both"/>
        <w:rPr>
          <w:rFonts w:ascii="宋体" w:hAnsi="宋体" w:cs="宋体" w:eastAsia="宋体" w:hint="default"/>
          <w:sz w:val="24"/>
          <w:szCs w:val="24"/>
        </w:rPr>
      </w:pPr>
      <w:r>
        <w:rPr>
          <w:rFonts w:ascii="宋体" w:hAnsi="宋体" w:cs="宋体" w:eastAsia="宋体" w:hint="default"/>
          <w:spacing w:val="-3"/>
          <w:sz w:val="24"/>
          <w:szCs w:val="24"/>
        </w:rPr>
        <w:t>二、关于对公司主要会计政策、会计估计和合并会计报表的编制方法议案的</w:t>
      </w:r>
      <w:r>
        <w:rPr>
          <w:rFonts w:ascii="宋体" w:hAnsi="宋体" w:cs="宋体" w:eastAsia="宋体" w:hint="default"/>
          <w:sz w:val="24"/>
          <w:szCs w:val="24"/>
        </w:rPr>
        <w:t> 意见</w:t>
      </w:r>
    </w:p>
    <w:p>
      <w:pPr>
        <w:spacing w:line="357" w:lineRule="auto" w:before="36"/>
        <w:ind w:left="120" w:right="84" w:firstLine="480"/>
        <w:jc w:val="left"/>
        <w:rPr>
          <w:rFonts w:ascii="宋体" w:hAnsi="宋体" w:cs="宋体" w:eastAsia="宋体" w:hint="default"/>
          <w:sz w:val="24"/>
          <w:szCs w:val="24"/>
        </w:rPr>
      </w:pPr>
      <w:r>
        <w:rPr>
          <w:rFonts w:ascii="宋体" w:hAnsi="宋体" w:cs="宋体" w:eastAsia="宋体" w:hint="default"/>
          <w:sz w:val="24"/>
          <w:szCs w:val="24"/>
        </w:rPr>
        <w:t>公司从</w:t>
      </w:r>
      <w:r>
        <w:rPr>
          <w:rFonts w:ascii="宋体" w:hAnsi="宋体" w:cs="宋体" w:eastAsia="宋体" w:hint="default"/>
          <w:spacing w:val="-56"/>
          <w:sz w:val="24"/>
          <w:szCs w:val="24"/>
        </w:rPr>
        <w:t> </w:t>
      </w:r>
      <w:r>
        <w:rPr>
          <w:rFonts w:ascii="宋体" w:hAnsi="宋体" w:cs="宋体" w:eastAsia="宋体" w:hint="default"/>
          <w:sz w:val="24"/>
          <w:szCs w:val="24"/>
        </w:rPr>
        <w:t>2007</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pacing w:val="42"/>
          <w:sz w:val="24"/>
          <w:szCs w:val="24"/>
        </w:rPr>
        <w:t>1月1</w:t>
      </w:r>
      <w:r>
        <w:rPr>
          <w:rFonts w:ascii="宋体" w:hAnsi="宋体" w:cs="宋体" w:eastAsia="宋体" w:hint="default"/>
          <w:spacing w:val="-56"/>
          <w:sz w:val="24"/>
          <w:szCs w:val="24"/>
        </w:rPr>
        <w:t> </w:t>
      </w:r>
      <w:r>
        <w:rPr>
          <w:rFonts w:ascii="宋体" w:hAnsi="宋体" w:cs="宋体" w:eastAsia="宋体" w:hint="default"/>
          <w:sz w:val="24"/>
          <w:szCs w:val="24"/>
        </w:rPr>
        <w:t>日起执行新《企业会计准则》及其指南，符合现行的</w:t>
      </w:r>
      <w:r>
        <w:rPr>
          <w:rFonts w:ascii="宋体" w:hAnsi="宋体" w:cs="宋体" w:eastAsia="宋体" w:hint="default"/>
          <w:sz w:val="24"/>
          <w:szCs w:val="24"/>
        </w:rPr>
        <w:t> 会计政策和相关文件要求，有利于真实反映公司财务状况，促使公司加强管理， 提升公司资产质量。</w:t>
      </w:r>
    </w:p>
    <w:p>
      <w:pPr>
        <w:spacing w:before="36"/>
        <w:ind w:left="0" w:right="102" w:firstLine="0"/>
        <w:jc w:val="right"/>
        <w:rPr>
          <w:rFonts w:ascii="黑体" w:hAnsi="黑体" w:cs="黑体" w:eastAsia="黑体" w:hint="default"/>
          <w:sz w:val="24"/>
          <w:szCs w:val="24"/>
        </w:rPr>
      </w:pPr>
      <w:r>
        <w:rPr>
          <w:rFonts w:ascii="黑体" w:hAnsi="黑体" w:cs="黑体" w:eastAsia="黑体" w:hint="default"/>
          <w:sz w:val="24"/>
          <w:szCs w:val="24"/>
        </w:rPr>
        <w:t>恒生电子股份有限公司独立董事：</w:t>
      </w:r>
    </w:p>
    <w:p>
      <w:pPr>
        <w:spacing w:line="240" w:lineRule="auto" w:before="12"/>
        <w:rPr>
          <w:rFonts w:ascii="黑体" w:hAnsi="黑体" w:cs="黑体" w:eastAsia="黑体" w:hint="default"/>
          <w:sz w:val="20"/>
          <w:szCs w:val="20"/>
        </w:rPr>
      </w:pPr>
    </w:p>
    <w:p>
      <w:pPr>
        <w:tabs>
          <w:tab w:pos="1199" w:val="left" w:leader="none"/>
          <w:tab w:pos="2279" w:val="left" w:leader="none"/>
          <w:tab w:pos="3239" w:val="left" w:leader="none"/>
        </w:tabs>
        <w:spacing w:before="0"/>
        <w:ind w:left="0" w:right="222" w:firstLine="0"/>
        <w:jc w:val="right"/>
        <w:rPr>
          <w:rFonts w:ascii="宋体" w:hAnsi="宋体" w:cs="宋体" w:eastAsia="宋体" w:hint="default"/>
          <w:sz w:val="24"/>
          <w:szCs w:val="24"/>
        </w:rPr>
      </w:pPr>
      <w:r>
        <w:rPr>
          <w:rFonts w:ascii="宋体" w:hAnsi="宋体" w:cs="宋体" w:eastAsia="宋体" w:hint="default"/>
          <w:sz w:val="24"/>
          <w:szCs w:val="24"/>
        </w:rPr>
        <w:t>程厚博</w:t>
        <w:tab/>
        <w:t>俞建午</w:t>
        <w:tab/>
        <w:t>胡本立</w:t>
        <w:tab/>
        <w:t>李尊农</w:t>
      </w:r>
    </w:p>
    <w:p>
      <w:pPr>
        <w:spacing w:line="240" w:lineRule="auto" w:before="0"/>
        <w:rPr>
          <w:rFonts w:ascii="宋体" w:hAnsi="宋体" w:cs="宋体" w:eastAsia="宋体" w:hint="default"/>
          <w:sz w:val="24"/>
          <w:szCs w:val="24"/>
        </w:rPr>
      </w:pPr>
    </w:p>
    <w:p>
      <w:pPr>
        <w:spacing w:before="192"/>
        <w:ind w:left="0" w:right="137" w:firstLine="0"/>
        <w:jc w:val="right"/>
        <w:rPr>
          <w:rFonts w:ascii="黑体" w:hAnsi="黑体" w:cs="黑体" w:eastAsia="黑体" w:hint="default"/>
          <w:sz w:val="24"/>
          <w:szCs w:val="24"/>
        </w:rPr>
      </w:pPr>
      <w:r>
        <w:rPr>
          <w:rFonts w:ascii="黑体" w:hAnsi="黑体" w:cs="黑体" w:eastAsia="黑体" w:hint="default"/>
          <w:spacing w:val="25"/>
          <w:sz w:val="24"/>
          <w:szCs w:val="24"/>
        </w:rPr>
        <w:t>2008年4月</w:t>
      </w:r>
      <w:r>
        <w:rPr>
          <w:rFonts w:ascii="黑体" w:hAnsi="黑体" w:cs="黑体" w:eastAsia="黑体" w:hint="default"/>
          <w:spacing w:val="-55"/>
          <w:sz w:val="24"/>
          <w:szCs w:val="24"/>
        </w:rPr>
        <w:t> </w:t>
      </w:r>
      <w:r>
        <w:rPr>
          <w:rFonts w:ascii="黑体" w:hAnsi="黑体" w:cs="黑体" w:eastAsia="黑体" w:hint="default"/>
          <w:spacing w:val="20"/>
          <w:sz w:val="24"/>
          <w:szCs w:val="24"/>
        </w:rPr>
        <w:t>21日</w:t>
      </w:r>
      <w:r>
        <w:rPr>
          <w:rFonts w:ascii="黑体" w:hAnsi="黑体" w:cs="黑体" w:eastAsia="黑体" w:hint="default"/>
          <w:spacing w:val="-60"/>
          <w:sz w:val="24"/>
          <w:szCs w:val="24"/>
        </w:rPr>
        <w:t> </w:t>
      </w:r>
      <w:r>
        <w:rPr>
          <w:rFonts w:ascii="黑体" w:hAnsi="黑体" w:cs="黑体" w:eastAsia="黑体" w:hint="default"/>
          <w:sz w:val="24"/>
          <w:szCs w:val="24"/>
        </w:rPr>
      </w:r>
    </w:p>
    <w:sectPr>
      <w:footerReference w:type="default" r:id="rId32"/>
      <w:pgSz w:w="11910" w:h="16840"/>
      <w:pgMar w:footer="0" w:header="0" w:top="1540" w:bottom="28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宋体">
    <w:altName w:val="宋体"/>
    <w:charset w:val="86"/>
    <w:family w:val="auto"/>
    <w:pitch w:val="variable"/>
  </w:font>
  <w:font w:name="隶书">
    <w:altName w:val="隶书"/>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3.040009pt;margin-top:745.597961pt;width:8.5pt;height:11pt;mso-position-horizontal-relative:page;mso-position-vertical-relative:page;z-index:-637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7.096985pt;margin-top:767.854614pt;width:13pt;height:11pt;mso-position-horizontal-relative:page;mso-position-vertical-relative:page;z-index:-637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82996pt;margin-top:767.854614pt;width:15.5pt;height:11pt;mso-position-horizontal-relative:page;mso-position-vertical-relative:page;z-index:-637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82996pt;margin-top:767.854614pt;width:17.5pt;height:11pt;mso-position-horizontal-relative:page;mso-position-vertical-relative:page;z-index:-637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pt;margin-top:767.854614pt;width:17.150pt;height:11pt;mso-position-horizontal-relative:page;mso-position-vertical-relative:page;z-index:-637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96985pt;margin-top:767.854614pt;width:13pt;height:11pt;mso-position-horizontal-relative:page;mso-position-vertical-relative:page;z-index:-637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05"/>
    </w:pPr>
    <w:rPr>
      <w:rFonts w:ascii="宋体" w:hAnsi="宋体" w:eastAsia="宋体"/>
      <w:sz w:val="21"/>
      <w:szCs w:val="21"/>
    </w:rPr>
  </w:style>
  <w:style w:styleId="BodyText" w:type="paragraph">
    <w:name w:val="Body Text"/>
    <w:basedOn w:val="Normal"/>
    <w:uiPriority w:val="1"/>
    <w:qFormat/>
    <w:pPr>
      <w:spacing w:before="145"/>
      <w:ind w:left="117"/>
    </w:pPr>
    <w:rPr>
      <w:rFonts w:ascii="宋体" w:hAnsi="宋体" w:eastAsia="宋体"/>
      <w:sz w:val="21"/>
      <w:szCs w:val="21"/>
    </w:rPr>
  </w:style>
  <w:style w:styleId="Heading1" w:type="paragraph">
    <w:name w:val="Heading 1"/>
    <w:basedOn w:val="Normal"/>
    <w:uiPriority w:val="1"/>
    <w:qFormat/>
    <w:pPr>
      <w:ind w:left="117"/>
      <w:outlineLvl w:val="1"/>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zxzl@hundsun.com" TargetMode="External"/><Relationship Id="rId8" Type="http://schemas.openxmlformats.org/officeDocument/2006/relationships/hyperlink" Target="http://www.hundsun.com/" TargetMode="External"/><Relationship Id="rId9" Type="http://schemas.openxmlformats.org/officeDocument/2006/relationships/hyperlink" Target="mailto:hundsun@hundsun.com" TargetMode="External"/><Relationship Id="rId10" Type="http://schemas.openxmlformats.org/officeDocument/2006/relationships/hyperlink" Target="http://www.sse.com.cn/" TargetMode="External"/><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戴敏</dc:creator>
  <dc:title>三年又一期财务报表附注参考格式</dc:title>
  <dcterms:created xsi:type="dcterms:W3CDTF">2020-05-07T12:41:08Z</dcterms:created>
  <dcterms:modified xsi:type="dcterms:W3CDTF">2020-05-07T12:41:08Z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2008-04-22T00:00:00Z</vt:filetime>
  </property>
  <property fmtid="{D5CDD505-2E9C-101B-9397-08002B2CF9AE}" pid="3" name="Creator">
    <vt:lpwstr>Acrobat PDFMaker 7.0 for Word</vt:lpwstr>
  </property>
  <property fmtid="{D5CDD505-2E9C-101B-9397-08002B2CF9AE}" pid="4" name="LastSaved">
    <vt:filetime>2020-05-07T00:00:00Z</vt:filetime>
  </property>
</Properties>
</file>