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Default Extension="png" ContentType="image/png"/>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4.xml" ContentType="application/vnd.openxmlformats-officedocument.wordprocessingml.header+xml"/>
  <Override PartName="/word/footer14.xml" ContentType="application/vnd.openxmlformats-officedocument.wordprocessingml.footer+xml"/>
  <Override PartName="/word/header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6.xml" ContentType="application/vnd.openxmlformats-officedocument.wordprocessingml.header+xml"/>
  <Override PartName="/word/footer28.xml" ContentType="application/vnd.openxmlformats-officedocument.wordprocessingml.footer+xml"/>
  <Override PartName="/word/header7.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left="138" w:right="108"/>
        <w:jc w:val="left"/>
      </w:pPr>
      <w:r>
        <w:rPr>
          <w:spacing w:val="-1"/>
        </w:rPr>
        <w:t>公司代码：</w:t>
      </w:r>
      <w:r>
        <w:rPr>
          <w:rFonts w:ascii="宋体" w:hAnsi="宋体" w:cs="宋体" w:eastAsia="宋体" w:hint="default"/>
          <w:spacing w:val="-1"/>
        </w:rPr>
        <w:t>600570</w:t>
        <w:tab/>
      </w:r>
      <w:r>
        <w:rPr>
          <w:spacing w:val="-2"/>
        </w:rPr>
        <w:t>公司简称：恒生电子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2" w:lineRule="exact" w:before="158"/>
        <w:ind w:left="2437" w:right="2512"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恒生电子股份有限公司</w:t>
      </w:r>
      <w:r>
        <w:rPr>
          <w:rFonts w:ascii="黑体" w:hAnsi="黑体" w:cs="黑体" w:eastAsia="黑体" w:hint="default"/>
          <w:b/>
          <w:bCs/>
          <w:color w:val="FF0000"/>
          <w:spacing w:val="-1"/>
          <w:w w:val="95"/>
          <w:sz w:val="44"/>
          <w:szCs w:val="44"/>
        </w:rPr>
        <w:t> </w:t>
      </w:r>
      <w:r>
        <w:rPr>
          <w:rFonts w:ascii="黑体" w:hAnsi="黑体" w:cs="黑体" w:eastAsia="黑体" w:hint="default"/>
          <w:b/>
          <w:bCs/>
          <w:color w:val="FF0000"/>
          <w:sz w:val="44"/>
          <w:szCs w:val="44"/>
        </w:rPr>
        <w:t>2015</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45"/>
        <w:ind w:left="2435" w:right="2512"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7" w:lineRule="auto" w:before="0"/>
        <w:ind w:left="505" w:right="108"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pStyle w:val="Heading4"/>
        <w:spacing w:line="240" w:lineRule="auto" w:before="30"/>
        <w:ind w:left="138" w:right="108"/>
        <w:jc w:val="left"/>
        <w:rPr>
          <w:b w:val="0"/>
          <w:bCs w:val="0"/>
        </w:rPr>
      </w:pPr>
      <w:r>
        <w:rPr/>
        <w:t>二、</w:t>
      </w:r>
      <w:r>
        <w:rPr>
          <w:spacing w:val="-77"/>
        </w:rPr>
        <w:t> </w:t>
      </w:r>
      <w:r>
        <w:rPr/>
        <w:t>未出席董事情况</w:t>
      </w:r>
      <w:r>
        <w:rPr>
          <w:b w:val="0"/>
          <w:bCs w:val="0"/>
        </w:rPr>
      </w:r>
    </w:p>
    <w:p>
      <w:pPr>
        <w:spacing w:line="240" w:lineRule="auto" w:before="13"/>
        <w:rPr>
          <w:rFonts w:ascii="宋体" w:hAnsi="宋体" w:cs="宋体" w:eastAsia="宋体" w:hint="default"/>
          <w:b/>
          <w:bCs/>
          <w:sz w:val="12"/>
          <w:szCs w:val="12"/>
        </w:rPr>
      </w:pPr>
    </w:p>
    <w:tbl>
      <w:tblPr>
        <w:tblW w:w="0" w:type="auto"/>
        <w:jc w:val="left"/>
        <w:tblInd w:w="102" w:type="dxa"/>
        <w:tblLayout w:type="fixed"/>
        <w:tblCellMar>
          <w:top w:w="0" w:type="dxa"/>
          <w:left w:w="0" w:type="dxa"/>
          <w:bottom w:w="0" w:type="dxa"/>
          <w:right w:w="0" w:type="dxa"/>
        </w:tblCellMar>
        <w:tblLook w:val="01E0"/>
      </w:tblPr>
      <w:tblGrid>
        <w:gridCol w:w="1987"/>
        <w:gridCol w:w="2197"/>
        <w:gridCol w:w="2309"/>
        <w:gridCol w:w="2403"/>
      </w:tblGrid>
      <w:tr>
        <w:trPr>
          <w:trHeight w:val="36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51" w:right="0"/>
              <w:jc w:val="left"/>
              <w:rPr>
                <w:rFonts w:ascii="宋体" w:hAnsi="宋体" w:cs="宋体" w:eastAsia="宋体" w:hint="default"/>
                <w:sz w:val="21"/>
                <w:szCs w:val="21"/>
              </w:rPr>
            </w:pPr>
            <w:r>
              <w:rPr>
                <w:rFonts w:ascii="宋体" w:hAnsi="宋体" w:cs="宋体" w:eastAsia="宋体" w:hint="default"/>
                <w:sz w:val="21"/>
                <w:szCs w:val="21"/>
              </w:rPr>
              <w:t>未出席董事职务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58" w:right="0"/>
              <w:jc w:val="left"/>
              <w:rPr>
                <w:rFonts w:ascii="宋体" w:hAnsi="宋体" w:cs="宋体" w:eastAsia="宋体" w:hint="default"/>
                <w:sz w:val="21"/>
                <w:szCs w:val="21"/>
              </w:rPr>
            </w:pPr>
            <w:r>
              <w:rPr>
                <w:rFonts w:ascii="宋体" w:hAnsi="宋体" w:cs="宋体" w:eastAsia="宋体" w:hint="default"/>
                <w:sz w:val="21"/>
                <w:szCs w:val="21"/>
              </w:rPr>
              <w:t>未出席董事姓名</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98" w:right="0"/>
              <w:jc w:val="left"/>
              <w:rPr>
                <w:rFonts w:ascii="宋体" w:hAnsi="宋体" w:cs="宋体" w:eastAsia="宋体" w:hint="default"/>
                <w:sz w:val="21"/>
                <w:szCs w:val="21"/>
              </w:rPr>
            </w:pPr>
            <w:r>
              <w:rPr>
                <w:rFonts w:ascii="宋体" w:hAnsi="宋体" w:cs="宋体" w:eastAsia="宋体" w:hint="default"/>
                <w:sz w:val="21"/>
                <w:szCs w:val="21"/>
              </w:rPr>
              <w:t>未出席董事的原因说明</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64"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554"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袁雷鸣</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因出差外地未能出席本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次董事会</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韩歆毅</w:t>
            </w:r>
          </w:p>
        </w:tc>
      </w:tr>
    </w:tbl>
    <w:p>
      <w:pPr>
        <w:spacing w:line="240" w:lineRule="auto" w:before="5"/>
        <w:rPr>
          <w:rFonts w:ascii="宋体" w:hAnsi="宋体" w:cs="宋体" w:eastAsia="宋体" w:hint="default"/>
          <w:b/>
          <w:bCs/>
          <w:sz w:val="15"/>
          <w:szCs w:val="15"/>
        </w:rPr>
      </w:pPr>
    </w:p>
    <w:p>
      <w:pPr>
        <w:pStyle w:val="Heading4"/>
        <w:spacing w:line="240" w:lineRule="auto"/>
        <w:ind w:left="138" w:right="108"/>
        <w:jc w:val="left"/>
        <w:rPr>
          <w:b w:val="0"/>
          <w:bCs w:val="0"/>
        </w:rPr>
      </w:pPr>
      <w:r>
        <w:rPr/>
        <w:t>三、</w:t>
      </w:r>
      <w:r>
        <w:rPr>
          <w:spacing w:val="-14"/>
        </w:rPr>
        <w:t> </w:t>
      </w:r>
      <w:r>
        <w:rPr/>
        <w:t>天健会计师事务所（特殊普通合伙）为本公司出具了标准无保留意见的审计报告。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4"/>
        <w:spacing w:line="357" w:lineRule="auto" w:before="145"/>
        <w:ind w:left="505" w:right="108" w:hanging="368"/>
        <w:jc w:val="left"/>
        <w:rPr>
          <w:b w:val="0"/>
          <w:bCs w:val="0"/>
        </w:rPr>
      </w:pPr>
      <w:r>
        <w:rPr>
          <w:spacing w:val="-1"/>
        </w:rPr>
        <w:t>四、公司负责人彭政纲、主管会计工作负责人傅美英及会计机构负责人（会计主管人员）曾玉梅</w:t>
      </w:r>
      <w:r>
        <w:rPr>
          <w:spacing w:val="-88"/>
        </w:rPr>
        <w:t> </w:t>
      </w:r>
      <w:r>
        <w:rPr>
          <w:spacing w:val="-88"/>
        </w:rPr>
      </w:r>
      <w:r>
        <w:rPr/>
        <w:t>声明：保证年度报告中财务报告的真实、准确、完整。</w:t>
      </w:r>
      <w:r>
        <w:rPr>
          <w:b w:val="0"/>
          <w:bCs w:val="0"/>
        </w:rPr>
      </w:r>
    </w:p>
    <w:p>
      <w:pPr>
        <w:spacing w:line="480" w:lineRule="atLeast" w:before="98"/>
        <w:ind w:left="663" w:right="108" w:hanging="526"/>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恒生电子股份有限公司（母公司，下同）</w:t>
      </w:r>
      <w:r>
        <w:rPr>
          <w:rFonts w:ascii="宋体" w:hAnsi="宋体" w:cs="宋体" w:eastAsia="宋体" w:hint="default"/>
          <w:spacing w:val="-2"/>
          <w:sz w:val="21"/>
          <w:szCs w:val="21"/>
        </w:rPr>
        <w:t>2015</w:t>
      </w:r>
      <w:r>
        <w:rPr>
          <w:rFonts w:ascii="宋体" w:hAnsi="宋体" w:cs="宋体" w:eastAsia="宋体" w:hint="default"/>
          <w:spacing w:val="-2"/>
          <w:sz w:val="21"/>
          <w:szCs w:val="21"/>
        </w:rPr>
        <w:t>年度共实现净利润</w:t>
      </w:r>
      <w:r>
        <w:rPr>
          <w:rFonts w:ascii="宋体" w:hAnsi="宋体" w:cs="宋体" w:eastAsia="宋体" w:hint="default"/>
          <w:spacing w:val="-2"/>
          <w:sz w:val="21"/>
          <w:szCs w:val="21"/>
        </w:rPr>
        <w:t>501,919,505.21</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单位：</w:t>
      </w:r>
    </w:p>
    <w:p>
      <w:pPr>
        <w:pStyle w:val="BodyText"/>
        <w:spacing w:line="314" w:lineRule="auto" w:before="85"/>
        <w:ind w:left="138" w:right="208"/>
        <w:jc w:val="both"/>
      </w:pPr>
      <w:r>
        <w:rPr>
          <w:spacing w:val="-4"/>
        </w:rPr>
        <w:t>人民币元，下同</w:t>
      </w:r>
      <w:r>
        <w:rPr>
          <w:rFonts w:ascii="宋体" w:hAnsi="宋体" w:cs="宋体" w:eastAsia="宋体" w:hint="default"/>
          <w:spacing w:val="-4"/>
        </w:rPr>
        <w:t>)</w:t>
      </w:r>
      <w:r>
        <w:rPr>
          <w:spacing w:val="-4"/>
        </w:rPr>
        <w:t>，依据《公司法》和《公司章程》以及中国证监会及上海交易所的相关指引的规</w:t>
      </w:r>
      <w:r>
        <w:rPr>
          <w:spacing w:val="-35"/>
        </w:rPr>
        <w:t> </w:t>
      </w:r>
      <w:r>
        <w:rPr>
          <w:spacing w:val="-35"/>
        </w:rPr>
      </w:r>
      <w:r>
        <w:rPr>
          <w:spacing w:val="-4"/>
        </w:rPr>
        <w:t>定，先提取</w:t>
      </w:r>
      <w:r>
        <w:rPr>
          <w:rFonts w:ascii="宋体" w:hAnsi="宋体" w:cs="宋体" w:eastAsia="宋体" w:hint="default"/>
          <w:spacing w:val="-4"/>
        </w:rPr>
        <w:t>10%</w:t>
      </w:r>
      <w:r>
        <w:rPr>
          <w:spacing w:val="-4"/>
        </w:rPr>
        <w:t>法定公积金，加上以前年度利润结转，根据实际情况，公司拟按以下顺序实施分配</w:t>
      </w:r>
      <w:r>
        <w:rPr>
          <w:spacing w:val="-33"/>
        </w:rPr>
        <w:t> </w:t>
      </w:r>
      <w:r>
        <w:rPr>
          <w:spacing w:val="-33"/>
        </w:rPr>
      </w:r>
      <w:r>
        <w:rPr/>
        <w:t>方案：</w:t>
      </w:r>
    </w:p>
    <w:p>
      <w:pPr>
        <w:pStyle w:val="BodyText"/>
        <w:tabs>
          <w:tab w:pos="557" w:val="left" w:leader="none"/>
        </w:tabs>
        <w:spacing w:line="240" w:lineRule="auto" w:before="20"/>
        <w:ind w:left="138" w:right="108"/>
        <w:jc w:val="left"/>
      </w:pPr>
      <w:r>
        <w:rPr>
          <w:rFonts w:ascii="宋体" w:hAnsi="宋体" w:cs="宋体" w:eastAsia="宋体" w:hint="default"/>
        </w:rPr>
        <w:t>1.</w:t>
        <w:tab/>
      </w:r>
      <w:r>
        <w:rPr/>
        <w:t>提取</w:t>
      </w:r>
      <w:r>
        <w:rPr>
          <w:rFonts w:ascii="宋体" w:hAnsi="宋体" w:cs="宋体" w:eastAsia="宋体" w:hint="default"/>
        </w:rPr>
        <w:t>10%</w:t>
      </w:r>
      <w:r>
        <w:rPr/>
        <w:t>法定公积金</w:t>
      </w:r>
      <w:r>
        <w:rPr>
          <w:rFonts w:ascii="宋体" w:hAnsi="宋体" w:cs="宋体" w:eastAsia="宋体" w:hint="default"/>
        </w:rPr>
        <w:t>50,191,950.52</w:t>
      </w:r>
      <w:r>
        <w:rPr/>
        <w:t>元。</w:t>
      </w:r>
    </w:p>
    <w:p>
      <w:pPr>
        <w:pStyle w:val="BodyText"/>
        <w:tabs>
          <w:tab w:pos="557" w:val="left" w:leader="none"/>
        </w:tabs>
        <w:spacing w:line="314" w:lineRule="auto" w:before="85"/>
        <w:ind w:left="138" w:right="222"/>
        <w:jc w:val="left"/>
      </w:pPr>
      <w:r>
        <w:rPr>
          <w:rFonts w:ascii="宋体" w:hAnsi="宋体" w:cs="宋体" w:eastAsia="宋体" w:hint="default"/>
        </w:rPr>
        <w:t>2.</w:t>
        <w:tab/>
      </w:r>
      <w:r>
        <w:rPr>
          <w:spacing w:val="-2"/>
        </w:rPr>
        <w:t>以</w:t>
      </w:r>
      <w:r>
        <w:rPr>
          <w:rFonts w:ascii="宋体" w:hAnsi="宋体" w:cs="宋体" w:eastAsia="宋体" w:hint="default"/>
          <w:spacing w:val="-2"/>
        </w:rPr>
        <w:t>2015</w:t>
      </w:r>
      <w:r>
        <w:rPr>
          <w:spacing w:val="-2"/>
        </w:rPr>
        <w:t>年总股本</w:t>
      </w:r>
      <w:r>
        <w:rPr>
          <w:rFonts w:ascii="宋体" w:hAnsi="宋体" w:cs="宋体" w:eastAsia="宋体" w:hint="default"/>
          <w:spacing w:val="-2"/>
        </w:rPr>
        <w:t>617,805,180</w:t>
      </w:r>
      <w:r>
        <w:rPr>
          <w:spacing w:val="-2"/>
        </w:rPr>
        <w:t>股为基数，向全体股东按每</w:t>
      </w:r>
      <w:r>
        <w:rPr>
          <w:rFonts w:ascii="宋体" w:hAnsi="宋体" w:cs="宋体" w:eastAsia="宋体" w:hint="default"/>
          <w:spacing w:val="-2"/>
        </w:rPr>
        <w:t>10</w:t>
      </w:r>
      <w:r>
        <w:rPr>
          <w:spacing w:val="-2"/>
        </w:rPr>
        <w:t>股派现金</w:t>
      </w:r>
      <w:r>
        <w:rPr>
          <w:rFonts w:ascii="宋体" w:hAnsi="宋体" w:cs="宋体" w:eastAsia="宋体" w:hint="default"/>
          <w:spacing w:val="-2"/>
        </w:rPr>
        <w:t>2.6</w:t>
      </w:r>
      <w:r>
        <w:rPr>
          <w:spacing w:val="-2"/>
        </w:rPr>
        <w:t>元（含税），派现总</w:t>
      </w:r>
      <w:r>
        <w:rPr>
          <w:spacing w:val="-14"/>
        </w:rPr>
        <w:t> </w:t>
      </w:r>
      <w:r>
        <w:rPr>
          <w:spacing w:val="-14"/>
        </w:rPr>
      </w:r>
      <w:r>
        <w:rPr/>
        <w:t>计</w:t>
      </w:r>
      <w:r>
        <w:rPr>
          <w:rFonts w:ascii="宋体" w:hAnsi="宋体" w:cs="宋体" w:eastAsia="宋体" w:hint="default"/>
        </w:rPr>
        <w:t>160,629,346.8</w:t>
      </w:r>
      <w:r>
        <w:rPr/>
        <w:t>元</w:t>
      </w:r>
      <w:r>
        <w:rPr>
          <w:spacing w:val="-2"/>
        </w:rPr>
        <w:t> </w:t>
      </w:r>
      <w:r>
        <w:rPr/>
        <w:t>。</w:t>
      </w:r>
    </w:p>
    <w:p>
      <w:pPr>
        <w:pStyle w:val="BodyText"/>
        <w:tabs>
          <w:tab w:pos="557" w:val="left" w:leader="none"/>
        </w:tabs>
        <w:spacing w:line="240" w:lineRule="auto" w:before="20"/>
        <w:ind w:left="138" w:right="108"/>
        <w:jc w:val="left"/>
      </w:pPr>
      <w:r>
        <w:rPr>
          <w:rFonts w:ascii="宋体" w:hAnsi="宋体" w:cs="宋体" w:eastAsia="宋体" w:hint="default"/>
        </w:rPr>
        <w:t>3.</w:t>
        <w:tab/>
      </w:r>
      <w:r>
        <w:rPr/>
        <w:t>剩余可分配利润部分结转至下一年度。</w:t>
      </w:r>
    </w:p>
    <w:p>
      <w:pPr>
        <w:spacing w:line="240" w:lineRule="auto" w:before="2"/>
        <w:rPr>
          <w:rFonts w:ascii="宋体" w:hAnsi="宋体" w:cs="宋体" w:eastAsia="宋体" w:hint="default"/>
          <w:sz w:val="28"/>
          <w:szCs w:val="28"/>
        </w:rPr>
      </w:pPr>
    </w:p>
    <w:p>
      <w:pPr>
        <w:pStyle w:val="Heading4"/>
        <w:spacing w:line="240" w:lineRule="auto" w:before="0"/>
        <w:ind w:left="138" w:right="108"/>
        <w:jc w:val="left"/>
        <w:rPr>
          <w:b w:val="0"/>
          <w:bCs w:val="0"/>
        </w:rPr>
      </w:pPr>
      <w:r>
        <w:rPr/>
        <w:t>六、</w:t>
      </w:r>
      <w:r>
        <w:rPr>
          <w:spacing w:val="-27"/>
        </w:rPr>
        <w:t> </w:t>
      </w:r>
      <w:r>
        <w:rPr/>
        <w:t>前瞻性陈述的风险声明</w:t>
      </w:r>
      <w:r>
        <w:rPr>
          <w:b w:val="0"/>
          <w:bCs w:val="0"/>
        </w:rPr>
      </w:r>
    </w:p>
    <w:p>
      <w:pPr>
        <w:pStyle w:val="BodyText"/>
        <w:spacing w:line="357" w:lineRule="auto" w:before="133"/>
        <w:ind w:left="138" w:right="108" w:firstLine="419"/>
        <w:jc w:val="left"/>
      </w:pPr>
      <w:r>
        <w:rPr>
          <w:rFonts w:ascii="宋体" w:hAnsi="宋体" w:cs="宋体" w:eastAsia="宋体" w:hint="default"/>
        </w:rPr>
        <w:t>2015</w:t>
      </w:r>
      <w:r>
        <w:rPr>
          <w:rFonts w:ascii="宋体" w:hAnsi="宋体" w:cs="宋体" w:eastAsia="宋体" w:hint="default"/>
          <w:spacing w:val="-44"/>
        </w:rPr>
        <w:t> </w:t>
      </w:r>
      <w:r>
        <w:rPr/>
        <w:t>年</w:t>
      </w:r>
      <w:r>
        <w:rPr>
          <w:spacing w:val="-41"/>
        </w:rPr>
        <w:t> </w:t>
      </w:r>
      <w:r>
        <w:rPr>
          <w:rFonts w:ascii="宋体" w:hAnsi="宋体" w:cs="宋体" w:eastAsia="宋体" w:hint="default"/>
        </w:rPr>
        <w:t>9</w:t>
      </w:r>
      <w:r>
        <w:rPr>
          <w:rFonts w:ascii="宋体" w:hAnsi="宋体" w:cs="宋体" w:eastAsia="宋体" w:hint="default"/>
          <w:spacing w:val="-44"/>
        </w:rPr>
        <w:t> </w:t>
      </w:r>
      <w:r>
        <w:rPr/>
        <w:t>月</w:t>
      </w:r>
      <w:r>
        <w:rPr>
          <w:spacing w:val="-41"/>
        </w:rPr>
        <w:t> </w:t>
      </w:r>
      <w:r>
        <w:rPr>
          <w:rFonts w:ascii="宋体" w:hAnsi="宋体" w:cs="宋体" w:eastAsia="宋体" w:hint="default"/>
        </w:rPr>
        <w:t>8</w:t>
      </w:r>
      <w:r>
        <w:rPr>
          <w:rFonts w:ascii="宋体" w:hAnsi="宋体" w:cs="宋体" w:eastAsia="宋体" w:hint="default"/>
          <w:spacing w:val="-44"/>
        </w:rPr>
        <w:t> </w:t>
      </w:r>
      <w:r>
        <w:rPr/>
        <w:t>日，公司控股子公司杭州恒生网络技术服务有限公司（以下简称“恒生网络”</w:t>
      </w:r>
      <w:r>
        <w:rPr>
          <w:w w:val="100"/>
        </w:rPr>
        <w:t> </w:t>
      </w:r>
      <w:r>
        <w:rPr/>
        <w:t>收到中国证券监督管理委员会行政处罚事先告知书</w:t>
      </w:r>
      <w:r>
        <w:rPr>
          <w:rFonts w:ascii="宋体" w:hAnsi="宋体" w:cs="宋体" w:eastAsia="宋体" w:hint="default"/>
        </w:rPr>
        <w:t>(</w:t>
      </w:r>
      <w:r>
        <w:rPr/>
        <w:t>处罚字〔</w:t>
      </w:r>
      <w:r>
        <w:rPr>
          <w:rFonts w:ascii="宋体" w:hAnsi="宋体" w:cs="宋体" w:eastAsia="宋体" w:hint="default"/>
        </w:rPr>
        <w:t>2015</w:t>
      </w:r>
      <w:r>
        <w:rPr/>
        <w:t>〕</w:t>
      </w:r>
      <w:r>
        <w:rPr>
          <w:rFonts w:ascii="宋体" w:hAnsi="宋体" w:cs="宋体" w:eastAsia="宋体" w:hint="default"/>
        </w:rPr>
        <w:t>68</w:t>
      </w:r>
      <w:r>
        <w:rPr>
          <w:rFonts w:ascii="宋体" w:hAnsi="宋体" w:cs="宋体" w:eastAsia="宋体" w:hint="default"/>
          <w:spacing w:val="-57"/>
        </w:rPr>
        <w:t> </w:t>
      </w:r>
      <w:r>
        <w:rPr/>
        <w:t>号</w:t>
      </w:r>
      <w:r>
        <w:rPr>
          <w:rFonts w:ascii="宋体" w:hAnsi="宋体" w:cs="宋体" w:eastAsia="宋体" w:hint="default"/>
        </w:rPr>
        <w:t>),</w:t>
      </w:r>
      <w:r>
        <w:rPr/>
        <w:t>根据事先告知书恒生</w:t>
      </w:r>
      <w:r>
        <w:rPr>
          <w:w w:val="100"/>
        </w:rPr>
        <w:t> </w:t>
      </w:r>
      <w:r>
        <w:rPr/>
        <w:t>网络拟被没收违法所得</w:t>
      </w:r>
      <w:r>
        <w:rPr>
          <w:spacing w:val="-56"/>
        </w:rPr>
        <w:t> </w:t>
      </w:r>
      <w:r>
        <w:rPr>
          <w:rFonts w:ascii="宋体" w:hAnsi="宋体" w:cs="宋体" w:eastAsia="宋体" w:hint="default"/>
        </w:rPr>
        <w:t>13,285.24</w:t>
      </w:r>
      <w:r>
        <w:rPr>
          <w:rFonts w:ascii="宋体" w:hAnsi="宋体" w:cs="宋体" w:eastAsia="宋体" w:hint="default"/>
          <w:spacing w:val="-57"/>
        </w:rPr>
        <w:t> </w:t>
      </w:r>
      <w:r>
        <w:rPr/>
        <w:t>万元，并处以</w:t>
      </w:r>
      <w:r>
        <w:rPr>
          <w:spacing w:val="-57"/>
        </w:rPr>
        <w:t> </w:t>
      </w:r>
      <w:r>
        <w:rPr>
          <w:rFonts w:ascii="宋体" w:hAnsi="宋体" w:cs="宋体" w:eastAsia="宋体" w:hint="default"/>
        </w:rPr>
        <w:t>39,855.72</w:t>
      </w:r>
      <w:r>
        <w:rPr>
          <w:rFonts w:ascii="宋体" w:hAnsi="宋体" w:cs="宋体" w:eastAsia="宋体" w:hint="default"/>
          <w:spacing w:val="-57"/>
        </w:rPr>
        <w:t> </w:t>
      </w:r>
      <w:r>
        <w:rPr/>
        <w:t>万元罚款。上述事项目前尚没有接到</w:t>
      </w:r>
    </w:p>
    <w:p>
      <w:pPr>
        <w:pStyle w:val="BodyText"/>
        <w:spacing w:line="240" w:lineRule="auto" w:before="30"/>
        <w:ind w:left="138" w:right="108"/>
        <w:jc w:val="left"/>
      </w:pPr>
      <w:r>
        <w:rPr>
          <w:spacing w:val="-5"/>
        </w:rPr>
        <w:t>新的通知。基于会计谨慎性原则，恒生网络已结合现实情况，以</w:t>
      </w:r>
      <w:r>
        <w:rPr>
          <w:spacing w:val="-45"/>
        </w:rPr>
        <w:t> </w:t>
      </w:r>
      <w:r>
        <w:rPr>
          <w:rFonts w:ascii="宋体" w:hAnsi="宋体" w:cs="宋体" w:eastAsia="宋体" w:hint="default"/>
        </w:rPr>
        <w:t>2015</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8"/>
        </w:rPr>
        <w:t> </w:t>
      </w:r>
      <w:r>
        <w:rPr/>
        <w:t>月</w:t>
      </w:r>
      <w:r>
        <w:rPr>
          <w:spacing w:val="-44"/>
        </w:rPr>
        <w:t> </w:t>
      </w:r>
      <w:r>
        <w:rPr>
          <w:rFonts w:ascii="宋体" w:hAnsi="宋体" w:cs="宋体" w:eastAsia="宋体" w:hint="default"/>
        </w:rPr>
        <w:t>31</w:t>
      </w:r>
      <w:r>
        <w:rPr>
          <w:rFonts w:ascii="宋体" w:hAnsi="宋体" w:cs="宋体" w:eastAsia="宋体" w:hint="default"/>
          <w:spacing w:val="-48"/>
        </w:rPr>
        <w:t> </w:t>
      </w:r>
      <w:r>
        <w:rPr/>
        <w:t>日账面净资产为</w:t>
      </w:r>
    </w:p>
    <w:p>
      <w:pPr>
        <w:pStyle w:val="BodyText"/>
        <w:spacing w:line="355" w:lineRule="auto" w:before="133"/>
        <w:ind w:left="138" w:right="374"/>
        <w:jc w:val="left"/>
      </w:pPr>
      <w:r>
        <w:rPr/>
        <w:t>限，累计确认预计负债</w:t>
      </w:r>
      <w:r>
        <w:rPr>
          <w:spacing w:val="-55"/>
        </w:rPr>
        <w:t> </w:t>
      </w:r>
      <w:r>
        <w:rPr>
          <w:rFonts w:ascii="宋体" w:hAnsi="宋体" w:cs="宋体" w:eastAsia="宋体" w:hint="default"/>
        </w:rPr>
        <w:t>57,890,918.74</w:t>
      </w:r>
      <w:r>
        <w:rPr>
          <w:rFonts w:ascii="宋体" w:hAnsi="宋体" w:cs="宋体" w:eastAsia="宋体" w:hint="default"/>
          <w:spacing w:val="-56"/>
        </w:rPr>
        <w:t> </w:t>
      </w:r>
      <w:r>
        <w:rPr/>
        <w:t>元。受上述事件影响，期末应收账款中</w:t>
      </w:r>
      <w:r>
        <w:rPr>
          <w:spacing w:val="-55"/>
        </w:rPr>
        <w:t> </w:t>
      </w:r>
      <w:r>
        <w:rPr>
          <w:rFonts w:ascii="宋体" w:hAnsi="宋体" w:cs="宋体" w:eastAsia="宋体" w:hint="default"/>
        </w:rPr>
        <w:t>112,043,004.55</w:t>
      </w:r>
      <w:r>
        <w:rPr>
          <w:rFonts w:ascii="宋体" w:hAnsi="宋体" w:cs="宋体" w:eastAsia="宋体" w:hint="default"/>
          <w:w w:val="100"/>
        </w:rPr>
        <w:t> </w:t>
      </w:r>
      <w:r>
        <w:rPr/>
        <w:t>元已全额计提坏账准备。</w:t>
      </w:r>
    </w:p>
    <w:p>
      <w:pPr>
        <w:spacing w:after="0" w:line="355" w:lineRule="auto"/>
        <w:jc w:val="left"/>
        <w:sectPr>
          <w:headerReference w:type="default" r:id="rId5"/>
          <w:footerReference w:type="default" r:id="rId6"/>
          <w:type w:val="continuous"/>
          <w:pgSz w:w="11910" w:h="16840"/>
          <w:pgMar w:header="880" w:footer="1195" w:top="1120" w:bottom="1380" w:left="1660" w:right="106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4"/>
        <w:spacing w:line="422"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4"/>
        <w:tabs>
          <w:tab w:pos="781" w:val="left" w:leader="none"/>
        </w:tabs>
        <w:spacing w:line="355" w:lineRule="auto" w:before="0"/>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tabs>
          <w:tab w:pos="781" w:val="left" w:leader="none"/>
        </w:tabs>
        <w:spacing w:line="484" w:lineRule="exact" w:before="28"/>
        <w:ind w:left="558" w:right="5077" w:hanging="420"/>
        <w:jc w:val="left"/>
        <w:rPr>
          <w:rFonts w:ascii="宋体" w:hAnsi="宋体" w:cs="宋体" w:eastAsia="宋体" w:hint="default"/>
          <w:sz w:val="21"/>
          <w:szCs w:val="21"/>
        </w:rPr>
      </w:pPr>
      <w:r>
        <w:rPr>
          <w:rFonts w:ascii="宋体" w:hAnsi="宋体" w:cs="宋体" w:eastAsia="宋体" w:hint="default"/>
          <w:b/>
          <w:bCs/>
          <w:sz w:val="21"/>
          <w:szCs w:val="21"/>
        </w:rPr>
        <w:t>九、</w:t>
        <w:tab/>
        <w:t>重大风险提示</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、政策和控股子公司拟受处罚的风险</w:t>
      </w:r>
    </w:p>
    <w:p>
      <w:pPr>
        <w:pStyle w:val="BodyText"/>
        <w:spacing w:line="314" w:lineRule="auto" w:before="18"/>
        <w:ind w:left="138" w:right="0" w:firstLine="419"/>
        <w:jc w:val="left"/>
      </w:pPr>
      <w:r>
        <w:rPr>
          <w:spacing w:val="-2"/>
        </w:rPr>
        <w:t>金融监管政策如趋向严格，在金融法律政策完善之前，将对行业金融创新带来一定压抑，行</w:t>
      </w:r>
      <w:r>
        <w:rPr>
          <w:w w:val="100"/>
        </w:rPr>
        <w:t> </w:t>
      </w:r>
      <w:r>
        <w:rPr/>
        <w:t>业和公司发展会受到影响。</w:t>
      </w:r>
    </w:p>
    <w:p>
      <w:pPr>
        <w:pStyle w:val="BodyText"/>
        <w:spacing w:line="314" w:lineRule="auto" w:before="20"/>
        <w:ind w:left="558" w:right="3467"/>
        <w:jc w:val="left"/>
      </w:pPr>
      <w:r>
        <w:rPr>
          <w:spacing w:val="-2"/>
        </w:rPr>
        <w:t>风险的应对措施包括：“拥抱监管，稳妥创新”。</w:t>
      </w:r>
      <w:r>
        <w:rPr>
          <w:spacing w:val="-62"/>
        </w:rPr>
        <w:t> </w:t>
      </w:r>
      <w:r>
        <w:rPr>
          <w:spacing w:val="-62"/>
        </w:rPr>
      </w:r>
      <w:r>
        <w:rPr>
          <w:rFonts w:ascii="宋体" w:hAnsi="宋体" w:cs="宋体" w:eastAsia="宋体" w:hint="default"/>
        </w:rPr>
        <w:t>2</w:t>
      </w:r>
      <w:r>
        <w:rPr/>
        <w:t>、行业规划的风险</w:t>
      </w:r>
    </w:p>
    <w:p>
      <w:pPr>
        <w:pStyle w:val="BodyText"/>
        <w:spacing w:line="314" w:lineRule="auto" w:before="20"/>
        <w:ind w:left="138" w:right="0" w:firstLine="419"/>
        <w:jc w:val="left"/>
      </w:pPr>
      <w:r>
        <w:rPr>
          <w:spacing w:val="-2"/>
        </w:rPr>
        <w:t>公司从事的金融</w:t>
      </w:r>
      <w:r>
        <w:rPr>
          <w:rFonts w:ascii="宋体" w:hAnsi="宋体" w:cs="宋体" w:eastAsia="宋体" w:hint="default"/>
          <w:spacing w:val="-2"/>
        </w:rPr>
        <w:t>IT</w:t>
      </w:r>
      <w:r>
        <w:rPr>
          <w:spacing w:val="-2"/>
        </w:rPr>
        <w:t>服务行业是国家重点关注的领域，如出现行业规划，导致国家行业级的金</w:t>
      </w:r>
      <w:r>
        <w:rPr>
          <w:w w:val="100"/>
        </w:rPr>
        <w:t> </w:t>
      </w:r>
      <w:r>
        <w:rPr/>
        <w:t>融</w:t>
      </w:r>
      <w:r>
        <w:rPr>
          <w:rFonts w:ascii="宋体" w:hAnsi="宋体" w:cs="宋体" w:eastAsia="宋体" w:hint="default"/>
        </w:rPr>
        <w:t>IT</w:t>
      </w:r>
      <w:r>
        <w:rPr/>
        <w:t>服务平台出现，势必影响公司作为独立运营的民营企业的运营风险。</w:t>
      </w:r>
    </w:p>
    <w:p>
      <w:pPr>
        <w:pStyle w:val="BodyText"/>
        <w:spacing w:line="314" w:lineRule="auto" w:before="20"/>
        <w:ind w:left="138" w:right="0" w:firstLine="419"/>
        <w:jc w:val="left"/>
      </w:pPr>
      <w:r>
        <w:rPr>
          <w:spacing w:val="-2"/>
        </w:rPr>
        <w:t>风险的应对措施：积极参与与相关部门的沟通，及时审视公司的基本发展战略，在核心技术</w:t>
      </w:r>
      <w:r>
        <w:rPr>
          <w:w w:val="100"/>
        </w:rPr>
        <w:t> </w:t>
      </w:r>
      <w:r>
        <w:rPr/>
        <w:t>上保持行业领先。</w:t>
      </w:r>
    </w:p>
    <w:p>
      <w:pPr>
        <w:pStyle w:val="BodyText"/>
        <w:spacing w:line="314" w:lineRule="auto" w:before="20"/>
        <w:ind w:left="558" w:right="0"/>
        <w:jc w:val="left"/>
        <w:rPr>
          <w:rFonts w:ascii="宋体" w:hAnsi="宋体" w:cs="宋体" w:eastAsia="宋体" w:hint="default"/>
        </w:rPr>
      </w:pPr>
      <w:r>
        <w:rPr>
          <w:rFonts w:ascii="宋体" w:hAnsi="宋体" w:cs="宋体" w:eastAsia="宋体" w:hint="default"/>
        </w:rPr>
        <w:t>3</w:t>
      </w:r>
      <w:r>
        <w:rPr/>
        <w:t>、技术的风险</w:t>
      </w:r>
      <w:r>
        <w:rPr>
          <w:w w:val="100"/>
        </w:rPr>
        <w:t> </w:t>
      </w:r>
      <w:r>
        <w:rPr>
          <w:rFonts w:ascii="宋体" w:hAnsi="宋体" w:cs="宋体" w:eastAsia="宋体" w:hint="default"/>
          <w:spacing w:val="-2"/>
        </w:rPr>
        <w:t>IT</w:t>
      </w:r>
      <w:r>
        <w:rPr>
          <w:spacing w:val="-2"/>
        </w:rPr>
        <w:t>技术日新月异，如公司不能跟上技术前沿的产品，将给公司造成技术落后的风险，同时</w:t>
      </w:r>
      <w:r>
        <w:rPr>
          <w:rFonts w:ascii="宋体" w:hAnsi="宋体" w:cs="宋体" w:eastAsia="宋体" w:hint="default"/>
          <w:spacing w:val="-2"/>
        </w:rPr>
        <w:t>IT</w:t>
      </w:r>
    </w:p>
    <w:p>
      <w:pPr>
        <w:pStyle w:val="BodyText"/>
        <w:spacing w:line="314" w:lineRule="auto" w:before="20"/>
        <w:ind w:left="138" w:right="0"/>
        <w:jc w:val="left"/>
      </w:pPr>
      <w:r>
        <w:rPr>
          <w:spacing w:val="-2"/>
        </w:rPr>
        <w:t>产品在客户以及自身运营的平台体系亦可能出现各种类型的、不能事先识别与预见的技术风险，</w:t>
      </w:r>
      <w:r>
        <w:rPr>
          <w:spacing w:val="-25"/>
        </w:rPr>
        <w:t> </w:t>
      </w:r>
      <w:r>
        <w:rPr>
          <w:spacing w:val="-25"/>
        </w:rPr>
      </w:r>
      <w:r>
        <w:rPr/>
        <w:t>以及在运维过程中不能避免出现人工风险，上述技术风险均可能导致经济上的损失。</w:t>
      </w:r>
    </w:p>
    <w:p>
      <w:pPr>
        <w:pStyle w:val="BodyText"/>
        <w:spacing w:line="314" w:lineRule="auto" w:before="20"/>
        <w:ind w:left="138" w:right="0" w:firstLine="419"/>
        <w:jc w:val="left"/>
      </w:pPr>
      <w:r>
        <w:rPr>
          <w:spacing w:val="-2"/>
        </w:rPr>
        <w:t>应对风险的措施：积极跟进前沿技术，开展各项新技术的培训工作；对</w:t>
      </w:r>
      <w:r>
        <w:rPr>
          <w:rFonts w:ascii="宋体" w:hAnsi="宋体" w:cs="宋体" w:eastAsia="宋体" w:hint="default"/>
          <w:spacing w:val="-2"/>
        </w:rPr>
        <w:t>IT</w:t>
      </w:r>
      <w:r>
        <w:rPr>
          <w:spacing w:val="-2"/>
        </w:rPr>
        <w:t>产品与运维制定严</w:t>
      </w:r>
      <w:r>
        <w:rPr>
          <w:w w:val="100"/>
        </w:rPr>
        <w:t> </w:t>
      </w:r>
      <w:r>
        <w:rPr/>
        <w:t>格的测试体系和运维体系，落实业务合同签署中的法律风险防范。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before="0"/>
        <w:ind w:left="138" w:right="3467"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3"/>
          <w:szCs w:val="1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0" w:footer="1195" w:top="1120" w:bottom="1380" w:left="1660" w:right="1140"/>
        </w:sectPr>
      </w:pPr>
    </w:p>
    <w:p>
      <w:pPr>
        <w:spacing w:line="240" w:lineRule="auto" w:before="0"/>
        <w:rPr>
          <w:rFonts w:ascii="宋体" w:hAnsi="宋体" w:cs="宋体" w:eastAsia="宋体" w:hint="default"/>
          <w:b/>
          <w:bCs/>
          <w:sz w:val="26"/>
          <w:szCs w:val="26"/>
        </w:rPr>
      </w:pPr>
    </w:p>
    <w:p>
      <w:pPr>
        <w:spacing w:before="14"/>
        <w:ind w:left="4253" w:right="4251"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管理层讨论与分析</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156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2503" w:val="left" w:leader="none"/>
        </w:tabs>
        <w:spacing w:line="240" w:lineRule="auto" w:before="686"/>
        <w:ind w:left="1401" w:right="0"/>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right="2940"/>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2518"/>
        <w:gridCol w:w="1418"/>
        <w:gridCol w:w="5113"/>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恒生、恒生电子、公司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恒生电子股份有限公司</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恒生集团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蚂蚁金服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浙江蚂蚁小微金融服务集团有限公司</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聚源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数米网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杭州数米基金销售有限公司</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维尔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浙江维尔科技股份有限公司</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1.0</w:t>
            </w:r>
            <w:r>
              <w:rPr>
                <w:rFonts w:ascii="Calibri" w:hAnsi="Calibri" w:cs="Calibri" w:eastAsia="Calibri" w:hint="default"/>
                <w:spacing w:val="5"/>
                <w:sz w:val="21"/>
                <w:szCs w:val="21"/>
              </w:rPr>
              <w:t> </w:t>
            </w:r>
            <w:r>
              <w:rPr>
                <w:rFonts w:ascii="宋体" w:hAnsi="宋体" w:cs="宋体" w:eastAsia="宋体" w:hint="default"/>
                <w:sz w:val="21"/>
                <w:szCs w:val="21"/>
              </w:rPr>
              <w:t>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指向金融客户销售传统的软件，收入的主要来源是软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件产品的销售以及适当的服务费；</w:t>
            </w:r>
          </w:p>
        </w:tc>
      </w:tr>
      <w:tr>
        <w:trPr>
          <w:trHeight w:val="557"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w:t>
            </w:r>
            <w:r>
              <w:rPr>
                <w:rFonts w:ascii="Calibri" w:hAnsi="Calibri" w:cs="Calibri" w:eastAsia="Calibri" w:hint="default"/>
                <w:spacing w:val="5"/>
                <w:sz w:val="21"/>
                <w:szCs w:val="21"/>
              </w:rPr>
              <w:t> </w:t>
            </w:r>
            <w:r>
              <w:rPr>
                <w:rFonts w:ascii="宋体" w:hAnsi="宋体" w:cs="宋体" w:eastAsia="宋体" w:hint="default"/>
                <w:sz w:val="21"/>
                <w:szCs w:val="21"/>
              </w:rPr>
              <w:t>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用云</w:t>
            </w:r>
            <w:r>
              <w:rPr>
                <w:rFonts w:ascii="宋体" w:hAnsi="宋体" w:cs="宋体" w:eastAsia="宋体" w:hint="default"/>
                <w:spacing w:val="-3"/>
                <w:w w:val="100"/>
                <w:sz w:val="21"/>
                <w:szCs w:val="21"/>
              </w:rPr>
              <w:t>计</w:t>
            </w:r>
            <w:r>
              <w:rPr>
                <w:rFonts w:ascii="宋体" w:hAnsi="宋体" w:cs="宋体" w:eastAsia="宋体" w:hint="default"/>
                <w:w w:val="100"/>
                <w:sz w:val="21"/>
                <w:szCs w:val="21"/>
              </w:rPr>
              <w:t>算</w:t>
            </w:r>
            <w:r>
              <w:rPr>
                <w:rFonts w:ascii="宋体" w:hAnsi="宋体" w:cs="宋体" w:eastAsia="宋体" w:hint="default"/>
                <w:spacing w:val="-3"/>
                <w:w w:val="100"/>
                <w:sz w:val="21"/>
                <w:szCs w:val="21"/>
              </w:rPr>
              <w:t>和</w:t>
            </w:r>
            <w:r>
              <w:rPr>
                <w:rFonts w:ascii="宋体" w:hAnsi="宋体" w:cs="宋体" w:eastAsia="宋体" w:hint="default"/>
                <w:w w:val="100"/>
                <w:sz w:val="21"/>
                <w:szCs w:val="21"/>
              </w:rPr>
              <w:t>互</w:t>
            </w:r>
            <w:r>
              <w:rPr>
                <w:rFonts w:ascii="宋体" w:hAnsi="宋体" w:cs="宋体" w:eastAsia="宋体" w:hint="default"/>
                <w:spacing w:val="-3"/>
                <w:w w:val="100"/>
                <w:sz w:val="21"/>
                <w:szCs w:val="21"/>
              </w:rPr>
              <w:t>联</w:t>
            </w:r>
            <w:r>
              <w:rPr>
                <w:rFonts w:ascii="宋体" w:hAnsi="宋体" w:cs="宋体" w:eastAsia="宋体" w:hint="default"/>
                <w:w w:val="100"/>
                <w:sz w:val="21"/>
                <w:szCs w:val="21"/>
              </w:rPr>
              <w:t>网</w:t>
            </w:r>
            <w:r>
              <w:rPr>
                <w:rFonts w:ascii="宋体" w:hAnsi="宋体" w:cs="宋体" w:eastAsia="宋体" w:hint="default"/>
                <w:spacing w:val="-108"/>
                <w:w w:val="100"/>
                <w:sz w:val="21"/>
                <w:szCs w:val="21"/>
              </w:rPr>
              <w:t>，</w:t>
            </w:r>
            <w:r>
              <w:rPr>
                <w:rFonts w:ascii="宋体" w:hAnsi="宋体" w:cs="宋体" w:eastAsia="宋体" w:hint="default"/>
                <w:w w:val="100"/>
                <w:sz w:val="21"/>
                <w:szCs w:val="21"/>
              </w:rPr>
              <w:t>向</w:t>
            </w:r>
            <w:r>
              <w:rPr>
                <w:rFonts w:ascii="宋体" w:hAnsi="宋体" w:cs="宋体" w:eastAsia="宋体" w:hint="default"/>
                <w:spacing w:val="-3"/>
                <w:w w:val="100"/>
                <w:sz w:val="21"/>
                <w:szCs w:val="21"/>
              </w:rPr>
              <w:t>金融</w:t>
            </w:r>
            <w:r>
              <w:rPr>
                <w:rFonts w:ascii="宋体" w:hAnsi="宋体" w:cs="宋体" w:eastAsia="宋体" w:hint="default"/>
                <w:w w:val="100"/>
                <w:sz w:val="21"/>
                <w:szCs w:val="21"/>
              </w:rPr>
              <w:t>客户</w:t>
            </w:r>
            <w:r>
              <w:rPr>
                <w:rFonts w:ascii="宋体" w:hAnsi="宋体" w:cs="宋体" w:eastAsia="宋体" w:hint="default"/>
                <w:spacing w:val="-3"/>
                <w:w w:val="100"/>
                <w:sz w:val="21"/>
                <w:szCs w:val="21"/>
              </w:rPr>
              <w:t>提</w:t>
            </w:r>
            <w:r>
              <w:rPr>
                <w:rFonts w:ascii="宋体" w:hAnsi="宋体" w:cs="宋体" w:eastAsia="宋体" w:hint="default"/>
                <w:w w:val="100"/>
                <w:sz w:val="21"/>
                <w:szCs w:val="21"/>
              </w:rPr>
              <w:t>供</w:t>
            </w:r>
            <w:r>
              <w:rPr>
                <w:rFonts w:ascii="宋体" w:hAnsi="宋体" w:cs="宋体" w:eastAsia="宋体" w:hint="default"/>
                <w:spacing w:val="-71"/>
                <w:sz w:val="21"/>
                <w:szCs w:val="21"/>
              </w:rPr>
              <w:t> </w:t>
            </w:r>
            <w:r>
              <w:rPr>
                <w:rFonts w:ascii="宋体" w:hAnsi="宋体" w:cs="宋体" w:eastAsia="宋体" w:hint="default"/>
                <w:spacing w:val="-3"/>
                <w:w w:val="100"/>
                <w:sz w:val="21"/>
                <w:szCs w:val="21"/>
              </w:rPr>
              <w:t>I</w:t>
            </w:r>
            <w:r>
              <w:rPr>
                <w:rFonts w:ascii="宋体" w:hAnsi="宋体" w:cs="宋体" w:eastAsia="宋体" w:hint="default"/>
                <w:w w:val="100"/>
                <w:sz w:val="21"/>
                <w:szCs w:val="21"/>
              </w:rPr>
              <w:t>T</w:t>
            </w:r>
            <w:r>
              <w:rPr>
                <w:rFonts w:ascii="宋体" w:hAnsi="宋体" w:cs="宋体" w:eastAsia="宋体" w:hint="default"/>
                <w:spacing w:val="-72"/>
                <w:sz w:val="21"/>
                <w:szCs w:val="21"/>
              </w:rPr>
              <w:t> </w:t>
            </w:r>
            <w:r>
              <w:rPr>
                <w:rFonts w:ascii="宋体" w:hAnsi="宋体" w:cs="宋体" w:eastAsia="宋体" w:hint="default"/>
                <w:spacing w:val="-3"/>
                <w:w w:val="100"/>
                <w:sz w:val="21"/>
                <w:szCs w:val="21"/>
              </w:rPr>
              <w:t>及</w:t>
            </w:r>
            <w:r>
              <w:rPr>
                <w:rFonts w:ascii="宋体" w:hAnsi="宋体" w:cs="宋体" w:eastAsia="宋体" w:hint="default"/>
                <w:w w:val="100"/>
                <w:sz w:val="21"/>
                <w:szCs w:val="21"/>
              </w:rPr>
              <w:t>托</w:t>
            </w:r>
            <w:r>
              <w:rPr>
                <w:rFonts w:ascii="宋体" w:hAnsi="宋体" w:cs="宋体" w:eastAsia="宋体" w:hint="default"/>
                <w:spacing w:val="-3"/>
                <w:w w:val="100"/>
                <w:sz w:val="21"/>
                <w:szCs w:val="21"/>
              </w:rPr>
              <w:t>管</w:t>
            </w:r>
            <w:r>
              <w:rPr>
                <w:rFonts w:ascii="宋体" w:hAnsi="宋体" w:cs="宋体" w:eastAsia="宋体" w:hint="default"/>
                <w:w w:val="100"/>
                <w:sz w:val="21"/>
                <w:szCs w:val="21"/>
              </w:rPr>
              <w:t>服</w:t>
            </w:r>
            <w:r>
              <w:rPr>
                <w:rFonts w:ascii="宋体" w:hAnsi="宋体" w:cs="宋体" w:eastAsia="宋体" w:hint="default"/>
                <w:spacing w:val="-3"/>
                <w:w w:val="100"/>
                <w:sz w:val="21"/>
                <w:szCs w:val="21"/>
              </w:rPr>
              <w:t>务等</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收入的主要来源是</w:t>
            </w:r>
            <w:r>
              <w:rPr>
                <w:rFonts w:ascii="宋体" w:hAnsi="宋体" w:cs="宋体" w:eastAsia="宋体" w:hint="default"/>
                <w:spacing w:val="-55"/>
                <w:sz w:val="21"/>
                <w:szCs w:val="21"/>
              </w:rPr>
              <w:t> </w:t>
            </w:r>
            <w:r>
              <w:rPr>
                <w:rFonts w:ascii="宋体" w:hAnsi="宋体" w:cs="宋体" w:eastAsia="宋体" w:hint="default"/>
                <w:sz w:val="21"/>
                <w:szCs w:val="21"/>
              </w:rPr>
              <w:t>IT</w:t>
            </w:r>
            <w:r>
              <w:rPr>
                <w:rFonts w:ascii="宋体" w:hAnsi="宋体" w:cs="宋体" w:eastAsia="宋体" w:hint="default"/>
                <w:spacing w:val="-55"/>
                <w:sz w:val="21"/>
                <w:szCs w:val="21"/>
              </w:rPr>
              <w:t> </w:t>
            </w:r>
            <w:r>
              <w:rPr>
                <w:rFonts w:ascii="宋体" w:hAnsi="宋体" w:cs="宋体" w:eastAsia="宋体" w:hint="default"/>
                <w:sz w:val="21"/>
                <w:szCs w:val="21"/>
              </w:rPr>
              <w:t>管理服务费；</w:t>
            </w:r>
          </w:p>
        </w:tc>
      </w:tr>
      <w:tr>
        <w:trPr>
          <w:trHeight w:val="82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Calibri" w:hAnsi="Calibri" w:cs="Calibri" w:eastAsia="Calibri" w:hint="default"/>
                <w:sz w:val="21"/>
                <w:szCs w:val="21"/>
              </w:rPr>
              <w:t>3.0</w:t>
            </w:r>
            <w:r>
              <w:rPr>
                <w:rFonts w:ascii="Calibri" w:hAnsi="Calibri" w:cs="Calibri" w:eastAsia="Calibri" w:hint="default"/>
                <w:spacing w:val="5"/>
                <w:sz w:val="21"/>
                <w:szCs w:val="21"/>
              </w:rPr>
              <w:t> </w:t>
            </w:r>
            <w:r>
              <w:rPr>
                <w:rFonts w:ascii="宋体" w:hAnsi="宋体" w:cs="宋体" w:eastAsia="宋体" w:hint="default"/>
                <w:sz w:val="21"/>
                <w:szCs w:val="21"/>
              </w:rPr>
              <w:t>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利用 </w:t>
            </w:r>
            <w:r>
              <w:rPr>
                <w:rFonts w:ascii="宋体" w:hAnsi="宋体" w:cs="宋体" w:eastAsia="宋体" w:hint="default"/>
                <w:sz w:val="21"/>
                <w:szCs w:val="21"/>
              </w:rPr>
              <w:t>IT</w:t>
            </w:r>
            <w:r>
              <w:rPr>
                <w:rFonts w:ascii="宋体" w:hAnsi="宋体" w:cs="宋体" w:eastAsia="宋体" w:hint="default"/>
                <w:spacing w:val="-72"/>
                <w:sz w:val="21"/>
                <w:szCs w:val="21"/>
              </w:rPr>
              <w:t> </w:t>
            </w:r>
            <w:r>
              <w:rPr>
                <w:rFonts w:ascii="宋体" w:hAnsi="宋体" w:cs="宋体" w:eastAsia="宋体" w:hint="default"/>
                <w:spacing w:val="-4"/>
                <w:sz w:val="21"/>
                <w:szCs w:val="21"/>
              </w:rPr>
              <w:t>平台技术，提供技术互联互通，为金融客户的</w:t>
            </w:r>
          </w:p>
          <w:p>
            <w:pPr>
              <w:pStyle w:val="TableParagraph"/>
              <w:spacing w:line="240" w:lineRule="auto"/>
              <w:ind w:left="103" w:right="106"/>
              <w:jc w:val="left"/>
              <w:rPr>
                <w:rFonts w:ascii="宋体" w:hAnsi="宋体" w:cs="宋体" w:eastAsia="宋体" w:hint="default"/>
                <w:sz w:val="21"/>
                <w:szCs w:val="21"/>
              </w:rPr>
            </w:pPr>
            <w:r>
              <w:rPr>
                <w:rFonts w:ascii="宋体" w:hAnsi="宋体" w:cs="宋体" w:eastAsia="宋体" w:hint="default"/>
                <w:sz w:val="21"/>
                <w:szCs w:val="21"/>
              </w:rPr>
              <w:t>金融业务提供协同服务，收入的主要来源是业务合作</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费的分成。</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银行市场业务线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客户对象为银行的各个业务部门。</w:t>
            </w:r>
          </w:p>
        </w:tc>
      </w:tr>
      <w:tr>
        <w:trPr>
          <w:trHeight w:val="82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资本市场业务线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公司整合了证券和基金与机构理财事业部的技术产品</w:t>
            </w:r>
          </w:p>
          <w:p>
            <w:pPr>
              <w:pStyle w:val="TableParagraph"/>
              <w:spacing w:line="240" w:lineRule="auto"/>
              <w:ind w:left="103" w:right="106"/>
              <w:jc w:val="left"/>
              <w:rPr>
                <w:rFonts w:ascii="宋体" w:hAnsi="宋体" w:cs="宋体" w:eastAsia="宋体" w:hint="default"/>
                <w:sz w:val="21"/>
                <w:szCs w:val="21"/>
              </w:rPr>
            </w:pPr>
            <w:r>
              <w:rPr>
                <w:rFonts w:ascii="宋体" w:hAnsi="宋体" w:cs="宋体" w:eastAsia="宋体" w:hint="default"/>
                <w:sz w:val="21"/>
                <w:szCs w:val="21"/>
              </w:rPr>
              <w:t>线而设立的新部门，包括经纪业务、财富管理、资产</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管理等下属部门。</w:t>
            </w:r>
          </w:p>
        </w:tc>
      </w:tr>
      <w:tr>
        <w:trPr>
          <w:trHeight w:val="110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松耦合</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both"/>
              <w:rPr>
                <w:rFonts w:ascii="宋体" w:hAnsi="宋体" w:cs="宋体" w:eastAsia="宋体" w:hint="default"/>
                <w:sz w:val="21"/>
                <w:szCs w:val="21"/>
              </w:rPr>
            </w:pPr>
            <w:r>
              <w:rPr>
                <w:rFonts w:ascii="宋体" w:hAnsi="宋体" w:cs="宋体" w:eastAsia="宋体" w:hint="default"/>
                <w:sz w:val="21"/>
                <w:szCs w:val="21"/>
              </w:rPr>
              <w:t>“耦合”一般指软件组件之间的依赖程度，松耦合架</w:t>
            </w:r>
          </w:p>
          <w:p>
            <w:pPr>
              <w:pStyle w:val="TableParagraph"/>
              <w:spacing w:line="237" w:lineRule="auto"/>
              <w:ind w:left="103" w:right="106"/>
              <w:jc w:val="both"/>
              <w:rPr>
                <w:rFonts w:ascii="宋体" w:hAnsi="宋体" w:cs="宋体" w:eastAsia="宋体" w:hint="default"/>
                <w:sz w:val="21"/>
                <w:szCs w:val="21"/>
              </w:rPr>
            </w:pPr>
            <w:r>
              <w:rPr>
                <w:rFonts w:ascii="宋体" w:hAnsi="宋体" w:cs="宋体" w:eastAsia="宋体" w:hint="default"/>
                <w:sz w:val="21"/>
                <w:szCs w:val="21"/>
              </w:rPr>
              <w:t>构的主要目的是降低整体复杂性和依赖性，使应用程</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序环境更敏捷，能更快的适应更改，降低风险并方便</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维护。</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Calibri" w:hAnsi="Calibri" w:cs="Calibri" w:eastAsia="Calibri" w:hint="default"/>
                <w:sz w:val="21"/>
                <w:szCs w:val="21"/>
              </w:rPr>
            </w:pPr>
            <w:r>
              <w:rPr>
                <w:rFonts w:ascii="Calibri"/>
                <w:spacing w:val="-17"/>
                <w:sz w:val="21"/>
              </w:rPr>
              <w:t>TA</w:t>
            </w:r>
            <w:r>
              <w:rPr>
                <w:rFonts w:ascii="Calibri"/>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tabs>
                <w:tab w:pos="2729" w:val="left" w:leader="none"/>
              </w:tabs>
              <w:spacing w:line="232"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登记过户系统（</w:t>
            </w:r>
            <w:r>
              <w:rPr>
                <w:rFonts w:ascii="宋体" w:hAnsi="宋体" w:cs="宋体" w:eastAsia="宋体" w:hint="default"/>
                <w:spacing w:val="-1"/>
                <w:sz w:val="21"/>
                <w:szCs w:val="21"/>
              </w:rPr>
              <w:t>Transfer</w:t>
              <w:tab/>
              <w:t>Agent</w:t>
            </w:r>
            <w:r>
              <w:rPr>
                <w:rFonts w:ascii="宋体" w:hAnsi="宋体" w:cs="宋体" w:eastAsia="宋体" w:hint="default"/>
                <w:spacing w:val="-1"/>
                <w:sz w:val="21"/>
                <w:szCs w:val="21"/>
              </w:rPr>
              <w:t>）</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Calibri" w:hAnsi="Calibri" w:cs="Calibri" w:eastAsia="Calibri" w:hint="default"/>
                <w:sz w:val="21"/>
                <w:szCs w:val="21"/>
              </w:rPr>
            </w:pPr>
            <w:r>
              <w:rPr>
                <w:rFonts w:ascii="宋体" w:hAnsi="宋体" w:cs="宋体" w:eastAsia="宋体" w:hint="default"/>
                <w:sz w:val="21"/>
                <w:szCs w:val="21"/>
              </w:rPr>
              <w:t>分</w:t>
            </w:r>
            <w:r>
              <w:rPr>
                <w:rFonts w:ascii="宋体" w:hAnsi="宋体" w:cs="宋体" w:eastAsia="宋体" w:hint="default"/>
                <w:spacing w:val="-51"/>
                <w:sz w:val="21"/>
                <w:szCs w:val="21"/>
              </w:rPr>
              <w:t> </w:t>
            </w:r>
            <w:r>
              <w:rPr>
                <w:rFonts w:ascii="Calibri" w:hAnsi="Calibri" w:cs="Calibri" w:eastAsia="Calibri" w:hint="default"/>
                <w:spacing w:val="-17"/>
                <w:sz w:val="21"/>
                <w:szCs w:val="21"/>
              </w:rPr>
              <w:t>TA</w:t>
            </w:r>
            <w:r>
              <w:rPr>
                <w:rFonts w:ascii="Calibri" w:hAnsi="Calibri" w:cs="Calibri" w:eastAsia="Calibri"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基金公司通过中登公司统一分发和登记管理的登记管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理模式。</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O32 </w:t>
            </w:r>
            <w:r>
              <w:rPr>
                <w:rFonts w:ascii="宋体" w:hAnsi="宋体" w:cs="宋体" w:eastAsia="宋体" w:hint="default"/>
                <w:sz w:val="21"/>
                <w:szCs w:val="21"/>
              </w:rPr>
              <w:t>及</w:t>
            </w:r>
            <w:r>
              <w:rPr>
                <w:rFonts w:ascii="宋体" w:hAnsi="宋体" w:cs="宋体" w:eastAsia="宋体" w:hint="default"/>
                <w:spacing w:val="-47"/>
                <w:sz w:val="21"/>
                <w:szCs w:val="21"/>
              </w:rPr>
              <w:t> </w:t>
            </w:r>
            <w:r>
              <w:rPr>
                <w:rFonts w:ascii="Calibri" w:hAnsi="Calibri" w:cs="Calibri" w:eastAsia="Calibri" w:hint="default"/>
                <w:spacing w:val="-4"/>
                <w:sz w:val="21"/>
                <w:szCs w:val="21"/>
              </w:rPr>
              <w:t>O4</w:t>
            </w:r>
            <w:r>
              <w:rPr>
                <w:rFonts w:ascii="Calibri" w:hAnsi="Calibri" w:cs="Calibri" w:eastAsia="Calibri"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公司的投资交易系统，</w:t>
            </w:r>
            <w:r>
              <w:rPr>
                <w:rFonts w:ascii="宋体" w:hAnsi="宋体" w:cs="宋体" w:eastAsia="宋体" w:hint="default"/>
                <w:spacing w:val="-3"/>
                <w:sz w:val="21"/>
                <w:szCs w:val="21"/>
              </w:rPr>
              <w:t>O</w:t>
            </w:r>
            <w:r>
              <w:rPr>
                <w:rFonts w:ascii="宋体" w:hAnsi="宋体" w:cs="宋体" w:eastAsia="宋体" w:hint="default"/>
                <w:spacing w:val="-52"/>
                <w:sz w:val="21"/>
                <w:szCs w:val="21"/>
              </w:rPr>
              <w:t> </w:t>
            </w:r>
            <w:r>
              <w:rPr>
                <w:rFonts w:ascii="宋体" w:hAnsi="宋体" w:cs="宋体" w:eastAsia="宋体" w:hint="default"/>
                <w:sz w:val="21"/>
                <w:szCs w:val="21"/>
              </w:rPr>
              <w:t>指</w:t>
            </w:r>
            <w:r>
              <w:rPr>
                <w:rFonts w:ascii="宋体" w:hAnsi="宋体" w:cs="宋体" w:eastAsia="宋体" w:hint="default"/>
                <w:spacing w:val="-49"/>
                <w:sz w:val="21"/>
                <w:szCs w:val="21"/>
              </w:rPr>
              <w:t> </w:t>
            </w:r>
            <w:r>
              <w:rPr>
                <w:rFonts w:ascii="宋体" w:hAnsi="宋体" w:cs="宋体" w:eastAsia="宋体" w:hint="default"/>
                <w:sz w:val="21"/>
                <w:szCs w:val="21"/>
              </w:rPr>
              <w:t>Oracel</w:t>
            </w:r>
            <w:r>
              <w:rPr>
                <w:rFonts w:ascii="宋体" w:hAnsi="宋体" w:cs="宋体" w:eastAsia="宋体" w:hint="default"/>
                <w:spacing w:val="-52"/>
                <w:sz w:val="21"/>
                <w:szCs w:val="21"/>
              </w:rPr>
              <w:t> </w:t>
            </w:r>
            <w:r>
              <w:rPr>
                <w:rFonts w:ascii="宋体" w:hAnsi="宋体" w:cs="宋体" w:eastAsia="宋体" w:hint="default"/>
                <w:spacing w:val="-5"/>
                <w:sz w:val="21"/>
                <w:szCs w:val="21"/>
              </w:rPr>
              <w:t>版本，</w:t>
            </w:r>
            <w:r>
              <w:rPr>
                <w:rFonts w:ascii="宋体" w:hAnsi="宋体" w:cs="宋体" w:eastAsia="宋体" w:hint="default"/>
                <w:spacing w:val="-5"/>
                <w:sz w:val="21"/>
                <w:szCs w:val="21"/>
              </w:rPr>
              <w:t>32</w:t>
            </w:r>
            <w:r>
              <w:rPr>
                <w:rFonts w:ascii="宋体" w:hAnsi="宋体" w:cs="宋体" w:eastAsia="宋体" w:hint="default"/>
                <w:spacing w:val="-52"/>
                <w:sz w:val="21"/>
                <w:szCs w:val="21"/>
              </w:rPr>
              <w:t> </w:t>
            </w:r>
            <w:r>
              <w:rPr>
                <w:rFonts w:ascii="宋体" w:hAnsi="宋体" w:cs="宋体" w:eastAsia="宋体" w:hint="default"/>
                <w:sz w:val="21"/>
                <w:szCs w:val="21"/>
              </w:rPr>
              <w:t>指</w:t>
            </w:r>
            <w:r>
              <w:rPr>
                <w:rFonts w:ascii="宋体" w:hAnsi="宋体" w:cs="宋体" w:eastAsia="宋体" w:hint="default"/>
                <w:spacing w:val="-49"/>
                <w:sz w:val="21"/>
                <w:szCs w:val="21"/>
              </w:rPr>
              <w:t> </w:t>
            </w:r>
            <w:r>
              <w:rPr>
                <w:rFonts w:ascii="宋体" w:hAnsi="宋体" w:cs="宋体" w:eastAsia="宋体" w:hint="default"/>
                <w:sz w:val="21"/>
                <w:szCs w:val="21"/>
              </w:rPr>
              <w:t>3.2</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指</w:t>
            </w:r>
            <w:r>
              <w:rPr>
                <w:rFonts w:ascii="宋体" w:hAnsi="宋体" w:cs="宋体" w:eastAsia="宋体" w:hint="default"/>
                <w:spacing w:val="-51"/>
                <w:sz w:val="21"/>
                <w:szCs w:val="21"/>
              </w:rPr>
              <w:t> </w:t>
            </w:r>
            <w:r>
              <w:rPr>
                <w:rFonts w:ascii="宋体" w:hAnsi="宋体" w:cs="宋体" w:eastAsia="宋体" w:hint="default"/>
                <w:sz w:val="21"/>
                <w:szCs w:val="21"/>
              </w:rPr>
              <w:t>4.0</w:t>
            </w:r>
            <w:r>
              <w:rPr>
                <w:rFonts w:ascii="宋体" w:hAnsi="宋体" w:cs="宋体" w:eastAsia="宋体" w:hint="default"/>
                <w:spacing w:val="-52"/>
                <w:sz w:val="21"/>
                <w:szCs w:val="21"/>
              </w:rPr>
              <w:t> </w:t>
            </w:r>
            <w:r>
              <w:rPr>
                <w:rFonts w:ascii="宋体" w:hAnsi="宋体" w:cs="宋体" w:eastAsia="宋体" w:hint="default"/>
                <w:sz w:val="21"/>
                <w:szCs w:val="21"/>
              </w:rPr>
              <w:t>版本。</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Calibri" w:hAnsi="Calibri" w:cs="Calibri" w:eastAsia="Calibri" w:hint="default"/>
                <w:sz w:val="21"/>
                <w:szCs w:val="21"/>
              </w:rPr>
            </w:pPr>
            <w:r>
              <w:rPr>
                <w:rFonts w:ascii="Calibri"/>
                <w:sz w:val="21"/>
              </w:rPr>
              <w:t>UFT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tabs>
                <w:tab w:pos="2940" w:val="left" w:leader="none"/>
              </w:tabs>
              <w:spacing w:line="23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极速交易系统（</w:t>
            </w:r>
            <w:r>
              <w:rPr>
                <w:rFonts w:ascii="宋体" w:hAnsi="宋体" w:cs="宋体" w:eastAsia="宋体" w:hint="default"/>
                <w:spacing w:val="-2"/>
                <w:sz w:val="21"/>
                <w:szCs w:val="21"/>
              </w:rPr>
              <w:t>Ultra-Fast</w:t>
              <w:tab/>
            </w:r>
            <w:r>
              <w:rPr>
                <w:rFonts w:ascii="宋体" w:hAnsi="宋体" w:cs="宋体" w:eastAsia="宋体" w:hint="default"/>
                <w:spacing w:val="-1"/>
                <w:sz w:val="21"/>
                <w:szCs w:val="21"/>
              </w:rPr>
              <w:t>Trading</w:t>
            </w:r>
            <w:r>
              <w:rPr>
                <w:rFonts w:ascii="宋体" w:hAnsi="宋体" w:cs="宋体" w:eastAsia="宋体" w:hint="default"/>
                <w:spacing w:val="-1"/>
                <w:sz w:val="21"/>
                <w:szCs w:val="21"/>
              </w:rPr>
              <w:t>）</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Calibri" w:hAnsi="Calibri" w:cs="Calibri" w:eastAsia="Calibri" w:hint="default"/>
                <w:sz w:val="21"/>
                <w:szCs w:val="21"/>
              </w:rPr>
            </w:pPr>
            <w:r>
              <w:rPr>
                <w:rFonts w:ascii="Calibri"/>
                <w:sz w:val="21"/>
              </w:rPr>
              <w:t>UF2.0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经纪业务运营平台系统</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版</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Calibri" w:hAnsi="Calibri" w:cs="Calibri" w:eastAsia="Calibri" w:hint="default"/>
                <w:sz w:val="21"/>
                <w:szCs w:val="21"/>
              </w:rPr>
            </w:pPr>
            <w:r>
              <w:rPr>
                <w:rFonts w:ascii="Calibri"/>
                <w:spacing w:val="-2"/>
                <w:sz w:val="21"/>
              </w:rPr>
              <w:t>UFX</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UF2.0</w:t>
            </w:r>
            <w:r>
              <w:rPr>
                <w:rFonts w:ascii="宋体" w:hAnsi="宋体" w:cs="宋体" w:eastAsia="宋体" w:hint="default"/>
                <w:spacing w:val="-55"/>
                <w:sz w:val="21"/>
                <w:szCs w:val="21"/>
              </w:rPr>
              <w:t> </w:t>
            </w:r>
            <w:r>
              <w:rPr>
                <w:rFonts w:ascii="宋体" w:hAnsi="宋体" w:cs="宋体" w:eastAsia="宋体" w:hint="default"/>
                <w:sz w:val="21"/>
                <w:szCs w:val="21"/>
              </w:rPr>
              <w:t>平台的数据交换和接入平台，</w:t>
            </w:r>
            <w:r>
              <w:rPr>
                <w:rFonts w:ascii="宋体" w:hAnsi="宋体" w:cs="宋体" w:eastAsia="宋体" w:hint="default"/>
                <w:sz w:val="21"/>
                <w:szCs w:val="21"/>
              </w:rPr>
              <w:t>X</w:t>
            </w:r>
            <w:r>
              <w:rPr>
                <w:rFonts w:ascii="宋体" w:hAnsi="宋体" w:cs="宋体" w:eastAsia="宋体" w:hint="default"/>
                <w:spacing w:val="-52"/>
                <w:sz w:val="21"/>
                <w:szCs w:val="21"/>
              </w:rPr>
              <w:t> </w:t>
            </w:r>
            <w:r>
              <w:rPr>
                <w:rFonts w:ascii="宋体" w:hAnsi="宋体" w:cs="宋体" w:eastAsia="宋体" w:hint="default"/>
                <w:sz w:val="21"/>
                <w:szCs w:val="21"/>
              </w:rPr>
              <w:t>指</w:t>
            </w:r>
            <w:r>
              <w:rPr>
                <w:rFonts w:ascii="宋体" w:hAnsi="宋体" w:cs="宋体" w:eastAsia="宋体" w:hint="default"/>
                <w:spacing w:val="-55"/>
                <w:sz w:val="21"/>
                <w:szCs w:val="21"/>
              </w:rPr>
              <w:t> </w:t>
            </w:r>
            <w:r>
              <w:rPr>
                <w:rFonts w:ascii="宋体" w:hAnsi="宋体" w:cs="宋体" w:eastAsia="宋体" w:hint="default"/>
                <w:sz w:val="21"/>
                <w:szCs w:val="21"/>
              </w:rPr>
              <w:t>Exchange.</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Calibri" w:hAnsi="Calibri" w:cs="Calibri" w:eastAsia="Calibri" w:hint="default"/>
                <w:sz w:val="21"/>
                <w:szCs w:val="21"/>
              </w:rPr>
            </w:pPr>
            <w:r>
              <w:rPr>
                <w:rFonts w:ascii="Calibri"/>
                <w:sz w:val="21"/>
              </w:rPr>
              <w:t>ARES</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公司金融基础件平台，是“敏捷、复用、易用”的首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字母组合命名。</w:t>
            </w:r>
          </w:p>
        </w:tc>
      </w:tr>
      <w:tr>
        <w:trPr>
          <w:trHeight w:val="557"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Calibri" w:hAnsi="Calibri" w:cs="Calibri" w:eastAsia="Calibri" w:hint="default"/>
                <w:sz w:val="21"/>
                <w:szCs w:val="21"/>
              </w:rPr>
            </w:pPr>
            <w:r>
              <w:rPr>
                <w:rFonts w:ascii="Calibri"/>
                <w:spacing w:val="-4"/>
                <w:sz w:val="21"/>
              </w:rPr>
              <w:t>OTC</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tabs>
                <w:tab w:pos="2346" w:val="left" w:leader="none"/>
              </w:tabs>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柜台交易系统（</w:t>
            </w:r>
            <w:r>
              <w:rPr>
                <w:rFonts w:ascii="宋体" w:hAnsi="宋体" w:cs="宋体" w:eastAsia="宋体" w:hint="default"/>
                <w:sz w:val="21"/>
                <w:szCs w:val="21"/>
              </w:rPr>
              <w:t>Over</w:t>
              <w:tab/>
              <w:t>The</w:t>
            </w:r>
            <w:r>
              <w:rPr>
                <w:rFonts w:ascii="宋体" w:hAnsi="宋体" w:cs="宋体" w:eastAsia="宋体" w:hint="default"/>
                <w:spacing w:val="27"/>
                <w:sz w:val="21"/>
                <w:szCs w:val="21"/>
              </w:rPr>
              <w:t> </w:t>
            </w:r>
            <w:r>
              <w:rPr>
                <w:rFonts w:ascii="宋体" w:hAnsi="宋体" w:cs="宋体" w:eastAsia="宋体" w:hint="default"/>
                <w:sz w:val="21"/>
                <w:szCs w:val="21"/>
              </w:rPr>
              <w:t>Counter</w:t>
            </w:r>
            <w:r>
              <w:rPr>
                <w:rFonts w:ascii="宋体" w:hAnsi="宋体" w:cs="宋体" w:eastAsia="宋体" w:hint="default"/>
                <w:sz w:val="21"/>
                <w:szCs w:val="21"/>
              </w:rPr>
              <w:t>），泛指场外交</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易市场。</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Calibri" w:hAnsi="Calibri" w:cs="Calibri" w:eastAsia="Calibri" w:hint="default"/>
                <w:sz w:val="21"/>
                <w:szCs w:val="21"/>
              </w:rPr>
            </w:pPr>
            <w:r>
              <w:rPr>
                <w:rFonts w:ascii="Calibri"/>
                <w:sz w:val="21"/>
              </w:rPr>
              <w:t>TCMP</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公司信托综合管理平台系统的简称。</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Calibri" w:hAnsi="Calibri" w:cs="Calibri" w:eastAsia="Calibri" w:hint="default"/>
                <w:sz w:val="21"/>
                <w:szCs w:val="21"/>
              </w:rPr>
            </w:pPr>
            <w:r>
              <w:rPr>
                <w:rFonts w:ascii="Calibri"/>
                <w:sz w:val="21"/>
              </w:rPr>
              <w:t>HSNET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公司的互联网基础服务。</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投资赢家</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公司的投资终端行情与交易产品，有 </w:t>
            </w:r>
            <w:r>
              <w:rPr>
                <w:rFonts w:ascii="宋体" w:hAnsi="宋体" w:cs="宋体" w:eastAsia="宋体" w:hint="default"/>
                <w:sz w:val="21"/>
                <w:szCs w:val="21"/>
              </w:rPr>
              <w:t>PC</w:t>
            </w:r>
            <w:r>
              <w:rPr>
                <w:rFonts w:ascii="宋体" w:hAnsi="宋体" w:cs="宋体" w:eastAsia="宋体" w:hint="default"/>
                <w:spacing w:val="-80"/>
                <w:sz w:val="21"/>
                <w:szCs w:val="21"/>
              </w:rPr>
              <w:t> </w:t>
            </w:r>
            <w:r>
              <w:rPr>
                <w:rFonts w:ascii="宋体" w:hAnsi="宋体" w:cs="宋体" w:eastAsia="宋体" w:hint="default"/>
                <w:sz w:val="21"/>
                <w:szCs w:val="21"/>
              </w:rPr>
              <w:t>应用和移动应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用。</w:t>
            </w:r>
          </w:p>
        </w:tc>
      </w:tr>
    </w:tbl>
    <w:p>
      <w:pPr>
        <w:spacing w:after="0" w:line="273"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11"/>
        <w:rPr>
          <w:rFonts w:ascii="宋体" w:hAnsi="宋体" w:cs="宋体" w:eastAsia="宋体" w:hint="default"/>
          <w:sz w:val="25"/>
          <w:szCs w:val="25"/>
        </w:rPr>
      </w:pPr>
    </w:p>
    <w:p>
      <w:pPr>
        <w:pStyle w:val="Heading1"/>
        <w:tabs>
          <w:tab w:pos="4348" w:val="left" w:leader="none"/>
        </w:tabs>
        <w:spacing w:line="240" w:lineRule="auto"/>
        <w:ind w:left="3247" w:right="22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4"/>
        <w:spacing w:line="240" w:lineRule="auto"/>
        <w:ind w:right="2940"/>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恒生电子股份有限公司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恒生电子</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Hundsun Technologies</w:t>
            </w:r>
            <w:r>
              <w:rPr>
                <w:rFonts w:ascii="宋体"/>
                <w:spacing w:val="-5"/>
                <w:sz w:val="21"/>
              </w:rPr>
              <w:t> </w:t>
            </w:r>
            <w:r>
              <w:rPr>
                <w:rFonts w:ascii="宋体"/>
                <w:sz w:val="21"/>
              </w:rPr>
              <w:t>Inc.</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Hundsun</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彭政纲</w:t>
            </w:r>
          </w:p>
        </w:tc>
      </w:tr>
    </w:tbl>
    <w:p>
      <w:pPr>
        <w:spacing w:line="240" w:lineRule="auto" w:before="2"/>
        <w:rPr>
          <w:rFonts w:ascii="宋体" w:hAnsi="宋体" w:cs="宋体" w:eastAsia="宋体" w:hint="default"/>
          <w:b/>
          <w:bCs/>
          <w:sz w:val="20"/>
          <w:szCs w:val="20"/>
        </w:rPr>
      </w:pPr>
    </w:p>
    <w:p>
      <w:pPr>
        <w:pStyle w:val="Heading4"/>
        <w:spacing w:line="240" w:lineRule="auto"/>
        <w:ind w:right="2940"/>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4"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屠海雁</w:t>
            </w:r>
          </w:p>
        </w:tc>
      </w:tr>
      <w:tr>
        <w:trPr>
          <w:trHeight w:val="557"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恒生大厦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恒生大厦</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0571-28829702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0571-28829702</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0571-28829703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0571-28829703</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investor@hundsun.com</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investor@hundsun.com</w:t>
              </w:r>
            </w:hyperlink>
          </w:p>
        </w:tc>
      </w:tr>
    </w:tbl>
    <w:p>
      <w:pPr>
        <w:spacing w:line="240" w:lineRule="auto" w:before="12"/>
        <w:rPr>
          <w:rFonts w:ascii="宋体" w:hAnsi="宋体" w:cs="宋体" w:eastAsia="宋体" w:hint="default"/>
          <w:b/>
          <w:bCs/>
          <w:sz w:val="19"/>
          <w:szCs w:val="19"/>
        </w:rPr>
      </w:pPr>
    </w:p>
    <w:p>
      <w:pPr>
        <w:pStyle w:val="Heading4"/>
        <w:spacing w:line="240" w:lineRule="auto"/>
        <w:ind w:right="2940"/>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号恒生大厦</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310053</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号恒生大厦</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310053</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8">
              <w:r>
                <w:rPr>
                  <w:rFonts w:ascii="宋体"/>
                  <w:sz w:val="21"/>
                </w:rPr>
                <w:t>www.hundsun.com</w:t>
              </w:r>
            </w:hyperlink>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7">
              <w:r>
                <w:rPr>
                  <w:rFonts w:ascii="宋体"/>
                  <w:sz w:val="21"/>
                </w:rPr>
                <w:t>investor@hundsun.com</w:t>
              </w:r>
            </w:hyperlink>
          </w:p>
        </w:tc>
      </w:tr>
    </w:tbl>
    <w:p>
      <w:pPr>
        <w:spacing w:line="240" w:lineRule="auto" w:before="2"/>
        <w:rPr>
          <w:rFonts w:ascii="宋体" w:hAnsi="宋体" w:cs="宋体" w:eastAsia="宋体" w:hint="default"/>
          <w:b/>
          <w:bCs/>
          <w:sz w:val="20"/>
          <w:szCs w:val="20"/>
        </w:rPr>
      </w:pPr>
    </w:p>
    <w:p>
      <w:pPr>
        <w:pStyle w:val="Heading4"/>
        <w:spacing w:line="240" w:lineRule="auto"/>
        <w:ind w:right="2940"/>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中国证券报、上海证券报、证券时报、证券日报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号恒生大厦</w:t>
            </w:r>
          </w:p>
        </w:tc>
      </w:tr>
    </w:tbl>
    <w:p>
      <w:pPr>
        <w:spacing w:line="240" w:lineRule="auto" w:before="2"/>
        <w:rPr>
          <w:rFonts w:ascii="宋体" w:hAnsi="宋体" w:cs="宋体" w:eastAsia="宋体" w:hint="default"/>
          <w:b/>
          <w:bCs/>
          <w:sz w:val="20"/>
          <w:szCs w:val="20"/>
        </w:rPr>
      </w:pPr>
    </w:p>
    <w:p>
      <w:pPr>
        <w:pStyle w:val="Heading4"/>
        <w:spacing w:line="240" w:lineRule="auto"/>
        <w:ind w:right="2940"/>
        <w:jc w:val="left"/>
        <w:rPr>
          <w:b w:val="0"/>
          <w:bCs w:val="0"/>
        </w:rPr>
      </w:pPr>
      <w:r>
        <w:rPr/>
        <w:t>五、</w:t>
      </w:r>
      <w:r>
        <w:rPr>
          <w:spacing w:val="41"/>
        </w:rPr>
        <w:t> </w:t>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3"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恒生电子</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600570</w:t>
            </w:r>
          </w:p>
        </w:tc>
        <w:tc>
          <w:tcPr>
            <w:tcW w:w="17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0"/>
          <w:szCs w:val="20"/>
        </w:rPr>
      </w:pPr>
    </w:p>
    <w:p>
      <w:pPr>
        <w:pStyle w:val="Heading4"/>
        <w:spacing w:line="240" w:lineRule="auto"/>
        <w:ind w:right="2940"/>
        <w:jc w:val="left"/>
        <w:rPr>
          <w:b w:val="0"/>
          <w:bCs w:val="0"/>
        </w:rPr>
      </w:pPr>
      <w:r>
        <w:rPr/>
        <w:t>六、</w:t>
      </w:r>
      <w:r>
        <w:rPr>
          <w:spacing w:val="-29"/>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1"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杭州市西溪路</w:t>
            </w:r>
            <w:r>
              <w:rPr>
                <w:rFonts w:ascii="宋体" w:hAnsi="宋体" w:cs="宋体" w:eastAsia="宋体" w:hint="default"/>
                <w:spacing w:val="-53"/>
                <w:sz w:val="21"/>
                <w:szCs w:val="21"/>
              </w:rPr>
              <w:t> </w:t>
            </w:r>
            <w:r>
              <w:rPr>
                <w:rFonts w:ascii="宋体" w:hAnsi="宋体" w:cs="宋体" w:eastAsia="宋体" w:hint="default"/>
                <w:sz w:val="21"/>
                <w:szCs w:val="21"/>
              </w:rPr>
              <w:t>128</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沃巍勇、陈彩琴</w:t>
            </w:r>
          </w:p>
        </w:tc>
      </w:tr>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72" w:lineRule="exact" w:before="140"/>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外）</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040"/>
        </w:sectPr>
      </w:pPr>
    </w:p>
    <w:p>
      <w:pPr>
        <w:spacing w:line="240" w:lineRule="auto" w:before="4"/>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4"/>
        <w:spacing w:line="240" w:lineRule="auto"/>
        <w:ind w:right="-18"/>
        <w:jc w:val="left"/>
        <w:rPr>
          <w:b w:val="0"/>
          <w:bCs w:val="0"/>
        </w:rPr>
      </w:pPr>
      <w:r>
        <w:rPr/>
        <w:t>七、</w:t>
      </w:r>
      <w:r>
        <w:rPr>
          <w:spacing w:val="-32"/>
        </w:rPr>
        <w:t> </w:t>
      </w:r>
      <w:r>
        <w:rPr/>
        <w:t>近三年主要会计数据和财务指标</w:t>
      </w:r>
      <w:r>
        <w:rPr>
          <w:b w:val="0"/>
          <w:bCs w:val="0"/>
        </w:rPr>
      </w:r>
    </w:p>
    <w:p>
      <w:pPr>
        <w:pStyle w:val="Heading4"/>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897"/>
        <w:gridCol w:w="1896"/>
        <w:gridCol w:w="1368"/>
        <w:gridCol w:w="1897"/>
      </w:tblGrid>
      <w:tr>
        <w:trPr>
          <w:trHeight w:val="82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2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40" w:lineRule="auto"/>
              <w:ind w:left="259" w:right="254"/>
              <w:jc w:val="center"/>
              <w:rPr>
                <w:rFonts w:ascii="宋体" w:hAnsi="宋体" w:cs="宋体" w:eastAsia="宋体" w:hint="default"/>
                <w:sz w:val="21"/>
                <w:szCs w:val="21"/>
              </w:rPr>
            </w:pPr>
            <w:r>
              <w:rPr>
                <w:rFonts w:ascii="宋体" w:hAnsi="宋体" w:cs="宋体" w:eastAsia="宋体" w:hint="default"/>
                <w:sz w:val="21"/>
                <w:szCs w:val="21"/>
              </w:rPr>
              <w:t>同期增减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9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2,225,532,407.47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1,421,839,135.12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56.52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0"/>
              <w:jc w:val="right"/>
              <w:rPr>
                <w:rFonts w:ascii="宋体" w:hAnsi="宋体" w:cs="宋体" w:eastAsia="宋体" w:hint="default"/>
                <w:sz w:val="21"/>
                <w:szCs w:val="21"/>
              </w:rPr>
            </w:pPr>
            <w:r>
              <w:rPr>
                <w:rFonts w:ascii="宋体"/>
                <w:spacing w:val="-1"/>
                <w:sz w:val="21"/>
              </w:rPr>
              <w:t>1,210,547,198.49</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453,733,512.62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360,520,485.09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25.86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323,317,900.98</w:t>
            </w:r>
          </w:p>
        </w:tc>
      </w:tr>
      <w:tr>
        <w:trPr>
          <w:trHeight w:val="829"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4"/>
                <w:sz w:val="21"/>
                <w:szCs w:val="21"/>
              </w:rPr>
              <w:t>东的扣除非经常性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损益的净利润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447,825,431.02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287,527,046.80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55.75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272,762,662.79</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991,663,412.65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613,534,744.47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61.63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397,944,297.63</w:t>
            </w:r>
          </w:p>
        </w:tc>
      </w:tr>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72" w:lineRule="exact" w:before="27"/>
              <w:ind w:left="312" w:right="149" w:hanging="159"/>
              <w:jc w:val="left"/>
              <w:rPr>
                <w:rFonts w:ascii="宋体" w:hAnsi="宋体" w:cs="宋体" w:eastAsia="宋体" w:hint="default"/>
                <w:sz w:val="21"/>
                <w:szCs w:val="21"/>
              </w:rPr>
            </w:pP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2,432,065,945.80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1,916,038,940.80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26.93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1,650,060,580.99</w:t>
            </w:r>
          </w:p>
        </w:tc>
      </w:tr>
      <w:tr>
        <w:trPr>
          <w:trHeight w:val="29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3,975,280,347.50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3,030,789,151.59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31.16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0"/>
              <w:jc w:val="right"/>
              <w:rPr>
                <w:rFonts w:ascii="宋体" w:hAnsi="宋体" w:cs="宋体" w:eastAsia="宋体" w:hint="default"/>
                <w:sz w:val="21"/>
                <w:szCs w:val="21"/>
              </w:rPr>
            </w:pPr>
            <w:r>
              <w:rPr>
                <w:rFonts w:ascii="宋体"/>
                <w:spacing w:val="-1"/>
                <w:sz w:val="21"/>
              </w:rPr>
              <w:t>2,338,699,797.30</w:t>
            </w:r>
          </w:p>
        </w:tc>
      </w:tr>
    </w:tbl>
    <w:p>
      <w:pPr>
        <w:spacing w:line="240" w:lineRule="auto" w:before="12"/>
        <w:rPr>
          <w:rFonts w:ascii="宋体" w:hAnsi="宋体" w:cs="宋体" w:eastAsia="宋体" w:hint="default"/>
          <w:sz w:val="19"/>
          <w:szCs w:val="19"/>
        </w:rPr>
      </w:pPr>
    </w:p>
    <w:p>
      <w:pPr>
        <w:pStyle w:val="Heading4"/>
        <w:tabs>
          <w:tab w:pos="1057" w:val="left" w:leader="none"/>
        </w:tabs>
        <w:spacing w:line="240" w:lineRule="auto"/>
        <w:ind w:right="294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41"/>
        <w:gridCol w:w="1116"/>
        <w:gridCol w:w="1128"/>
        <w:gridCol w:w="2681"/>
        <w:gridCol w:w="1183"/>
      </w:tblGrid>
      <w:tr>
        <w:trPr>
          <w:trHeight w:val="28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本期比上年同期增减</w:t>
            </w:r>
            <w:r>
              <w:rPr>
                <w:rFonts w:ascii="宋体" w:hAnsi="宋体" w:cs="宋体" w:eastAsia="宋体" w:hint="default"/>
                <w:sz w:val="21"/>
                <w:szCs w:val="21"/>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0.58</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25.86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0.52</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0.58</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25.86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0.52</w:t>
            </w:r>
          </w:p>
        </w:tc>
      </w:tr>
      <w:tr>
        <w:trPr>
          <w:trHeight w:val="55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扣除非经常性损益后的基本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每股收益（元／股）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0.72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0.47</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53.19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0.44</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20.98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20.32</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0.66</w:t>
            </w:r>
            <w:r>
              <w:rPr>
                <w:rFonts w:ascii="宋体" w:hAnsi="宋体" w:cs="宋体" w:eastAsia="宋体" w:hint="default"/>
                <w:spacing w:val="-1"/>
                <w:sz w:val="21"/>
                <w:szCs w:val="21"/>
              </w:rPr>
              <w:t>个百分点</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21.73</w:t>
            </w:r>
          </w:p>
        </w:tc>
      </w:tr>
      <w:tr>
        <w:trPr>
          <w:trHeight w:val="55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扣除非经常性损益后的加权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20.71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16.20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4.51</w:t>
            </w:r>
            <w:r>
              <w:rPr>
                <w:rFonts w:ascii="宋体" w:hAnsi="宋体" w:cs="宋体" w:eastAsia="宋体" w:hint="default"/>
                <w:spacing w:val="-1"/>
                <w:sz w:val="21"/>
                <w:szCs w:val="21"/>
              </w:rPr>
              <w:t>个百分点</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18.33</w:t>
            </w:r>
          </w:p>
        </w:tc>
      </w:tr>
    </w:tbl>
    <w:p>
      <w:pPr>
        <w:spacing w:line="240" w:lineRule="auto" w:before="5"/>
        <w:rPr>
          <w:rFonts w:ascii="宋体" w:hAnsi="宋体" w:cs="宋体" w:eastAsia="宋体" w:hint="default"/>
          <w:b/>
          <w:bCs/>
          <w:sz w:val="15"/>
          <w:szCs w:val="15"/>
        </w:rPr>
      </w:pPr>
    </w:p>
    <w:p>
      <w:pPr>
        <w:pStyle w:val="BodyText"/>
        <w:spacing w:line="240" w:lineRule="auto" w:before="36"/>
        <w:ind w:right="2940"/>
        <w:jc w:val="left"/>
      </w:pPr>
      <w:r>
        <w:rPr/>
        <w:t>报告期末公司前三年主要会计数据和财务指标的说明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4"/>
        <w:spacing w:line="240" w:lineRule="auto"/>
        <w:ind w:right="2940"/>
        <w:jc w:val="left"/>
        <w:rPr>
          <w:b w:val="0"/>
          <w:bCs w:val="0"/>
        </w:rPr>
      </w:pPr>
      <w:r>
        <w:rPr/>
        <w:t>八、</w:t>
      </w:r>
      <w:r>
        <w:rPr>
          <w:spacing w:val="-32"/>
        </w:rPr>
        <w:t> </w:t>
      </w:r>
      <w:r>
        <w:rPr/>
        <w:t>境内外会计准则下会计数据差异</w:t>
      </w:r>
      <w:r>
        <w:rPr>
          <w:b w:val="0"/>
          <w:bCs w:val="0"/>
        </w:rPr>
      </w:r>
    </w:p>
    <w:p>
      <w:pPr>
        <w:pStyle w:val="Heading4"/>
        <w:spacing w:line="274" w:lineRule="exact" w:before="82"/>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right="2940"/>
        <w:jc w:val="left"/>
      </w:pPr>
      <w:r>
        <w:rPr/>
        <w:t>□适用</w:t>
      </w:r>
      <w:r>
        <w:rPr>
          <w:spacing w:val="-1"/>
        </w:rPr>
        <w:t> </w:t>
      </w:r>
      <w:r>
        <w:rPr/>
        <w:t>√不适用</w:t>
      </w:r>
    </w:p>
    <w:p>
      <w:pPr>
        <w:pStyle w:val="Heading4"/>
        <w:spacing w:line="272" w:lineRule="exact" w:before="86"/>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34"/>
        <w:ind w:right="2940"/>
        <w:jc w:val="left"/>
      </w:pPr>
      <w:r>
        <w:rPr/>
        <w:t>□适用</w:t>
      </w:r>
      <w:r>
        <w:rPr>
          <w:spacing w:val="-1"/>
        </w:rPr>
        <w:t> </w:t>
      </w:r>
      <w:r>
        <w:rPr/>
        <w:t>√不适用</w:t>
      </w:r>
    </w:p>
    <w:p>
      <w:pPr>
        <w:pStyle w:val="Heading4"/>
        <w:spacing w:line="240" w:lineRule="auto" w:before="56"/>
        <w:ind w:right="294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spacing w:line="240" w:lineRule="auto" w:before="5"/>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4"/>
        <w:rPr>
          <w:rFonts w:ascii="宋体" w:hAnsi="宋体" w:cs="宋体" w:eastAsia="宋体" w:hint="default"/>
          <w:b/>
          <w:bCs/>
          <w:sz w:val="25"/>
          <w:szCs w:val="25"/>
        </w:rPr>
      </w:pPr>
    </w:p>
    <w:p>
      <w:pPr>
        <w:pStyle w:val="Heading4"/>
        <w:spacing w:line="240" w:lineRule="auto"/>
        <w:ind w:left="1258" w:right="1031"/>
        <w:jc w:val="left"/>
        <w:rPr>
          <w:b w:val="0"/>
          <w:bCs w:val="0"/>
        </w:rPr>
      </w:pPr>
      <w:r>
        <w:rPr/>
        <w:t>九、 </w:t>
      </w:r>
      <w:r>
        <w:rPr>
          <w:rFonts w:ascii="Arial" w:hAnsi="Arial" w:cs="Arial" w:eastAsia="Arial" w:hint="default"/>
        </w:rPr>
        <w:t>2015</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69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554" w:hRule="exact"/>
        </w:trPr>
        <w:tc>
          <w:tcPr>
            <w:tcW w:w="230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274,131,827.11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634,270,144.41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389,916,217.12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927,214,218.83</w:t>
            </w:r>
          </w:p>
        </w:tc>
      </w:tr>
      <w:tr>
        <w:trPr>
          <w:trHeight w:val="55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归属于上市公司股东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70,770,435.24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140,287,141.76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-50,760,328.80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293,436,264.42</w:t>
            </w:r>
          </w:p>
        </w:tc>
      </w:tr>
      <w:tr>
        <w:trPr>
          <w:trHeight w:val="828"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归属于上市公司股东</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20"/>
                <w:sz w:val="21"/>
                <w:szCs w:val="21"/>
              </w:rPr>
              <w:t>的扣除非经常性损益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后的净利润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48,471,376.78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114,315,250.74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21"/>
                <w:szCs w:val="21"/>
              </w:rPr>
            </w:pPr>
            <w:r>
              <w:rPr>
                <w:rFonts w:ascii="宋体"/>
                <w:sz w:val="21"/>
              </w:rPr>
              <w:t>42,839,057.94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242,199,745.56</w:t>
            </w:r>
          </w:p>
        </w:tc>
      </w:tr>
      <w:tr>
        <w:trPr>
          <w:trHeight w:val="555"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经营活动产生的现金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-7,639,580.99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206,015,517.15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112,728,107.09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680,559,369.40</w:t>
            </w:r>
          </w:p>
        </w:tc>
      </w:tr>
    </w:tbl>
    <w:p>
      <w:pPr>
        <w:spacing w:line="240" w:lineRule="auto" w:before="7"/>
        <w:rPr>
          <w:rFonts w:ascii="宋体" w:hAnsi="宋体" w:cs="宋体" w:eastAsia="宋体" w:hint="default"/>
          <w:sz w:val="15"/>
          <w:szCs w:val="15"/>
        </w:rPr>
      </w:pPr>
    </w:p>
    <w:p>
      <w:pPr>
        <w:pStyle w:val="BodyText"/>
        <w:spacing w:line="273" w:lineRule="exact" w:before="36"/>
        <w:ind w:left="1258" w:right="1031"/>
        <w:jc w:val="left"/>
      </w:pPr>
      <w:r>
        <w:rPr/>
        <w:t>季度数据与已披露定期报告数据差异说明</w:t>
      </w:r>
    </w:p>
    <w:p>
      <w:pPr>
        <w:pStyle w:val="BodyText"/>
        <w:spacing w:line="273" w:lineRule="exact"/>
        <w:ind w:left="1258" w:right="103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540" w:right="580"/>
        </w:sectPr>
      </w:pPr>
    </w:p>
    <w:p>
      <w:pPr>
        <w:pStyle w:val="Heading4"/>
        <w:spacing w:line="240" w:lineRule="auto"/>
        <w:ind w:left="1258" w:right="-18"/>
        <w:jc w:val="left"/>
        <w:rPr>
          <w:b w:val="0"/>
          <w:bCs w:val="0"/>
        </w:rPr>
      </w:pPr>
      <w:r>
        <w:rPr/>
        <w:t>十、</w:t>
      </w:r>
      <w:r>
        <w:rPr>
          <w:spacing w:val="-31"/>
        </w:rPr>
        <w:t> </w:t>
      </w:r>
      <w:r>
        <w:rPr/>
        <w:t>非经常性损益项目和金额</w:t>
      </w:r>
      <w:r>
        <w:rPr>
          <w:b w:val="0"/>
          <w:bCs w:val="0"/>
        </w:rPr>
      </w:r>
    </w:p>
    <w:p>
      <w:pPr>
        <w:pStyle w:val="BodyText"/>
        <w:spacing w:line="240" w:lineRule="auto" w:before="58"/>
        <w:ind w:left="1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204" w:val="left" w:leader="none"/>
        </w:tabs>
        <w:spacing w:line="240" w:lineRule="auto"/>
        <w:ind w:left="125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540" w:right="580"/>
          <w:cols w:num="2" w:equalWidth="0">
            <w:col w:w="4076" w:space="2657"/>
            <w:col w:w="4057"/>
          </w:cols>
        </w:sectPr>
      </w:pP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150"/>
        <w:gridCol w:w="1690"/>
        <w:gridCol w:w="2537"/>
        <w:gridCol w:w="1582"/>
        <w:gridCol w:w="1582"/>
      </w:tblGrid>
      <w:tr>
        <w:trPr>
          <w:trHeight w:val="28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0"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83"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26"/>
              <w:jc w:val="right"/>
              <w:rPr>
                <w:rFonts w:ascii="宋体" w:hAnsi="宋体" w:cs="宋体" w:eastAsia="宋体" w:hint="default"/>
                <w:sz w:val="21"/>
                <w:szCs w:val="21"/>
              </w:rPr>
            </w:pPr>
            <w:r>
              <w:rPr>
                <w:rFonts w:ascii="宋体" w:hAnsi="宋体" w:cs="宋体" w:eastAsia="宋体" w:hint="default"/>
                <w:spacing w:val="-1"/>
                <w:sz w:val="21"/>
                <w:szCs w:val="21"/>
              </w:rPr>
              <w:t>附注（如适用）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0"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0" w:right="0"/>
              <w:jc w:val="left"/>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r>
      <w:tr>
        <w:trPr>
          <w:trHeight w:val="828"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11,332,210.54</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主要是处置子公司智能系</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z w:val="21"/>
                <w:szCs w:val="21"/>
              </w:rPr>
              <w:t>统集成和数米基金部分股</w:t>
            </w:r>
            <w:r>
              <w:rPr>
                <w:rFonts w:ascii="宋体" w:hAnsi="宋体" w:cs="宋体" w:eastAsia="宋体" w:hint="default"/>
                <w:spacing w:val="-92"/>
                <w:sz w:val="21"/>
                <w:szCs w:val="21"/>
              </w:rPr>
              <w:t> </w:t>
            </w:r>
            <w:r>
              <w:rPr>
                <w:rFonts w:ascii="宋体" w:hAnsi="宋体" w:cs="宋体" w:eastAsia="宋体" w:hint="default"/>
                <w:sz w:val="21"/>
                <w:szCs w:val="21"/>
              </w:rPr>
              <w:t>权产生的收益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-16,816.21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-149,475.58</w:t>
            </w:r>
          </w:p>
        </w:tc>
      </w:tr>
      <w:tr>
        <w:trPr>
          <w:trHeight w:val="1371"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公司正常经营业务密切相关，符</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合国家政策规定、按照一定标准</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定额或定量持续享受的政府补</w:t>
            </w:r>
            <w:r>
              <w:rPr>
                <w:rFonts w:ascii="宋体" w:hAnsi="宋体" w:cs="宋体" w:eastAsia="宋体" w:hint="default"/>
                <w:w w:val="100"/>
                <w:sz w:val="21"/>
                <w:szCs w:val="21"/>
              </w:rPr>
              <w:t> </w:t>
            </w:r>
            <w:r>
              <w:rPr>
                <w:rFonts w:ascii="宋体" w:hAnsi="宋体" w:cs="宋体" w:eastAsia="宋体" w:hint="default"/>
                <w:sz w:val="21"/>
                <w:szCs w:val="21"/>
              </w:rPr>
              <w:t>助除外</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4,280,370.00</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530"/>
              <w:jc w:val="right"/>
              <w:rPr>
                <w:rFonts w:ascii="宋体" w:hAnsi="宋体" w:cs="宋体" w:eastAsia="宋体" w:hint="default"/>
                <w:sz w:val="21"/>
                <w:szCs w:val="21"/>
              </w:rPr>
            </w:pPr>
            <w:r>
              <w:rPr>
                <w:rFonts w:ascii="宋体" w:hAnsi="宋体" w:cs="宋体" w:eastAsia="宋体" w:hint="default"/>
                <w:spacing w:val="-1"/>
                <w:sz w:val="21"/>
                <w:szCs w:val="21"/>
              </w:rPr>
              <w:t>专项项目政府资助款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10,770,904.11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11,929,669.92</w:t>
            </w:r>
          </w:p>
        </w:tc>
      </w:tr>
      <w:tr>
        <w:trPr>
          <w:trHeight w:val="554"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1,917.00</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子公司上海数淘向借款单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位收取的利息收入</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1,250,000.00</w:t>
            </w:r>
          </w:p>
        </w:tc>
      </w:tr>
      <w:tr>
        <w:trPr>
          <w:trHeight w:val="1918"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有效套期保值业务外，持有交易</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性金融资产、交易性金融负债产</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生的公允价值变动损益，以及处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置交易性金融资产、交易性金融</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负债和可供出售金融资产取得</w:t>
            </w:r>
            <w:r>
              <w:rPr>
                <w:rFonts w:ascii="宋体" w:hAnsi="宋体" w:cs="宋体" w:eastAsia="宋体" w:hint="default"/>
                <w:w w:val="100"/>
                <w:sz w:val="21"/>
                <w:szCs w:val="21"/>
              </w:rPr>
              <w:t> </w:t>
            </w:r>
            <w:r>
              <w:rPr>
                <w:rFonts w:ascii="宋体" w:hAnsi="宋体" w:cs="宋体" w:eastAsia="宋体" w:hint="default"/>
                <w:sz w:val="21"/>
                <w:szCs w:val="21"/>
              </w:rPr>
              <w:t>的投资收益</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52,275,463.91</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01"/>
              <w:jc w:val="both"/>
              <w:rPr>
                <w:rFonts w:ascii="宋体" w:hAnsi="宋体" w:cs="宋体" w:eastAsia="宋体" w:hint="default"/>
                <w:sz w:val="21"/>
                <w:szCs w:val="21"/>
              </w:rPr>
            </w:pPr>
            <w:r>
              <w:rPr>
                <w:rFonts w:ascii="宋体" w:hAnsi="宋体" w:cs="宋体" w:eastAsia="宋体" w:hint="default"/>
                <w:sz w:val="21"/>
                <w:szCs w:val="21"/>
              </w:rPr>
              <w:t>持有交易性金融资产、交</w:t>
            </w:r>
            <w:r>
              <w:rPr>
                <w:rFonts w:ascii="宋体" w:hAnsi="宋体" w:cs="宋体" w:eastAsia="宋体" w:hint="default"/>
                <w:spacing w:val="-92"/>
                <w:sz w:val="21"/>
                <w:szCs w:val="21"/>
              </w:rPr>
              <w:t> </w:t>
            </w:r>
            <w:r>
              <w:rPr>
                <w:rFonts w:ascii="宋体" w:hAnsi="宋体" w:cs="宋体" w:eastAsia="宋体" w:hint="default"/>
                <w:sz w:val="21"/>
                <w:szCs w:val="21"/>
              </w:rPr>
              <w:t>易性金融负债产生的公允</w:t>
            </w:r>
            <w:r>
              <w:rPr>
                <w:rFonts w:ascii="宋体" w:hAnsi="宋体" w:cs="宋体" w:eastAsia="宋体" w:hint="default"/>
                <w:spacing w:val="-92"/>
                <w:sz w:val="21"/>
                <w:szCs w:val="21"/>
              </w:rPr>
              <w:t> </w:t>
            </w:r>
            <w:r>
              <w:rPr>
                <w:rFonts w:ascii="宋体" w:hAnsi="宋体" w:cs="宋体" w:eastAsia="宋体" w:hint="default"/>
                <w:sz w:val="21"/>
                <w:szCs w:val="21"/>
              </w:rPr>
              <w:t>价值变动损益，以及处置</w:t>
            </w:r>
            <w:r>
              <w:rPr>
                <w:rFonts w:ascii="宋体" w:hAnsi="宋体" w:cs="宋体" w:eastAsia="宋体" w:hint="default"/>
                <w:spacing w:val="-92"/>
                <w:sz w:val="21"/>
                <w:szCs w:val="21"/>
              </w:rPr>
              <w:t> </w:t>
            </w:r>
            <w:r>
              <w:rPr>
                <w:rFonts w:ascii="宋体" w:hAnsi="宋体" w:cs="宋体" w:eastAsia="宋体" w:hint="default"/>
                <w:sz w:val="21"/>
                <w:szCs w:val="21"/>
              </w:rPr>
              <w:t>交易性金融资产、交易性</w:t>
            </w:r>
            <w:r>
              <w:rPr>
                <w:rFonts w:ascii="宋体" w:hAnsi="宋体" w:cs="宋体" w:eastAsia="宋体" w:hint="default"/>
                <w:spacing w:val="-92"/>
                <w:sz w:val="21"/>
                <w:szCs w:val="21"/>
              </w:rPr>
              <w:t> </w:t>
            </w:r>
            <w:r>
              <w:rPr>
                <w:rFonts w:ascii="宋体" w:hAnsi="宋体" w:cs="宋体" w:eastAsia="宋体" w:hint="default"/>
                <w:sz w:val="21"/>
                <w:szCs w:val="21"/>
              </w:rPr>
              <w:t>金融负债和可供出售金融</w:t>
            </w:r>
            <w:r>
              <w:rPr>
                <w:rFonts w:ascii="宋体" w:hAnsi="宋体" w:cs="宋体" w:eastAsia="宋体" w:hint="default"/>
                <w:spacing w:val="-92"/>
                <w:sz w:val="21"/>
                <w:szCs w:val="21"/>
              </w:rPr>
              <w:t> </w:t>
            </w:r>
            <w:r>
              <w:rPr>
                <w:rFonts w:ascii="宋体" w:hAnsi="宋体" w:cs="宋体" w:eastAsia="宋体" w:hint="default"/>
                <w:sz w:val="21"/>
                <w:szCs w:val="21"/>
              </w:rPr>
              <w:t>资产取得的投资收益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71,156,509.13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42,984,119.34</w:t>
            </w:r>
          </w:p>
        </w:tc>
      </w:tr>
      <w:tr>
        <w:trPr>
          <w:trHeight w:val="826"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w:t>
            </w:r>
          </w:p>
          <w:p>
            <w:pPr>
              <w:pStyle w:val="TableParagraph"/>
              <w:spacing w:line="272" w:lineRule="exact" w:before="27"/>
              <w:ind w:left="103" w:right="301"/>
              <w:jc w:val="left"/>
              <w:rPr>
                <w:rFonts w:ascii="宋体" w:hAnsi="宋体" w:cs="宋体" w:eastAsia="宋体" w:hint="default"/>
                <w:sz w:val="21"/>
                <w:szCs w:val="21"/>
              </w:rPr>
            </w:pPr>
            <w:r>
              <w:rPr>
                <w:rFonts w:ascii="宋体" w:hAnsi="宋体" w:cs="宋体" w:eastAsia="宋体" w:hint="default"/>
                <w:spacing w:val="-2"/>
                <w:sz w:val="21"/>
                <w:szCs w:val="21"/>
              </w:rPr>
              <w:t>要求对当期损益进行一次性调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整对当期损益的影响</w:t>
            </w:r>
          </w:p>
        </w:tc>
        <w:tc>
          <w:tcPr>
            <w:tcW w:w="1690" w:type="dxa"/>
            <w:tcBorders>
              <w:top w:val="single" w:sz="4" w:space="0" w:color="000000"/>
              <w:left w:val="single" w:sz="4" w:space="0" w:color="000000"/>
              <w:bottom w:val="single" w:sz="4" w:space="0" w:color="000000"/>
              <w:right w:val="single" w:sz="4" w:space="0" w:color="000000"/>
            </w:tcBorders>
          </w:tcPr>
          <w:p>
            <w:pPr/>
          </w:p>
        </w:tc>
        <w:tc>
          <w:tcPr>
            <w:tcW w:w="25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-572,621.58</w:t>
            </w:r>
          </w:p>
        </w:tc>
      </w:tr>
      <w:tr>
        <w:trPr>
          <w:trHeight w:val="557"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-57,772,594.54</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主要是子公司恒生网络预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提的证监会罚款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22,971.31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756,087.49</w:t>
            </w:r>
          </w:p>
        </w:tc>
      </w:tr>
      <w:tr>
        <w:trPr>
          <w:trHeight w:val="281"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5,347,013.15</w:t>
            </w:r>
          </w:p>
        </w:tc>
        <w:tc>
          <w:tcPr>
            <w:tcW w:w="25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-463,962.29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-81,202.16</w:t>
            </w:r>
          </w:p>
        </w:tc>
      </w:tr>
      <w:tr>
        <w:trPr>
          <w:trHeight w:val="28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-9,556,298.46</w:t>
            </w:r>
          </w:p>
        </w:tc>
        <w:tc>
          <w:tcPr>
            <w:tcW w:w="25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-8,476,167.76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-5,561,339.24</w:t>
            </w:r>
          </w:p>
        </w:tc>
      </w:tr>
      <w:tr>
        <w:trPr>
          <w:trHeight w:val="28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5,908,081.60</w:t>
            </w:r>
          </w:p>
        </w:tc>
        <w:tc>
          <w:tcPr>
            <w:tcW w:w="25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72,993,438.29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50,555,238.19</w:t>
            </w:r>
          </w:p>
        </w:tc>
      </w:tr>
    </w:tbl>
    <w:p>
      <w:pPr>
        <w:spacing w:after="0" w:line="241" w:lineRule="exact"/>
        <w:jc w:val="right"/>
        <w:rPr>
          <w:rFonts w:ascii="宋体" w:hAnsi="宋体" w:cs="宋体" w:eastAsia="宋体" w:hint="default"/>
          <w:sz w:val="21"/>
          <w:szCs w:val="21"/>
        </w:rPr>
        <w:sectPr>
          <w:type w:val="continuous"/>
          <w:pgSz w:w="11910" w:h="16840"/>
          <w:pgMar w:top="1120" w:bottom="1380" w:left="540" w:right="580"/>
        </w:sectPr>
      </w:pPr>
    </w:p>
    <w:p>
      <w:pPr>
        <w:spacing w:line="240" w:lineRule="auto" w:before="4"/>
        <w:rPr>
          <w:rFonts w:ascii="宋体" w:hAnsi="宋体" w:cs="宋体" w:eastAsia="宋体" w:hint="default"/>
          <w:sz w:val="25"/>
          <w:szCs w:val="25"/>
        </w:rPr>
      </w:pPr>
    </w:p>
    <w:p>
      <w:pPr>
        <w:pStyle w:val="Heading4"/>
        <w:tabs>
          <w:tab w:pos="1057" w:val="left" w:leader="none"/>
        </w:tabs>
        <w:spacing w:line="240" w:lineRule="auto"/>
        <w:ind w:right="2940"/>
        <w:jc w:val="left"/>
        <w:rPr>
          <w:b w:val="0"/>
          <w:bCs w:val="0"/>
        </w:rPr>
      </w:pPr>
      <w:r>
        <w:rPr/>
        <w:t>十一、</w:t>
        <w:tab/>
        <w:t>采用公允价值计量的项目</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110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以公允价值计量且</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4"/>
                <w:sz w:val="21"/>
                <w:szCs w:val="21"/>
              </w:rPr>
              <w:t>其变动计入当期损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益的金融资产（不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含衍生金融资产）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3" w:right="0"/>
              <w:jc w:val="center"/>
              <w:rPr>
                <w:rFonts w:ascii="宋体" w:hAnsi="宋体" w:cs="宋体" w:eastAsia="宋体" w:hint="default"/>
                <w:sz w:val="21"/>
                <w:szCs w:val="21"/>
              </w:rPr>
            </w:pPr>
            <w:r>
              <w:rPr>
                <w:rFonts w:ascii="宋体"/>
                <w:sz w:val="21"/>
              </w:rPr>
              <w:t>146,515,387.47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73,378,646.78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-73,136,740.69</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15,801,356.27</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166,673,802.73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322,927,117.63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156,253,314.90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61,419,242.68</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313,189,190.20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396,305,764.41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83,116,574.21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77,220,598.95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tabs>
          <w:tab w:pos="1057" w:val="left" w:leader="none"/>
        </w:tabs>
        <w:spacing w:line="240" w:lineRule="auto"/>
        <w:ind w:right="2940"/>
        <w:jc w:val="left"/>
        <w:rPr>
          <w:b w:val="0"/>
          <w:bCs w:val="0"/>
        </w:rPr>
      </w:pPr>
      <w:r>
        <w:rPr/>
        <w:t>十二、</w:t>
        <w:tab/>
        <w:t>其他</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00">
                <v:path arrowok="t"/>
              </v:shape>
            </v:group>
          </v:group>
        </w:pict>
      </w:r>
      <w:r>
        <w:rPr>
          <w:rFonts w:ascii="宋体" w:hAnsi="宋体" w:cs="宋体" w:eastAsia="宋体" w:hint="default"/>
          <w:sz w:val="2"/>
          <w:szCs w:val="2"/>
        </w:rPr>
      </w:r>
    </w:p>
    <w:p>
      <w:pPr>
        <w:pStyle w:val="Heading1"/>
        <w:tabs>
          <w:tab w:pos="1259" w:val="left" w:leader="none"/>
        </w:tabs>
        <w:spacing w:line="240" w:lineRule="auto" w:before="25"/>
        <w:ind w:right="15"/>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right="2940"/>
        <w:jc w:val="left"/>
        <w:rPr>
          <w:b w:val="0"/>
          <w:bCs w:val="0"/>
        </w:rPr>
      </w:pPr>
      <w:r>
        <w:rPr/>
        <w:t>一、报告期内公司所从事的主要业务、经营模式及行业情况说明</w:t>
      </w:r>
      <w:r>
        <w:rPr>
          <w:b w:val="0"/>
          <w:bCs w:val="0"/>
        </w:rPr>
      </w:r>
    </w:p>
    <w:p>
      <w:pPr>
        <w:pStyle w:val="BodyText"/>
        <w:spacing w:line="240" w:lineRule="auto" w:before="56"/>
        <w:ind w:left="638" w:right="2940"/>
        <w:jc w:val="left"/>
      </w:pPr>
      <w:r>
        <w:rPr/>
        <w:t>（一）主要业务与经营模式</w:t>
      </w:r>
    </w:p>
    <w:p>
      <w:pPr>
        <w:pStyle w:val="BodyText"/>
        <w:spacing w:line="357" w:lineRule="auto" w:before="135"/>
        <w:ind w:right="230" w:firstLine="419"/>
        <w:jc w:val="both"/>
      </w:pPr>
      <w:r>
        <w:rPr/>
        <w:t>公司主营业务主要为金融机构提供 </w:t>
      </w:r>
      <w:r>
        <w:rPr>
          <w:rFonts w:ascii="宋体" w:hAnsi="宋体" w:cs="宋体" w:eastAsia="宋体" w:hint="default"/>
        </w:rPr>
        <w:t>IT</w:t>
      </w:r>
      <w:r>
        <w:rPr>
          <w:rFonts w:ascii="宋体" w:hAnsi="宋体" w:cs="宋体" w:eastAsia="宋体" w:hint="default"/>
          <w:spacing w:val="-72"/>
        </w:rPr>
        <w:t> </w:t>
      </w:r>
      <w:r>
        <w:rPr>
          <w:spacing w:val="-6"/>
        </w:rPr>
        <w:t>软件产品与服务。公司的客户群体主要包括券商、公募</w:t>
      </w:r>
      <w:r>
        <w:rPr>
          <w:w w:val="100"/>
        </w:rPr>
        <w:t> </w:t>
      </w:r>
      <w:r>
        <w:rPr>
          <w:spacing w:val="-2"/>
        </w:rPr>
        <w:t>基金、银行、期货公司、信托公司、保险公司、私募基金等，并逐步拓展到和金融生态圈有关的</w:t>
      </w:r>
      <w:r>
        <w:rPr>
          <w:spacing w:val="-25"/>
        </w:rPr>
        <w:t> </w:t>
      </w:r>
      <w:r>
        <w:rPr>
          <w:spacing w:val="-25"/>
        </w:rPr>
      </w:r>
      <w:r>
        <w:rPr/>
        <w:t>互联网企业，公司的投资赢家产品线（证券交易客户端）以及参股的网金社等业务也覆盖到了</w:t>
      </w:r>
      <w:r>
        <w:rPr>
          <w:spacing w:val="-55"/>
        </w:rPr>
        <w:t> </w:t>
      </w:r>
      <w:r>
        <w:rPr>
          <w:rFonts w:ascii="宋体" w:hAnsi="宋体" w:cs="宋体" w:eastAsia="宋体" w:hint="default"/>
        </w:rPr>
        <w:t>C</w:t>
      </w:r>
      <w:r>
        <w:rPr>
          <w:rFonts w:ascii="宋体" w:hAnsi="宋体" w:cs="宋体" w:eastAsia="宋体" w:hint="default"/>
          <w:w w:val="100"/>
        </w:rPr>
        <w:t> </w:t>
      </w:r>
      <w:r>
        <w:rPr>
          <w:spacing w:val="-2"/>
        </w:rPr>
        <w:t>端的个人客户。公司为金融机构提供的业务量占到公司总业务量的</w:t>
      </w:r>
      <w:r>
        <w:rPr>
          <w:spacing w:val="6"/>
        </w:rPr>
        <w:t> </w:t>
      </w:r>
      <w:r>
        <w:rPr>
          <w:rFonts w:ascii="宋体" w:hAnsi="宋体" w:cs="宋体" w:eastAsia="宋体" w:hint="default"/>
          <w:spacing w:val="-1"/>
        </w:rPr>
        <w:t>80%</w:t>
      </w:r>
      <w:r>
        <w:rPr>
          <w:spacing w:val="-1"/>
        </w:rPr>
        <w:t>左右。</w:t>
      </w:r>
    </w:p>
    <w:p>
      <w:pPr>
        <w:pStyle w:val="BodyText"/>
        <w:spacing w:line="357" w:lineRule="auto" w:before="30"/>
        <w:ind w:right="98" w:firstLine="419"/>
        <w:jc w:val="left"/>
      </w:pPr>
      <w:r>
        <w:rPr/>
        <w:t>公司目前的业务模式包括</w:t>
      </w:r>
      <w:r>
        <w:rPr>
          <w:spacing w:val="-55"/>
        </w:rPr>
        <w:t> </w:t>
      </w:r>
      <w:r>
        <w:rPr>
          <w:rFonts w:ascii="宋体" w:hAnsi="宋体" w:cs="宋体" w:eastAsia="宋体" w:hint="default"/>
        </w:rPr>
        <w:t>1.0</w:t>
      </w:r>
      <w:r>
        <w:rPr>
          <w:rFonts w:ascii="宋体" w:hAnsi="宋体" w:cs="宋体" w:eastAsia="宋体" w:hint="default"/>
          <w:spacing w:val="-53"/>
        </w:rPr>
        <w:t> </w:t>
      </w:r>
      <w:r>
        <w:rPr/>
        <w:t>业务模式和</w:t>
      </w:r>
      <w:r>
        <w:rPr>
          <w:spacing w:val="-55"/>
        </w:rPr>
        <w:t> </w:t>
      </w:r>
      <w:r>
        <w:rPr>
          <w:rFonts w:ascii="宋体" w:hAnsi="宋体" w:cs="宋体" w:eastAsia="宋体" w:hint="default"/>
        </w:rPr>
        <w:t>2.0</w:t>
      </w:r>
      <w:r>
        <w:rPr>
          <w:rFonts w:ascii="宋体" w:hAnsi="宋体" w:cs="宋体" w:eastAsia="宋体" w:hint="default"/>
          <w:spacing w:val="-55"/>
        </w:rPr>
        <w:t> </w:t>
      </w:r>
      <w:r>
        <w:rPr/>
        <w:t>业务模式，正在逐步发展</w:t>
      </w:r>
      <w:r>
        <w:rPr>
          <w:spacing w:val="-53"/>
        </w:rPr>
        <w:t> </w:t>
      </w:r>
      <w:r>
        <w:rPr>
          <w:rFonts w:ascii="宋体" w:hAnsi="宋体" w:cs="宋体" w:eastAsia="宋体" w:hint="default"/>
        </w:rPr>
        <w:t>3.0</w:t>
      </w:r>
      <w:r>
        <w:rPr>
          <w:rFonts w:ascii="宋体" w:hAnsi="宋体" w:cs="宋体" w:eastAsia="宋体" w:hint="default"/>
          <w:spacing w:val="-54"/>
        </w:rPr>
        <w:t> </w:t>
      </w:r>
      <w:r>
        <w:rPr/>
        <w:t>业务模式。</w:t>
      </w:r>
      <w:r>
        <w:rPr>
          <w:rFonts w:ascii="宋体" w:hAnsi="宋体" w:cs="宋体" w:eastAsia="宋体" w:hint="default"/>
        </w:rPr>
        <w:t>1.0</w:t>
      </w:r>
      <w:r>
        <w:rPr>
          <w:rFonts w:ascii="宋体" w:hAnsi="宋体" w:cs="宋体" w:eastAsia="宋体" w:hint="default"/>
          <w:w w:val="100"/>
        </w:rPr>
        <w:t> </w:t>
      </w:r>
      <w:r>
        <w:rPr>
          <w:spacing w:val="-4"/>
          <w:w w:val="100"/>
        </w:rPr>
        <w:t>业务模式是指向金融客户销售传统的软件，收入的主要来源是软件产品的销售以及适当的服务费；</w:t>
      </w:r>
      <w:r>
        <w:rPr>
          <w:spacing w:val="-85"/>
          <w:w w:val="100"/>
        </w:rPr>
        <w:t> </w:t>
      </w:r>
      <w:r>
        <w:rPr>
          <w:spacing w:val="-85"/>
          <w:w w:val="100"/>
        </w:rPr>
      </w:r>
      <w:r>
        <w:rPr>
          <w:rFonts w:ascii="宋体" w:hAnsi="宋体" w:cs="宋体" w:eastAsia="宋体" w:hint="default"/>
        </w:rPr>
        <w:t>2.0</w:t>
      </w:r>
      <w:r>
        <w:rPr>
          <w:rFonts w:ascii="宋体" w:hAnsi="宋体" w:cs="宋体" w:eastAsia="宋体" w:hint="default"/>
          <w:spacing w:val="-43"/>
        </w:rPr>
        <w:t> </w:t>
      </w:r>
      <w:r>
        <w:rPr>
          <w:spacing w:val="-4"/>
        </w:rPr>
        <w:t>业务模式是指利用云计算和互联网，向金融客户提供</w:t>
      </w:r>
      <w:r>
        <w:rPr>
          <w:spacing w:val="-42"/>
        </w:rPr>
        <w:t> </w:t>
      </w:r>
      <w:r>
        <w:rPr>
          <w:rFonts w:ascii="宋体" w:hAnsi="宋体" w:cs="宋体" w:eastAsia="宋体" w:hint="default"/>
        </w:rPr>
        <w:t>IT</w:t>
      </w:r>
      <w:r>
        <w:rPr>
          <w:rFonts w:ascii="宋体" w:hAnsi="宋体" w:cs="宋体" w:eastAsia="宋体" w:hint="default"/>
          <w:spacing w:val="-45"/>
        </w:rPr>
        <w:t> </w:t>
      </w:r>
      <w:r>
        <w:rPr>
          <w:spacing w:val="-5"/>
        </w:rPr>
        <w:t>及托管服务等，收入的主要来源是</w:t>
      </w:r>
      <w:r>
        <w:rPr>
          <w:spacing w:val="-43"/>
        </w:rPr>
        <w:t> </w:t>
      </w:r>
      <w:r>
        <w:rPr>
          <w:rFonts w:ascii="宋体" w:hAnsi="宋体" w:cs="宋体" w:eastAsia="宋体" w:hint="default"/>
          <w:spacing w:val="-3"/>
        </w:rPr>
        <w:t>IT</w:t>
      </w:r>
      <w:r>
        <w:rPr>
          <w:rFonts w:ascii="宋体" w:hAnsi="宋体" w:cs="宋体" w:eastAsia="宋体" w:hint="default"/>
          <w:spacing w:val="-79"/>
        </w:rPr>
        <w:t> </w:t>
      </w:r>
      <w:r>
        <w:rPr>
          <w:spacing w:val="-3"/>
        </w:rPr>
        <w:t>管理服务费；</w:t>
      </w:r>
      <w:r>
        <w:rPr>
          <w:rFonts w:ascii="宋体" w:hAnsi="宋体" w:cs="宋体" w:eastAsia="宋体" w:hint="default"/>
          <w:spacing w:val="-3"/>
        </w:rPr>
        <w:t>3.0</w:t>
      </w:r>
      <w:r>
        <w:rPr>
          <w:rFonts w:ascii="宋体" w:hAnsi="宋体" w:cs="宋体" w:eastAsia="宋体" w:hint="default"/>
          <w:spacing w:val="-44"/>
        </w:rPr>
        <w:t> </w:t>
      </w:r>
      <w:r>
        <w:rPr/>
        <w:t>业务模式是利用</w:t>
      </w:r>
      <w:r>
        <w:rPr>
          <w:spacing w:val="-42"/>
        </w:rPr>
        <w:t> </w:t>
      </w:r>
      <w:r>
        <w:rPr>
          <w:rFonts w:ascii="宋体" w:hAnsi="宋体" w:cs="宋体" w:eastAsia="宋体" w:hint="default"/>
        </w:rPr>
        <w:t>IT</w:t>
      </w:r>
      <w:r>
        <w:rPr>
          <w:rFonts w:ascii="宋体" w:hAnsi="宋体" w:cs="宋体" w:eastAsia="宋体" w:hint="default"/>
          <w:spacing w:val="-44"/>
        </w:rPr>
        <w:t> </w:t>
      </w:r>
      <w:r>
        <w:rPr>
          <w:spacing w:val="-3"/>
        </w:rPr>
        <w:t>平台技术，提供技术互联互通，为金融客户的金融业务提供</w:t>
      </w:r>
      <w:r>
        <w:rPr>
          <w:spacing w:val="-77"/>
        </w:rPr>
        <w:t> </w:t>
      </w:r>
      <w:r>
        <w:rPr>
          <w:spacing w:val="-77"/>
        </w:rPr>
      </w:r>
      <w:r>
        <w:rPr/>
        <w:t>协同服务，收入的主要来源是业务合作费的分成。目前</w:t>
      </w:r>
      <w:r>
        <w:rPr>
          <w:spacing w:val="-54"/>
        </w:rPr>
        <w:t> </w:t>
      </w:r>
      <w:r>
        <w:rPr>
          <w:rFonts w:ascii="宋体" w:hAnsi="宋体" w:cs="宋体" w:eastAsia="宋体" w:hint="default"/>
        </w:rPr>
        <w:t>1.0</w:t>
      </w:r>
      <w:r>
        <w:rPr>
          <w:rFonts w:ascii="宋体" w:hAnsi="宋体" w:cs="宋体" w:eastAsia="宋体" w:hint="default"/>
          <w:spacing w:val="-54"/>
        </w:rPr>
        <w:t> </w:t>
      </w:r>
      <w:r>
        <w:rPr/>
        <w:t>业务带来的收入占公司收入的绝大部</w:t>
      </w:r>
      <w:r>
        <w:rPr>
          <w:w w:val="100"/>
        </w:rPr>
        <w:t> </w:t>
      </w:r>
      <w:r>
        <w:rPr>
          <w:spacing w:val="-5"/>
        </w:rPr>
        <w:t>分，</w:t>
      </w:r>
      <w:r>
        <w:rPr>
          <w:rFonts w:ascii="宋体" w:hAnsi="宋体" w:cs="宋体" w:eastAsia="宋体" w:hint="default"/>
          <w:spacing w:val="-5"/>
        </w:rPr>
        <w:t>2.0</w:t>
      </w:r>
      <w:r>
        <w:rPr>
          <w:rFonts w:ascii="宋体" w:hAnsi="宋体" w:cs="宋体" w:eastAsia="宋体" w:hint="default"/>
          <w:spacing w:val="-39"/>
        </w:rPr>
        <w:t> </w:t>
      </w:r>
      <w:r>
        <w:rPr>
          <w:spacing w:val="-4"/>
        </w:rPr>
        <w:t>业务处于起步发展的阶段，但总体规模还不大，</w:t>
      </w:r>
      <w:r>
        <w:rPr>
          <w:rFonts w:ascii="宋体" w:hAnsi="宋体" w:cs="宋体" w:eastAsia="宋体" w:hint="default"/>
          <w:spacing w:val="-4"/>
        </w:rPr>
        <w:t>3.0</w:t>
      </w:r>
      <w:r>
        <w:rPr>
          <w:rFonts w:ascii="宋体" w:hAnsi="宋体" w:cs="宋体" w:eastAsia="宋体" w:hint="default"/>
          <w:spacing w:val="-39"/>
        </w:rPr>
        <w:t> </w:t>
      </w:r>
      <w:r>
        <w:rPr>
          <w:spacing w:val="-3"/>
        </w:rPr>
        <w:t>业务模式则尚处于研发、投入与试点</w:t>
      </w:r>
      <w:r>
        <w:rPr>
          <w:spacing w:val="-65"/>
        </w:rPr>
        <w:t> </w:t>
      </w:r>
      <w:r>
        <w:rPr>
          <w:spacing w:val="-65"/>
        </w:rPr>
      </w:r>
      <w:r>
        <w:rPr/>
        <w:t>阶段。</w:t>
      </w:r>
    </w:p>
    <w:p>
      <w:pPr>
        <w:pStyle w:val="BodyText"/>
        <w:spacing w:line="357" w:lineRule="auto" w:before="31"/>
        <w:ind w:right="230" w:firstLine="419"/>
        <w:jc w:val="both"/>
      </w:pPr>
      <w:r>
        <w:rPr>
          <w:spacing w:val="-2"/>
        </w:rPr>
        <w:t>公司的商业模式，从需求端来看看，主要有五大客户需求来源，第一、金融产品的增加带来</w:t>
      </w:r>
      <w:r>
        <w:rPr>
          <w:w w:val="100"/>
        </w:rPr>
        <w:t> </w:t>
      </w:r>
      <w:r>
        <w:rPr>
          <w:rFonts w:ascii="宋体" w:hAnsi="宋体" w:cs="宋体" w:eastAsia="宋体" w:hint="default"/>
        </w:rPr>
        <w:t>IT</w:t>
      </w:r>
      <w:r>
        <w:rPr>
          <w:rFonts w:ascii="宋体" w:hAnsi="宋体" w:cs="宋体" w:eastAsia="宋体" w:hint="default"/>
          <w:spacing w:val="-55"/>
        </w:rPr>
        <w:t> </w:t>
      </w:r>
      <w:r>
        <w:rPr/>
        <w:t>产品的商业需求；第二、金融制度的变化带来</w:t>
      </w:r>
      <w:r>
        <w:rPr>
          <w:spacing w:val="-55"/>
        </w:rPr>
        <w:t> </w:t>
      </w:r>
      <w:r>
        <w:rPr>
          <w:rFonts w:ascii="宋体" w:hAnsi="宋体" w:cs="宋体" w:eastAsia="宋体" w:hint="default"/>
        </w:rPr>
        <w:t>IT</w:t>
      </w:r>
      <w:r>
        <w:rPr>
          <w:rFonts w:ascii="宋体" w:hAnsi="宋体" w:cs="宋体" w:eastAsia="宋体" w:hint="default"/>
          <w:spacing w:val="-57"/>
        </w:rPr>
        <w:t> </w:t>
      </w:r>
      <w:r>
        <w:rPr/>
        <w:t>产品的商业需求；第三、金融客户的增加与</w:t>
      </w:r>
      <w:r>
        <w:rPr>
          <w:w w:val="100"/>
        </w:rPr>
        <w:t> </w:t>
      </w:r>
      <w:r>
        <w:rPr>
          <w:spacing w:val="-3"/>
        </w:rPr>
        <w:t>变化带来商业需求；第四，</w:t>
      </w:r>
      <w:r>
        <w:rPr>
          <w:rFonts w:ascii="宋体" w:hAnsi="宋体" w:cs="宋体" w:eastAsia="宋体" w:hint="default"/>
          <w:spacing w:val="-3"/>
        </w:rPr>
        <w:t>IT </w:t>
      </w:r>
      <w:r>
        <w:rPr>
          <w:spacing w:val="-3"/>
        </w:rPr>
        <w:t>技术的发展带来产品更新的商业需求；第五，客户个性化与业务开</w:t>
      </w:r>
      <w:r>
        <w:rPr>
          <w:spacing w:val="-78"/>
        </w:rPr>
        <w:t> </w:t>
      </w:r>
      <w:r>
        <w:rPr>
          <w:spacing w:val="-78"/>
        </w:rPr>
      </w:r>
      <w:r>
        <w:rPr/>
        <w:t>展的需求。这些客户需求提供了公司的业务经营基础。</w:t>
      </w:r>
    </w:p>
    <w:p>
      <w:pPr>
        <w:pStyle w:val="BodyText"/>
        <w:spacing w:line="355" w:lineRule="auto" w:before="30"/>
        <w:ind w:right="228" w:firstLine="419"/>
        <w:jc w:val="both"/>
      </w:pPr>
      <w:r>
        <w:rPr>
          <w:spacing w:val="-2"/>
          <w:w w:val="100"/>
        </w:rPr>
        <w:t>金融客户的特点是对金融</w:t>
      </w:r>
      <w:r>
        <w:rPr>
          <w:spacing w:val="-50"/>
          <w:w w:val="100"/>
        </w:rPr>
        <w:t> </w:t>
      </w:r>
      <w:r>
        <w:rPr>
          <w:rFonts w:ascii="宋体" w:hAnsi="宋体" w:cs="宋体" w:eastAsia="宋体" w:hint="default"/>
          <w:w w:val="100"/>
        </w:rPr>
        <w:t>IT</w:t>
      </w:r>
      <w:r>
        <w:rPr>
          <w:rFonts w:ascii="宋体" w:hAnsi="宋体" w:cs="宋体" w:eastAsia="宋体" w:hint="default"/>
          <w:spacing w:val="-48"/>
          <w:w w:val="100"/>
        </w:rPr>
        <w:t> </w:t>
      </w:r>
      <w:r>
        <w:rPr>
          <w:spacing w:val="-5"/>
          <w:w w:val="100"/>
        </w:rPr>
        <w:t>产品的稳定性要求非常高，公司通过技术特长实现了在金融全行</w:t>
      </w:r>
      <w:r>
        <w:rPr>
          <w:w w:val="100"/>
        </w:rPr>
        <w:t> </w:t>
      </w:r>
      <w:r>
        <w:rPr/>
        <w:t>业</w:t>
      </w:r>
      <w:r>
        <w:rPr>
          <w:spacing w:val="-52"/>
        </w:rPr>
        <w:t> </w:t>
      </w:r>
      <w:r>
        <w:rPr>
          <w:rFonts w:ascii="宋体" w:hAnsi="宋体" w:cs="宋体" w:eastAsia="宋体" w:hint="default"/>
        </w:rPr>
        <w:t>IT</w:t>
      </w:r>
      <w:r>
        <w:rPr>
          <w:rFonts w:ascii="宋体" w:hAnsi="宋体" w:cs="宋体" w:eastAsia="宋体" w:hint="default"/>
          <w:spacing w:val="-54"/>
        </w:rPr>
        <w:t> </w:t>
      </w:r>
      <w:r>
        <w:rPr>
          <w:spacing w:val="-6"/>
        </w:rPr>
        <w:t>领域的领先地位，是近</w:t>
      </w:r>
      <w:r>
        <w:rPr>
          <w:spacing w:val="-51"/>
        </w:rPr>
        <w:t> </w:t>
      </w:r>
      <w:r>
        <w:rPr>
          <w:rFonts w:ascii="宋体" w:hAnsi="宋体" w:cs="宋体" w:eastAsia="宋体" w:hint="default"/>
        </w:rPr>
        <w:t>3</w:t>
      </w:r>
      <w:r>
        <w:rPr>
          <w:rFonts w:ascii="宋体" w:hAnsi="宋体" w:cs="宋体" w:eastAsia="宋体" w:hint="default"/>
          <w:spacing w:val="-52"/>
        </w:rPr>
        <w:t> </w:t>
      </w:r>
      <w:r>
        <w:rPr/>
        <w:t>年唯一一家入选美国</w:t>
      </w:r>
      <w:r>
        <w:rPr>
          <w:spacing w:val="-54"/>
        </w:rPr>
        <w:t> </w:t>
      </w:r>
      <w:r>
        <w:rPr>
          <w:rFonts w:ascii="宋体" w:hAnsi="宋体" w:cs="宋体" w:eastAsia="宋体" w:hint="default"/>
        </w:rPr>
        <w:t>Fintech100</w:t>
      </w:r>
      <w:r>
        <w:rPr>
          <w:rFonts w:ascii="宋体" w:hAnsi="宋体" w:cs="宋体" w:eastAsia="宋体" w:hint="default"/>
          <w:spacing w:val="-52"/>
        </w:rPr>
        <w:t> </w:t>
      </w:r>
      <w:r>
        <w:rPr>
          <w:spacing w:val="-9"/>
        </w:rPr>
        <w:t>强（全球金融</w:t>
      </w:r>
      <w:r>
        <w:rPr>
          <w:spacing w:val="-54"/>
        </w:rPr>
        <w:t> </w:t>
      </w:r>
      <w:r>
        <w:rPr>
          <w:rFonts w:ascii="宋体" w:hAnsi="宋体" w:cs="宋体" w:eastAsia="宋体" w:hint="default"/>
        </w:rPr>
        <w:t>IT</w:t>
      </w:r>
      <w:r>
        <w:rPr>
          <w:rFonts w:ascii="宋体" w:hAnsi="宋体" w:cs="宋体" w:eastAsia="宋体" w:hint="default"/>
          <w:spacing w:val="-52"/>
        </w:rPr>
        <w:t> </w:t>
      </w:r>
      <w:r>
        <w:rPr/>
        <w:t>企业</w:t>
      </w:r>
      <w:r>
        <w:rPr>
          <w:spacing w:val="-52"/>
        </w:rPr>
        <w:t> </w:t>
      </w:r>
      <w:r>
        <w:rPr>
          <w:rFonts w:ascii="宋体" w:hAnsi="宋体" w:cs="宋体" w:eastAsia="宋体" w:hint="default"/>
        </w:rPr>
        <w:t>100</w:t>
      </w:r>
      <w:r>
        <w:rPr>
          <w:rFonts w:ascii="宋体" w:hAnsi="宋体" w:cs="宋体" w:eastAsia="宋体" w:hint="default"/>
          <w:spacing w:val="-52"/>
        </w:rPr>
        <w:t> </w:t>
      </w:r>
      <w:r>
        <w:rPr/>
        <w:t>强排名</w:t>
      </w:r>
      <w:r>
        <w:rPr>
          <w:w w:val="100"/>
        </w:rPr>
        <w:t> </w:t>
      </w:r>
      <w:r>
        <w:rPr>
          <w:spacing w:val="-5"/>
        </w:rPr>
        <w:t>的统计）的中国企业，公司在各个金融</w:t>
      </w:r>
      <w:r>
        <w:rPr>
          <w:spacing w:val="-30"/>
        </w:rPr>
        <w:t> </w:t>
      </w:r>
      <w:r>
        <w:rPr>
          <w:rFonts w:ascii="宋体" w:hAnsi="宋体" w:cs="宋体" w:eastAsia="宋体" w:hint="default"/>
        </w:rPr>
        <w:t>IT</w:t>
      </w:r>
      <w:r>
        <w:rPr>
          <w:rFonts w:ascii="宋体" w:hAnsi="宋体" w:cs="宋体" w:eastAsia="宋体" w:hint="default"/>
          <w:spacing w:val="-30"/>
        </w:rPr>
        <w:t> </w:t>
      </w:r>
      <w:r>
        <w:rPr>
          <w:spacing w:val="-3"/>
        </w:rPr>
        <w:t>产品线都占有很高的市场占有率，比如在券商的核心交</w:t>
      </w:r>
      <w:r>
        <w:rPr>
          <w:spacing w:val="-96"/>
        </w:rPr>
        <w:t> </w:t>
      </w:r>
      <w:r>
        <w:rPr>
          <w:spacing w:val="-96"/>
        </w:rPr>
      </w:r>
      <w:r>
        <w:rPr/>
        <w:t>易系统、资管的投资管理系统、银行的综合理财系统、以及金融机构的</w:t>
      </w:r>
      <w:r>
        <w:rPr>
          <w:spacing w:val="-54"/>
        </w:rPr>
        <w:t> </w:t>
      </w:r>
      <w:r>
        <w:rPr>
          <w:rFonts w:ascii="宋体" w:hAnsi="宋体" w:cs="宋体" w:eastAsia="宋体" w:hint="default"/>
        </w:rPr>
        <w:t>TA</w:t>
      </w:r>
      <w:r>
        <w:rPr>
          <w:rFonts w:ascii="宋体" w:hAnsi="宋体" w:cs="宋体" w:eastAsia="宋体" w:hint="default"/>
          <w:spacing w:val="-56"/>
        </w:rPr>
        <w:t> </w:t>
      </w:r>
      <w:r>
        <w:rPr/>
        <w:t>系统等。</w:t>
      </w:r>
    </w:p>
    <w:p>
      <w:pPr>
        <w:spacing w:after="0" w:line="355" w:lineRule="auto"/>
        <w:jc w:val="both"/>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6"/>
        <w:ind w:left="138" w:right="105" w:firstLine="419"/>
        <w:jc w:val="left"/>
      </w:pPr>
      <w:r>
        <w:rPr/>
        <w:t>基于金融行业的特殊性，客户更换</w:t>
      </w:r>
      <w:r>
        <w:rPr>
          <w:spacing w:val="-53"/>
        </w:rPr>
        <w:t> </w:t>
      </w:r>
      <w:r>
        <w:rPr>
          <w:rFonts w:ascii="宋体" w:hAnsi="宋体" w:cs="宋体" w:eastAsia="宋体" w:hint="default"/>
        </w:rPr>
        <w:t>IT</w:t>
      </w:r>
      <w:r>
        <w:rPr>
          <w:rFonts w:ascii="宋体" w:hAnsi="宋体" w:cs="宋体" w:eastAsia="宋体" w:hint="default"/>
          <w:spacing w:val="-53"/>
        </w:rPr>
        <w:t> </w:t>
      </w:r>
      <w:r>
        <w:rPr/>
        <w:t>产品比较谨慎，行业的壁垒相对较高，护城河比较宽，</w:t>
      </w:r>
      <w:r>
        <w:rPr>
          <w:w w:val="100"/>
        </w:rPr>
        <w:t> </w:t>
      </w:r>
      <w:r>
        <w:rPr>
          <w:spacing w:val="-5"/>
        </w:rPr>
        <w:t>新进入竞争者较少。并且由于公司</w:t>
      </w:r>
      <w:r>
        <w:rPr>
          <w:spacing w:val="-36"/>
        </w:rPr>
        <w:t> </w:t>
      </w:r>
      <w:r>
        <w:rPr>
          <w:rFonts w:ascii="宋体" w:hAnsi="宋体" w:cs="宋体" w:eastAsia="宋体" w:hint="default"/>
        </w:rPr>
        <w:t>20</w:t>
      </w:r>
      <w:r>
        <w:rPr>
          <w:rFonts w:ascii="宋体" w:hAnsi="宋体" w:cs="宋体" w:eastAsia="宋体" w:hint="default"/>
          <w:spacing w:val="-36"/>
        </w:rPr>
        <w:t> </w:t>
      </w:r>
      <w:r>
        <w:rPr>
          <w:spacing w:val="-4"/>
        </w:rPr>
        <w:t>多年的持续经营，获得了对客户业务的认知以及积累了能提</w:t>
      </w:r>
      <w:r>
        <w:rPr>
          <w:spacing w:val="-64"/>
        </w:rPr>
        <w:t> </w:t>
      </w:r>
      <w:r>
        <w:rPr>
          <w:spacing w:val="-64"/>
        </w:rPr>
      </w:r>
      <w:r>
        <w:rPr/>
        <w:t>供全面、复杂的客户服务能力，形成了公司独特而强大的核心竞争力。</w:t>
      </w:r>
    </w:p>
    <w:p>
      <w:pPr>
        <w:pStyle w:val="BodyText"/>
        <w:spacing w:line="357" w:lineRule="auto" w:before="30"/>
        <w:ind w:left="138" w:right="217" w:firstLine="419"/>
        <w:jc w:val="both"/>
      </w:pPr>
      <w:r>
        <w:rPr>
          <w:spacing w:val="-2"/>
        </w:rPr>
        <w:t>国内金融市场的发展尚处于早期阶段，因此，后续的客户需求将逐年提升，但由于产品价值</w:t>
      </w:r>
      <w:r>
        <w:rPr>
          <w:w w:val="100"/>
        </w:rPr>
        <w:t> </w:t>
      </w:r>
      <w:r>
        <w:rPr>
          <w:spacing w:val="-2"/>
        </w:rPr>
        <w:t>观的原因，导致国内产品与服务的单项收入水准与欧美发达地区相比，尚处于较低的水平。预计</w:t>
      </w:r>
      <w:r>
        <w:rPr>
          <w:spacing w:val="-25"/>
        </w:rPr>
        <w:t> </w:t>
      </w:r>
      <w:r>
        <w:rPr>
          <w:spacing w:val="-25"/>
        </w:rPr>
      </w:r>
      <w:r>
        <w:rPr>
          <w:spacing w:val="-2"/>
        </w:rPr>
        <w:t>随着国际化的进程以及“软件定义世界”的兴起，软件单项产品与云平台服务的价格水平将呈现</w:t>
      </w:r>
      <w:r>
        <w:rPr>
          <w:spacing w:val="-25"/>
        </w:rPr>
        <w:t> </w:t>
      </w:r>
      <w:r>
        <w:rPr>
          <w:spacing w:val="-25"/>
        </w:rPr>
      </w:r>
      <w:r>
        <w:rPr/>
        <w:t>曲线上升的态势。</w:t>
      </w:r>
    </w:p>
    <w:p>
      <w:pPr>
        <w:pStyle w:val="BodyText"/>
        <w:spacing w:line="357" w:lineRule="auto" w:before="30"/>
        <w:ind w:left="138" w:right="217" w:firstLine="419"/>
        <w:jc w:val="both"/>
      </w:pPr>
      <w:r>
        <w:rPr>
          <w:spacing w:val="-2"/>
        </w:rPr>
        <w:t>由于金融客户具备强大的支付能力与信用，行业的坏账是极低的。此外，由于信息化行业在</w:t>
      </w:r>
      <w:r>
        <w:rPr>
          <w:w w:val="100"/>
        </w:rPr>
        <w:t> </w:t>
      </w:r>
      <w:r>
        <w:rPr>
          <w:spacing w:val="-2"/>
        </w:rPr>
        <w:t>国内属于受鼓励的行业，因此，公司享有在增值税和企业所得税方面的优惠，所得税率近三年都</w:t>
      </w:r>
      <w:r>
        <w:rPr>
          <w:spacing w:val="-25"/>
        </w:rPr>
        <w:t> </w:t>
      </w:r>
      <w:r>
        <w:rPr>
          <w:spacing w:val="-25"/>
        </w:rPr>
      </w:r>
      <w:r>
        <w:rPr/>
        <w:t>维持在</w:t>
      </w:r>
      <w:r>
        <w:rPr>
          <w:spacing w:val="-52"/>
        </w:rPr>
        <w:t> </w:t>
      </w:r>
      <w:r>
        <w:rPr>
          <w:rFonts w:ascii="宋体" w:hAnsi="宋体" w:cs="宋体" w:eastAsia="宋体" w:hint="default"/>
        </w:rPr>
        <w:t>10%</w:t>
      </w:r>
      <w:r>
        <w:rPr/>
        <w:t>的水平。</w:t>
      </w:r>
    </w:p>
    <w:p>
      <w:pPr>
        <w:pStyle w:val="BodyText"/>
        <w:spacing w:line="240" w:lineRule="auto" w:before="32"/>
        <w:ind w:left="558" w:right="108"/>
        <w:jc w:val="left"/>
      </w:pPr>
      <w:r>
        <w:rPr/>
        <w:t>（二）行业（客户）的发展情况</w:t>
      </w:r>
    </w:p>
    <w:p>
      <w:pPr>
        <w:pStyle w:val="BodyText"/>
        <w:spacing w:line="355" w:lineRule="auto" w:before="133"/>
        <w:ind w:left="138" w:right="207" w:firstLine="419"/>
        <w:jc w:val="both"/>
      </w:pPr>
      <w:r>
        <w:rPr/>
        <w:t>根据相关数据统计，</w:t>
      </w:r>
      <w:r>
        <w:rPr>
          <w:rFonts w:ascii="宋体" w:hAnsi="宋体" w:cs="宋体" w:eastAsia="宋体" w:hint="default"/>
        </w:rPr>
        <w:t>2015</w:t>
      </w:r>
      <w:r>
        <w:rPr>
          <w:rFonts w:ascii="宋体" w:hAnsi="宋体" w:cs="宋体" w:eastAsia="宋体" w:hint="default"/>
          <w:spacing w:val="-57"/>
        </w:rPr>
        <w:t> </w:t>
      </w:r>
      <w:r>
        <w:rPr/>
        <w:t>年国内证券行业实现营业收入</w:t>
      </w:r>
      <w:r>
        <w:rPr>
          <w:spacing w:val="-55"/>
        </w:rPr>
        <w:t> </w:t>
      </w:r>
      <w:r>
        <w:rPr>
          <w:rFonts w:ascii="宋体" w:hAnsi="宋体" w:cs="宋体" w:eastAsia="宋体" w:hint="default"/>
        </w:rPr>
        <w:t>5752</w:t>
      </w:r>
      <w:r>
        <w:rPr>
          <w:rFonts w:ascii="宋体" w:hAnsi="宋体" w:cs="宋体" w:eastAsia="宋体" w:hint="default"/>
          <w:spacing w:val="-57"/>
        </w:rPr>
        <w:t> </w:t>
      </w:r>
      <w:r>
        <w:rPr/>
        <w:t>亿元，同比增长</w:t>
      </w:r>
      <w:r>
        <w:rPr>
          <w:spacing w:val="-54"/>
        </w:rPr>
        <w:t> </w:t>
      </w:r>
      <w:r>
        <w:rPr>
          <w:rFonts w:ascii="宋体" w:hAnsi="宋体" w:cs="宋体" w:eastAsia="宋体" w:hint="default"/>
        </w:rPr>
        <w:t>121%</w:t>
      </w:r>
      <w:r>
        <w:rPr/>
        <w:t>，实现净</w:t>
      </w:r>
      <w:r>
        <w:rPr>
          <w:w w:val="100"/>
        </w:rPr>
        <w:t> </w:t>
      </w:r>
      <w:r>
        <w:rPr/>
        <w:t>利润</w:t>
      </w:r>
      <w:r>
        <w:rPr>
          <w:spacing w:val="-43"/>
        </w:rPr>
        <w:t> </w:t>
      </w:r>
      <w:r>
        <w:rPr>
          <w:rFonts w:ascii="宋体" w:hAnsi="宋体" w:cs="宋体" w:eastAsia="宋体" w:hint="default"/>
        </w:rPr>
        <w:t>2448</w:t>
      </w:r>
      <w:r>
        <w:rPr>
          <w:rFonts w:ascii="宋体" w:hAnsi="宋体" w:cs="宋体" w:eastAsia="宋体" w:hint="default"/>
          <w:spacing w:val="-45"/>
        </w:rPr>
        <w:t> </w:t>
      </w:r>
      <w:r>
        <w:rPr>
          <w:spacing w:val="-3"/>
        </w:rPr>
        <w:t>亿元，同比增长</w:t>
      </w:r>
      <w:r>
        <w:rPr>
          <w:spacing w:val="-45"/>
        </w:rPr>
        <w:t> </w:t>
      </w:r>
      <w:r>
        <w:rPr>
          <w:rFonts w:ascii="宋体" w:hAnsi="宋体" w:cs="宋体" w:eastAsia="宋体" w:hint="default"/>
          <w:spacing w:val="-3"/>
        </w:rPr>
        <w:t>153%</w:t>
      </w:r>
      <w:r>
        <w:rPr>
          <w:spacing w:val="-3"/>
        </w:rPr>
        <w:t>，营收和净利润规模及增速均达到历史高点。受益于</w:t>
      </w:r>
      <w:r>
        <w:rPr>
          <w:spacing w:val="-43"/>
        </w:rPr>
        <w:t> </w:t>
      </w:r>
      <w:r>
        <w:rPr>
          <w:rFonts w:ascii="宋体" w:hAnsi="宋体" w:cs="宋体" w:eastAsia="宋体" w:hint="default"/>
        </w:rPr>
        <w:t>2015</w:t>
      </w:r>
      <w:r>
        <w:rPr>
          <w:rFonts w:ascii="宋体" w:hAnsi="宋体" w:cs="宋体" w:eastAsia="宋体" w:hint="default"/>
          <w:spacing w:val="-43"/>
        </w:rPr>
        <w:t> </w:t>
      </w:r>
      <w:r>
        <w:rPr/>
        <w:t>年上半</w:t>
      </w:r>
      <w:r>
        <w:rPr>
          <w:spacing w:val="-101"/>
        </w:rPr>
        <w:t> </w:t>
      </w:r>
      <w:r>
        <w:rPr>
          <w:spacing w:val="-101"/>
        </w:rPr>
      </w:r>
      <w:r>
        <w:rPr>
          <w:spacing w:val="-2"/>
        </w:rPr>
        <w:t>年股市上涨的行情，以及一人多户的政策等，股基交易量累计同比大涨。但由于受到互联网的冲</w:t>
      </w:r>
      <w:r>
        <w:rPr>
          <w:spacing w:val="-25"/>
        </w:rPr>
        <w:t> </w:t>
      </w:r>
      <w:r>
        <w:rPr>
          <w:spacing w:val="-25"/>
        </w:rPr>
      </w:r>
      <w:r>
        <w:rPr>
          <w:spacing w:val="-1"/>
        </w:rPr>
        <w:t>击，</w:t>
      </w:r>
      <w:r>
        <w:rPr>
          <w:rFonts w:ascii="宋体" w:hAnsi="宋体" w:cs="宋体" w:eastAsia="宋体" w:hint="default"/>
          <w:spacing w:val="-1"/>
        </w:rPr>
        <w:t>15</w:t>
      </w:r>
      <w:r>
        <w:rPr>
          <w:rFonts w:ascii="宋体" w:hAnsi="宋体" w:cs="宋体" w:eastAsia="宋体" w:hint="default"/>
          <w:spacing w:val="15"/>
        </w:rPr>
        <w:t> </w:t>
      </w:r>
      <w:r>
        <w:rPr>
          <w:spacing w:val="-2"/>
        </w:rPr>
        <w:t>年经纪业务佣金率继续下滑，但由于保本佣金率的制约，佣金率降速预计将趋缓。</w:t>
      </w:r>
    </w:p>
    <w:p>
      <w:pPr>
        <w:pStyle w:val="BodyText"/>
        <w:spacing w:line="357" w:lineRule="auto" w:before="34"/>
        <w:ind w:left="138" w:right="217" w:firstLine="419"/>
        <w:jc w:val="both"/>
      </w:pPr>
      <w:r>
        <w:rPr>
          <w:spacing w:val="-2"/>
        </w:rPr>
        <w:t>对于行业未来发展，目前看来互联网金融已全面渗透，证券、银行、资产管理公司等金融机</w:t>
      </w:r>
      <w:r>
        <w:rPr>
          <w:w w:val="100"/>
        </w:rPr>
        <w:t> </w:t>
      </w:r>
      <w:r>
        <w:rPr>
          <w:spacing w:val="-2"/>
        </w:rPr>
        <w:t>构全面进入混业经营的趋势逐渐显现，短期证券行业整体挑战大于机遇，金融行业分化加剧，大</w:t>
      </w:r>
      <w:r>
        <w:rPr>
          <w:spacing w:val="-25"/>
        </w:rPr>
        <w:t> </w:t>
      </w:r>
      <w:r>
        <w:rPr>
          <w:spacing w:val="-25"/>
        </w:rPr>
      </w:r>
      <w:r>
        <w:rPr/>
        <w:t>券商提供全面金融服务，中小券商走差异化服务战略。</w:t>
      </w:r>
    </w:p>
    <w:p>
      <w:pPr>
        <w:pStyle w:val="BodyText"/>
        <w:spacing w:line="357" w:lineRule="auto" w:before="30"/>
        <w:ind w:left="138" w:right="208" w:firstLine="419"/>
        <w:jc w:val="both"/>
        <w:rPr>
          <w:rFonts w:ascii="宋体" w:hAnsi="宋体" w:cs="宋体" w:eastAsia="宋体" w:hint="default"/>
        </w:rPr>
      </w:pPr>
      <w:r>
        <w:rPr>
          <w:rFonts w:ascii="宋体" w:hAnsi="宋体" w:cs="宋体" w:eastAsia="宋体" w:hint="default"/>
        </w:rPr>
        <w:t>2015 </w:t>
      </w:r>
      <w:r>
        <w:rPr>
          <w:spacing w:val="-4"/>
        </w:rPr>
        <w:t>年是资产管理持续创新的一年，资产管理规模快速扩张，根据相关数据统计，截止</w:t>
      </w:r>
      <w:r>
        <w:rPr>
          <w:spacing w:val="-67"/>
        </w:rPr>
        <w:t> </w:t>
      </w:r>
      <w:r>
        <w:rPr>
          <w:rFonts w:ascii="宋体" w:hAnsi="宋体" w:cs="宋体" w:eastAsia="宋体" w:hint="default"/>
        </w:rPr>
        <w:t>2015</w:t>
      </w:r>
      <w:r>
        <w:rPr>
          <w:rFonts w:ascii="宋体" w:hAnsi="宋体" w:cs="宋体" w:eastAsia="宋体" w:hint="default"/>
          <w:w w:val="100"/>
        </w:rPr>
        <w:t> </w:t>
      </w:r>
      <w:r>
        <w:rPr>
          <w:spacing w:val="-2"/>
        </w:rPr>
        <w:t>年底，基金管理公司及其子公司、证券公司、期货公司、私募基金管理机构资产管理业务总规模</w:t>
      </w:r>
      <w:r>
        <w:rPr>
          <w:spacing w:val="-25"/>
        </w:rPr>
        <w:t> </w:t>
      </w:r>
      <w:r>
        <w:rPr>
          <w:spacing w:val="-25"/>
        </w:rPr>
      </w:r>
      <w:r>
        <w:rPr/>
        <w:t>约</w:t>
      </w:r>
      <w:r>
        <w:rPr>
          <w:spacing w:val="-54"/>
        </w:rPr>
        <w:t> </w:t>
      </w:r>
      <w:r>
        <w:rPr>
          <w:rFonts w:ascii="宋体" w:hAnsi="宋体" w:cs="宋体" w:eastAsia="宋体" w:hint="default"/>
        </w:rPr>
        <w:t>38.20</w:t>
      </w:r>
      <w:r>
        <w:rPr>
          <w:rFonts w:ascii="宋体" w:hAnsi="宋体" w:cs="宋体" w:eastAsia="宋体" w:hint="default"/>
          <w:spacing w:val="-54"/>
        </w:rPr>
        <w:t> </w:t>
      </w:r>
      <w:r>
        <w:rPr/>
        <w:t>万亿元，在</w:t>
      </w:r>
      <w:r>
        <w:rPr>
          <w:spacing w:val="-54"/>
        </w:rPr>
        <w:t> </w:t>
      </w:r>
      <w:r>
        <w:rPr>
          <w:rFonts w:ascii="宋体" w:hAnsi="宋体" w:cs="宋体" w:eastAsia="宋体" w:hint="default"/>
        </w:rPr>
        <w:t>2014</w:t>
      </w:r>
      <w:r>
        <w:rPr>
          <w:rFonts w:ascii="宋体" w:hAnsi="宋体" w:cs="宋体" w:eastAsia="宋体" w:hint="default"/>
          <w:spacing w:val="-56"/>
        </w:rPr>
        <w:t> </w:t>
      </w:r>
      <w:r>
        <w:rPr/>
        <w:t>年底的基础上，增长超过</w:t>
      </w:r>
      <w:r>
        <w:rPr>
          <w:spacing w:val="-56"/>
        </w:rPr>
        <w:t> </w:t>
      </w:r>
      <w:r>
        <w:rPr>
          <w:rFonts w:ascii="宋体" w:hAnsi="宋体" w:cs="宋体" w:eastAsia="宋体" w:hint="default"/>
        </w:rPr>
        <w:t>86.34%</w:t>
      </w:r>
      <w:r>
        <w:rPr/>
        <w:t>。创新业务发展开始加速，截止</w:t>
      </w:r>
      <w:r>
        <w:rPr>
          <w:spacing w:val="-54"/>
        </w:rPr>
        <w:t> </w:t>
      </w:r>
      <w:r>
        <w:rPr>
          <w:rFonts w:ascii="宋体" w:hAnsi="宋体" w:cs="宋体" w:eastAsia="宋体" w:hint="default"/>
        </w:rPr>
        <w:t>2015</w:t>
      </w:r>
    </w:p>
    <w:p>
      <w:pPr>
        <w:pStyle w:val="BodyText"/>
        <w:spacing w:line="240" w:lineRule="auto" w:before="30"/>
        <w:ind w:left="138" w:right="108"/>
        <w:jc w:val="left"/>
      </w:pPr>
      <w:r>
        <w:rPr/>
        <w:t>年底备案私募机构达到两万多家，资产管理规模突破</w:t>
      </w:r>
      <w:r>
        <w:rPr>
          <w:spacing w:val="-54"/>
        </w:rPr>
        <w:t> </w:t>
      </w:r>
      <w:r>
        <w:rPr>
          <w:rFonts w:ascii="宋体" w:hAnsi="宋体" w:cs="宋体" w:eastAsia="宋体" w:hint="default"/>
        </w:rPr>
        <w:t>4</w:t>
      </w:r>
      <w:r>
        <w:rPr>
          <w:rFonts w:ascii="宋体" w:hAnsi="宋体" w:cs="宋体" w:eastAsia="宋体" w:hint="default"/>
          <w:spacing w:val="-54"/>
        </w:rPr>
        <w:t> </w:t>
      </w:r>
      <w:r>
        <w:rPr/>
        <w:t>万亿。</w:t>
      </w:r>
    </w:p>
    <w:p>
      <w:pPr>
        <w:pStyle w:val="BodyText"/>
        <w:spacing w:line="357" w:lineRule="auto" w:before="133"/>
        <w:ind w:left="138" w:right="108" w:firstLine="419"/>
        <w:jc w:val="left"/>
      </w:pPr>
      <w:r>
        <w:rPr>
          <w:rFonts w:ascii="宋体" w:hAnsi="宋体" w:cs="宋体" w:eastAsia="宋体" w:hint="default"/>
        </w:rPr>
        <w:t>2015</w:t>
      </w:r>
      <w:r>
        <w:rPr>
          <w:rFonts w:ascii="宋体" w:hAnsi="宋体" w:cs="宋体" w:eastAsia="宋体" w:hint="default"/>
          <w:spacing w:val="-10"/>
        </w:rPr>
        <w:t> </w:t>
      </w:r>
      <w:r>
        <w:rPr/>
        <w:t>年，随着《基金法》全面实施，基金专项资产管理子公司业务热情高涨，继银行之后，</w:t>
      </w:r>
      <w:r>
        <w:rPr>
          <w:w w:val="100"/>
        </w:rPr>
        <w:t> </w:t>
      </w:r>
      <w:r>
        <w:rPr/>
        <w:t>保险公司、证券公司、私募机构相继进入资管、公募行业，资管市场进一步放开、充分竞争格局</w:t>
      </w:r>
      <w:r>
        <w:rPr>
          <w:w w:val="100"/>
        </w:rPr>
        <w:t> </w:t>
      </w:r>
      <w:r>
        <w:rPr/>
        <w:t>已然形成。包括第三方理财、互联网金融等在内的各类机构，不断尝试金融创新以满足各类投资</w:t>
      </w:r>
      <w:r>
        <w:rPr>
          <w:w w:val="100"/>
        </w:rPr>
        <w:t> </w:t>
      </w:r>
      <w:r>
        <w:rPr/>
        <w:t>者日渐复杂化、多元化的需求。此外，信托业刚性兑付不断被打破，</w:t>
      </w:r>
      <w:r>
        <w:rPr>
          <w:rFonts w:ascii="宋体" w:hAnsi="宋体" w:cs="宋体" w:eastAsia="宋体" w:hint="default"/>
        </w:rPr>
        <w:t>P2P</w:t>
      </w:r>
      <w:r>
        <w:rPr>
          <w:rFonts w:ascii="宋体" w:hAnsi="宋体" w:cs="宋体" w:eastAsia="宋体" w:hint="default"/>
          <w:spacing w:val="-54"/>
        </w:rPr>
        <w:t> </w:t>
      </w:r>
      <w:r>
        <w:rPr/>
        <w:t>市场规范、风险逐步暴</w:t>
      </w:r>
      <w:r>
        <w:rPr>
          <w:w w:val="100"/>
        </w:rPr>
        <w:t> </w:t>
      </w:r>
      <w:r>
        <w:rPr/>
        <w:t>露，也都对财富管理市场产生深远影响。</w:t>
      </w:r>
    </w:p>
    <w:p>
      <w:pPr>
        <w:pStyle w:val="BodyText"/>
        <w:spacing w:line="355" w:lineRule="auto" w:before="30"/>
        <w:ind w:left="138" w:right="217" w:firstLine="419"/>
        <w:jc w:val="both"/>
      </w:pPr>
      <w:r>
        <w:rPr>
          <w:spacing w:val="-2"/>
        </w:rPr>
        <w:t>展望未来，财富管理已成为国内各金融机构业务转型升级争夺的焦点，财富管理市场将有极</w:t>
      </w:r>
      <w:r>
        <w:rPr>
          <w:w w:val="100"/>
        </w:rPr>
        <w:t> </w:t>
      </w:r>
      <w:r>
        <w:rPr/>
        <w:t>其广阔的发展空间。</w:t>
      </w:r>
    </w:p>
    <w:p>
      <w:pPr>
        <w:pStyle w:val="BodyText"/>
        <w:spacing w:line="240" w:lineRule="auto" w:before="34"/>
        <w:ind w:left="558" w:right="108"/>
        <w:jc w:val="left"/>
      </w:pPr>
      <w:r>
        <w:rPr>
          <w:rFonts w:ascii="宋体" w:hAnsi="宋体" w:cs="宋体" w:eastAsia="宋体" w:hint="default"/>
        </w:rPr>
        <w:t>2015</w:t>
      </w:r>
      <w:r>
        <w:rPr>
          <w:rFonts w:ascii="宋体" w:hAnsi="宋体" w:cs="宋体" w:eastAsia="宋体" w:hint="default"/>
          <w:spacing w:val="-2"/>
        </w:rPr>
        <w:t> </w:t>
      </w:r>
      <w:r>
        <w:rPr>
          <w:spacing w:val="-2"/>
        </w:rPr>
        <w:t>年也是场外市场蓬勃发展的一年，各类交易场所机构层出不穷。</w:t>
      </w:r>
    </w:p>
    <w:p>
      <w:pPr>
        <w:pStyle w:val="BodyText"/>
        <w:spacing w:line="357" w:lineRule="auto" w:before="133"/>
        <w:ind w:left="138" w:right="210" w:firstLine="419"/>
        <w:jc w:val="both"/>
      </w:pPr>
      <w:r>
        <w:rPr/>
        <w:t>随着 </w:t>
      </w:r>
      <w:r>
        <w:rPr>
          <w:rFonts w:ascii="宋体" w:hAnsi="宋体" w:cs="宋体" w:eastAsia="宋体" w:hint="default"/>
        </w:rPr>
        <w:t>2015</w:t>
      </w:r>
      <w:r>
        <w:rPr>
          <w:rFonts w:ascii="宋体" w:hAnsi="宋体" w:cs="宋体" w:eastAsia="宋体" w:hint="default"/>
          <w:spacing w:val="-71"/>
        </w:rPr>
        <w:t> </w:t>
      </w:r>
      <w:r>
        <w:rPr>
          <w:spacing w:val="-4"/>
        </w:rPr>
        <w:t>年利率市场化进程的推进和深入，加之互联网金融所产生的“鲶鱼效应”，促使银</w:t>
      </w:r>
      <w:r>
        <w:rPr>
          <w:w w:val="100"/>
        </w:rPr>
        <w:t> </w:t>
      </w:r>
      <w:r>
        <w:rPr>
          <w:spacing w:val="-2"/>
        </w:rPr>
        <w:t>行通过实现业务结构调整和多元化经营来应对挑战，回归服务中小企业的角色，积极推动业务结</w:t>
      </w:r>
      <w:r>
        <w:rPr>
          <w:spacing w:val="-25"/>
        </w:rPr>
        <w:t> </w:t>
      </w:r>
      <w:r>
        <w:rPr>
          <w:spacing w:val="-25"/>
        </w:rPr>
      </w:r>
      <w:r>
        <w:rPr/>
        <w:t>构调整和发展方式转型。</w:t>
      </w:r>
    </w:p>
    <w:p>
      <w:pPr>
        <w:spacing w:after="0" w:line="357" w:lineRule="auto"/>
        <w:jc w:val="both"/>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left="138" w:right="0"/>
        <w:jc w:val="both"/>
        <w:rPr>
          <w:b w:val="0"/>
          <w:bCs w:val="0"/>
        </w:rPr>
      </w:pPr>
      <w:r>
        <w:rPr/>
        <w:t>二、报告期内核心竞争力分析</w:t>
      </w:r>
      <w:r>
        <w:rPr>
          <w:b w:val="0"/>
          <w:bCs w:val="0"/>
        </w:rPr>
      </w:r>
    </w:p>
    <w:p>
      <w:pPr>
        <w:pStyle w:val="BodyText"/>
        <w:spacing w:line="237" w:lineRule="auto" w:before="61"/>
        <w:ind w:left="138" w:right="207" w:firstLine="419"/>
        <w:jc w:val="right"/>
      </w:pPr>
      <w:r>
        <w:rPr>
          <w:rFonts w:ascii="宋体" w:hAnsi="宋体" w:cs="宋体" w:eastAsia="宋体" w:hint="default"/>
          <w:spacing w:val="-5"/>
        </w:rPr>
        <w:t>1</w:t>
      </w:r>
      <w:r>
        <w:rPr>
          <w:spacing w:val="-5"/>
        </w:rPr>
        <w:t>、恒生电子积累了</w:t>
      </w:r>
      <w:r>
        <w:rPr>
          <w:spacing w:val="-37"/>
        </w:rPr>
        <w:t> </w:t>
      </w:r>
      <w:r>
        <w:rPr>
          <w:rFonts w:ascii="宋体" w:hAnsi="宋体" w:cs="宋体" w:eastAsia="宋体" w:hint="default"/>
        </w:rPr>
        <w:t>20</w:t>
      </w:r>
      <w:r>
        <w:rPr>
          <w:rFonts w:ascii="宋体" w:hAnsi="宋体" w:cs="宋体" w:eastAsia="宋体" w:hint="default"/>
          <w:spacing w:val="-38"/>
        </w:rPr>
        <w:t> </w:t>
      </w:r>
      <w:r>
        <w:rPr/>
        <w:t>多年的金融</w:t>
      </w:r>
      <w:r>
        <w:rPr>
          <w:spacing w:val="-38"/>
        </w:rPr>
        <w:t> </w:t>
      </w:r>
      <w:r>
        <w:rPr>
          <w:rFonts w:ascii="宋体" w:hAnsi="宋体" w:cs="宋体" w:eastAsia="宋体" w:hint="default"/>
        </w:rPr>
        <w:t>IT</w:t>
      </w:r>
      <w:r>
        <w:rPr>
          <w:rFonts w:ascii="宋体" w:hAnsi="宋体" w:cs="宋体" w:eastAsia="宋体" w:hint="default"/>
          <w:spacing w:val="-38"/>
        </w:rPr>
        <w:t> </w:t>
      </w:r>
      <w:r>
        <w:rPr>
          <w:spacing w:val="-5"/>
        </w:rPr>
        <w:t>业务经验，深入了解国际与国内金融业务动态，了解客</w:t>
      </w:r>
      <w:r>
        <w:rPr>
          <w:w w:val="100"/>
        </w:rPr>
        <w:t> </w:t>
      </w:r>
      <w:r>
        <w:rPr>
          <w:spacing w:val="-4"/>
        </w:rPr>
        <w:t>户的业务需求和对未来业务发展趋势的评估，并能熟练运用 </w:t>
      </w:r>
      <w:r>
        <w:rPr>
          <w:rFonts w:ascii="宋体" w:hAnsi="宋体" w:cs="宋体" w:eastAsia="宋体" w:hint="default"/>
        </w:rPr>
        <w:t>IT</w:t>
      </w:r>
      <w:r>
        <w:rPr>
          <w:rFonts w:ascii="宋体" w:hAnsi="宋体" w:cs="宋体" w:eastAsia="宋体" w:hint="default"/>
          <w:spacing w:val="-28"/>
        </w:rPr>
        <w:t> </w:t>
      </w:r>
      <w:r>
        <w:rPr>
          <w:spacing w:val="-5"/>
        </w:rPr>
        <w:t>技术实现产品与服务的构建，恒生</w:t>
      </w:r>
      <w:r>
        <w:rPr>
          <w:w w:val="100"/>
        </w:rPr>
        <w:t> </w:t>
      </w:r>
      <w:r>
        <w:rPr>
          <w:spacing w:val="-2"/>
        </w:rPr>
        <w:t>对客户业务的深入了解，是时间、人才、知识、经验的不断累积，树立了目前行业的领先地位。</w:t>
      </w:r>
      <w:r>
        <w:rPr>
          <w:spacing w:val="-53"/>
        </w:rPr>
        <w:t> </w:t>
      </w:r>
      <w:r>
        <w:rPr>
          <w:spacing w:val="-53"/>
        </w:rPr>
      </w:r>
      <w:r>
        <w:rPr>
          <w:rFonts w:ascii="宋体" w:hAnsi="宋体" w:cs="宋体" w:eastAsia="宋体" w:hint="default"/>
        </w:rPr>
        <w:t>2</w:t>
      </w:r>
      <w:r>
        <w:rPr/>
        <w:t>、恒生电子是目前中国拥有“全牌照”的金融</w:t>
      </w:r>
      <w:r>
        <w:rPr>
          <w:spacing w:val="-56"/>
        </w:rPr>
        <w:t> </w:t>
      </w:r>
      <w:r>
        <w:rPr>
          <w:rFonts w:ascii="宋体" w:hAnsi="宋体" w:cs="宋体" w:eastAsia="宋体" w:hint="default"/>
        </w:rPr>
        <w:t>IT</w:t>
      </w:r>
      <w:r>
        <w:rPr>
          <w:rFonts w:ascii="宋体" w:hAnsi="宋体" w:cs="宋体" w:eastAsia="宋体" w:hint="default"/>
          <w:spacing w:val="-59"/>
        </w:rPr>
        <w:t> </w:t>
      </w:r>
      <w:r>
        <w:rPr/>
        <w:t>企业，业务范围涵盖银行、证券、基金、</w:t>
      </w:r>
      <w:r>
        <w:rPr>
          <w:w w:val="100"/>
        </w:rPr>
        <w:t> </w:t>
      </w:r>
      <w:r>
        <w:rPr>
          <w:spacing w:val="-2"/>
        </w:rPr>
        <w:t>信托、保险、期货等金融市场的各个领域，在金融混业趋势和金融创新发展的格局下，更有利于</w:t>
      </w:r>
      <w:r>
        <w:rPr>
          <w:spacing w:val="-53"/>
        </w:rPr>
        <w:t> </w:t>
      </w:r>
      <w:r>
        <w:rPr>
          <w:spacing w:val="-53"/>
        </w:rPr>
      </w:r>
      <w:r>
        <w:rPr>
          <w:spacing w:val="-6"/>
        </w:rPr>
        <w:t>恒生发挥协同优势，构建业务壁垒；恒生保持专注的精神，长年坚持在</w:t>
      </w:r>
      <w:r>
        <w:rPr>
          <w:rFonts w:ascii="宋体" w:hAnsi="宋体" w:cs="宋体" w:eastAsia="宋体" w:hint="default"/>
          <w:spacing w:val="-6"/>
        </w:rPr>
        <w:t>"</w:t>
      </w:r>
      <w:r>
        <w:rPr>
          <w:spacing w:val="-6"/>
        </w:rPr>
        <w:t>财富管理</w:t>
      </w:r>
      <w:r>
        <w:rPr>
          <w:rFonts w:ascii="宋体" w:hAnsi="宋体" w:cs="宋体" w:eastAsia="宋体" w:hint="default"/>
          <w:spacing w:val="-6"/>
        </w:rPr>
        <w:t>"</w:t>
      </w:r>
      <w:r>
        <w:rPr>
          <w:spacing w:val="-6"/>
        </w:rPr>
        <w:t>领域深耕细作，</w:t>
      </w:r>
      <w:r>
        <w:rPr>
          <w:spacing w:val="-71"/>
        </w:rPr>
        <w:t> </w:t>
      </w:r>
      <w:r>
        <w:rPr>
          <w:spacing w:val="-71"/>
        </w:rPr>
      </w:r>
      <w:r>
        <w:rPr>
          <w:spacing w:val="-7"/>
          <w:w w:val="100"/>
        </w:rPr>
        <w:t>坚持不懈；恒生可以为客户提供全面的金融财富管理解决方案，使得恒生的产品具备高度的粘性。</w:t>
      </w:r>
    </w:p>
    <w:p>
      <w:pPr>
        <w:pStyle w:val="BodyText"/>
        <w:spacing w:line="237" w:lineRule="auto"/>
        <w:ind w:left="138" w:right="205" w:firstLine="419"/>
        <w:jc w:val="left"/>
      </w:pPr>
      <w:r>
        <w:rPr>
          <w:rFonts w:ascii="宋体" w:hAnsi="宋体" w:cs="宋体" w:eastAsia="宋体" w:hint="default"/>
        </w:rPr>
        <w:t>3</w:t>
      </w:r>
      <w:r>
        <w:rPr/>
        <w:t>、恒生电子建立了优秀的企业价值观，使客户、员工、股东利益保持一致与平衡，在金融</w:t>
      </w:r>
      <w:r>
        <w:rPr>
          <w:w w:val="100"/>
        </w:rPr>
        <w:t> </w:t>
      </w:r>
      <w:r>
        <w:rPr>
          <w:rFonts w:ascii="宋体" w:hAnsi="宋体" w:cs="宋体" w:eastAsia="宋体" w:hint="default"/>
        </w:rPr>
        <w:t>IT </w:t>
      </w:r>
      <w:r>
        <w:rPr>
          <w:spacing w:val="-3"/>
        </w:rPr>
        <w:t>领域的竞争中，人才的竞争是关键因素，恒生电子始终保持实现股东价值的同时，关注员工的</w:t>
      </w:r>
      <w:r>
        <w:rPr>
          <w:spacing w:val="-85"/>
        </w:rPr>
        <w:t> </w:t>
      </w:r>
      <w:r>
        <w:rPr>
          <w:spacing w:val="-85"/>
        </w:rPr>
      </w:r>
      <w:r>
        <w:rPr>
          <w:spacing w:val="-1"/>
        </w:rPr>
        <w:t>利益。</w:t>
      </w:r>
      <w:r>
        <w:rPr>
          <w:rFonts w:ascii="宋体" w:hAnsi="宋体" w:cs="宋体" w:eastAsia="宋体" w:hint="default"/>
          <w:spacing w:val="-1"/>
        </w:rPr>
        <w:t>2015</w:t>
      </w:r>
      <w:r>
        <w:rPr>
          <w:rFonts w:ascii="宋体" w:hAnsi="宋体" w:cs="宋体" w:eastAsia="宋体" w:hint="default"/>
          <w:spacing w:val="13"/>
        </w:rPr>
        <w:t> </w:t>
      </w:r>
      <w:r>
        <w:rPr>
          <w:spacing w:val="-2"/>
        </w:rPr>
        <w:t>年恒生启动创新业务子公司员工持股计划，让员工与公司一起成长与分享。</w:t>
      </w:r>
    </w:p>
    <w:p>
      <w:pPr>
        <w:pStyle w:val="BodyText"/>
        <w:spacing w:line="237" w:lineRule="auto" w:before="1"/>
        <w:ind w:left="138" w:right="208" w:firstLine="419"/>
        <w:jc w:val="both"/>
      </w:pPr>
      <w:r>
        <w:rPr>
          <w:rFonts w:ascii="宋体" w:hAnsi="宋体" w:cs="宋体" w:eastAsia="宋体" w:hint="default"/>
          <w:spacing w:val="-4"/>
        </w:rPr>
        <w:t>4</w:t>
      </w:r>
      <w:r>
        <w:rPr>
          <w:spacing w:val="-4"/>
        </w:rPr>
        <w:t>、恒生电子多年构建产品的核心竞争力，始终保持前瞻的研发投入，公司的主要产品线引导</w:t>
      </w:r>
      <w:r>
        <w:rPr>
          <w:w w:val="100"/>
        </w:rPr>
        <w:t> </w:t>
      </w:r>
      <w:r>
        <w:rPr>
          <w:spacing w:val="-6"/>
        </w:rPr>
        <w:t>行业应用，并在产品稳定性、技术架构、业务快速部署、反应速度等多个指标领域保持行业领先，</w:t>
      </w:r>
      <w:r>
        <w:rPr>
          <w:spacing w:val="-53"/>
        </w:rPr>
        <w:t> </w:t>
      </w:r>
      <w:r>
        <w:rPr>
          <w:spacing w:val="-53"/>
        </w:rPr>
      </w:r>
      <w:r>
        <w:rPr>
          <w:spacing w:val="-2"/>
        </w:rPr>
        <w:t>获得客户的广泛认可；随着恒生产品的混业发展，恒生具备了实现技术复用和协同的能力，规模</w:t>
      </w:r>
      <w:r>
        <w:rPr>
          <w:spacing w:val="-25"/>
        </w:rPr>
        <w:t> </w:t>
      </w:r>
      <w:r>
        <w:rPr>
          <w:spacing w:val="-25"/>
        </w:rPr>
      </w:r>
      <w:r>
        <w:rPr/>
        <w:t>效应的特征更加显著。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1"/>
        <w:tabs>
          <w:tab w:pos="1259" w:val="left" w:leader="none"/>
        </w:tabs>
        <w:spacing w:line="240" w:lineRule="auto" w:before="0"/>
        <w:ind w:right="75"/>
        <w:jc w:val="center"/>
        <w:rPr>
          <w:b w:val="0"/>
          <w:bCs w:val="0"/>
        </w:rPr>
      </w:pPr>
      <w:bookmarkStart w:name="_TOC_250008" w:id="4"/>
      <w:r>
        <w:rPr>
          <w:w w:val="95"/>
        </w:rPr>
        <w:t>第四节</w:t>
        <w:tab/>
      </w:r>
      <w:r>
        <w:rPr/>
        <w:t>管理层讨论与分析</w:t>
      </w:r>
      <w:bookmarkEnd w:id="4"/>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138" w:right="0"/>
        <w:jc w:val="both"/>
        <w:rPr>
          <w:b w:val="0"/>
          <w:bCs w:val="0"/>
        </w:rPr>
      </w:pPr>
      <w:r>
        <w:rPr/>
        <w:t>一、管理层讨论与分析</w:t>
      </w:r>
      <w:r>
        <w:rPr>
          <w:b w:val="0"/>
          <w:bCs w:val="0"/>
        </w:rPr>
      </w:r>
    </w:p>
    <w:p>
      <w:pPr>
        <w:pStyle w:val="BodyText"/>
        <w:spacing w:line="237" w:lineRule="auto" w:before="61"/>
        <w:ind w:left="138" w:right="108" w:firstLine="419"/>
        <w:jc w:val="left"/>
      </w:pPr>
      <w:r>
        <w:rPr>
          <w:rFonts w:ascii="宋体" w:hAnsi="宋体" w:cs="宋体" w:eastAsia="宋体" w:hint="default"/>
        </w:rPr>
        <w:t>2015</w:t>
      </w:r>
      <w:r>
        <w:rPr>
          <w:rFonts w:ascii="宋体" w:hAnsi="宋体" w:cs="宋体" w:eastAsia="宋体" w:hint="default"/>
          <w:spacing w:val="-11"/>
        </w:rPr>
        <w:t> </w:t>
      </w:r>
      <w:r>
        <w:rPr>
          <w:spacing w:val="-3"/>
        </w:rPr>
        <w:t>年，是不寻常一年，上半年迎来资本市场牛市行情，日交易量达万亿以上，恒生凭借强</w:t>
      </w:r>
      <w:r>
        <w:rPr>
          <w:w w:val="100"/>
        </w:rPr>
        <w:t> </w:t>
      </w:r>
      <w:r>
        <w:rPr/>
        <w:t>大的技术实力，</w:t>
      </w:r>
      <w:r>
        <w:rPr>
          <w:spacing w:val="-20"/>
        </w:rPr>
        <w:t> </w:t>
      </w:r>
      <w:r>
        <w:rPr/>
        <w:t>恒生公司提供的交易软件实现</w:t>
      </w:r>
      <w:r>
        <w:rPr>
          <w:spacing w:val="-43"/>
        </w:rPr>
        <w:t> </w:t>
      </w:r>
      <w:r>
        <w:rPr>
          <w:rFonts w:ascii="宋体" w:hAnsi="宋体" w:cs="宋体" w:eastAsia="宋体" w:hint="default"/>
        </w:rPr>
        <w:t>0</w:t>
      </w:r>
      <w:r>
        <w:rPr>
          <w:rFonts w:ascii="宋体" w:hAnsi="宋体" w:cs="宋体" w:eastAsia="宋体" w:hint="default"/>
          <w:spacing w:val="-43"/>
        </w:rPr>
        <w:t> </w:t>
      </w:r>
      <w:r>
        <w:rPr>
          <w:spacing w:val="-5"/>
        </w:rPr>
        <w:t>事故率，经受了重大的考验，得到了客户和最终</w:t>
      </w:r>
      <w:r>
        <w:rPr>
          <w:spacing w:val="-101"/>
        </w:rPr>
        <w:t> </w:t>
      </w:r>
      <w:r>
        <w:rPr>
          <w:spacing w:val="-101"/>
        </w:rPr>
      </w:r>
      <w:r>
        <w:rPr/>
        <w:t>用户的高度赞扬。下半年股市激烈震荡，出现大幅下跌行情，公司控股子公司恒生网络的</w:t>
      </w:r>
      <w:r>
        <w:rPr>
          <w:spacing w:val="-54"/>
        </w:rPr>
        <w:t> </w:t>
      </w:r>
      <w:r>
        <w:rPr>
          <w:rFonts w:ascii="宋体" w:hAnsi="宋体" w:cs="宋体" w:eastAsia="宋体" w:hint="default"/>
        </w:rPr>
        <w:t>HOMS</w:t>
      </w:r>
      <w:r>
        <w:rPr>
          <w:rFonts w:ascii="宋体" w:hAnsi="宋体" w:cs="宋体" w:eastAsia="宋体" w:hint="default"/>
          <w:w w:val="100"/>
        </w:rPr>
        <w:t> </w:t>
      </w:r>
      <w:r>
        <w:rPr/>
        <w:t>产品线因涉嫌违规，被监管机构立案调查并收到行政处罚事先告知书。</w:t>
      </w:r>
    </w:p>
    <w:p>
      <w:pPr>
        <w:pStyle w:val="BodyText"/>
        <w:spacing w:line="272" w:lineRule="exact" w:before="26"/>
        <w:ind w:left="138" w:right="108" w:firstLine="419"/>
        <w:jc w:val="left"/>
      </w:pPr>
      <w:r>
        <w:rPr>
          <w:rFonts w:ascii="宋体" w:hAnsi="宋体" w:cs="宋体" w:eastAsia="宋体" w:hint="default"/>
        </w:rPr>
        <w:t>2015</w:t>
      </w:r>
      <w:r>
        <w:rPr>
          <w:rFonts w:ascii="宋体" w:hAnsi="宋体" w:cs="宋体" w:eastAsia="宋体" w:hint="default"/>
          <w:spacing w:val="-11"/>
        </w:rPr>
        <w:t> </w:t>
      </w:r>
      <w:r>
        <w:rPr>
          <w:spacing w:val="-3"/>
        </w:rPr>
        <w:t>年公司重新审视与制定了公司愿景、使命和战略，符合新形势下公司的业务发展，进一</w:t>
      </w:r>
      <w:r>
        <w:rPr>
          <w:w w:val="100"/>
        </w:rPr>
        <w:t> </w:t>
      </w:r>
      <w:r>
        <w:rPr/>
        <w:t>步提高团队的认识与理解。</w:t>
      </w:r>
    </w:p>
    <w:p>
      <w:pPr>
        <w:pStyle w:val="BodyText"/>
        <w:spacing w:line="272" w:lineRule="exact" w:before="1"/>
        <w:ind w:left="138" w:right="108" w:firstLine="419"/>
        <w:jc w:val="left"/>
      </w:pPr>
      <w:r>
        <w:rPr>
          <w:rFonts w:ascii="宋体" w:hAnsi="宋体" w:cs="宋体" w:eastAsia="宋体" w:hint="default"/>
        </w:rPr>
        <w:t>2015</w:t>
      </w:r>
      <w:r>
        <w:rPr>
          <w:rFonts w:ascii="宋体" w:hAnsi="宋体" w:cs="宋体" w:eastAsia="宋体" w:hint="default"/>
          <w:spacing w:val="-47"/>
        </w:rPr>
        <w:t> </w:t>
      </w:r>
      <w:r>
        <w:rPr>
          <w:spacing w:val="-5"/>
        </w:rPr>
        <w:t>年，公司</w:t>
      </w:r>
      <w:r>
        <w:rPr>
          <w:spacing w:val="-45"/>
        </w:rPr>
        <w:t> </w:t>
      </w:r>
      <w:r>
        <w:rPr>
          <w:rFonts w:ascii="宋体" w:hAnsi="宋体" w:cs="宋体" w:eastAsia="宋体" w:hint="default"/>
        </w:rPr>
        <w:t>1.0</w:t>
      </w:r>
      <w:r>
        <w:rPr>
          <w:rFonts w:ascii="宋体" w:hAnsi="宋体" w:cs="宋体" w:eastAsia="宋体" w:hint="default"/>
          <w:spacing w:val="-44"/>
        </w:rPr>
        <w:t> </w:t>
      </w:r>
      <w:r>
        <w:rPr/>
        <w:t>和</w:t>
      </w:r>
      <w:r>
        <w:rPr>
          <w:spacing w:val="-45"/>
        </w:rPr>
        <w:t> </w:t>
      </w:r>
      <w:r>
        <w:rPr>
          <w:rFonts w:ascii="宋体" w:hAnsi="宋体" w:cs="宋体" w:eastAsia="宋体" w:hint="default"/>
        </w:rPr>
        <w:t>2.0</w:t>
      </w:r>
      <w:r>
        <w:rPr>
          <w:rFonts w:ascii="宋体" w:hAnsi="宋体" w:cs="宋体" w:eastAsia="宋体" w:hint="default"/>
          <w:spacing w:val="-47"/>
        </w:rPr>
        <w:t> </w:t>
      </w:r>
      <w:r>
        <w:rPr>
          <w:spacing w:val="-3"/>
        </w:rPr>
        <w:t>业务总体保持良好的增长，仍然保持在证券核心交易系统、投资管</w:t>
      </w:r>
      <w:r>
        <w:rPr>
          <w:w w:val="100"/>
        </w:rPr>
        <w:t> </w:t>
      </w:r>
      <w:r>
        <w:rPr>
          <w:spacing w:val="-6"/>
        </w:rPr>
        <w:t>理系统、</w:t>
      </w:r>
      <w:r>
        <w:rPr>
          <w:rFonts w:ascii="宋体" w:hAnsi="宋体" w:cs="宋体" w:eastAsia="宋体" w:hint="default"/>
          <w:spacing w:val="-6"/>
        </w:rPr>
        <w:t>TA </w:t>
      </w:r>
      <w:r>
        <w:rPr>
          <w:spacing w:val="-4"/>
        </w:rPr>
        <w:t>系统、综合理财系统等重要产品领域的高市场占有率。</w:t>
      </w:r>
      <w:r>
        <w:rPr>
          <w:rFonts w:ascii="宋体" w:hAnsi="宋体" w:cs="宋体" w:eastAsia="宋体" w:hint="default"/>
          <w:spacing w:val="-4"/>
        </w:rPr>
        <w:t>2015</w:t>
      </w:r>
      <w:r>
        <w:rPr>
          <w:rFonts w:ascii="宋体" w:hAnsi="宋体" w:cs="宋体" w:eastAsia="宋体" w:hint="default"/>
          <w:spacing w:val="-52"/>
        </w:rPr>
        <w:t> </w:t>
      </w:r>
      <w:r>
        <w:rPr/>
        <w:t>年对公司业务量贡献最大</w:t>
      </w:r>
    </w:p>
    <w:p>
      <w:pPr>
        <w:pStyle w:val="BodyText"/>
        <w:spacing w:line="272" w:lineRule="exact" w:before="1"/>
        <w:ind w:left="138" w:right="98"/>
        <w:jc w:val="left"/>
      </w:pPr>
      <w:r>
        <w:rPr>
          <w:w w:val="100"/>
        </w:rPr>
        <w:t>的来</w:t>
      </w:r>
      <w:r>
        <w:rPr>
          <w:spacing w:val="-3"/>
          <w:w w:val="100"/>
        </w:rPr>
        <w:t>自</w:t>
      </w:r>
      <w:r>
        <w:rPr>
          <w:w w:val="100"/>
        </w:rPr>
        <w:t>于</w:t>
      </w:r>
      <w:r>
        <w:rPr>
          <w:spacing w:val="-3"/>
          <w:w w:val="100"/>
        </w:rPr>
        <w:t>资</w:t>
      </w:r>
      <w:r>
        <w:rPr>
          <w:w w:val="100"/>
        </w:rPr>
        <w:t>产</w:t>
      </w:r>
      <w:r>
        <w:rPr>
          <w:spacing w:val="-3"/>
          <w:w w:val="100"/>
        </w:rPr>
        <w:t>管</w:t>
      </w:r>
      <w:r>
        <w:rPr>
          <w:w w:val="100"/>
        </w:rPr>
        <w:t>理</w:t>
      </w:r>
      <w:r>
        <w:rPr>
          <w:spacing w:val="-3"/>
          <w:w w:val="100"/>
        </w:rPr>
        <w:t>产</w:t>
      </w:r>
      <w:r>
        <w:rPr>
          <w:w w:val="100"/>
        </w:rPr>
        <w:t>品</w:t>
      </w:r>
      <w:r>
        <w:rPr>
          <w:spacing w:val="-3"/>
          <w:w w:val="100"/>
        </w:rPr>
        <w:t>线</w:t>
      </w:r>
      <w:r>
        <w:rPr>
          <w:spacing w:val="-101"/>
          <w:w w:val="100"/>
        </w:rPr>
        <w:t>，</w:t>
      </w:r>
      <w:r>
        <w:rPr>
          <w:w w:val="100"/>
        </w:rPr>
        <w:t>交易</w:t>
      </w:r>
      <w:r>
        <w:rPr>
          <w:spacing w:val="-3"/>
          <w:w w:val="100"/>
        </w:rPr>
        <w:t>所</w:t>
      </w:r>
      <w:r>
        <w:rPr>
          <w:w w:val="100"/>
        </w:rPr>
        <w:t>产</w:t>
      </w:r>
      <w:r>
        <w:rPr>
          <w:spacing w:val="-3"/>
          <w:w w:val="100"/>
        </w:rPr>
        <w:t>品</w:t>
      </w:r>
      <w:r>
        <w:rPr>
          <w:w w:val="100"/>
        </w:rPr>
        <w:t>线</w:t>
      </w:r>
      <w:r>
        <w:rPr>
          <w:spacing w:val="-3"/>
          <w:w w:val="100"/>
        </w:rPr>
        <w:t>则</w:t>
      </w:r>
      <w:r>
        <w:rPr>
          <w:w w:val="100"/>
        </w:rPr>
        <w:t>保</w:t>
      </w:r>
      <w:r>
        <w:rPr>
          <w:spacing w:val="-3"/>
          <w:w w:val="100"/>
        </w:rPr>
        <w:t>持</w:t>
      </w:r>
      <w:r>
        <w:rPr>
          <w:w w:val="100"/>
        </w:rPr>
        <w:t>迅</w:t>
      </w:r>
      <w:r>
        <w:rPr>
          <w:spacing w:val="-3"/>
          <w:w w:val="100"/>
        </w:rPr>
        <w:t>猛</w:t>
      </w:r>
      <w:r>
        <w:rPr>
          <w:w w:val="100"/>
        </w:rPr>
        <w:t>发展</w:t>
      </w:r>
      <w:r>
        <w:rPr>
          <w:spacing w:val="-3"/>
          <w:w w:val="100"/>
        </w:rPr>
        <w:t>的</w:t>
      </w:r>
      <w:r>
        <w:rPr>
          <w:w w:val="100"/>
        </w:rPr>
        <w:t>态</w:t>
      </w:r>
      <w:r>
        <w:rPr>
          <w:spacing w:val="-3"/>
          <w:w w:val="100"/>
        </w:rPr>
        <w:t>势</w:t>
      </w:r>
      <w:r>
        <w:rPr>
          <w:spacing w:val="-99"/>
          <w:w w:val="100"/>
        </w:rPr>
        <w:t>，</w:t>
      </w:r>
      <w:r>
        <w:rPr>
          <w:spacing w:val="-3"/>
          <w:w w:val="100"/>
        </w:rPr>
        <w:t>成</w:t>
      </w:r>
      <w:r>
        <w:rPr>
          <w:w w:val="100"/>
        </w:rPr>
        <w:t>为</w:t>
      </w:r>
      <w:r>
        <w:rPr>
          <w:spacing w:val="-3"/>
          <w:w w:val="100"/>
        </w:rPr>
        <w:t>公</w:t>
      </w:r>
      <w:r>
        <w:rPr>
          <w:w w:val="100"/>
        </w:rPr>
        <w:t>司</w:t>
      </w:r>
      <w:r>
        <w:rPr>
          <w:spacing w:val="-53"/>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2"/>
        </w:rPr>
        <w:t> </w:t>
      </w:r>
      <w:r>
        <w:rPr>
          <w:w w:val="100"/>
        </w:rPr>
        <w:t>年</w:t>
      </w:r>
      <w:r>
        <w:rPr>
          <w:spacing w:val="-3"/>
          <w:w w:val="100"/>
        </w:rPr>
        <w:t>的</w:t>
      </w:r>
      <w:r>
        <w:rPr>
          <w:w w:val="100"/>
        </w:rPr>
        <w:t>明</w:t>
      </w:r>
      <w:r>
        <w:rPr>
          <w:spacing w:val="-3"/>
          <w:w w:val="100"/>
        </w:rPr>
        <w:t>星</w:t>
      </w:r>
      <w:r>
        <w:rPr>
          <w:w w:val="100"/>
        </w:rPr>
        <w:t>产</w:t>
      </w:r>
      <w:r>
        <w:rPr>
          <w:spacing w:val="-3"/>
          <w:w w:val="100"/>
        </w:rPr>
        <w:t>品</w:t>
      </w:r>
      <w:r>
        <w:rPr>
          <w:w w:val="100"/>
        </w:rPr>
        <w:t>线，</w:t>
      </w:r>
      <w:r>
        <w:rPr>
          <w:w w:val="100"/>
        </w:rPr>
        <w:t> 经纪</w:t>
      </w:r>
      <w:r>
        <w:rPr>
          <w:spacing w:val="-3"/>
          <w:w w:val="100"/>
        </w:rPr>
        <w:t>业</w:t>
      </w:r>
      <w:r>
        <w:rPr>
          <w:w w:val="100"/>
        </w:rPr>
        <w:t>务</w:t>
      </w:r>
      <w:r>
        <w:rPr>
          <w:spacing w:val="-3"/>
          <w:w w:val="100"/>
        </w:rPr>
        <w:t>线</w:t>
      </w:r>
      <w:r>
        <w:rPr>
          <w:w w:val="100"/>
        </w:rPr>
        <w:t>的</w:t>
      </w:r>
      <w:r>
        <w:rPr>
          <w:spacing w:val="-53"/>
        </w:rPr>
        <w:t> </w:t>
      </w:r>
      <w:r>
        <w:rPr>
          <w:rFonts w:ascii="宋体" w:hAnsi="宋体" w:cs="宋体" w:eastAsia="宋体" w:hint="default"/>
          <w:spacing w:val="-3"/>
          <w:w w:val="100"/>
        </w:rPr>
        <w:t>U</w:t>
      </w:r>
      <w:r>
        <w:rPr>
          <w:rFonts w:ascii="宋体" w:hAnsi="宋体" w:cs="宋体" w:eastAsia="宋体" w:hint="default"/>
          <w:w w:val="100"/>
        </w:rPr>
        <w:t>F2</w:t>
      </w:r>
      <w:r>
        <w:rPr>
          <w:rFonts w:ascii="宋体" w:hAnsi="宋体" w:cs="宋体" w:eastAsia="宋体" w:hint="default"/>
          <w:spacing w:val="-1"/>
          <w:w w:val="100"/>
        </w:rPr>
        <w:t>.</w:t>
      </w:r>
      <w:r>
        <w:rPr>
          <w:rFonts w:ascii="宋体" w:hAnsi="宋体" w:cs="宋体" w:eastAsia="宋体" w:hint="default"/>
          <w:w w:val="100"/>
        </w:rPr>
        <w:t>0</w:t>
      </w:r>
      <w:r>
        <w:rPr>
          <w:rFonts w:ascii="宋体" w:hAnsi="宋体" w:cs="宋体" w:eastAsia="宋体" w:hint="default"/>
          <w:spacing w:val="-55"/>
        </w:rPr>
        <w:t> </w:t>
      </w:r>
      <w:r>
        <w:rPr>
          <w:w w:val="100"/>
        </w:rPr>
        <w:t>新</w:t>
      </w:r>
      <w:r>
        <w:rPr>
          <w:spacing w:val="-3"/>
          <w:w w:val="100"/>
        </w:rPr>
        <w:t>一</w:t>
      </w:r>
      <w:r>
        <w:rPr>
          <w:w w:val="100"/>
        </w:rPr>
        <w:t>代券</w:t>
      </w:r>
      <w:r>
        <w:rPr>
          <w:spacing w:val="-3"/>
          <w:w w:val="100"/>
        </w:rPr>
        <w:t>商</w:t>
      </w:r>
      <w:r>
        <w:rPr>
          <w:w w:val="100"/>
        </w:rPr>
        <w:t>核</w:t>
      </w:r>
      <w:r>
        <w:rPr>
          <w:spacing w:val="-3"/>
          <w:w w:val="100"/>
        </w:rPr>
        <w:t>心</w:t>
      </w:r>
      <w:r>
        <w:rPr>
          <w:w w:val="100"/>
        </w:rPr>
        <w:t>交</w:t>
      </w:r>
      <w:r>
        <w:rPr>
          <w:spacing w:val="-3"/>
          <w:w w:val="100"/>
        </w:rPr>
        <w:t>易</w:t>
      </w:r>
      <w:r>
        <w:rPr>
          <w:w w:val="100"/>
        </w:rPr>
        <w:t>系</w:t>
      </w:r>
      <w:r>
        <w:rPr>
          <w:spacing w:val="-3"/>
          <w:w w:val="100"/>
        </w:rPr>
        <w:t>统</w:t>
      </w:r>
      <w:r>
        <w:rPr>
          <w:w w:val="100"/>
        </w:rPr>
        <w:t>则</w:t>
      </w:r>
      <w:r>
        <w:rPr>
          <w:spacing w:val="-3"/>
          <w:w w:val="100"/>
        </w:rPr>
        <w:t>凭</w:t>
      </w:r>
      <w:r>
        <w:rPr>
          <w:w w:val="100"/>
        </w:rPr>
        <w:t>借优</w:t>
      </w:r>
      <w:r>
        <w:rPr>
          <w:spacing w:val="-3"/>
          <w:w w:val="100"/>
        </w:rPr>
        <w:t>秀</w:t>
      </w:r>
      <w:r>
        <w:rPr>
          <w:w w:val="100"/>
        </w:rPr>
        <w:t>的</w:t>
      </w:r>
      <w:r>
        <w:rPr>
          <w:spacing w:val="-3"/>
          <w:w w:val="100"/>
        </w:rPr>
        <w:t>技</w:t>
      </w:r>
      <w:r>
        <w:rPr>
          <w:w w:val="100"/>
        </w:rPr>
        <w:t>术</w:t>
      </w:r>
      <w:r>
        <w:rPr>
          <w:spacing w:val="-3"/>
          <w:w w:val="100"/>
        </w:rPr>
        <w:t>获</w:t>
      </w:r>
      <w:r>
        <w:rPr>
          <w:w w:val="100"/>
        </w:rPr>
        <w:t>得</w:t>
      </w:r>
      <w:r>
        <w:rPr>
          <w:spacing w:val="-3"/>
          <w:w w:val="100"/>
        </w:rPr>
        <w:t>了</w:t>
      </w:r>
      <w:r>
        <w:rPr>
          <w:w w:val="100"/>
        </w:rPr>
        <w:t>大</w:t>
      </w:r>
      <w:r>
        <w:rPr>
          <w:spacing w:val="-3"/>
          <w:w w:val="100"/>
        </w:rPr>
        <w:t>力</w:t>
      </w:r>
      <w:r>
        <w:rPr>
          <w:w w:val="100"/>
        </w:rPr>
        <w:t>的发</w:t>
      </w:r>
      <w:r>
        <w:rPr>
          <w:spacing w:val="-3"/>
          <w:w w:val="100"/>
        </w:rPr>
        <w:t>展</w:t>
      </w:r>
      <w:r>
        <w:rPr>
          <w:spacing w:val="-94"/>
          <w:w w:val="100"/>
        </w:rPr>
        <w:t>。</w:t>
      </w:r>
      <w:r>
        <w:rPr>
          <w:w w:val="100"/>
        </w:rPr>
        <w:t>在</w:t>
      </w:r>
      <w:r>
        <w:rPr>
          <w:spacing w:val="-52"/>
        </w:rPr>
        <w:t> </w:t>
      </w:r>
      <w:r>
        <w:rPr>
          <w:rFonts w:ascii="宋体" w:hAnsi="宋体" w:cs="宋体" w:eastAsia="宋体" w:hint="default"/>
          <w:spacing w:val="-3"/>
          <w:w w:val="100"/>
        </w:rPr>
        <w:t>P</w:t>
      </w:r>
      <w:r>
        <w:rPr>
          <w:rFonts w:ascii="宋体" w:hAnsi="宋体" w:cs="宋体" w:eastAsia="宋体" w:hint="default"/>
          <w:w w:val="100"/>
        </w:rPr>
        <w:t>B</w:t>
      </w:r>
      <w:r>
        <w:rPr>
          <w:rFonts w:ascii="宋体" w:hAnsi="宋体" w:cs="宋体" w:eastAsia="宋体" w:hint="default"/>
          <w:spacing w:val="-53"/>
        </w:rPr>
        <w:t> </w:t>
      </w:r>
      <w:r>
        <w:rPr>
          <w:spacing w:val="-3"/>
          <w:w w:val="100"/>
        </w:rPr>
        <w:t>业务领</w:t>
      </w:r>
      <w:r>
        <w:rPr>
          <w:w w:val="100"/>
        </w:rPr>
      </w:r>
    </w:p>
    <w:p>
      <w:pPr>
        <w:pStyle w:val="BodyText"/>
        <w:spacing w:line="272" w:lineRule="exact" w:before="1"/>
        <w:ind w:left="138" w:right="108"/>
        <w:jc w:val="both"/>
      </w:pPr>
      <w:r>
        <w:rPr/>
        <w:t>域，公司保持了非常高的市场中标率，使</w:t>
      </w:r>
      <w:r>
        <w:rPr>
          <w:spacing w:val="-53"/>
        </w:rPr>
        <w:t> </w:t>
      </w:r>
      <w:r>
        <w:rPr>
          <w:rFonts w:ascii="宋体" w:hAnsi="宋体" w:cs="宋体" w:eastAsia="宋体" w:hint="default"/>
        </w:rPr>
        <w:t>2015</w:t>
      </w:r>
      <w:r>
        <w:rPr>
          <w:rFonts w:ascii="宋体" w:hAnsi="宋体" w:cs="宋体" w:eastAsia="宋体" w:hint="default"/>
          <w:spacing w:val="-53"/>
        </w:rPr>
        <w:t> </w:t>
      </w:r>
      <w:r>
        <w:rPr/>
        <w:t>年的这一明星产品获得了市场的极大认同。同时，</w:t>
      </w:r>
      <w:r>
        <w:rPr>
          <w:w w:val="100"/>
        </w:rPr>
        <w:t> </w:t>
      </w:r>
      <w:r>
        <w:rPr/>
        <w:t>公司在香港的业务线也开始发力，已经开通了国际市场的交易路由连接服务。公司研发中心继续</w:t>
      </w:r>
    </w:p>
    <w:p>
      <w:pPr>
        <w:pStyle w:val="BodyText"/>
        <w:spacing w:line="247" w:lineRule="exact"/>
        <w:ind w:left="138" w:right="0"/>
        <w:jc w:val="both"/>
      </w:pPr>
      <w:r>
        <w:rPr/>
        <w:t>加大在底层技术的研发，公司的重点产品线</w:t>
      </w:r>
      <w:r>
        <w:rPr>
          <w:spacing w:val="-56"/>
        </w:rPr>
        <w:t> </w:t>
      </w:r>
      <w:r>
        <w:rPr>
          <w:rFonts w:ascii="宋体" w:hAnsi="宋体" w:cs="宋体" w:eastAsia="宋体" w:hint="default"/>
        </w:rPr>
        <w:t>O4</w:t>
      </w:r>
      <w:r>
        <w:rPr>
          <w:rFonts w:ascii="宋体" w:hAnsi="宋体" w:cs="宋体" w:eastAsia="宋体" w:hint="default"/>
          <w:spacing w:val="-56"/>
        </w:rPr>
        <w:t> </w:t>
      </w:r>
      <w:r>
        <w:rPr/>
        <w:t>等均按照计划逐步落地。</w:t>
      </w:r>
    </w:p>
    <w:p>
      <w:pPr>
        <w:pStyle w:val="BodyText"/>
        <w:spacing w:line="237" w:lineRule="auto"/>
        <w:ind w:left="138" w:right="208" w:firstLine="419"/>
        <w:jc w:val="both"/>
      </w:pPr>
      <w:r>
        <w:rPr>
          <w:rFonts w:ascii="宋体" w:hAnsi="宋体" w:cs="宋体" w:eastAsia="宋体" w:hint="default"/>
        </w:rPr>
        <w:t>2015</w:t>
      </w:r>
      <w:r>
        <w:rPr>
          <w:rFonts w:ascii="宋体" w:hAnsi="宋体" w:cs="宋体" w:eastAsia="宋体" w:hint="default"/>
          <w:spacing w:val="-14"/>
        </w:rPr>
        <w:t> </w:t>
      </w:r>
      <w:r>
        <w:rPr>
          <w:spacing w:val="-3"/>
        </w:rPr>
        <w:t>年公司产品质量整体控制良好，客户满意度略有提升，在市场急剧扩容，大量新业务上</w:t>
      </w:r>
      <w:r>
        <w:rPr>
          <w:w w:val="100"/>
        </w:rPr>
        <w:t> </w:t>
      </w:r>
      <w:r>
        <w:rPr>
          <w:spacing w:val="-3"/>
        </w:rPr>
        <w:t>线的背景下实属难能可贵。</w:t>
      </w:r>
      <w:r>
        <w:rPr>
          <w:rFonts w:ascii="宋体" w:hAnsi="宋体" w:cs="宋体" w:eastAsia="宋体" w:hint="default"/>
          <w:spacing w:val="-3"/>
        </w:rPr>
        <w:t>2015 </w:t>
      </w:r>
      <w:r>
        <w:rPr>
          <w:spacing w:val="-3"/>
        </w:rPr>
        <w:t>年公司初步建立了创新业务子公司员工持股计划制度，解决了二</w:t>
      </w:r>
      <w:r>
        <w:rPr>
          <w:spacing w:val="-73"/>
        </w:rPr>
        <w:t> </w:t>
      </w:r>
      <w:r>
        <w:rPr>
          <w:spacing w:val="-73"/>
        </w:rPr>
      </w:r>
      <w:r>
        <w:rPr>
          <w:spacing w:val="-2"/>
        </w:rPr>
        <w:t>次创业的机制问题。同时公司改善优化了薪酬绩效考核制度并推进实施，总体员工满意度略有提</w:t>
      </w:r>
      <w:r>
        <w:rPr>
          <w:spacing w:val="-25"/>
        </w:rPr>
        <w:t> </w:t>
      </w:r>
      <w:r>
        <w:rPr>
          <w:spacing w:val="-25"/>
        </w:rPr>
      </w:r>
      <w:r>
        <w:rPr>
          <w:spacing w:val="-6"/>
        </w:rPr>
        <w:t>升，员工主动离职率保持稳定。公司</w:t>
      </w:r>
      <w:r>
        <w:rPr>
          <w:spacing w:val="-24"/>
        </w:rPr>
        <w:t> </w:t>
      </w:r>
      <w:r>
        <w:rPr>
          <w:rFonts w:ascii="宋体" w:hAnsi="宋体" w:cs="宋体" w:eastAsia="宋体" w:hint="default"/>
        </w:rPr>
        <w:t>2015</w:t>
      </w:r>
      <w:r>
        <w:rPr>
          <w:rFonts w:ascii="宋体" w:hAnsi="宋体" w:cs="宋体" w:eastAsia="宋体" w:hint="default"/>
          <w:spacing w:val="-24"/>
        </w:rPr>
        <w:t> </w:t>
      </w:r>
      <w:r>
        <w:rPr>
          <w:spacing w:val="-3"/>
        </w:rPr>
        <w:t>年梳理了经营模式管控体系，引导和强化了产品经营职</w:t>
      </w:r>
      <w:r>
        <w:rPr>
          <w:spacing w:val="-94"/>
        </w:rPr>
        <w:t> </w:t>
      </w:r>
      <w:r>
        <w:rPr>
          <w:spacing w:val="-94"/>
        </w:rPr>
      </w:r>
      <w:r>
        <w:rPr/>
        <w:t>责的落实，推进核心岗位（如产品经理）的专业化分工和履职，全方位推动</w:t>
      </w:r>
      <w:r>
        <w:rPr>
          <w:spacing w:val="-57"/>
        </w:rPr>
        <w:t> </w:t>
      </w:r>
      <w:r>
        <w:rPr>
          <w:rFonts w:ascii="宋体" w:hAnsi="宋体" w:cs="宋体" w:eastAsia="宋体" w:hint="default"/>
        </w:rPr>
        <w:t>EPG</w:t>
      </w:r>
      <w:r>
        <w:rPr>
          <w:rFonts w:ascii="宋体" w:hAnsi="宋体" w:cs="宋体" w:eastAsia="宋体" w:hint="default"/>
          <w:spacing w:val="-54"/>
        </w:rPr>
        <w:t> </w:t>
      </w:r>
      <w:r>
        <w:rPr/>
        <w:t>过程改进建设，</w:t>
      </w:r>
      <w:r>
        <w:rPr>
          <w:w w:val="100"/>
        </w:rPr>
        <w:t> </w:t>
      </w:r>
      <w:r>
        <w:rPr/>
        <w:t>过程改进文化开始逐步渗透到工作中来，以适应公司战略转型。</w:t>
      </w:r>
    </w:p>
    <w:p>
      <w:pPr>
        <w:pStyle w:val="BodyText"/>
        <w:spacing w:line="272" w:lineRule="exact"/>
        <w:ind w:left="558" w:right="108"/>
        <w:jc w:val="left"/>
      </w:pPr>
      <w:r>
        <w:rPr>
          <w:w w:val="100"/>
        </w:rPr>
        <w:t>投资</w:t>
      </w:r>
      <w:r>
        <w:rPr>
          <w:spacing w:val="-3"/>
          <w:w w:val="100"/>
        </w:rPr>
        <w:t>业务</w:t>
      </w:r>
      <w:r>
        <w:rPr>
          <w:w w:val="100"/>
        </w:rPr>
        <w:t>在</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3"/>
        </w:rPr>
        <w:t> </w:t>
      </w:r>
      <w:r>
        <w:rPr>
          <w:spacing w:val="-3"/>
          <w:w w:val="100"/>
        </w:rPr>
        <w:t>年</w:t>
      </w:r>
      <w:r>
        <w:rPr>
          <w:w w:val="100"/>
        </w:rPr>
        <w:t>取</w:t>
      </w:r>
      <w:r>
        <w:rPr>
          <w:spacing w:val="-3"/>
          <w:w w:val="100"/>
        </w:rPr>
        <w:t>得不</w:t>
      </w:r>
      <w:r>
        <w:rPr>
          <w:w w:val="100"/>
        </w:rPr>
        <w:t>错的</w:t>
      </w:r>
      <w:r>
        <w:rPr>
          <w:spacing w:val="-3"/>
          <w:w w:val="100"/>
        </w:rPr>
        <w:t>业绩</w:t>
      </w:r>
      <w:r>
        <w:rPr>
          <w:spacing w:val="-92"/>
          <w:w w:val="100"/>
        </w:rPr>
        <w:t>，</w:t>
      </w:r>
      <w:r>
        <w:rPr>
          <w:spacing w:val="-3"/>
          <w:w w:val="100"/>
        </w:rPr>
        <w:t>在</w:t>
      </w:r>
      <w:r>
        <w:rPr>
          <w:w w:val="100"/>
        </w:rPr>
        <w:t>公</w:t>
      </w:r>
      <w:r>
        <w:rPr>
          <w:spacing w:val="-3"/>
          <w:w w:val="100"/>
        </w:rPr>
        <w:t>司</w:t>
      </w:r>
      <w:r>
        <w:rPr>
          <w:w w:val="100"/>
        </w:rPr>
        <w:t>主</w:t>
      </w:r>
      <w:r>
        <w:rPr>
          <w:spacing w:val="-3"/>
          <w:w w:val="100"/>
        </w:rPr>
        <w:t>营</w:t>
      </w:r>
      <w:r>
        <w:rPr>
          <w:w w:val="100"/>
        </w:rPr>
        <w:t>业</w:t>
      </w:r>
      <w:r>
        <w:rPr>
          <w:spacing w:val="-3"/>
          <w:w w:val="100"/>
        </w:rPr>
        <w:t>务</w:t>
      </w:r>
      <w:r>
        <w:rPr>
          <w:w w:val="100"/>
        </w:rPr>
        <w:t>投资</w:t>
      </w:r>
      <w:r>
        <w:rPr>
          <w:spacing w:val="-3"/>
          <w:w w:val="100"/>
        </w:rPr>
        <w:t>和</w:t>
      </w:r>
      <w:r>
        <w:rPr>
          <w:w w:val="100"/>
        </w:rPr>
        <w:t>互</w:t>
      </w:r>
      <w:r>
        <w:rPr>
          <w:spacing w:val="-3"/>
          <w:w w:val="100"/>
        </w:rPr>
        <w:t>联</w:t>
      </w:r>
      <w:r>
        <w:rPr>
          <w:w w:val="100"/>
        </w:rPr>
        <w:t>网</w:t>
      </w:r>
      <w:r>
        <w:rPr>
          <w:spacing w:val="-3"/>
          <w:w w:val="100"/>
        </w:rPr>
        <w:t>生</w:t>
      </w:r>
      <w:r>
        <w:rPr>
          <w:w w:val="100"/>
        </w:rPr>
        <w:t>态</w:t>
      </w:r>
      <w:r>
        <w:rPr>
          <w:spacing w:val="-3"/>
          <w:w w:val="100"/>
        </w:rPr>
        <w:t>圈</w:t>
      </w:r>
      <w:r>
        <w:rPr>
          <w:w w:val="100"/>
        </w:rPr>
        <w:t>投</w:t>
      </w:r>
      <w:r>
        <w:rPr>
          <w:spacing w:val="-3"/>
          <w:w w:val="100"/>
        </w:rPr>
        <w:t>资</w:t>
      </w:r>
      <w:r>
        <w:rPr>
          <w:w w:val="100"/>
        </w:rPr>
        <w:t>方面</w:t>
      </w:r>
      <w:r>
        <w:rPr>
          <w:spacing w:val="-3"/>
          <w:w w:val="100"/>
        </w:rPr>
        <w:t>发</w:t>
      </w:r>
      <w:r>
        <w:rPr>
          <w:w w:val="100"/>
        </w:rPr>
        <w:t>挥</w:t>
      </w:r>
      <w:r>
        <w:rPr>
          <w:spacing w:val="-3"/>
          <w:w w:val="100"/>
        </w:rPr>
        <w:t>了</w:t>
      </w:r>
      <w:r>
        <w:rPr>
          <w:w w:val="100"/>
        </w:rPr>
        <w:t>积</w:t>
      </w:r>
    </w:p>
    <w:p>
      <w:pPr>
        <w:pStyle w:val="BodyText"/>
        <w:spacing w:line="237" w:lineRule="auto"/>
        <w:ind w:left="138" w:right="209"/>
        <w:jc w:val="both"/>
      </w:pPr>
      <w:r>
        <w:rPr>
          <w:spacing w:val="-8"/>
        </w:rPr>
        <w:t>极的作用，同时，公司</w:t>
      </w:r>
      <w:r>
        <w:rPr>
          <w:spacing w:val="-23"/>
        </w:rPr>
        <w:t> </w:t>
      </w:r>
      <w:r>
        <w:rPr>
          <w:rFonts w:ascii="宋体" w:hAnsi="宋体" w:cs="宋体" w:eastAsia="宋体" w:hint="default"/>
        </w:rPr>
        <w:t>2015</w:t>
      </w:r>
      <w:r>
        <w:rPr>
          <w:rFonts w:ascii="宋体" w:hAnsi="宋体" w:cs="宋体" w:eastAsia="宋体" w:hint="default"/>
          <w:spacing w:val="-25"/>
        </w:rPr>
        <w:t> </w:t>
      </w:r>
      <w:r>
        <w:rPr>
          <w:spacing w:val="-3"/>
        </w:rPr>
        <w:t>年进一步推动了对子公司的投资后管理工作。在互联网生态圈孵化业</w:t>
      </w:r>
      <w:r>
        <w:rPr>
          <w:spacing w:val="-95"/>
        </w:rPr>
        <w:t> </w:t>
      </w:r>
      <w:r>
        <w:rPr>
          <w:spacing w:val="-95"/>
        </w:rPr>
      </w:r>
      <w:r>
        <w:rPr>
          <w:spacing w:val="-2"/>
        </w:rPr>
        <w:t>务上，恒生芸泰科技在互联网医疗领域风生水起，尤其是广东云医院的合作模式，引起市场的高</w:t>
      </w:r>
      <w:r>
        <w:rPr>
          <w:spacing w:val="-25"/>
        </w:rPr>
        <w:t> </w:t>
      </w:r>
      <w:r>
        <w:rPr>
          <w:spacing w:val="-25"/>
        </w:rPr>
      </w:r>
      <w:r>
        <w:rPr/>
        <w:t>度关注。</w:t>
      </w:r>
    </w:p>
    <w:p>
      <w:pPr>
        <w:spacing w:after="0" w:line="237" w:lineRule="auto"/>
        <w:jc w:val="both"/>
        <w:sectPr>
          <w:footerReference w:type="default" r:id="rId10"/>
          <w:pgSz w:w="11910" w:h="16840"/>
          <w:pgMar w:footer="1195" w:header="880"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ind w:left="1118" w:right="525"/>
        <w:jc w:val="left"/>
        <w:rPr>
          <w:b w:val="0"/>
          <w:bCs w:val="0"/>
        </w:rPr>
      </w:pPr>
      <w:r>
        <w:rPr/>
        <w:t>二、报告期内主要经营情况</w:t>
      </w:r>
      <w:r>
        <w:rPr>
          <w:b w:val="0"/>
          <w:bCs w:val="0"/>
        </w:rPr>
      </w:r>
    </w:p>
    <w:p>
      <w:pPr>
        <w:pStyle w:val="BodyText"/>
        <w:spacing w:line="273" w:lineRule="exact" w:before="58"/>
        <w:ind w:left="1538" w:right="525"/>
        <w:jc w:val="left"/>
      </w:pPr>
      <w:r>
        <w:rPr>
          <w:rFonts w:ascii="宋体" w:hAnsi="宋体" w:cs="宋体" w:eastAsia="宋体" w:hint="default"/>
        </w:rPr>
        <w:t>2015</w:t>
      </w:r>
      <w:r>
        <w:rPr>
          <w:rFonts w:ascii="宋体" w:hAnsi="宋体" w:cs="宋体" w:eastAsia="宋体" w:hint="default"/>
          <w:spacing w:val="-52"/>
        </w:rPr>
        <w:t> </w:t>
      </w:r>
      <w:r>
        <w:rPr/>
        <w:t>年度公司实现营业总收入</w:t>
      </w:r>
      <w:r>
        <w:rPr>
          <w:spacing w:val="-49"/>
        </w:rPr>
        <w:t> </w:t>
      </w:r>
      <w:r>
        <w:rPr>
          <w:rFonts w:ascii="宋体" w:hAnsi="宋体" w:cs="宋体" w:eastAsia="宋体" w:hint="default"/>
        </w:rPr>
        <w:t>2,225,532,407.47</w:t>
      </w:r>
      <w:r>
        <w:rPr>
          <w:rFonts w:ascii="宋体" w:hAnsi="宋体" w:cs="宋体" w:eastAsia="宋体" w:hint="default"/>
          <w:spacing w:val="-52"/>
        </w:rPr>
        <w:t> </w:t>
      </w:r>
      <w:r>
        <w:rPr>
          <w:spacing w:val="-9"/>
        </w:rPr>
        <w:t>元人民币，较</w:t>
      </w:r>
      <w:r>
        <w:rPr>
          <w:spacing w:val="-50"/>
        </w:rPr>
        <w:t> </w:t>
      </w:r>
      <w:r>
        <w:rPr>
          <w:rFonts w:ascii="宋体" w:hAnsi="宋体" w:cs="宋体" w:eastAsia="宋体" w:hint="default"/>
        </w:rPr>
        <w:t>2014</w:t>
      </w:r>
      <w:r>
        <w:rPr>
          <w:rFonts w:ascii="宋体" w:hAnsi="宋体" w:cs="宋体" w:eastAsia="宋体" w:hint="default"/>
          <w:spacing w:val="-50"/>
        </w:rPr>
        <w:t> </w:t>
      </w:r>
      <w:r>
        <w:rPr/>
        <w:t>年增长</w:t>
      </w:r>
      <w:r>
        <w:rPr>
          <w:spacing w:val="-52"/>
        </w:rPr>
        <w:t> </w:t>
      </w:r>
      <w:r>
        <w:rPr>
          <w:rFonts w:ascii="宋体" w:hAnsi="宋体" w:cs="宋体" w:eastAsia="宋体" w:hint="default"/>
          <w:spacing w:val="-6"/>
        </w:rPr>
        <w:t>56.52%</w:t>
      </w:r>
      <w:r>
        <w:rPr>
          <w:spacing w:val="-6"/>
        </w:rPr>
        <w:t>，实现归</w:t>
      </w:r>
    </w:p>
    <w:p>
      <w:pPr>
        <w:pStyle w:val="BodyText"/>
        <w:spacing w:line="273" w:lineRule="exact"/>
        <w:ind w:left="1118" w:right="525"/>
        <w:jc w:val="left"/>
      </w:pPr>
      <w:r>
        <w:rPr/>
        <w:t>属于母公司的净利润</w:t>
      </w:r>
      <w:r>
        <w:rPr>
          <w:spacing w:val="-54"/>
        </w:rPr>
        <w:t> </w:t>
      </w:r>
      <w:r>
        <w:rPr>
          <w:rFonts w:ascii="宋体" w:hAnsi="宋体" w:cs="宋体" w:eastAsia="宋体" w:hint="default"/>
        </w:rPr>
        <w:t>453,733,512.62</w:t>
      </w:r>
      <w:r>
        <w:rPr>
          <w:rFonts w:ascii="宋体" w:hAnsi="宋体" w:cs="宋体" w:eastAsia="宋体" w:hint="default"/>
          <w:spacing w:val="-53"/>
        </w:rPr>
        <w:t> </w:t>
      </w:r>
      <w:r>
        <w:rPr/>
        <w:t>元人民币，较</w:t>
      </w:r>
      <w:r>
        <w:rPr>
          <w:spacing w:val="-56"/>
        </w:rPr>
        <w:t> </w:t>
      </w:r>
      <w:r>
        <w:rPr>
          <w:rFonts w:ascii="宋体" w:hAnsi="宋体" w:cs="宋体" w:eastAsia="宋体" w:hint="default"/>
        </w:rPr>
        <w:t>2014</w:t>
      </w:r>
      <w:r>
        <w:rPr>
          <w:rFonts w:ascii="宋体" w:hAnsi="宋体" w:cs="宋体" w:eastAsia="宋体" w:hint="default"/>
          <w:spacing w:val="-56"/>
        </w:rPr>
        <w:t> </w:t>
      </w:r>
      <w:r>
        <w:rPr/>
        <w:t>年</w:t>
      </w:r>
      <w:r>
        <w:rPr>
          <w:spacing w:val="-54"/>
        </w:rPr>
        <w:t> </w:t>
      </w:r>
      <w:r>
        <w:rPr>
          <w:rFonts w:ascii="宋体" w:hAnsi="宋体" w:cs="宋体" w:eastAsia="宋体" w:hint="default"/>
        </w:rPr>
        <w:t>360,520,485.09</w:t>
      </w:r>
      <w:r>
        <w:rPr>
          <w:rFonts w:ascii="宋体" w:hAnsi="宋体" w:cs="宋体" w:eastAsia="宋体" w:hint="default"/>
          <w:spacing w:val="-56"/>
        </w:rPr>
        <w:t> </w:t>
      </w:r>
      <w:r>
        <w:rPr/>
        <w:t>元增长</w:t>
      </w:r>
      <w:r>
        <w:rPr>
          <w:spacing w:val="-53"/>
        </w:rPr>
        <w:t> </w:t>
      </w:r>
      <w:r>
        <w:rPr>
          <w:rFonts w:ascii="宋体" w:hAnsi="宋体" w:cs="宋体" w:eastAsia="宋体" w:hint="default"/>
        </w:rPr>
        <w:t>25.86%</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11"/>
          <w:pgSz w:w="11910" w:h="16840"/>
          <w:pgMar w:footer="1195" w:header="880" w:top="1120" w:bottom="1380" w:left="680" w:right="640"/>
          <w:pgNumType w:start="11"/>
        </w:sectPr>
      </w:pPr>
    </w:p>
    <w:p>
      <w:pPr>
        <w:pStyle w:val="Heading4"/>
        <w:spacing w:line="240" w:lineRule="auto"/>
        <w:ind w:left="1118" w:right="-1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主营业务分析</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Heading4"/>
        <w:spacing w:line="240" w:lineRule="auto" w:before="0"/>
        <w:ind w:left="1026"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39" w:val="left" w:leader="none"/>
        </w:tabs>
        <w:spacing w:line="240" w:lineRule="auto" w:before="178"/>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680" w:right="640"/>
          <w:cols w:num="3" w:equalWidth="0">
            <w:col w:w="2755" w:space="40"/>
            <w:col w:w="4824" w:space="40"/>
            <w:col w:w="2931"/>
          </w:cols>
        </w:sectPr>
      </w:pPr>
    </w:p>
    <w:p>
      <w:pPr>
        <w:spacing w:line="240" w:lineRule="auto" w:before="4"/>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3349"/>
        <w:gridCol w:w="2000"/>
        <w:gridCol w:w="1897"/>
        <w:gridCol w:w="1805"/>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3"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2,225,532,407.47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1,421,839,135.12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56.52</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162,774,072.05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89,823,564.61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81.22</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581,819,206.22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357,418,494.08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62.78</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1,057,604,547.97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801,092,966.64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32.02</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-3,580,257.15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-9,042,750.96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991,663,412.65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613,534,744.47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61.63</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-1,403,102,989.93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-362,719,797.75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190,753,752.99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-71,012,687.14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862,614,676.32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590,509,153.55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46.08</w:t>
            </w:r>
          </w:p>
        </w:tc>
      </w:tr>
    </w:tbl>
    <w:p>
      <w:pPr>
        <w:spacing w:line="240" w:lineRule="auto" w:before="11"/>
        <w:rPr>
          <w:rFonts w:ascii="宋体" w:hAnsi="宋体" w:cs="宋体" w:eastAsia="宋体" w:hint="default"/>
          <w:sz w:val="18"/>
          <w:szCs w:val="18"/>
        </w:rPr>
      </w:pPr>
    </w:p>
    <w:p>
      <w:pPr>
        <w:pStyle w:val="Heading4"/>
        <w:tabs>
          <w:tab w:pos="1537" w:val="left" w:leader="none"/>
        </w:tabs>
        <w:spacing w:line="240" w:lineRule="auto"/>
        <w:ind w:left="1118" w:right="525"/>
        <w:jc w:val="left"/>
        <w:rPr>
          <w:b w:val="0"/>
          <w:bCs w:val="0"/>
        </w:rPr>
      </w:pPr>
      <w:r>
        <w:rPr>
          <w:rFonts w:ascii="宋体" w:hAnsi="宋体" w:cs="宋体" w:eastAsia="宋体" w:hint="default"/>
          <w:w w:val="95"/>
        </w:rPr>
        <w:t>1.</w:t>
        <w:tab/>
      </w:r>
      <w:r>
        <w:rPr/>
        <w:t>收入和成本分析</w:t>
      </w:r>
      <w:r>
        <w:rPr>
          <w:b w:val="0"/>
          <w:bCs w:val="0"/>
        </w:rPr>
      </w:r>
    </w:p>
    <w:p>
      <w:pPr>
        <w:spacing w:line="240" w:lineRule="auto" w:before="3"/>
        <w:rPr>
          <w:rFonts w:ascii="宋体" w:hAnsi="宋体" w:cs="宋体" w:eastAsia="宋体" w:hint="default"/>
          <w:b/>
          <w:bCs/>
          <w:sz w:val="25"/>
          <w:szCs w:val="25"/>
        </w:rPr>
      </w:pPr>
    </w:p>
    <w:p>
      <w:pPr>
        <w:spacing w:line="20" w:lineRule="exact"/>
        <w:ind w:left="11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1118" w:right="525"/>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8"/>
        <w:ind w:left="0" w:right="6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85"/>
        <w:gridCol w:w="1897"/>
        <w:gridCol w:w="1685"/>
        <w:gridCol w:w="1095"/>
        <w:gridCol w:w="1092"/>
        <w:gridCol w:w="1095"/>
        <w:gridCol w:w="2102"/>
      </w:tblGrid>
      <w:tr>
        <w:trPr>
          <w:trHeight w:val="283" w:hRule="exact"/>
        </w:trPr>
        <w:tc>
          <w:tcPr>
            <w:tcW w:w="1035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2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72" w:right="11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72" w:right="120"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资本市场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1,316,694,448.59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89,516,977.66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93.20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43.22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117.54</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2.32</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341,046,695.20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center"/>
              <w:rPr>
                <w:rFonts w:ascii="宋体" w:hAnsi="宋体" w:cs="宋体" w:eastAsia="宋体" w:hint="default"/>
                <w:sz w:val="21"/>
                <w:szCs w:val="21"/>
              </w:rPr>
            </w:pPr>
            <w:r>
              <w:rPr>
                <w:rFonts w:ascii="宋体"/>
                <w:sz w:val="21"/>
              </w:rPr>
              <w:t>2,832,624.42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99.17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-29.74</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0.51</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444,489,253.41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36,058,846.88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91.89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357.70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128.76</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8.12</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非金融业务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116,494,813.61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33,383,297.65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71.34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15.79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17.80</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0.49</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2,218,725,210.81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161,791,746.61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92.71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56.52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81.21</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0.99</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1" w:hRule="exact"/>
        </w:trPr>
        <w:tc>
          <w:tcPr>
            <w:tcW w:w="1035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2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72" w:right="11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72" w:right="120"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2,016,760,021.69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31,179,297.36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98.45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53.94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160.71</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0.64</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集成收入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10,141,265.31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6" w:right="0"/>
              <w:jc w:val="center"/>
              <w:rPr>
                <w:rFonts w:ascii="宋体" w:hAnsi="宋体" w:cs="宋体" w:eastAsia="宋体" w:hint="default"/>
                <w:sz w:val="21"/>
                <w:szCs w:val="21"/>
              </w:rPr>
            </w:pPr>
            <w:r>
              <w:rPr>
                <w:rFonts w:ascii="宋体"/>
                <w:sz w:val="21"/>
              </w:rPr>
              <w:t>8,617,867.50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15.02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104.64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127.77</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8.63</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硬件收入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92,106,888.00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81,526,464.35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11.49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91.56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88.75</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1.32</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科技园</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7,665,426.50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center"/>
              <w:rPr>
                <w:rFonts w:ascii="宋体" w:hAnsi="宋体" w:cs="宋体" w:eastAsia="宋体" w:hint="default"/>
                <w:sz w:val="21"/>
                <w:szCs w:val="21"/>
              </w:rPr>
            </w:pPr>
            <w:r>
              <w:rPr>
                <w:rFonts w:ascii="宋体"/>
                <w:sz w:val="21"/>
              </w:rPr>
              <w:t>4,409,270.52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42.48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-69.85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-69.77</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0.16</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92,051,609.31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0" w:right="0"/>
              <w:jc w:val="center"/>
              <w:rPr>
                <w:rFonts w:ascii="宋体" w:hAnsi="宋体" w:cs="宋体" w:eastAsia="宋体" w:hint="default"/>
                <w:sz w:val="21"/>
                <w:szCs w:val="21"/>
              </w:rPr>
            </w:pPr>
            <w:r>
              <w:rPr>
                <w:rFonts w:ascii="宋体"/>
                <w:sz w:val="21"/>
              </w:rPr>
              <w:t>36,058,846.88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60.83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218.19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128.76</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15.32</w:t>
            </w:r>
            <w:r>
              <w:rPr>
                <w:rFonts w:ascii="宋体" w:hAnsi="宋体" w:cs="宋体" w:eastAsia="宋体" w:hint="default"/>
                <w:spacing w:val="-55"/>
                <w:sz w:val="21"/>
                <w:szCs w:val="21"/>
              </w:rPr>
              <w:t> </w:t>
            </w:r>
            <w:r>
              <w:rPr>
                <w:rFonts w:ascii="宋体" w:hAnsi="宋体" w:cs="宋体" w:eastAsia="宋体" w:hint="default"/>
                <w:sz w:val="21"/>
                <w:szCs w:val="21"/>
              </w:rPr>
              <w:t>个百分点</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2,218,725,210.81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161,791,746.61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92.71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56.52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81.21</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0.99</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bl>
    <w:p>
      <w:pPr>
        <w:spacing w:after="0" w:line="241" w:lineRule="exact"/>
        <w:jc w:val="center"/>
        <w:rPr>
          <w:rFonts w:ascii="宋体" w:hAnsi="宋体" w:cs="宋体" w:eastAsia="宋体" w:hint="default"/>
          <w:sz w:val="21"/>
          <w:szCs w:val="21"/>
        </w:rPr>
        <w:sectPr>
          <w:type w:val="continuous"/>
          <w:pgSz w:w="11910" w:h="16840"/>
          <w:pgMar w:top="1120" w:bottom="1380" w:left="680" w:right="6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385"/>
        <w:gridCol w:w="1897"/>
        <w:gridCol w:w="1685"/>
        <w:gridCol w:w="1095"/>
        <w:gridCol w:w="1092"/>
        <w:gridCol w:w="1095"/>
        <w:gridCol w:w="2102"/>
      </w:tblGrid>
      <w:tr>
        <w:trPr>
          <w:trHeight w:val="284" w:hRule="exact"/>
        </w:trPr>
        <w:tc>
          <w:tcPr>
            <w:tcW w:w="1035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2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72" w:right="11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72" w:right="120"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w:t>
              <w:tab/>
              <w:t>内</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2,164,200,416.27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131,212,272.64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93.94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56.03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85.62</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0.96</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w:t>
              <w:tab/>
              <w:t>外</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54,524,794.54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30,579,473.97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43.92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78.96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64.46</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4.95</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2,218,725,210.81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161,791,746.61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92.71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56.52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81.21</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0.99</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bl>
    <w:p>
      <w:pPr>
        <w:spacing w:line="240" w:lineRule="auto" w:before="5"/>
        <w:rPr>
          <w:rFonts w:ascii="宋体" w:hAnsi="宋体" w:cs="宋体" w:eastAsia="宋体" w:hint="default"/>
          <w:sz w:val="15"/>
          <w:szCs w:val="15"/>
        </w:rPr>
      </w:pPr>
    </w:p>
    <w:p>
      <w:pPr>
        <w:pStyle w:val="BodyText"/>
        <w:spacing w:line="274" w:lineRule="exact" w:before="36"/>
        <w:ind w:left="1118" w:right="525"/>
        <w:jc w:val="left"/>
      </w:pPr>
      <w:r>
        <w:rPr/>
        <w:t>主营业务分行业、分产品、分地区情况的说明</w:t>
      </w:r>
    </w:p>
    <w:p>
      <w:pPr>
        <w:pStyle w:val="Heading4"/>
        <w:spacing w:line="272" w:lineRule="exact" w:before="0"/>
        <w:ind w:left="1118" w:right="525"/>
        <w:jc w:val="left"/>
        <w:rPr>
          <w:b w:val="0"/>
          <w:bCs w:val="0"/>
        </w:rPr>
      </w:pPr>
      <w:r>
        <w:rPr/>
        <w:t>①资本市场线</w:t>
      </w:r>
      <w:r>
        <w:rPr>
          <w:b w:val="0"/>
          <w:bCs w:val="0"/>
        </w:rPr>
      </w:r>
    </w:p>
    <w:p>
      <w:pPr>
        <w:pStyle w:val="BodyText"/>
        <w:spacing w:line="272" w:lineRule="exact"/>
        <w:ind w:left="1118" w:right="525"/>
        <w:jc w:val="left"/>
      </w:pPr>
      <w:r>
        <w:rPr/>
        <w:t>●经纪业务：</w:t>
      </w:r>
    </w:p>
    <w:p>
      <w:pPr>
        <w:pStyle w:val="BodyText"/>
        <w:spacing w:line="272" w:lineRule="exact" w:before="27"/>
        <w:ind w:left="1118" w:right="525" w:firstLine="419"/>
        <w:jc w:val="left"/>
      </w:pPr>
      <w:r>
        <w:rPr>
          <w:spacing w:val="-2"/>
        </w:rPr>
        <w:t>经纪业务线抓住有利时机，快速响应市场创新需求，合同额同比快速增长，主要合同来源于</w:t>
      </w:r>
      <w:r>
        <w:rPr>
          <w:w w:val="100"/>
        </w:rPr>
        <w:t> </w:t>
      </w:r>
      <w:r>
        <w:rPr>
          <w:rFonts w:ascii="宋体" w:hAnsi="宋体" w:cs="宋体" w:eastAsia="宋体" w:hint="default"/>
        </w:rPr>
        <w:t>UF2.0</w:t>
      </w:r>
      <w:r>
        <w:rPr>
          <w:rFonts w:ascii="宋体" w:hAnsi="宋体" w:cs="宋体" w:eastAsia="宋体" w:hint="default"/>
          <w:spacing w:val="-54"/>
        </w:rPr>
        <w:t> </w:t>
      </w:r>
      <w:r>
        <w:rPr/>
        <w:t>升级、股票期权、信贷类业务等其他创新业务。</w:t>
      </w:r>
    </w:p>
    <w:p>
      <w:pPr>
        <w:pStyle w:val="BodyText"/>
        <w:spacing w:line="272" w:lineRule="exact" w:before="1"/>
        <w:ind w:left="1118" w:right="525" w:firstLine="419"/>
        <w:jc w:val="left"/>
      </w:pPr>
      <w:r>
        <w:rPr/>
        <w:t>在重点产品方面，核心平台</w:t>
      </w:r>
      <w:r>
        <w:rPr>
          <w:spacing w:val="-54"/>
        </w:rPr>
        <w:t> </w:t>
      </w:r>
      <w:r>
        <w:rPr>
          <w:rFonts w:ascii="宋体" w:hAnsi="宋体" w:cs="宋体" w:eastAsia="宋体" w:hint="default"/>
        </w:rPr>
        <w:t>UF2.0</w:t>
      </w:r>
      <w:r>
        <w:rPr/>
        <w:t>（经纪业务运营平台）在万亿行情下表现出色，完全承受</w:t>
      </w:r>
      <w:r>
        <w:rPr>
          <w:w w:val="100"/>
        </w:rPr>
        <w:t> </w:t>
      </w:r>
      <w:r>
        <w:rPr>
          <w:spacing w:val="-2"/>
        </w:rPr>
        <w:t>住了大交易量下的高并发考验。强大的技术优势，松耦合的业务体系架构，加上在行业内排名前</w:t>
      </w:r>
    </w:p>
    <w:p>
      <w:pPr>
        <w:pStyle w:val="BodyText"/>
        <w:spacing w:line="272" w:lineRule="exact" w:before="1"/>
        <w:ind w:left="1118" w:right="633"/>
        <w:jc w:val="left"/>
      </w:pPr>
      <w:r>
        <w:rPr/>
        <w:t>茅券商的实际应用，得到了市场的垂青，</w:t>
      </w:r>
      <w:r>
        <w:rPr>
          <w:rFonts w:ascii="宋体" w:hAnsi="宋体" w:cs="宋体" w:eastAsia="宋体" w:hint="default"/>
        </w:rPr>
        <w:t>2015</w:t>
      </w:r>
      <w:r>
        <w:rPr>
          <w:rFonts w:ascii="宋体" w:hAnsi="宋体" w:cs="宋体" w:eastAsia="宋体" w:hint="default"/>
          <w:spacing w:val="-54"/>
        </w:rPr>
        <w:t> </w:t>
      </w:r>
      <w:r>
        <w:rPr/>
        <w:t>年新签</w:t>
      </w:r>
      <w:r>
        <w:rPr>
          <w:spacing w:val="-53"/>
        </w:rPr>
        <w:t> </w:t>
      </w:r>
      <w:r>
        <w:rPr>
          <w:rFonts w:ascii="宋体" w:hAnsi="宋体" w:cs="宋体" w:eastAsia="宋体" w:hint="default"/>
        </w:rPr>
        <w:t>UF2.0</w:t>
      </w:r>
      <w:r>
        <w:rPr>
          <w:rFonts w:ascii="宋体" w:hAnsi="宋体" w:cs="宋体" w:eastAsia="宋体" w:hint="default"/>
          <w:spacing w:val="-54"/>
        </w:rPr>
        <w:t> </w:t>
      </w:r>
      <w:r>
        <w:rPr/>
        <w:t>的券商超过</w:t>
      </w:r>
      <w:r>
        <w:rPr>
          <w:spacing w:val="-54"/>
        </w:rPr>
        <w:t> </w:t>
      </w:r>
      <w:r>
        <w:rPr>
          <w:rFonts w:ascii="宋体" w:hAnsi="宋体" w:cs="宋体" w:eastAsia="宋体" w:hint="default"/>
        </w:rPr>
        <w:t>20</w:t>
      </w:r>
      <w:r>
        <w:rPr>
          <w:rFonts w:ascii="宋体" w:hAnsi="宋体" w:cs="宋体" w:eastAsia="宋体" w:hint="default"/>
          <w:spacing w:val="-56"/>
        </w:rPr>
        <w:t> </w:t>
      </w:r>
      <w:r>
        <w:rPr/>
        <w:t>家，合同额超过</w:t>
      </w:r>
      <w:r>
        <w:rPr>
          <w:spacing w:val="-53"/>
        </w:rPr>
        <w:t> </w:t>
      </w:r>
      <w:r>
        <w:rPr>
          <w:rFonts w:ascii="宋体" w:hAnsi="宋体" w:cs="宋体" w:eastAsia="宋体" w:hint="default"/>
        </w:rPr>
        <w:t>1</w:t>
      </w:r>
      <w:r>
        <w:rPr>
          <w:rFonts w:ascii="宋体" w:hAnsi="宋体" w:cs="宋体" w:eastAsia="宋体" w:hint="default"/>
          <w:spacing w:val="-56"/>
        </w:rPr>
        <w:t> </w:t>
      </w:r>
      <w:r>
        <w:rPr/>
        <w:t>个</w:t>
      </w:r>
      <w:r>
        <w:rPr>
          <w:w w:val="100"/>
        </w:rPr>
        <w:t> </w:t>
      </w:r>
      <w:r>
        <w:rPr/>
        <w:t>亿，成为证券市场上的明星产品。同时</w:t>
      </w:r>
      <w:r>
        <w:rPr>
          <w:spacing w:val="-54"/>
        </w:rPr>
        <w:t> </w:t>
      </w:r>
      <w:r>
        <w:rPr>
          <w:rFonts w:ascii="宋体" w:hAnsi="宋体" w:cs="宋体" w:eastAsia="宋体" w:hint="default"/>
        </w:rPr>
        <w:t>UF2.0</w:t>
      </w:r>
      <w:r>
        <w:rPr>
          <w:rFonts w:ascii="宋体" w:hAnsi="宋体" w:cs="宋体" w:eastAsia="宋体" w:hint="default"/>
          <w:spacing w:val="-56"/>
        </w:rPr>
        <w:t> </w:t>
      </w:r>
      <w:r>
        <w:rPr/>
        <w:t>在期货行业的应用也有了突破性的进展，永安期货</w:t>
      </w:r>
    </w:p>
    <w:p>
      <w:pPr>
        <w:pStyle w:val="BodyText"/>
        <w:spacing w:line="272" w:lineRule="exact" w:before="1"/>
        <w:ind w:left="1118" w:right="637"/>
        <w:jc w:val="both"/>
      </w:pPr>
      <w:r>
        <w:rPr/>
        <w:t>全面上线，浙商期货、信达期货等多家期货公司签订合作协议，为</w:t>
      </w:r>
      <w:r>
        <w:rPr>
          <w:spacing w:val="-55"/>
        </w:rPr>
        <w:t> </w:t>
      </w:r>
      <w:r>
        <w:rPr>
          <w:rFonts w:ascii="宋体" w:hAnsi="宋体" w:cs="宋体" w:eastAsia="宋体" w:hint="default"/>
        </w:rPr>
        <w:t>UF2.0</w:t>
      </w:r>
      <w:r>
        <w:rPr>
          <w:rFonts w:ascii="宋体" w:hAnsi="宋体" w:cs="宋体" w:eastAsia="宋体" w:hint="default"/>
          <w:spacing w:val="-55"/>
        </w:rPr>
        <w:t> </w:t>
      </w:r>
      <w:r>
        <w:rPr/>
        <w:t>在期货行业的发展打下</w:t>
      </w:r>
      <w:r>
        <w:rPr>
          <w:w w:val="100"/>
        </w:rPr>
        <w:t> </w:t>
      </w:r>
      <w:r>
        <w:rPr>
          <w:spacing w:val="-2"/>
        </w:rPr>
        <w:t>了很好的基础。另外，公司在互联网云计算技术上也有长足进步，创建了期货行业统一云开户平</w:t>
      </w:r>
      <w:r>
        <w:rPr>
          <w:spacing w:val="-25"/>
        </w:rPr>
        <w:t> </w:t>
      </w:r>
      <w:r>
        <w:rPr>
          <w:spacing w:val="-25"/>
        </w:rPr>
      </w:r>
      <w:r>
        <w:rPr/>
        <w:t>台都是行业内创新案例。</w:t>
      </w:r>
    </w:p>
    <w:p>
      <w:pPr>
        <w:pStyle w:val="BodyText"/>
        <w:spacing w:line="272" w:lineRule="exact" w:before="1"/>
        <w:ind w:left="1118" w:right="625" w:firstLine="419"/>
        <w:jc w:val="left"/>
      </w:pPr>
      <w:r>
        <w:rPr>
          <w:spacing w:val="-3"/>
        </w:rPr>
        <w:t>在市场拓展方面，</w:t>
      </w:r>
      <w:r>
        <w:rPr>
          <w:rFonts w:ascii="宋体" w:hAnsi="宋体" w:cs="宋体" w:eastAsia="宋体" w:hint="default"/>
          <w:spacing w:val="-3"/>
        </w:rPr>
        <w:t>2015</w:t>
      </w:r>
      <w:r>
        <w:rPr>
          <w:rFonts w:ascii="宋体" w:hAnsi="宋体" w:cs="宋体" w:eastAsia="宋体" w:hint="default"/>
          <w:spacing w:val="-52"/>
        </w:rPr>
        <w:t> </w:t>
      </w:r>
      <w:r>
        <w:rPr/>
        <w:t>年证券集中交易市场升级</w:t>
      </w:r>
      <w:r>
        <w:rPr>
          <w:spacing w:val="-50"/>
        </w:rPr>
        <w:t> </w:t>
      </w:r>
      <w:r>
        <w:rPr>
          <w:rFonts w:ascii="宋体" w:hAnsi="宋体" w:cs="宋体" w:eastAsia="宋体" w:hint="default"/>
        </w:rPr>
        <w:t>18</w:t>
      </w:r>
      <w:r>
        <w:rPr>
          <w:rFonts w:ascii="宋体" w:hAnsi="宋体" w:cs="宋体" w:eastAsia="宋体" w:hint="default"/>
          <w:spacing w:val="-52"/>
        </w:rPr>
        <w:t> </w:t>
      </w:r>
      <w:r>
        <w:rPr>
          <w:spacing w:val="-4"/>
        </w:rPr>
        <w:t>家证券公司，场外</w:t>
      </w:r>
      <w:r>
        <w:rPr>
          <w:spacing w:val="-52"/>
        </w:rPr>
        <w:t> </w:t>
      </w:r>
      <w:r>
        <w:rPr>
          <w:rFonts w:ascii="宋体" w:hAnsi="宋体" w:cs="宋体" w:eastAsia="宋体" w:hint="default"/>
        </w:rPr>
        <w:t>OTC</w:t>
      </w:r>
      <w:r>
        <w:rPr>
          <w:rFonts w:ascii="宋体" w:hAnsi="宋体" w:cs="宋体" w:eastAsia="宋体" w:hint="default"/>
          <w:spacing w:val="-51"/>
        </w:rPr>
        <w:t> </w:t>
      </w:r>
      <w:r>
        <w:rPr/>
        <w:t>业务又新增</w:t>
      </w:r>
      <w:r>
        <w:rPr>
          <w:spacing w:val="-50"/>
        </w:rPr>
        <w:t> </w:t>
      </w:r>
      <w:r>
        <w:rPr>
          <w:rFonts w:ascii="宋体" w:hAnsi="宋体" w:cs="宋体" w:eastAsia="宋体" w:hint="default"/>
        </w:rPr>
        <w:t>15</w:t>
      </w:r>
      <w:r>
        <w:rPr>
          <w:rFonts w:ascii="宋体" w:hAnsi="宋体" w:cs="宋体" w:eastAsia="宋体" w:hint="default"/>
          <w:spacing w:val="-50"/>
        </w:rPr>
        <w:t> </w:t>
      </w:r>
      <w:r>
        <w:rPr/>
        <w:t>家</w:t>
      </w:r>
      <w:r>
        <w:rPr>
          <w:w w:val="100"/>
        </w:rPr>
        <w:t> </w:t>
      </w:r>
      <w:r>
        <w:rPr/>
        <w:t>总数达到近 </w:t>
      </w:r>
      <w:r>
        <w:rPr>
          <w:rFonts w:ascii="宋体" w:hAnsi="宋体" w:cs="宋体" w:eastAsia="宋体" w:hint="default"/>
        </w:rPr>
        <w:t>40</w:t>
      </w:r>
      <w:r>
        <w:rPr>
          <w:rFonts w:ascii="宋体" w:hAnsi="宋体" w:cs="宋体" w:eastAsia="宋体" w:hint="default"/>
          <w:spacing w:val="-63"/>
        </w:rPr>
        <w:t> </w:t>
      </w:r>
      <w:r>
        <w:rPr>
          <w:spacing w:val="-4"/>
        </w:rPr>
        <w:t>家，处于行业绝对领先位置。同时，在支付产品线上的发展颇为瞩目，中标了证通</w:t>
      </w:r>
    </w:p>
    <w:p>
      <w:pPr>
        <w:pStyle w:val="BodyText"/>
        <w:spacing w:line="247" w:lineRule="exact"/>
        <w:ind w:left="1118" w:right="525"/>
        <w:jc w:val="left"/>
      </w:pPr>
      <w:r>
        <w:rPr/>
        <w:t>公司联网通汇的行业级重点项目。</w:t>
      </w:r>
    </w:p>
    <w:p>
      <w:pPr>
        <w:pStyle w:val="BodyText"/>
        <w:spacing w:line="273" w:lineRule="exact"/>
        <w:ind w:left="1118" w:right="525"/>
        <w:jc w:val="left"/>
      </w:pPr>
      <w:r>
        <w:rPr/>
        <w:t>●资产管理：</w:t>
      </w:r>
    </w:p>
    <w:p>
      <w:pPr>
        <w:pStyle w:val="BodyText"/>
        <w:spacing w:line="237" w:lineRule="auto" w:before="2"/>
        <w:ind w:left="1118" w:right="525" w:firstLine="419"/>
        <w:jc w:val="left"/>
      </w:pPr>
      <w:r>
        <w:rPr/>
        <w:t>创新业务发展开始加速，截止</w:t>
      </w:r>
      <w:r>
        <w:rPr>
          <w:spacing w:val="-53"/>
        </w:rPr>
        <w:t> </w:t>
      </w:r>
      <w:r>
        <w:rPr>
          <w:rFonts w:ascii="宋体" w:hAnsi="宋体" w:cs="宋体" w:eastAsia="宋体" w:hint="default"/>
        </w:rPr>
        <w:t>2015</w:t>
      </w:r>
      <w:r>
        <w:rPr>
          <w:rFonts w:ascii="宋体" w:hAnsi="宋体" w:cs="宋体" w:eastAsia="宋体" w:hint="default"/>
          <w:spacing w:val="-56"/>
        </w:rPr>
        <w:t> </w:t>
      </w:r>
      <w:r>
        <w:rPr/>
        <w:t>年底备案私募机构达到两万多家，资产管理规模突破</w:t>
      </w:r>
      <w:r>
        <w:rPr>
          <w:spacing w:val="-54"/>
        </w:rPr>
        <w:t> </w:t>
      </w:r>
      <w:r>
        <w:rPr>
          <w:rFonts w:ascii="宋体" w:hAnsi="宋体" w:cs="宋体" w:eastAsia="宋体" w:hint="default"/>
        </w:rPr>
        <w:t>4</w:t>
      </w:r>
      <w:r>
        <w:rPr>
          <w:rFonts w:ascii="宋体" w:hAnsi="宋体" w:cs="宋体" w:eastAsia="宋体" w:hint="default"/>
          <w:w w:val="100"/>
        </w:rPr>
        <w:t> </w:t>
      </w:r>
      <w:r>
        <w:rPr>
          <w:spacing w:val="-2"/>
        </w:rPr>
        <w:t>万亿；私募基金的发展最为迅猛，成为资管行业发展的新的蓝海市场；机构经纪业务百花齐放，</w:t>
      </w:r>
      <w:r>
        <w:rPr>
          <w:spacing w:val="-25"/>
        </w:rPr>
        <w:t> </w:t>
      </w:r>
      <w:r>
        <w:rPr>
          <w:spacing w:val="-25"/>
        </w:rPr>
      </w:r>
      <w:r>
        <w:rPr>
          <w:spacing w:val="-2"/>
        </w:rPr>
        <w:t>各机构竞相大力拓展机构经纪业务，寻求新的业务增长点。在创新的同时，更多的金融机构也意</w:t>
      </w:r>
      <w:r>
        <w:rPr>
          <w:spacing w:val="-25"/>
        </w:rPr>
        <w:t> </w:t>
      </w:r>
      <w:r>
        <w:rPr>
          <w:spacing w:val="-25"/>
        </w:rPr>
      </w:r>
      <w:r>
        <w:rPr>
          <w:spacing w:val="-2"/>
        </w:rPr>
        <w:t>识到风险管理的重要性，加强了风控系统的建设，意识到风控产品在金融机构风险管理转型过程</w:t>
      </w:r>
      <w:r>
        <w:rPr>
          <w:spacing w:val="-25"/>
        </w:rPr>
        <w:t> </w:t>
      </w:r>
      <w:r>
        <w:rPr>
          <w:spacing w:val="-25"/>
        </w:rPr>
      </w:r>
      <w:r>
        <w:rPr/>
        <w:t>中能起到关键性作用，推动风险管理由传统合规风控向智能风控的转型。</w:t>
      </w:r>
    </w:p>
    <w:p>
      <w:pPr>
        <w:pStyle w:val="BodyText"/>
        <w:spacing w:line="237" w:lineRule="auto"/>
        <w:ind w:left="1118" w:right="628" w:firstLine="419"/>
        <w:jc w:val="both"/>
      </w:pPr>
      <w:r>
        <w:rPr/>
        <w:t>资管产品线的合同额在 </w:t>
      </w:r>
      <w:r>
        <w:rPr>
          <w:rFonts w:ascii="宋体" w:hAnsi="宋体" w:cs="宋体" w:eastAsia="宋体" w:hint="default"/>
        </w:rPr>
        <w:t>2015</w:t>
      </w:r>
      <w:r>
        <w:rPr>
          <w:rFonts w:ascii="宋体" w:hAnsi="宋体" w:cs="宋体" w:eastAsia="宋体" w:hint="default"/>
          <w:spacing w:val="-76"/>
        </w:rPr>
        <w:t> </w:t>
      </w:r>
      <w:r>
        <w:rPr>
          <w:spacing w:val="-5"/>
        </w:rPr>
        <w:t>年创了新高，是公司收入增长的最主要来源之一。在新产品研发</w:t>
      </w:r>
      <w:r>
        <w:rPr>
          <w:w w:val="100"/>
        </w:rPr>
        <w:t> </w:t>
      </w:r>
      <w:r>
        <w:rPr>
          <w:spacing w:val="-3"/>
        </w:rPr>
        <w:t>方面，积极进行前瞻性研究，做好未来新产品的布局与发展，</w:t>
      </w:r>
      <w:r>
        <w:rPr>
          <w:rFonts w:ascii="宋体" w:hAnsi="宋体" w:cs="宋体" w:eastAsia="宋体" w:hint="default"/>
          <w:spacing w:val="-3"/>
        </w:rPr>
        <w:t>2015</w:t>
      </w:r>
      <w:r>
        <w:rPr>
          <w:rFonts w:ascii="宋体" w:hAnsi="宋体" w:cs="宋体" w:eastAsia="宋体" w:hint="default"/>
          <w:spacing w:val="-24"/>
        </w:rPr>
        <w:t> </w:t>
      </w:r>
      <w:r>
        <w:rPr/>
        <w:t>年投入大量人力保证重点新产</w:t>
      </w:r>
      <w:r>
        <w:rPr>
          <w:spacing w:val="-92"/>
        </w:rPr>
        <w:t> </w:t>
      </w:r>
      <w:r>
        <w:rPr>
          <w:spacing w:val="-92"/>
        </w:rPr>
      </w:r>
      <w:r>
        <w:rPr>
          <w:spacing w:val="-3"/>
        </w:rPr>
        <w:t>品的研发，包括新一代投资管理系统</w:t>
      </w:r>
      <w:r>
        <w:rPr>
          <w:spacing w:val="-39"/>
        </w:rPr>
        <w:t> </w:t>
      </w:r>
      <w:r>
        <w:rPr>
          <w:rFonts w:ascii="宋体" w:hAnsi="宋体" w:cs="宋体" w:eastAsia="宋体" w:hint="default"/>
          <w:spacing w:val="-4"/>
        </w:rPr>
        <w:t>O4</w:t>
      </w:r>
      <w:r>
        <w:rPr>
          <w:spacing w:val="-4"/>
        </w:rPr>
        <w:t>、策略交易平台</w:t>
      </w:r>
      <w:r>
        <w:rPr>
          <w:spacing w:val="-38"/>
        </w:rPr>
        <w:t> </w:t>
      </w:r>
      <w:r>
        <w:rPr>
          <w:rFonts w:ascii="宋体" w:hAnsi="宋体" w:cs="宋体" w:eastAsia="宋体" w:hint="default"/>
          <w:spacing w:val="-3"/>
        </w:rPr>
        <w:t>2.0</w:t>
      </w:r>
      <w:r>
        <w:rPr>
          <w:spacing w:val="-3"/>
        </w:rPr>
        <w:t>、全面风险管理等多项新产品</w:t>
      </w:r>
      <w:r>
        <w:rPr>
          <w:spacing w:val="25"/>
        </w:rPr>
        <w:t> </w:t>
      </w:r>
      <w:r>
        <w:rPr>
          <w:spacing w:val="-10"/>
        </w:rPr>
        <w:t>，其中</w:t>
      </w:r>
      <w:r>
        <w:rPr>
          <w:spacing w:val="-100"/>
        </w:rPr>
        <w:t> </w:t>
      </w:r>
      <w:r>
        <w:rPr>
          <w:spacing w:val="-100"/>
        </w:rPr>
      </w:r>
      <w:r>
        <w:rPr/>
        <w:t>新一代投资管理系统</w:t>
      </w:r>
      <w:r>
        <w:rPr>
          <w:spacing w:val="-54"/>
        </w:rPr>
        <w:t> </w:t>
      </w:r>
      <w:r>
        <w:rPr>
          <w:rFonts w:ascii="宋体" w:hAnsi="宋体" w:cs="宋体" w:eastAsia="宋体" w:hint="default"/>
        </w:rPr>
        <w:t>O4</w:t>
      </w:r>
      <w:r>
        <w:rPr>
          <w:rFonts w:ascii="宋体" w:hAnsi="宋体" w:cs="宋体" w:eastAsia="宋体" w:hint="default"/>
          <w:spacing w:val="-55"/>
        </w:rPr>
        <w:t> </w:t>
      </w:r>
      <w:r>
        <w:rPr/>
        <w:t>完成了研发并正式上线。</w:t>
      </w:r>
    </w:p>
    <w:p>
      <w:pPr>
        <w:pStyle w:val="BodyText"/>
        <w:spacing w:line="237" w:lineRule="auto"/>
        <w:ind w:left="1118" w:right="525" w:firstLine="419"/>
        <w:jc w:val="left"/>
      </w:pPr>
      <w:r>
        <w:rPr/>
        <w:t>在市场推广执行方面，</w:t>
      </w:r>
      <w:r>
        <w:rPr>
          <w:rFonts w:ascii="宋体" w:hAnsi="宋体" w:cs="宋体" w:eastAsia="宋体" w:hint="default"/>
        </w:rPr>
        <w:t>2015</w:t>
      </w:r>
      <w:r>
        <w:rPr>
          <w:rFonts w:ascii="宋体" w:hAnsi="宋体" w:cs="宋体" w:eastAsia="宋体" w:hint="default"/>
          <w:spacing w:val="-44"/>
        </w:rPr>
        <w:t> </w:t>
      </w:r>
      <w:r>
        <w:rPr>
          <w:spacing w:val="-3"/>
        </w:rPr>
        <w:t>年资管核心产品、核心领域推广效果良好，实现了现有投资、估</w:t>
      </w:r>
      <w:r>
        <w:rPr>
          <w:w w:val="100"/>
        </w:rPr>
        <w:t> </w:t>
      </w:r>
      <w:r>
        <w:rPr>
          <w:spacing w:val="-4"/>
        </w:rPr>
        <w:t>值、风控产品市场占有率稳步提升，其中：</w:t>
      </w:r>
      <w:r>
        <w:rPr>
          <w:rFonts w:ascii="宋体" w:hAnsi="宋体" w:cs="宋体" w:eastAsia="宋体" w:hint="default"/>
          <w:spacing w:val="-4"/>
        </w:rPr>
        <w:t>PB</w:t>
      </w:r>
      <w:r>
        <w:rPr>
          <w:rFonts w:ascii="宋体" w:hAnsi="宋体" w:cs="宋体" w:eastAsia="宋体" w:hint="default"/>
          <w:spacing w:val="-46"/>
        </w:rPr>
        <w:t> </w:t>
      </w:r>
      <w:r>
        <w:rPr/>
        <w:t>投资系统签约</w:t>
      </w:r>
      <w:r>
        <w:rPr>
          <w:spacing w:val="-46"/>
        </w:rPr>
        <w:t> </w:t>
      </w:r>
      <w:r>
        <w:rPr>
          <w:rFonts w:ascii="宋体" w:hAnsi="宋体" w:cs="宋体" w:eastAsia="宋体" w:hint="default"/>
        </w:rPr>
        <w:t>14</w:t>
      </w:r>
      <w:r>
        <w:rPr>
          <w:rFonts w:ascii="宋体" w:hAnsi="宋体" w:cs="宋体" w:eastAsia="宋体" w:hint="default"/>
          <w:spacing w:val="-46"/>
        </w:rPr>
        <w:t> </w:t>
      </w:r>
      <w:r>
        <w:rPr>
          <w:spacing w:val="-4"/>
        </w:rPr>
        <w:t>家客户，中标率接近</w:t>
      </w:r>
      <w:r>
        <w:rPr>
          <w:spacing w:val="-45"/>
        </w:rPr>
        <w:t> </w:t>
      </w:r>
      <w:r>
        <w:rPr>
          <w:rFonts w:ascii="宋体" w:hAnsi="宋体" w:cs="宋体" w:eastAsia="宋体" w:hint="default"/>
          <w:spacing w:val="-4"/>
        </w:rPr>
        <w:t>90%</w:t>
      </w:r>
      <w:r>
        <w:rPr>
          <w:spacing w:val="-4"/>
        </w:rPr>
        <w:t>，在势头</w:t>
      </w:r>
      <w:r>
        <w:rPr>
          <w:spacing w:val="-88"/>
        </w:rPr>
        <w:t> </w:t>
      </w:r>
      <w:r>
        <w:rPr>
          <w:spacing w:val="-88"/>
        </w:rPr>
      </w:r>
      <w:r>
        <w:rPr/>
        <w:t>上远超竞争对手。投资系统在期货行业取得重大突破，新中标</w:t>
      </w:r>
      <w:r>
        <w:rPr>
          <w:spacing w:val="-34"/>
        </w:rPr>
        <w:t> </w:t>
      </w:r>
      <w:r>
        <w:rPr>
          <w:rFonts w:ascii="宋体" w:hAnsi="宋体" w:cs="宋体" w:eastAsia="宋体" w:hint="default"/>
        </w:rPr>
        <w:t>31</w:t>
      </w:r>
      <w:r>
        <w:rPr>
          <w:rFonts w:ascii="宋体" w:hAnsi="宋体" w:cs="宋体" w:eastAsia="宋体" w:hint="default"/>
          <w:spacing w:val="-39"/>
        </w:rPr>
        <w:t> </w:t>
      </w:r>
      <w:r>
        <w:rPr/>
        <w:t>家客户，中标率达到</w:t>
      </w:r>
      <w:r>
        <w:rPr>
          <w:spacing w:val="-34"/>
        </w:rPr>
        <w:t> </w:t>
      </w:r>
      <w:r>
        <w:rPr>
          <w:rFonts w:ascii="宋体" w:hAnsi="宋体" w:cs="宋体" w:eastAsia="宋体" w:hint="default"/>
        </w:rPr>
        <w:t>80%</w:t>
      </w:r>
      <w:r>
        <w:rPr/>
        <w:t>左右。</w:t>
      </w:r>
      <w:r>
        <w:rPr>
          <w:spacing w:val="-101"/>
        </w:rPr>
        <w:t> </w:t>
      </w:r>
      <w:r>
        <w:rPr>
          <w:spacing w:val="-101"/>
        </w:rPr>
      </w:r>
      <w:r>
        <w:rPr/>
        <w:t>估值系统客户总数达到</w:t>
      </w:r>
      <w:r>
        <w:rPr>
          <w:spacing w:val="-54"/>
        </w:rPr>
        <w:t> </w:t>
      </w:r>
      <w:r>
        <w:rPr>
          <w:rFonts w:ascii="宋体" w:hAnsi="宋体" w:cs="宋体" w:eastAsia="宋体" w:hint="default"/>
        </w:rPr>
        <w:t>300</w:t>
      </w:r>
      <w:r>
        <w:rPr>
          <w:rFonts w:ascii="宋体" w:hAnsi="宋体" w:cs="宋体" w:eastAsia="宋体" w:hint="default"/>
          <w:spacing w:val="-55"/>
        </w:rPr>
        <w:t> </w:t>
      </w:r>
      <w:r>
        <w:rPr/>
        <w:t>多家，在证券托管、期货、基金子公司占有率持续超越竞争友商，处</w:t>
      </w:r>
      <w:r>
        <w:rPr>
          <w:w w:val="100"/>
        </w:rPr>
        <w:t> </w:t>
      </w:r>
      <w:r>
        <w:rPr/>
        <w:t>于领先地位。</w:t>
      </w:r>
    </w:p>
    <w:p>
      <w:pPr>
        <w:pStyle w:val="BodyText"/>
        <w:spacing w:line="272" w:lineRule="exact" w:before="26"/>
        <w:ind w:left="1118" w:right="525" w:firstLine="419"/>
        <w:jc w:val="left"/>
      </w:pPr>
      <w:r>
        <w:rPr>
          <w:spacing w:val="-6"/>
        </w:rPr>
        <w:t>全面风险管理引入外部战略合作伙伴，增强产品优势，促成风控产品在行业的领先地位，</w:t>
      </w:r>
      <w:r>
        <w:rPr>
          <w:rFonts w:ascii="宋体" w:hAnsi="宋体" w:cs="宋体" w:eastAsia="宋体" w:hint="default"/>
          <w:spacing w:val="-6"/>
        </w:rPr>
        <w:t>2015</w:t>
      </w:r>
      <w:r>
        <w:rPr>
          <w:rFonts w:ascii="宋体" w:hAnsi="宋体" w:cs="宋体" w:eastAsia="宋体" w:hint="default"/>
          <w:w w:val="100"/>
        </w:rPr>
        <w:t> </w:t>
      </w:r>
      <w:r>
        <w:rPr/>
        <w:t>年中标</w:t>
      </w:r>
      <w:r>
        <w:rPr>
          <w:spacing w:val="-54"/>
        </w:rPr>
        <w:t> </w:t>
      </w:r>
      <w:r>
        <w:rPr>
          <w:rFonts w:ascii="宋体" w:hAnsi="宋体" w:cs="宋体" w:eastAsia="宋体" w:hint="default"/>
        </w:rPr>
        <w:t>15</w:t>
      </w:r>
      <w:r>
        <w:rPr>
          <w:rFonts w:ascii="宋体" w:hAnsi="宋体" w:cs="宋体" w:eastAsia="宋体" w:hint="default"/>
          <w:spacing w:val="-56"/>
        </w:rPr>
        <w:t> </w:t>
      </w:r>
      <w:r>
        <w:rPr/>
        <w:t>家客户，中标率</w:t>
      </w:r>
      <w:r>
        <w:rPr>
          <w:spacing w:val="-53"/>
        </w:rPr>
        <w:t> </w:t>
      </w:r>
      <w:r>
        <w:rPr>
          <w:rFonts w:ascii="宋体" w:hAnsi="宋体" w:cs="宋体" w:eastAsia="宋体" w:hint="default"/>
        </w:rPr>
        <w:t>70%</w:t>
      </w:r>
      <w:r>
        <w:rPr/>
        <w:t>以上，同时也促使风控产品由风控部门向业务部门延伸。</w:t>
      </w:r>
    </w:p>
    <w:p>
      <w:pPr>
        <w:pStyle w:val="BodyText"/>
        <w:spacing w:line="246" w:lineRule="exact"/>
        <w:ind w:left="1118" w:right="525"/>
        <w:jc w:val="left"/>
      </w:pPr>
      <w:r>
        <w:rPr/>
        <w:t>●财富管理：</w:t>
      </w:r>
    </w:p>
    <w:p>
      <w:pPr>
        <w:pStyle w:val="BodyText"/>
        <w:spacing w:line="237" w:lineRule="auto" w:before="2"/>
        <w:ind w:left="1118" w:right="633" w:firstLine="419"/>
        <w:jc w:val="left"/>
      </w:pPr>
      <w:r>
        <w:rPr>
          <w:spacing w:val="-2"/>
        </w:rPr>
        <w:t>在产品市场经营方面，财富管理业务线新签产品合同毛利继续保持稳定增长。上半年股票市</w:t>
      </w:r>
      <w:r>
        <w:rPr>
          <w:w w:val="100"/>
        </w:rPr>
        <w:t> </w:t>
      </w:r>
      <w:r>
        <w:rPr>
          <w:spacing w:val="-2"/>
        </w:rPr>
        <w:t>场的火爆行情，基金发行数量、规模与速度远超往年，指数型基金、分级型基金发行增多，下半</w:t>
      </w:r>
      <w:r>
        <w:rPr>
          <w:spacing w:val="-25"/>
        </w:rPr>
        <w:t> </w:t>
      </w:r>
      <w:r>
        <w:rPr>
          <w:spacing w:val="-25"/>
        </w:rPr>
      </w:r>
      <w:r>
        <w:rPr/>
        <w:t>年资产荒后场内场外货币基金迅速崛起，催生了基金管理公司自建</w:t>
      </w:r>
      <w:r>
        <w:rPr>
          <w:spacing w:val="-55"/>
        </w:rPr>
        <w:t> </w:t>
      </w:r>
      <w:r>
        <w:rPr>
          <w:rFonts w:ascii="宋体" w:hAnsi="宋体" w:cs="宋体" w:eastAsia="宋体" w:hint="default"/>
        </w:rPr>
        <w:t>TA</w:t>
      </w:r>
      <w:r>
        <w:rPr>
          <w:rFonts w:ascii="宋体" w:hAnsi="宋体" w:cs="宋体" w:eastAsia="宋体" w:hint="default"/>
          <w:spacing w:val="-56"/>
        </w:rPr>
        <w:t> </w:t>
      </w:r>
      <w:r>
        <w:rPr/>
        <w:t>系统的性能提升需求、分</w:t>
      </w:r>
      <w:r>
        <w:rPr>
          <w:w w:val="100"/>
        </w:rPr>
        <w:t> </w:t>
      </w:r>
      <w:r>
        <w:rPr>
          <w:rFonts w:ascii="宋体" w:hAnsi="宋体" w:cs="宋体" w:eastAsia="宋体" w:hint="default"/>
        </w:rPr>
        <w:t>TA</w:t>
      </w:r>
      <w:r>
        <w:rPr>
          <w:rFonts w:ascii="宋体" w:hAnsi="宋体" w:cs="宋体" w:eastAsia="宋体" w:hint="default"/>
          <w:spacing w:val="-53"/>
        </w:rPr>
        <w:t> </w:t>
      </w:r>
      <w:r>
        <w:rPr/>
        <w:t>系统的</w:t>
      </w:r>
      <w:r>
        <w:rPr>
          <w:spacing w:val="-53"/>
        </w:rPr>
        <w:t> </w:t>
      </w:r>
      <w:r>
        <w:rPr>
          <w:rFonts w:ascii="宋体" w:hAnsi="宋体" w:cs="宋体" w:eastAsia="宋体" w:hint="default"/>
        </w:rPr>
        <w:t>LOF</w:t>
      </w:r>
      <w:r>
        <w:rPr/>
        <w:t>、</w:t>
      </w:r>
      <w:r>
        <w:rPr>
          <w:rFonts w:ascii="宋体" w:hAnsi="宋体" w:cs="宋体" w:eastAsia="宋体" w:hint="default"/>
        </w:rPr>
        <w:t>ETF</w:t>
      </w:r>
      <w:r>
        <w:rPr>
          <w:rFonts w:ascii="宋体" w:hAnsi="宋体" w:cs="宋体" w:eastAsia="宋体" w:hint="default"/>
          <w:spacing w:val="-55"/>
        </w:rPr>
        <w:t> </w:t>
      </w:r>
      <w:r>
        <w:rPr/>
        <w:t>功能需求，当年自建</w:t>
      </w:r>
      <w:r>
        <w:rPr>
          <w:spacing w:val="-52"/>
        </w:rPr>
        <w:t> </w:t>
      </w:r>
      <w:r>
        <w:rPr>
          <w:rFonts w:ascii="宋体" w:hAnsi="宋体" w:cs="宋体" w:eastAsia="宋体" w:hint="default"/>
        </w:rPr>
        <w:t>TA4.0</w:t>
      </w:r>
      <w:r>
        <w:rPr>
          <w:rFonts w:ascii="宋体" w:hAnsi="宋体" w:cs="宋体" w:eastAsia="宋体" w:hint="default"/>
          <w:spacing w:val="-53"/>
        </w:rPr>
        <w:t> </w:t>
      </w:r>
      <w:r>
        <w:rPr/>
        <w:t>升级用户达到</w:t>
      </w:r>
      <w:r>
        <w:rPr>
          <w:spacing w:val="-53"/>
        </w:rPr>
        <w:t> </w:t>
      </w:r>
      <w:r>
        <w:rPr>
          <w:rFonts w:ascii="宋体" w:hAnsi="宋体" w:cs="宋体" w:eastAsia="宋体" w:hint="default"/>
        </w:rPr>
        <w:t>14</w:t>
      </w:r>
      <w:r>
        <w:rPr>
          <w:rFonts w:ascii="宋体" w:hAnsi="宋体" w:cs="宋体" w:eastAsia="宋体" w:hint="default"/>
          <w:spacing w:val="-55"/>
        </w:rPr>
        <w:t> </w:t>
      </w:r>
      <w:r>
        <w:rPr/>
        <w:t>家、分</w:t>
      </w:r>
      <w:r>
        <w:rPr>
          <w:spacing w:val="-53"/>
        </w:rPr>
        <w:t> </w:t>
      </w:r>
      <w:r>
        <w:rPr>
          <w:rFonts w:ascii="宋体" w:hAnsi="宋体" w:cs="宋体" w:eastAsia="宋体" w:hint="default"/>
        </w:rPr>
        <w:t>TA</w:t>
      </w:r>
      <w:r>
        <w:rPr>
          <w:rFonts w:ascii="宋体" w:hAnsi="宋体" w:cs="宋体" w:eastAsia="宋体" w:hint="default"/>
          <w:spacing w:val="-55"/>
        </w:rPr>
        <w:t> </w:t>
      </w:r>
      <w:r>
        <w:rPr/>
        <w:t>产品合同上升明显；</w:t>
      </w:r>
    </w:p>
    <w:p>
      <w:pPr>
        <w:pStyle w:val="BodyText"/>
        <w:spacing w:line="237" w:lineRule="auto" w:before="1"/>
        <w:ind w:left="1118" w:right="0"/>
        <w:jc w:val="left"/>
      </w:pPr>
      <w:r>
        <w:rPr>
          <w:spacing w:val="-4"/>
          <w:w w:val="100"/>
        </w:rPr>
        <w:t>备案私募管理机构数量与资产管理规模激增，催生了证券公司私募运营外包业务系统的建设需求，</w:t>
      </w:r>
      <w:r>
        <w:rPr>
          <w:spacing w:val="-86"/>
          <w:w w:val="100"/>
        </w:rPr>
        <w:t> </w:t>
      </w:r>
      <w:r>
        <w:rPr>
          <w:spacing w:val="-86"/>
          <w:w w:val="100"/>
        </w:rPr>
      </w:r>
      <w:r>
        <w:rPr>
          <w:spacing w:val="-4"/>
        </w:rPr>
        <w:t>公司凭借产品强大竞争力，恒生运营外包</w:t>
      </w:r>
      <w:r>
        <w:rPr>
          <w:spacing w:val="-46"/>
        </w:rPr>
        <w:t> </w:t>
      </w:r>
      <w:r>
        <w:rPr>
          <w:rFonts w:ascii="宋体" w:hAnsi="宋体" w:cs="宋体" w:eastAsia="宋体" w:hint="default"/>
        </w:rPr>
        <w:t>TA</w:t>
      </w:r>
      <w:r>
        <w:rPr>
          <w:rFonts w:ascii="宋体" w:hAnsi="宋体" w:cs="宋体" w:eastAsia="宋体" w:hint="default"/>
          <w:spacing w:val="-48"/>
        </w:rPr>
        <w:t> </w:t>
      </w:r>
      <w:r>
        <w:rPr/>
        <w:t>系统拿下</w:t>
      </w:r>
      <w:r>
        <w:rPr>
          <w:spacing w:val="-45"/>
        </w:rPr>
        <w:t> </w:t>
      </w:r>
      <w:r>
        <w:rPr>
          <w:rFonts w:ascii="宋体" w:hAnsi="宋体" w:cs="宋体" w:eastAsia="宋体" w:hint="default"/>
          <w:spacing w:val="-4"/>
        </w:rPr>
        <w:t>80%</w:t>
      </w:r>
      <w:r>
        <w:rPr>
          <w:spacing w:val="-4"/>
        </w:rPr>
        <w:t>市场份额。理财销售系统新增用户近</w:t>
      </w:r>
      <w:r>
        <w:rPr>
          <w:spacing w:val="-45"/>
        </w:rPr>
        <w:t> </w:t>
      </w:r>
      <w:r>
        <w:rPr>
          <w:rFonts w:ascii="宋体" w:hAnsi="宋体" w:cs="宋体" w:eastAsia="宋体" w:hint="default"/>
        </w:rPr>
        <w:t>40</w:t>
      </w:r>
      <w:r>
        <w:rPr>
          <w:rFonts w:ascii="宋体" w:hAnsi="宋体" w:cs="宋体" w:eastAsia="宋体" w:hint="default"/>
          <w:spacing w:val="-87"/>
        </w:rPr>
        <w:t> </w:t>
      </w:r>
      <w:r>
        <w:rPr/>
        <w:t>家，其中三方基金代销系统市场份额提升近</w:t>
      </w:r>
      <w:r>
        <w:rPr>
          <w:spacing w:val="-55"/>
        </w:rPr>
        <w:t> </w:t>
      </w:r>
      <w:r>
        <w:rPr>
          <w:rFonts w:ascii="宋体" w:hAnsi="宋体" w:cs="宋体" w:eastAsia="宋体" w:hint="default"/>
        </w:rPr>
        <w:t>10%</w:t>
      </w:r>
      <w:r>
        <w:rPr/>
        <w:t>。营销服务产品线拳头产品呼叫中心系统市场份</w:t>
      </w:r>
      <w:r>
        <w:rPr>
          <w:w w:val="100"/>
        </w:rPr>
        <w:t> </w:t>
      </w:r>
      <w:r>
        <w:rPr/>
        <w:t>额提升明显，基金行业先后中标了南方基金、嘉实基金、招商基金等行业排名前十的用户，进一</w:t>
      </w:r>
    </w:p>
    <w:p>
      <w:pPr>
        <w:spacing w:after="0" w:line="237" w:lineRule="auto"/>
        <w:jc w:val="left"/>
        <w:sectPr>
          <w:pgSz w:w="11910" w:h="16840"/>
          <w:pgMar w:header="880" w:footer="1195" w:top="1120" w:bottom="1380" w:left="680" w:right="640"/>
        </w:sectPr>
      </w:pPr>
    </w:p>
    <w:p>
      <w:pPr>
        <w:spacing w:line="240" w:lineRule="auto" w:before="4"/>
        <w:rPr>
          <w:rFonts w:ascii="宋体" w:hAnsi="宋体" w:cs="宋体" w:eastAsia="宋体" w:hint="default"/>
          <w:sz w:val="25"/>
          <w:szCs w:val="25"/>
        </w:rPr>
      </w:pPr>
    </w:p>
    <w:p>
      <w:pPr>
        <w:pStyle w:val="BodyText"/>
        <w:spacing w:line="240" w:lineRule="auto" w:before="36"/>
        <w:ind w:left="138" w:right="0"/>
        <w:jc w:val="left"/>
      </w:pPr>
      <w:r>
        <w:rPr>
          <w:spacing w:val="-4"/>
        </w:rPr>
        <w:t>步巩固了行业老大的地位。类信托行业整体方案、信托</w:t>
      </w:r>
      <w:r>
        <w:rPr>
          <w:spacing w:val="-26"/>
        </w:rPr>
        <w:t> </w:t>
      </w:r>
      <w:r>
        <w:rPr>
          <w:rFonts w:ascii="宋体" w:hAnsi="宋体" w:cs="宋体" w:eastAsia="宋体" w:hint="default"/>
        </w:rPr>
        <w:t>TA</w:t>
      </w:r>
      <w:r>
        <w:rPr>
          <w:rFonts w:ascii="宋体" w:hAnsi="宋体" w:cs="宋体" w:eastAsia="宋体" w:hint="default"/>
          <w:spacing w:val="-27"/>
        </w:rPr>
        <w:t> </w:t>
      </w:r>
      <w:r>
        <w:rPr>
          <w:spacing w:val="-4"/>
        </w:rPr>
        <w:t>继续发挥竞争优势，新增或替换光大信</w:t>
      </w:r>
      <w:r>
        <w:rPr>
          <w:spacing w:val="-95"/>
        </w:rPr>
        <w:t> </w:t>
      </w:r>
      <w:r>
        <w:rPr>
          <w:spacing w:val="-95"/>
        </w:rPr>
      </w:r>
      <w:r>
        <w:rPr/>
        <w:t>托、天津信托、汇添富资产等用户，整体产品合同继续保持较好增长。</w:t>
      </w:r>
    </w:p>
    <w:p>
      <w:pPr>
        <w:pStyle w:val="BodyText"/>
        <w:spacing w:line="237" w:lineRule="auto"/>
        <w:ind w:left="138" w:right="128" w:firstLine="419"/>
        <w:jc w:val="both"/>
      </w:pPr>
      <w:r>
        <w:rPr>
          <w:spacing w:val="-2"/>
        </w:rPr>
        <w:t>在重大业务创新、核心产品研发方面，财富管理业务线暂获颇多、硕果累累。先后承建了具</w:t>
      </w:r>
      <w:r>
        <w:rPr>
          <w:w w:val="100"/>
        </w:rPr>
        <w:t> </w:t>
      </w:r>
      <w:r>
        <w:rPr>
          <w:spacing w:val="-3"/>
        </w:rPr>
        <w:t>有行业重大影响的上交所注册审核系统、中登</w:t>
      </w:r>
      <w:r>
        <w:rPr>
          <w:spacing w:val="-28"/>
        </w:rPr>
        <w:t> </w:t>
      </w:r>
      <w:r>
        <w:rPr>
          <w:rFonts w:ascii="宋体" w:hAnsi="宋体" w:cs="宋体" w:eastAsia="宋体" w:hint="default"/>
        </w:rPr>
        <w:t>TA</w:t>
      </w:r>
      <w:r>
        <w:rPr>
          <w:rFonts w:ascii="宋体" w:hAnsi="宋体" w:cs="宋体" w:eastAsia="宋体" w:hint="default"/>
          <w:spacing w:val="-25"/>
        </w:rPr>
        <w:t> </w:t>
      </w:r>
      <w:r>
        <w:rPr>
          <w:spacing w:val="-5"/>
        </w:rPr>
        <w:t>中港基金互认、保险资产登记交易平台、新三板</w:t>
      </w:r>
      <w:r>
        <w:rPr>
          <w:spacing w:val="-94"/>
        </w:rPr>
        <w:t> </w:t>
      </w:r>
      <w:r>
        <w:rPr>
          <w:spacing w:val="-94"/>
        </w:rPr>
      </w:r>
      <w:r>
        <w:rPr>
          <w:spacing w:val="-3"/>
        </w:rPr>
        <w:t>股权众筹登记系统等项目，并实施与推出了广发证券统一</w:t>
      </w:r>
      <w:r>
        <w:rPr>
          <w:spacing w:val="-20"/>
        </w:rPr>
        <w:t> </w:t>
      </w:r>
      <w:r>
        <w:rPr>
          <w:rFonts w:ascii="宋体" w:hAnsi="宋体" w:cs="宋体" w:eastAsia="宋体" w:hint="default"/>
        </w:rPr>
        <w:t>TA</w:t>
      </w:r>
      <w:r>
        <w:rPr>
          <w:rFonts w:ascii="宋体" w:hAnsi="宋体" w:cs="宋体" w:eastAsia="宋体" w:hint="default"/>
          <w:spacing w:val="-25"/>
        </w:rPr>
        <w:t> </w:t>
      </w:r>
      <w:r>
        <w:rPr>
          <w:spacing w:val="-6"/>
        </w:rPr>
        <w:t>系统、浙商资产核心业务系统、恒天</w:t>
      </w:r>
      <w:r>
        <w:rPr>
          <w:spacing w:val="-94"/>
        </w:rPr>
        <w:t> </w:t>
      </w:r>
      <w:r>
        <w:rPr>
          <w:spacing w:val="-94"/>
        </w:rPr>
      </w:r>
      <w:r>
        <w:rPr/>
        <w:t>财富管理平台等创新项目与业务。</w:t>
      </w:r>
    </w:p>
    <w:p>
      <w:pPr>
        <w:pStyle w:val="BodyText"/>
        <w:spacing w:line="271" w:lineRule="exact"/>
        <w:ind w:left="138" w:right="3467"/>
        <w:jc w:val="left"/>
      </w:pPr>
      <w:r>
        <w:rPr/>
        <w:t>●交易所：</w:t>
      </w:r>
    </w:p>
    <w:p>
      <w:pPr>
        <w:pStyle w:val="BodyText"/>
        <w:spacing w:line="272" w:lineRule="exact" w:before="27"/>
        <w:ind w:left="560" w:right="0" w:hanging="3"/>
        <w:jc w:val="left"/>
      </w:pPr>
      <w:r>
        <w:rPr>
          <w:rFonts w:ascii="宋体" w:hAnsi="宋体" w:cs="宋体" w:eastAsia="宋体" w:hint="default"/>
        </w:rPr>
        <w:t>2015</w:t>
      </w:r>
      <w:r>
        <w:rPr>
          <w:rFonts w:ascii="宋体" w:hAnsi="宋体" w:cs="宋体" w:eastAsia="宋体" w:hint="default"/>
          <w:spacing w:val="-56"/>
        </w:rPr>
        <w:t> </w:t>
      </w:r>
      <w:r>
        <w:rPr/>
        <w:t>年交易所行业继续保持良好的业务发展态势，在各细分市场取得良好进展。</w:t>
      </w:r>
      <w:r>
        <w:rPr>
          <w:w w:val="100"/>
        </w:rPr>
        <w:t> </w:t>
      </w:r>
      <w:r>
        <w:rPr>
          <w:spacing w:val="-2"/>
        </w:rPr>
        <w:t>在基础设施领域，继续保持与上海清算所、全国中小板股份转让系统公司、北京金融资产交</w:t>
      </w:r>
    </w:p>
    <w:p>
      <w:pPr>
        <w:pStyle w:val="BodyText"/>
        <w:spacing w:line="272" w:lineRule="exact" w:before="1"/>
        <w:ind w:left="138" w:right="0"/>
        <w:jc w:val="left"/>
      </w:pPr>
      <w:r>
        <w:rPr>
          <w:spacing w:val="-2"/>
        </w:rPr>
        <w:t>易所、中证资本等国家级机构的良好合作，业务合作均保持增长态势；同时，在保监会、证通公</w:t>
      </w:r>
      <w:r>
        <w:rPr>
          <w:spacing w:val="-25"/>
        </w:rPr>
        <w:t> </w:t>
      </w:r>
      <w:r>
        <w:rPr>
          <w:spacing w:val="-25"/>
        </w:rPr>
      </w:r>
      <w:r>
        <w:rPr/>
        <w:t>司、广州商品清算所等基础设施机构，也取得突破，成为其核心业务合作伙伴。</w:t>
      </w:r>
    </w:p>
    <w:p>
      <w:pPr>
        <w:pStyle w:val="BodyText"/>
        <w:spacing w:line="272" w:lineRule="exact" w:before="1"/>
        <w:ind w:left="138" w:right="127" w:firstLine="422"/>
        <w:jc w:val="both"/>
      </w:pPr>
      <w:r>
        <w:rPr>
          <w:spacing w:val="-2"/>
        </w:rPr>
        <w:t>在金融资产交易所领域，继续保持行业领先地位，在各省级金融资产交易所如南宁、重庆、</w:t>
      </w:r>
      <w:r>
        <w:rPr>
          <w:w w:val="100"/>
        </w:rPr>
        <w:t> </w:t>
      </w:r>
      <w:r>
        <w:rPr>
          <w:spacing w:val="-2"/>
        </w:rPr>
        <w:t>贵州、银川、新华大庆等客户的系统建设中，均顺利实现系统上线运行；在物权领域，不断开拓</w:t>
      </w:r>
    </w:p>
    <w:p>
      <w:pPr>
        <w:pStyle w:val="BodyText"/>
        <w:spacing w:line="272" w:lineRule="exact" w:before="1"/>
        <w:ind w:left="138" w:right="0"/>
        <w:jc w:val="left"/>
      </w:pPr>
      <w:r>
        <w:rPr>
          <w:spacing w:val="-8"/>
        </w:rPr>
        <w:t>进取，进一步巩固了行业地位，在各地的文化产权交易所市场中，取得了过半的市场机会，是 </w:t>
      </w:r>
      <w:r>
        <w:rPr>
          <w:rFonts w:ascii="宋体" w:hAnsi="宋体" w:cs="宋体" w:eastAsia="宋体" w:hint="default"/>
        </w:rPr>
        <w:t>2015</w:t>
      </w:r>
      <w:r>
        <w:rPr>
          <w:rFonts w:ascii="宋体" w:hAnsi="宋体" w:cs="宋体" w:eastAsia="宋体" w:hint="default"/>
          <w:spacing w:val="-78"/>
        </w:rPr>
        <w:t> </w:t>
      </w:r>
      <w:r>
        <w:rPr>
          <w:rFonts w:ascii="宋体" w:hAnsi="宋体" w:cs="宋体" w:eastAsia="宋体" w:hint="default"/>
          <w:spacing w:val="-78"/>
        </w:rPr>
      </w:r>
      <w:r>
        <w:rPr/>
        <w:t>年业绩的重要增长点。</w:t>
      </w:r>
    </w:p>
    <w:p>
      <w:pPr>
        <w:pStyle w:val="BodyText"/>
        <w:spacing w:line="272" w:lineRule="exact" w:before="1"/>
        <w:ind w:left="138" w:right="137" w:firstLine="422"/>
        <w:jc w:val="both"/>
      </w:pPr>
      <w:r>
        <w:rPr>
          <w:spacing w:val="-2"/>
        </w:rPr>
        <w:t>在现货交易领域，在保持与河北钢铁交易中心的良好合作的同时，在市场典型客户方面继续</w:t>
      </w:r>
      <w:r>
        <w:rPr>
          <w:w w:val="100"/>
        </w:rPr>
        <w:t> </w:t>
      </w:r>
      <w:r>
        <w:rPr>
          <w:spacing w:val="-2"/>
        </w:rPr>
        <w:t>突破，与上海石油天然气交易中心合作，承建了其核心业务系统，并顺利按期上线运行，成为全</w:t>
      </w:r>
    </w:p>
    <w:p>
      <w:pPr>
        <w:pStyle w:val="BodyText"/>
        <w:spacing w:line="272" w:lineRule="exact" w:before="1"/>
        <w:ind w:left="138" w:right="0"/>
        <w:jc w:val="left"/>
      </w:pPr>
      <w:r>
        <w:rPr>
          <w:spacing w:val="-2"/>
        </w:rPr>
        <w:t>国性重要的石油天然气交易中心。同时，与其他机构如新华大宗商品交易中心、有种网等机构达</w:t>
      </w:r>
      <w:r>
        <w:rPr>
          <w:spacing w:val="-25"/>
        </w:rPr>
        <w:t> </w:t>
      </w:r>
      <w:r>
        <w:rPr>
          <w:spacing w:val="-25"/>
        </w:rPr>
      </w:r>
      <w:r>
        <w:rPr/>
        <w:t>成合作，在现货领域形成了具有竞争力的整体业务解决方案。</w:t>
      </w:r>
    </w:p>
    <w:p>
      <w:pPr>
        <w:pStyle w:val="BodyText"/>
        <w:spacing w:line="246" w:lineRule="exact"/>
        <w:ind w:left="567" w:right="0"/>
        <w:jc w:val="left"/>
      </w:pPr>
      <w:r>
        <w:rPr/>
        <w:t>在资金支付结算领域，与中国人寿等达成合作，为其提供一账通等核心业务系统，为保险行</w:t>
      </w:r>
    </w:p>
    <w:p>
      <w:pPr>
        <w:pStyle w:val="BodyText"/>
        <w:spacing w:line="272" w:lineRule="exact"/>
        <w:ind w:left="138" w:right="3467"/>
        <w:jc w:val="left"/>
      </w:pPr>
      <w:r>
        <w:rPr/>
        <w:t>业的资金支付结算提供全面的业务平台支持。</w:t>
      </w:r>
    </w:p>
    <w:p>
      <w:pPr>
        <w:pStyle w:val="BodyText"/>
        <w:spacing w:line="272" w:lineRule="exact"/>
        <w:ind w:left="138" w:right="3467"/>
        <w:jc w:val="left"/>
      </w:pPr>
      <w:r>
        <w:rPr/>
        <w:t>●海外业务：</w:t>
      </w:r>
    </w:p>
    <w:p>
      <w:pPr>
        <w:pStyle w:val="BodyText"/>
        <w:spacing w:line="272" w:lineRule="exact"/>
        <w:ind w:left="558" w:right="0"/>
        <w:jc w:val="left"/>
        <w:rPr>
          <w:rFonts w:ascii="宋体" w:hAnsi="宋体" w:cs="宋体" w:eastAsia="宋体" w:hint="default"/>
        </w:rPr>
      </w:pPr>
      <w:r>
        <w:rPr>
          <w:spacing w:val="-4"/>
        </w:rPr>
        <w:t>公司在海外证券业务的布局也取得快速发展，托管业务上线券商超过</w:t>
      </w:r>
      <w:r>
        <w:rPr>
          <w:spacing w:val="-35"/>
        </w:rPr>
        <w:t> </w:t>
      </w:r>
      <w:r>
        <w:rPr>
          <w:rFonts w:ascii="宋体" w:hAnsi="宋体" w:cs="宋体" w:eastAsia="宋体" w:hint="default"/>
        </w:rPr>
        <w:t>10</w:t>
      </w:r>
      <w:r>
        <w:rPr>
          <w:rFonts w:ascii="宋体" w:hAnsi="宋体" w:cs="宋体" w:eastAsia="宋体" w:hint="default"/>
          <w:spacing w:val="-38"/>
        </w:rPr>
        <w:t> </w:t>
      </w:r>
      <w:r>
        <w:rPr>
          <w:spacing w:val="-12"/>
        </w:rPr>
        <w:t>家，合同额超过</w:t>
      </w:r>
      <w:r>
        <w:rPr>
          <w:spacing w:val="-34"/>
        </w:rPr>
        <w:t> </w:t>
      </w:r>
      <w:r>
        <w:rPr>
          <w:rFonts w:ascii="宋体" w:hAnsi="宋体" w:cs="宋体" w:eastAsia="宋体" w:hint="default"/>
        </w:rPr>
        <w:t>1000</w:t>
      </w:r>
    </w:p>
    <w:p>
      <w:pPr>
        <w:pStyle w:val="BodyText"/>
        <w:spacing w:line="240" w:lineRule="auto"/>
        <w:ind w:left="138" w:right="0"/>
        <w:jc w:val="left"/>
      </w:pPr>
      <w:r>
        <w:rPr/>
        <w:t>万，云模式销售占海外合同总额</w:t>
      </w:r>
      <w:r>
        <w:rPr>
          <w:spacing w:val="-54"/>
        </w:rPr>
        <w:t> </w:t>
      </w:r>
      <w:r>
        <w:rPr>
          <w:rFonts w:ascii="宋体" w:hAnsi="宋体" w:cs="宋体" w:eastAsia="宋体" w:hint="default"/>
        </w:rPr>
        <w:t>57%</w:t>
      </w:r>
      <w:r>
        <w:rPr/>
        <w:t>以上。</w:t>
      </w:r>
      <w:r>
        <w:rPr>
          <w:rFonts w:ascii="宋体" w:hAnsi="宋体" w:cs="宋体" w:eastAsia="宋体" w:hint="default"/>
        </w:rPr>
        <w:t>2015</w:t>
      </w:r>
      <w:r>
        <w:rPr>
          <w:rFonts w:ascii="宋体" w:hAnsi="宋体" w:cs="宋体" w:eastAsia="宋体" w:hint="default"/>
          <w:spacing w:val="-54"/>
        </w:rPr>
        <w:t> </w:t>
      </w:r>
      <w:r>
        <w:rPr/>
        <w:t>年新入香港券商</w:t>
      </w:r>
      <w:r>
        <w:rPr>
          <w:spacing w:val="-54"/>
        </w:rPr>
        <w:t> </w:t>
      </w:r>
      <w:r>
        <w:rPr>
          <w:rFonts w:ascii="宋体" w:hAnsi="宋体" w:cs="宋体" w:eastAsia="宋体" w:hint="default"/>
        </w:rPr>
        <w:t>9</w:t>
      </w:r>
      <w:r>
        <w:rPr>
          <w:rFonts w:ascii="宋体" w:hAnsi="宋体" w:cs="宋体" w:eastAsia="宋体" w:hint="default"/>
          <w:spacing w:val="-56"/>
        </w:rPr>
        <w:t> </w:t>
      </w:r>
      <w:r>
        <w:rPr/>
        <w:t>家，其中</w:t>
      </w:r>
      <w:r>
        <w:rPr>
          <w:spacing w:val="-56"/>
        </w:rPr>
        <w:t> </w:t>
      </w:r>
      <w:r>
        <w:rPr>
          <w:rFonts w:ascii="宋体" w:hAnsi="宋体" w:cs="宋体" w:eastAsia="宋体" w:hint="default"/>
        </w:rPr>
        <w:t>8</w:t>
      </w:r>
      <w:r>
        <w:rPr>
          <w:rFonts w:ascii="宋体" w:hAnsi="宋体" w:cs="宋体" w:eastAsia="宋体" w:hint="default"/>
          <w:spacing w:val="-53"/>
        </w:rPr>
        <w:t> </w:t>
      </w:r>
      <w:r>
        <w:rPr/>
        <w:t>家选用恒生</w:t>
      </w:r>
      <w:r>
        <w:rPr>
          <w:spacing w:val="-54"/>
        </w:rPr>
        <w:t> </w:t>
      </w:r>
      <w:r>
        <w:rPr>
          <w:rFonts w:ascii="宋体" w:hAnsi="宋体" w:cs="宋体" w:eastAsia="宋体" w:hint="default"/>
        </w:rPr>
        <w:t>2.0</w:t>
      </w:r>
      <w:r>
        <w:rPr>
          <w:rFonts w:ascii="宋体" w:hAnsi="宋体" w:cs="宋体" w:eastAsia="宋体" w:hint="default"/>
          <w:spacing w:val="-54"/>
        </w:rPr>
        <w:t> </w:t>
      </w:r>
      <w:r>
        <w:rPr/>
        <w:t>产</w:t>
      </w:r>
      <w:r>
        <w:rPr>
          <w:w w:val="100"/>
        </w:rPr>
        <w:t> </w:t>
      </w:r>
      <w:r>
        <w:rPr/>
        <w:t>品模式。</w:t>
      </w:r>
    </w:p>
    <w:p>
      <w:pPr>
        <w:spacing w:line="240" w:lineRule="auto" w:before="8"/>
        <w:rPr>
          <w:rFonts w:ascii="宋体" w:hAnsi="宋体" w:cs="宋体" w:eastAsia="宋体" w:hint="default"/>
          <w:sz w:val="20"/>
          <w:szCs w:val="20"/>
        </w:rPr>
      </w:pPr>
    </w:p>
    <w:p>
      <w:pPr>
        <w:pStyle w:val="Heading4"/>
        <w:spacing w:line="273" w:lineRule="exact" w:before="0"/>
        <w:ind w:left="138" w:right="3467"/>
        <w:jc w:val="left"/>
        <w:rPr>
          <w:b w:val="0"/>
          <w:bCs w:val="0"/>
        </w:rPr>
      </w:pPr>
      <w:r>
        <w:rPr/>
        <w:t>②银行业务线</w:t>
      </w:r>
      <w:r>
        <w:rPr>
          <w:b w:val="0"/>
          <w:bCs w:val="0"/>
        </w:rPr>
      </w:r>
    </w:p>
    <w:p>
      <w:pPr>
        <w:pStyle w:val="BodyText"/>
        <w:spacing w:line="237" w:lineRule="auto"/>
        <w:ind w:left="138" w:right="127" w:firstLine="419"/>
        <w:jc w:val="both"/>
      </w:pPr>
      <w:r>
        <w:rPr>
          <w:spacing w:val="-2"/>
        </w:rPr>
        <w:t>银行综合理财产品线仍是银行业务最主要的产品，结合市场创新，不断丰富银行理财和理财</w:t>
      </w:r>
      <w:r>
        <w:rPr>
          <w:w w:val="100"/>
        </w:rPr>
        <w:t> </w:t>
      </w:r>
      <w:r>
        <w:rPr>
          <w:spacing w:val="-2"/>
        </w:rPr>
        <w:t>资产管理的业务品种，如理财代销分销、理财互市、大额存单、净值型理财和同业资管，在全国</w:t>
      </w:r>
      <w:r>
        <w:rPr>
          <w:spacing w:val="-25"/>
        </w:rPr>
        <w:t> </w:t>
      </w:r>
      <w:r>
        <w:rPr>
          <w:spacing w:val="-25"/>
        </w:rPr>
      </w:r>
      <w:r>
        <w:rPr>
          <w:rFonts w:ascii="宋体" w:hAnsi="宋体" w:cs="宋体" w:eastAsia="宋体" w:hint="default"/>
        </w:rPr>
        <w:t>140</w:t>
      </w:r>
      <w:r>
        <w:rPr>
          <w:rFonts w:ascii="宋体" w:hAnsi="宋体" w:cs="宋体" w:eastAsia="宋体" w:hint="default"/>
          <w:spacing w:val="-55"/>
        </w:rPr>
        <w:t> </w:t>
      </w:r>
      <w:r>
        <w:rPr/>
        <w:t>多家银行得到应用，有助于提升银行在理财产品、销售方式和管理模式方面的转型。基于银</w:t>
      </w:r>
      <w:r>
        <w:rPr>
          <w:w w:val="100"/>
        </w:rPr>
        <w:t> </w:t>
      </w:r>
      <w:r>
        <w:rPr>
          <w:spacing w:val="-2"/>
        </w:rPr>
        <w:t>行财资管理的对公综合服务平台进一步深挖行业解决方案，小微金融、交易银行等在多家银行应</w:t>
      </w:r>
      <w:r>
        <w:rPr>
          <w:spacing w:val="-25"/>
        </w:rPr>
        <w:t> </w:t>
      </w:r>
      <w:r>
        <w:rPr>
          <w:spacing w:val="-25"/>
        </w:rPr>
      </w:r>
      <w:r>
        <w:rPr>
          <w:spacing w:val="-6"/>
        </w:rPr>
        <w:t>用，在银行对公财资领域继续保持</w:t>
      </w:r>
      <w:r>
        <w:rPr>
          <w:spacing w:val="-24"/>
        </w:rPr>
        <w:t> </w:t>
      </w:r>
      <w:r>
        <w:rPr>
          <w:rFonts w:ascii="宋体" w:hAnsi="宋体" w:cs="宋体" w:eastAsia="宋体" w:hint="default"/>
          <w:spacing w:val="-7"/>
        </w:rPr>
        <w:t>60%</w:t>
      </w:r>
      <w:r>
        <w:rPr>
          <w:spacing w:val="-7"/>
        </w:rPr>
        <w:t>以上的市场占有率。票据业务复苏明显，票据新版本和</w:t>
      </w:r>
      <w:r>
        <w:rPr>
          <w:spacing w:val="-24"/>
        </w:rPr>
        <w:t> </w:t>
      </w:r>
      <w:r>
        <w:rPr>
          <w:rFonts w:ascii="宋体" w:hAnsi="宋体" w:cs="宋体" w:eastAsia="宋体" w:hint="default"/>
        </w:rPr>
        <w:t>SAAS</w:t>
      </w:r>
      <w:r>
        <w:rPr>
          <w:rFonts w:ascii="宋体" w:hAnsi="宋体" w:cs="宋体" w:eastAsia="宋体" w:hint="default"/>
          <w:spacing w:val="-93"/>
        </w:rPr>
        <w:t> </w:t>
      </w:r>
      <w:r>
        <w:rPr>
          <w:rFonts w:ascii="宋体" w:hAnsi="宋体" w:cs="宋体" w:eastAsia="宋体" w:hint="default"/>
          <w:spacing w:val="-93"/>
        </w:rPr>
      </w:r>
      <w:r>
        <w:rPr>
          <w:spacing w:val="-2"/>
        </w:rPr>
        <w:t>版本在全国各类银行多点开花。结合《关于促进互联网金融健康发展的指导意见》的出台，迅速</w:t>
      </w:r>
      <w:r>
        <w:rPr>
          <w:spacing w:val="-25"/>
        </w:rPr>
        <w:t> </w:t>
      </w:r>
      <w:r>
        <w:rPr>
          <w:spacing w:val="-25"/>
        </w:rPr>
      </w:r>
      <w:r>
        <w:rPr>
          <w:spacing w:val="-2"/>
        </w:rPr>
        <w:t>推出符合监管要求的网贷存管产品，率先在包括股份制银行在内的多家银行应用；中间业务平台</w:t>
      </w:r>
      <w:r>
        <w:rPr>
          <w:spacing w:val="-26"/>
        </w:rPr>
        <w:t> </w:t>
      </w:r>
      <w:r>
        <w:rPr>
          <w:spacing w:val="-26"/>
        </w:rPr>
      </w:r>
      <w:r>
        <w:rPr/>
        <w:t>需求持续旺盛，结合银网通推出智能支付等解决方案，同时在跨境支付上获得突破。</w:t>
      </w:r>
    </w:p>
    <w:p>
      <w:pPr>
        <w:pStyle w:val="BodyText"/>
        <w:spacing w:line="237" w:lineRule="auto"/>
        <w:ind w:left="138" w:right="130" w:firstLine="419"/>
        <w:jc w:val="both"/>
      </w:pPr>
      <w:r>
        <w:rPr>
          <w:rFonts w:ascii="宋体" w:hAnsi="宋体" w:cs="宋体" w:eastAsia="宋体" w:hint="default"/>
        </w:rPr>
        <w:t>2015</w:t>
      </w:r>
      <w:r>
        <w:rPr>
          <w:rFonts w:ascii="宋体" w:hAnsi="宋体" w:cs="宋体" w:eastAsia="宋体" w:hint="default"/>
          <w:spacing w:val="-10"/>
        </w:rPr>
        <w:t> </w:t>
      </w:r>
      <w:r>
        <w:rPr>
          <w:spacing w:val="-3"/>
        </w:rPr>
        <w:t>年银行业务更注重与银行的合作深度和广度，合作业务呈现多样化。在股份制银行、城</w:t>
      </w:r>
      <w:r>
        <w:rPr>
          <w:w w:val="100"/>
        </w:rPr>
        <w:t> </w:t>
      </w:r>
      <w:r>
        <w:rPr>
          <w:spacing w:val="-2"/>
        </w:rPr>
        <w:t>商农商的合作基础上，继续扩展政策性银行和外资银行，在省农信的合作上不断突破，全年产品</w:t>
      </w:r>
      <w:r>
        <w:rPr>
          <w:spacing w:val="-25"/>
        </w:rPr>
        <w:t> </w:t>
      </w:r>
      <w:r>
        <w:rPr>
          <w:spacing w:val="-25"/>
        </w:rPr>
      </w:r>
      <w:r>
        <w:rPr/>
        <w:t>合同和维护合同都创历史新高。</w:t>
      </w:r>
    </w:p>
    <w:p>
      <w:pPr>
        <w:spacing w:line="240" w:lineRule="auto" w:before="9"/>
        <w:rPr>
          <w:rFonts w:ascii="宋体" w:hAnsi="宋体" w:cs="宋体" w:eastAsia="宋体" w:hint="default"/>
          <w:sz w:val="20"/>
          <w:szCs w:val="20"/>
        </w:rPr>
      </w:pPr>
    </w:p>
    <w:p>
      <w:pPr>
        <w:pStyle w:val="Heading4"/>
        <w:spacing w:line="273" w:lineRule="exact" w:before="0"/>
        <w:ind w:left="138" w:right="3467"/>
        <w:jc w:val="left"/>
        <w:rPr>
          <w:b w:val="0"/>
          <w:bCs w:val="0"/>
        </w:rPr>
      </w:pPr>
      <w:r>
        <w:rPr/>
        <w:t>③上海恒生聚源</w:t>
      </w:r>
      <w:r>
        <w:rPr>
          <w:b w:val="0"/>
          <w:bCs w:val="0"/>
        </w:rPr>
      </w:r>
    </w:p>
    <w:p>
      <w:pPr>
        <w:pStyle w:val="BodyText"/>
        <w:spacing w:line="237" w:lineRule="auto"/>
        <w:ind w:left="138" w:right="127" w:firstLine="419"/>
        <w:jc w:val="both"/>
      </w:pPr>
      <w:r>
        <w:rPr>
          <w:rFonts w:ascii="宋体" w:hAnsi="宋体" w:cs="宋体" w:eastAsia="宋体" w:hint="default"/>
        </w:rPr>
        <w:t>2015</w:t>
      </w:r>
      <w:r>
        <w:rPr>
          <w:rFonts w:ascii="宋体" w:hAnsi="宋体" w:cs="宋体" w:eastAsia="宋体" w:hint="default"/>
          <w:spacing w:val="-15"/>
        </w:rPr>
        <w:t> </w:t>
      </w:r>
      <w:r>
        <w:rPr>
          <w:spacing w:val="-3"/>
        </w:rPr>
        <w:t>年，上海恒生聚源为适应内部管理、业务发展的需要，对公司的组织结构进行调整，围</w:t>
      </w:r>
      <w:r>
        <w:rPr>
          <w:w w:val="100"/>
        </w:rPr>
        <w:t> </w:t>
      </w:r>
      <w:r>
        <w:rPr>
          <w:spacing w:val="-2"/>
        </w:rPr>
        <w:t>绕数据服务和终端产品组建了四个产品单元和一个研发中心，分别是基础数据库产品部、应用数</w:t>
      </w:r>
      <w:r>
        <w:rPr>
          <w:spacing w:val="-25"/>
        </w:rPr>
        <w:t> </w:t>
      </w:r>
      <w:r>
        <w:rPr>
          <w:spacing w:val="-25"/>
        </w:rPr>
      </w:r>
      <w:r>
        <w:rPr>
          <w:spacing w:val="-2"/>
        </w:rPr>
        <w:t>据库产品部、金融终端产品部和云投研产品部。截止年底，各部门战略部署完毕、产品开发有序</w:t>
      </w:r>
      <w:r>
        <w:rPr>
          <w:spacing w:val="-25"/>
        </w:rPr>
        <w:t> </w:t>
      </w:r>
      <w:r>
        <w:rPr>
          <w:spacing w:val="-25"/>
        </w:rPr>
      </w:r>
      <w:r>
        <w:rPr>
          <w:spacing w:val="-3"/>
        </w:rPr>
        <w:t>进行、运转良好。报告期内，主营业务收入上涨 </w:t>
      </w:r>
      <w:r>
        <w:rPr>
          <w:rFonts w:ascii="宋体" w:hAnsi="宋体" w:cs="宋体" w:eastAsia="宋体" w:hint="default"/>
          <w:spacing w:val="-3"/>
        </w:rPr>
        <w:t>25.24%</w:t>
      </w:r>
      <w:r>
        <w:rPr>
          <w:spacing w:val="-3"/>
        </w:rPr>
        <w:t>，销售、管理、财务等三项费用合计上涨</w:t>
      </w:r>
      <w:r>
        <w:rPr>
          <w:spacing w:val="-68"/>
        </w:rPr>
        <w:t> </w:t>
      </w:r>
      <w:r>
        <w:rPr>
          <w:spacing w:val="-68"/>
        </w:rPr>
      </w:r>
      <w:r>
        <w:rPr>
          <w:rFonts w:ascii="宋体" w:hAnsi="宋体" w:cs="宋体" w:eastAsia="宋体" w:hint="default"/>
        </w:rPr>
        <w:t>16.77%</w:t>
      </w:r>
      <w:r>
        <w:rPr/>
        <w:t>，亏损情况较上年同期小幅收窄，现金流运转良好。</w:t>
      </w:r>
    </w:p>
    <w:p>
      <w:pPr>
        <w:spacing w:line="240" w:lineRule="auto" w:before="9"/>
        <w:rPr>
          <w:rFonts w:ascii="宋体" w:hAnsi="宋体" w:cs="宋体" w:eastAsia="宋体" w:hint="default"/>
          <w:sz w:val="20"/>
          <w:szCs w:val="20"/>
        </w:rPr>
      </w:pPr>
    </w:p>
    <w:p>
      <w:pPr>
        <w:pStyle w:val="Heading4"/>
        <w:spacing w:line="274" w:lineRule="exact" w:before="0"/>
        <w:ind w:left="138" w:right="3467"/>
        <w:jc w:val="left"/>
        <w:rPr>
          <w:b w:val="0"/>
          <w:bCs w:val="0"/>
        </w:rPr>
      </w:pPr>
      <w:r>
        <w:rPr/>
        <w:t>④恒生云融</w:t>
      </w:r>
      <w:r>
        <w:rPr>
          <w:b w:val="0"/>
          <w:bCs w:val="0"/>
        </w:rPr>
      </w:r>
    </w:p>
    <w:p>
      <w:pPr>
        <w:pStyle w:val="BodyText"/>
        <w:spacing w:line="237" w:lineRule="auto" w:before="2"/>
        <w:ind w:left="138" w:right="130" w:firstLine="419"/>
        <w:jc w:val="both"/>
      </w:pPr>
      <w:r>
        <w:rPr>
          <w:rFonts w:ascii="宋体" w:hAnsi="宋体" w:cs="宋体" w:eastAsia="宋体" w:hint="default"/>
        </w:rPr>
        <w:t>2015</w:t>
      </w:r>
      <w:r>
        <w:rPr>
          <w:rFonts w:ascii="宋体" w:hAnsi="宋体" w:cs="宋体" w:eastAsia="宋体" w:hint="default"/>
          <w:spacing w:val="-56"/>
        </w:rPr>
        <w:t> </w:t>
      </w:r>
      <w:r>
        <w:rPr/>
        <w:t>年，在“互联网</w:t>
      </w:r>
      <w:r>
        <w:rPr>
          <w:rFonts w:ascii="宋体" w:hAnsi="宋体" w:cs="宋体" w:eastAsia="宋体" w:hint="default"/>
        </w:rPr>
        <w:t>+</w:t>
      </w:r>
      <w:r>
        <w:rPr/>
        <w:t>”产业蓬勃发展的整体态势下，恒生云融继续创新求变，致力于为金</w:t>
      </w:r>
      <w:r>
        <w:rPr>
          <w:w w:val="100"/>
        </w:rPr>
        <w:t> </w:t>
      </w:r>
      <w:r>
        <w:rPr>
          <w:spacing w:val="-3"/>
        </w:rPr>
        <w:t>融机构或企业提供专业的互联网金融解决方案，开展以云平台为中心的金融</w:t>
      </w:r>
      <w:r>
        <w:rPr>
          <w:spacing w:val="-29"/>
        </w:rPr>
        <w:t> </w:t>
      </w:r>
      <w:r>
        <w:rPr>
          <w:rFonts w:ascii="宋体" w:hAnsi="宋体" w:cs="宋体" w:eastAsia="宋体" w:hint="default"/>
        </w:rPr>
        <w:t>IT</w:t>
      </w:r>
      <w:r>
        <w:rPr>
          <w:rFonts w:ascii="宋体" w:hAnsi="宋体" w:cs="宋体" w:eastAsia="宋体" w:hint="default"/>
          <w:spacing w:val="-25"/>
        </w:rPr>
        <w:t> </w:t>
      </w:r>
      <w:r>
        <w:rPr>
          <w:spacing w:val="-8"/>
        </w:rPr>
        <w:t>创新科技服务。恒</w:t>
      </w:r>
      <w:r>
        <w:rPr>
          <w:spacing w:val="-96"/>
        </w:rPr>
        <w:t> </w:t>
      </w:r>
      <w:r>
        <w:rPr>
          <w:spacing w:val="-96"/>
        </w:rPr>
      </w:r>
      <w:r>
        <w:rPr/>
        <w:t>生云融拥有微金融云、理财云、财资云三大业务板块，成功推出“</w:t>
      </w:r>
      <w:r>
        <w:rPr>
          <w:rFonts w:ascii="宋体" w:hAnsi="宋体" w:cs="宋体" w:eastAsia="宋体" w:hint="default"/>
        </w:rPr>
        <w:t>HIPS</w:t>
      </w:r>
      <w:r>
        <w:rPr>
          <w:rFonts w:ascii="宋体" w:hAnsi="宋体" w:cs="宋体" w:eastAsia="宋体" w:hint="default"/>
          <w:spacing w:val="-56"/>
        </w:rPr>
        <w:t> </w:t>
      </w:r>
      <w:r>
        <w:rPr/>
        <w:t>平台</w:t>
      </w:r>
      <w:r>
        <w:rPr>
          <w:spacing w:val="-57"/>
        </w:rPr>
        <w:t> </w:t>
      </w:r>
      <w:r>
        <w:rPr>
          <w:rFonts w:ascii="宋体" w:hAnsi="宋体" w:cs="宋体" w:eastAsia="宋体" w:hint="default"/>
        </w:rPr>
        <w:t>2.0</w:t>
      </w:r>
      <w:r>
        <w:rPr/>
        <w:t>”（银行财富业</w:t>
      </w:r>
    </w:p>
    <w:p>
      <w:pPr>
        <w:spacing w:after="0" w:line="237"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74" w:lineRule="exact" w:before="36"/>
        <w:ind w:left="678" w:right="0"/>
        <w:jc w:val="both"/>
      </w:pPr>
      <w:r>
        <w:rPr/>
        <w:t>务分销平台）、“同业资产交易平台”（金融机构间同业资产交易平台）、“转让投融资平台”</w:t>
      </w:r>
    </w:p>
    <w:p>
      <w:pPr>
        <w:pStyle w:val="BodyText"/>
        <w:spacing w:line="272" w:lineRule="exact" w:before="27"/>
        <w:ind w:left="678" w:right="265"/>
        <w:jc w:val="left"/>
      </w:pPr>
      <w:r>
        <w:rPr>
          <w:spacing w:val="-2"/>
        </w:rPr>
        <w:t>（银行财富产品“二级市场”的交易平台）、“融生意电商管理</w:t>
      </w:r>
      <w:r>
        <w:rPr/>
        <w:t> </w:t>
      </w:r>
      <w:r>
        <w:rPr>
          <w:rFonts w:ascii="宋体" w:hAnsi="宋体" w:cs="宋体" w:eastAsia="宋体" w:hint="default"/>
          <w:spacing w:val="-2"/>
        </w:rPr>
        <w:t>ERP</w:t>
      </w:r>
      <w:r>
        <w:rPr>
          <w:spacing w:val="-2"/>
        </w:rPr>
        <w:t>”等产品，深受各方合作机</w:t>
      </w:r>
      <w:r>
        <w:rPr>
          <w:spacing w:val="-78"/>
        </w:rPr>
        <w:t> </w:t>
      </w:r>
      <w:r>
        <w:rPr>
          <w:spacing w:val="-78"/>
        </w:rPr>
      </w:r>
      <w:r>
        <w:rPr/>
        <w:t>构认可。</w:t>
      </w:r>
    </w:p>
    <w:p>
      <w:pPr>
        <w:spacing w:line="240" w:lineRule="auto" w:before="10"/>
        <w:rPr>
          <w:rFonts w:ascii="宋体" w:hAnsi="宋体" w:cs="宋体" w:eastAsia="宋体" w:hint="default"/>
          <w:sz w:val="18"/>
          <w:szCs w:val="18"/>
        </w:rPr>
      </w:pPr>
    </w:p>
    <w:p>
      <w:pPr>
        <w:pStyle w:val="Heading4"/>
        <w:spacing w:line="274" w:lineRule="exact" w:before="0"/>
        <w:ind w:left="678" w:right="0"/>
        <w:jc w:val="both"/>
        <w:rPr>
          <w:b w:val="0"/>
          <w:bCs w:val="0"/>
        </w:rPr>
      </w:pPr>
      <w:r>
        <w:rPr/>
        <w:t>⑤恒生网络</w:t>
      </w:r>
      <w:r>
        <w:rPr>
          <w:b w:val="0"/>
          <w:bCs w:val="0"/>
        </w:rPr>
      </w:r>
    </w:p>
    <w:p>
      <w:pPr>
        <w:pStyle w:val="BodyText"/>
        <w:spacing w:line="272" w:lineRule="exact" w:before="27"/>
        <w:ind w:left="678" w:right="265" w:firstLine="419"/>
        <w:jc w:val="left"/>
      </w:pPr>
      <w:r>
        <w:rPr>
          <w:spacing w:val="-2"/>
        </w:rPr>
        <w:t>恒生网络致力于为中小投资机构和广大个人投资者提供专业、高效、安全的资产和财富管理</w:t>
      </w:r>
      <w:r>
        <w:rPr>
          <w:w w:val="100"/>
        </w:rPr>
        <w:t> </w:t>
      </w:r>
      <w:r>
        <w:rPr/>
        <w:t>解决方案。</w:t>
      </w:r>
    </w:p>
    <w:p>
      <w:pPr>
        <w:pStyle w:val="BodyText"/>
        <w:spacing w:line="272" w:lineRule="exact" w:before="1"/>
        <w:ind w:left="678" w:right="265" w:firstLine="419"/>
        <w:jc w:val="left"/>
      </w:pPr>
      <w:r>
        <w:rPr>
          <w:rFonts w:ascii="宋体" w:hAnsi="宋体" w:cs="宋体" w:eastAsia="宋体" w:hint="default"/>
          <w:w w:val="100"/>
        </w:rPr>
        <w:t>2015</w:t>
      </w:r>
      <w:r>
        <w:rPr>
          <w:rFonts w:ascii="宋体" w:hAnsi="宋体" w:cs="宋体" w:eastAsia="宋体" w:hint="default"/>
          <w:spacing w:val="-61"/>
          <w:w w:val="100"/>
        </w:rPr>
        <w:t> </w:t>
      </w:r>
      <w:r>
        <w:rPr>
          <w:w w:val="100"/>
        </w:rPr>
        <w:t>年</w:t>
      </w:r>
      <w:r>
        <w:rPr>
          <w:spacing w:val="-61"/>
          <w:w w:val="100"/>
        </w:rPr>
        <w:t> </w:t>
      </w:r>
      <w:r>
        <w:rPr>
          <w:rFonts w:ascii="宋体" w:hAnsi="宋体" w:cs="宋体" w:eastAsia="宋体" w:hint="default"/>
          <w:w w:val="100"/>
        </w:rPr>
        <w:t>9</w:t>
      </w:r>
      <w:r>
        <w:rPr>
          <w:rFonts w:ascii="宋体" w:hAnsi="宋体" w:cs="宋体" w:eastAsia="宋体" w:hint="default"/>
          <w:spacing w:val="-61"/>
          <w:w w:val="100"/>
        </w:rPr>
        <w:t> </w:t>
      </w:r>
      <w:r>
        <w:rPr>
          <w:spacing w:val="-7"/>
          <w:w w:val="100"/>
        </w:rPr>
        <w:t>月，中国证券监督管理委员会对恒生网络下达行政处罚事先告知书（处罚字</w:t>
      </w:r>
      <w:r>
        <w:rPr>
          <w:rFonts w:ascii="宋体" w:hAnsi="宋体" w:cs="宋体" w:eastAsia="宋体" w:hint="default"/>
          <w:spacing w:val="-7"/>
          <w:w w:val="100"/>
        </w:rPr>
        <w:t>[2015]68</w:t>
      </w:r>
      <w:r>
        <w:rPr>
          <w:rFonts w:ascii="宋体" w:hAnsi="宋体" w:cs="宋体" w:eastAsia="宋体" w:hint="default"/>
          <w:w w:val="100"/>
        </w:rPr>
        <w:t> </w:t>
      </w:r>
      <w:r>
        <w:rPr/>
        <w:t>号），目前恒生网络已停止</w:t>
      </w:r>
      <w:r>
        <w:rPr>
          <w:spacing w:val="-54"/>
        </w:rPr>
        <w:t> </w:t>
      </w:r>
      <w:r>
        <w:rPr>
          <w:rFonts w:ascii="宋体" w:hAnsi="宋体" w:cs="宋体" w:eastAsia="宋体" w:hint="default"/>
        </w:rPr>
        <w:t>HOMS</w:t>
      </w:r>
      <w:r>
        <w:rPr>
          <w:rFonts w:ascii="宋体" w:hAnsi="宋体" w:cs="宋体" w:eastAsia="宋体" w:hint="default"/>
          <w:spacing w:val="-54"/>
        </w:rPr>
        <w:t> </w:t>
      </w:r>
      <w:r>
        <w:rPr/>
        <w:t>平台支持服务。</w:t>
      </w:r>
    </w:p>
    <w:p>
      <w:pPr>
        <w:pStyle w:val="BodyText"/>
        <w:spacing w:line="272" w:lineRule="exact" w:before="1"/>
        <w:ind w:left="678" w:right="265" w:firstLine="419"/>
        <w:jc w:val="left"/>
      </w:pPr>
      <w:r>
        <w:rPr/>
        <w:t>恒生网络现阶段将继续提供基本的 </w:t>
      </w:r>
      <w:r>
        <w:rPr>
          <w:rFonts w:ascii="宋体" w:hAnsi="宋体" w:cs="宋体" w:eastAsia="宋体" w:hint="default"/>
        </w:rPr>
        <w:t>IT</w:t>
      </w:r>
      <w:r>
        <w:rPr>
          <w:rFonts w:ascii="宋体" w:hAnsi="宋体" w:cs="宋体" w:eastAsia="宋体" w:hint="default"/>
          <w:spacing w:val="-71"/>
        </w:rPr>
        <w:t> </w:t>
      </w:r>
      <w:r>
        <w:rPr>
          <w:spacing w:val="-6"/>
        </w:rPr>
        <w:t>服务，满足现有客户的需求。恒生网络目前等待相关处</w:t>
      </w:r>
      <w:r>
        <w:rPr>
          <w:w w:val="100"/>
        </w:rPr>
        <w:t> </w:t>
      </w:r>
      <w:r>
        <w:rPr/>
        <w:t>罚情况的进一步通知。</w:t>
      </w:r>
    </w:p>
    <w:p>
      <w:pPr>
        <w:spacing w:line="240" w:lineRule="auto" w:before="10"/>
        <w:rPr>
          <w:rFonts w:ascii="宋体" w:hAnsi="宋体" w:cs="宋体" w:eastAsia="宋体" w:hint="default"/>
          <w:sz w:val="18"/>
          <w:szCs w:val="18"/>
        </w:rPr>
      </w:pPr>
    </w:p>
    <w:p>
      <w:pPr>
        <w:pStyle w:val="Heading4"/>
        <w:spacing w:line="274" w:lineRule="exact" w:before="0"/>
        <w:ind w:left="678" w:right="0"/>
        <w:jc w:val="both"/>
        <w:rPr>
          <w:b w:val="0"/>
          <w:bCs w:val="0"/>
        </w:rPr>
      </w:pPr>
      <w:r>
        <w:rPr/>
        <w:t>⑥网金社</w:t>
      </w:r>
      <w:r>
        <w:rPr>
          <w:b w:val="0"/>
          <w:bCs w:val="0"/>
        </w:rPr>
      </w:r>
    </w:p>
    <w:p>
      <w:pPr>
        <w:pStyle w:val="BodyText"/>
        <w:spacing w:line="272" w:lineRule="exact" w:before="27"/>
        <w:ind w:left="678" w:right="265" w:firstLine="419"/>
        <w:jc w:val="left"/>
      </w:pPr>
      <w:r>
        <w:rPr>
          <w:rFonts w:ascii="宋体" w:hAnsi="宋体" w:cs="宋体" w:eastAsia="宋体" w:hint="default"/>
        </w:rPr>
        <w:t>2015</w:t>
      </w:r>
      <w:r>
        <w:rPr>
          <w:rFonts w:ascii="宋体" w:hAnsi="宋体" w:cs="宋体" w:eastAsia="宋体" w:hint="default"/>
          <w:spacing w:val="-42"/>
        </w:rPr>
        <w:t> </w:t>
      </w:r>
      <w:r>
        <w:rPr/>
        <w:t>年</w:t>
      </w:r>
      <w:r>
        <w:rPr>
          <w:spacing w:val="-39"/>
        </w:rPr>
        <w:t> </w:t>
      </w:r>
      <w:r>
        <w:rPr>
          <w:rFonts w:ascii="宋体" w:hAnsi="宋体" w:cs="宋体" w:eastAsia="宋体" w:hint="default"/>
        </w:rPr>
        <w:t>6</w:t>
      </w:r>
      <w:r>
        <w:rPr>
          <w:rFonts w:ascii="宋体" w:hAnsi="宋体" w:cs="宋体" w:eastAsia="宋体" w:hint="default"/>
          <w:spacing w:val="-42"/>
        </w:rPr>
        <w:t> </w:t>
      </w:r>
      <w:r>
        <w:rPr/>
        <w:t>月</w:t>
      </w:r>
      <w:r>
        <w:rPr>
          <w:spacing w:val="-39"/>
        </w:rPr>
        <w:t> </w:t>
      </w:r>
      <w:r>
        <w:rPr>
          <w:rFonts w:ascii="宋体" w:hAnsi="宋体" w:cs="宋体" w:eastAsia="宋体" w:hint="default"/>
        </w:rPr>
        <w:t>24</w:t>
      </w:r>
      <w:r>
        <w:rPr>
          <w:rFonts w:ascii="宋体" w:hAnsi="宋体" w:cs="宋体" w:eastAsia="宋体" w:hint="default"/>
          <w:spacing w:val="-42"/>
        </w:rPr>
        <w:t> </w:t>
      </w:r>
      <w:r>
        <w:rPr>
          <w:spacing w:val="-3"/>
        </w:rPr>
        <w:t>日，互联网金融资产交易平台“网金社”（</w:t>
      </w:r>
      <w:hyperlink r:id="rId12">
        <w:r>
          <w:rPr>
            <w:rFonts w:ascii="宋体" w:hAnsi="宋体" w:cs="宋体" w:eastAsia="宋体" w:hint="default"/>
            <w:spacing w:val="-3"/>
          </w:rPr>
          <w:t>www.wjs.com</w:t>
        </w:r>
      </w:hyperlink>
      <w:r>
        <w:rPr>
          <w:spacing w:val="-3"/>
        </w:rPr>
        <w:t>）正式开始运营，年</w:t>
      </w:r>
      <w:r>
        <w:rPr>
          <w:w w:val="100"/>
        </w:rPr>
        <w:t> </w:t>
      </w:r>
      <w:r>
        <w:rPr/>
        <w:t>底</w:t>
      </w:r>
      <w:r>
        <w:rPr>
          <w:spacing w:val="-53"/>
        </w:rPr>
        <w:t> </w:t>
      </w:r>
      <w:r>
        <w:rPr>
          <w:rFonts w:ascii="宋体" w:hAnsi="宋体" w:cs="宋体" w:eastAsia="宋体" w:hint="default"/>
        </w:rPr>
        <w:t>APP</w:t>
      </w:r>
      <w:r>
        <w:rPr>
          <w:rFonts w:ascii="宋体" w:hAnsi="宋体" w:cs="宋体" w:eastAsia="宋体" w:hint="default"/>
          <w:spacing w:val="-55"/>
        </w:rPr>
        <w:t> </w:t>
      </w:r>
      <w:r>
        <w:rPr/>
        <w:t>也已上线，为具有投资或融资需求的机构和个人提供服务。</w:t>
      </w:r>
    </w:p>
    <w:p>
      <w:pPr>
        <w:pStyle w:val="BodyText"/>
        <w:spacing w:line="247" w:lineRule="exact"/>
        <w:ind w:left="1098" w:right="265"/>
        <w:jc w:val="left"/>
      </w:pPr>
      <w:r>
        <w:rPr/>
        <w:t>截至</w:t>
      </w:r>
      <w:r>
        <w:rPr>
          <w:spacing w:val="-43"/>
        </w:rPr>
        <w:t> </w:t>
      </w:r>
      <w:r>
        <w:rPr>
          <w:rFonts w:ascii="宋体" w:hAnsi="宋体" w:cs="宋体" w:eastAsia="宋体" w:hint="default"/>
        </w:rPr>
        <w:t>2015</w:t>
      </w:r>
      <w:r>
        <w:rPr>
          <w:rFonts w:ascii="宋体" w:hAnsi="宋体" w:cs="宋体" w:eastAsia="宋体" w:hint="default"/>
          <w:spacing w:val="-46"/>
        </w:rPr>
        <w:t> </w:t>
      </w:r>
      <w:r>
        <w:rPr/>
        <w:t>年</w:t>
      </w:r>
      <w:r>
        <w:rPr>
          <w:spacing w:val="-43"/>
        </w:rPr>
        <w:t> </w:t>
      </w:r>
      <w:r>
        <w:rPr>
          <w:rFonts w:ascii="宋体" w:hAnsi="宋体" w:cs="宋体" w:eastAsia="宋体" w:hint="default"/>
        </w:rPr>
        <w:t>12</w:t>
      </w:r>
      <w:r>
        <w:rPr>
          <w:rFonts w:ascii="宋体" w:hAnsi="宋体" w:cs="宋体" w:eastAsia="宋体" w:hint="default"/>
          <w:spacing w:val="-46"/>
        </w:rPr>
        <w:t> </w:t>
      </w:r>
      <w:r>
        <w:rPr/>
        <w:t>月</w:t>
      </w:r>
      <w:r>
        <w:rPr>
          <w:spacing w:val="-42"/>
        </w:rPr>
        <w:t> </w:t>
      </w:r>
      <w:r>
        <w:rPr>
          <w:rFonts w:ascii="宋体" w:hAnsi="宋体" w:cs="宋体" w:eastAsia="宋体" w:hint="default"/>
        </w:rPr>
        <w:t>31</w:t>
      </w:r>
      <w:r>
        <w:rPr>
          <w:rFonts w:ascii="宋体" w:hAnsi="宋体" w:cs="宋体" w:eastAsia="宋体" w:hint="default"/>
          <w:spacing w:val="-43"/>
        </w:rPr>
        <w:t> </w:t>
      </w:r>
      <w:r>
        <w:rPr>
          <w:spacing w:val="-5"/>
        </w:rPr>
        <w:t>日，网金社与十几家交易所、十几家增信机构建立了合作关系，累计实</w:t>
      </w:r>
    </w:p>
    <w:p>
      <w:pPr>
        <w:pStyle w:val="BodyText"/>
        <w:spacing w:line="240" w:lineRule="auto"/>
        <w:ind w:left="678" w:right="488"/>
        <w:jc w:val="left"/>
      </w:pPr>
      <w:r>
        <w:rPr/>
        <w:t>现交易量</w:t>
      </w:r>
      <w:r>
        <w:rPr>
          <w:spacing w:val="-53"/>
        </w:rPr>
        <w:t> </w:t>
      </w:r>
      <w:r>
        <w:rPr>
          <w:rFonts w:ascii="宋体" w:hAnsi="宋体" w:cs="宋体" w:eastAsia="宋体" w:hint="default"/>
        </w:rPr>
        <w:t>124.6</w:t>
      </w:r>
      <w:r>
        <w:rPr>
          <w:rFonts w:ascii="宋体" w:hAnsi="宋体" w:cs="宋体" w:eastAsia="宋体" w:hint="default"/>
          <w:spacing w:val="-55"/>
        </w:rPr>
        <w:t> </w:t>
      </w:r>
      <w:r>
        <w:rPr/>
        <w:t>亿元（含初次发售及质押再融资），截至</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日，公司累计实现收入</w:t>
      </w:r>
      <w:r>
        <w:rPr>
          <w:spacing w:val="-52"/>
        </w:rPr>
        <w:t> </w:t>
      </w:r>
      <w:r>
        <w:rPr>
          <w:rFonts w:ascii="宋体" w:hAnsi="宋体" w:cs="宋体" w:eastAsia="宋体" w:hint="default"/>
        </w:rPr>
        <w:t>2,852</w:t>
      </w:r>
      <w:r>
        <w:rPr>
          <w:rFonts w:ascii="宋体" w:hAnsi="宋体" w:cs="宋体" w:eastAsia="宋体" w:hint="default"/>
          <w:w w:val="100"/>
        </w:rPr>
        <w:t> </w:t>
      </w:r>
      <w:r>
        <w:rPr/>
        <w:t>万元。</w:t>
      </w:r>
    </w:p>
    <w:p>
      <w:pPr>
        <w:spacing w:line="240" w:lineRule="auto" w:before="6"/>
        <w:rPr>
          <w:rFonts w:ascii="宋体" w:hAnsi="宋体" w:cs="宋体" w:eastAsia="宋体" w:hint="default"/>
          <w:sz w:val="20"/>
          <w:szCs w:val="20"/>
        </w:rPr>
      </w:pPr>
    </w:p>
    <w:p>
      <w:pPr>
        <w:pStyle w:val="Heading4"/>
        <w:spacing w:line="274" w:lineRule="exact" w:before="0"/>
        <w:ind w:left="678" w:right="0"/>
        <w:jc w:val="both"/>
        <w:rPr>
          <w:b w:val="0"/>
          <w:bCs w:val="0"/>
        </w:rPr>
      </w:pPr>
      <w:r>
        <w:rPr/>
        <w:t>⑦非金融业务</w:t>
      </w:r>
      <w:r>
        <w:rPr>
          <w:b w:val="0"/>
          <w:bCs w:val="0"/>
        </w:rPr>
      </w:r>
    </w:p>
    <w:p>
      <w:pPr>
        <w:pStyle w:val="BodyText"/>
        <w:spacing w:line="272" w:lineRule="exact" w:before="27"/>
        <w:ind w:left="678" w:right="265" w:firstLine="419"/>
        <w:jc w:val="left"/>
      </w:pPr>
      <w:r>
        <w:rPr>
          <w:spacing w:val="-2"/>
        </w:rPr>
        <w:t>公司非金融业务经过整理，收缩外包等非核心业务，积极探索健康医疗、联网售票等创新业</w:t>
      </w:r>
      <w:r>
        <w:rPr>
          <w:w w:val="100"/>
        </w:rPr>
        <w:t> </w:t>
      </w:r>
      <w:r>
        <w:rPr/>
        <w:t>务，取得很好的进展。</w:t>
      </w:r>
    </w:p>
    <w:p>
      <w:pPr>
        <w:pStyle w:val="BodyText"/>
        <w:spacing w:line="247" w:lineRule="exact"/>
        <w:ind w:left="678" w:right="0"/>
        <w:jc w:val="both"/>
      </w:pPr>
      <w:r>
        <w:rPr/>
        <w:t>●恒生芸泰：</w:t>
      </w:r>
    </w:p>
    <w:p>
      <w:pPr>
        <w:pStyle w:val="BodyText"/>
        <w:spacing w:line="237" w:lineRule="auto"/>
        <w:ind w:left="678" w:right="427" w:firstLine="419"/>
        <w:jc w:val="both"/>
        <w:rPr>
          <w:rFonts w:ascii="宋体" w:hAnsi="宋体" w:cs="宋体" w:eastAsia="宋体" w:hint="default"/>
        </w:rPr>
      </w:pPr>
      <w:r>
        <w:rPr/>
        <w:t>杭州恒生芸泰网络科技有限公司是</w:t>
      </w:r>
      <w:r>
        <w:rPr>
          <w:spacing w:val="-47"/>
        </w:rPr>
        <w:t> </w:t>
      </w:r>
      <w:r>
        <w:rPr>
          <w:rFonts w:ascii="宋体" w:hAnsi="宋体" w:cs="宋体" w:eastAsia="宋体" w:hint="default"/>
        </w:rPr>
        <w:t>2015</w:t>
      </w:r>
      <w:r>
        <w:rPr>
          <w:rFonts w:ascii="宋体" w:hAnsi="宋体" w:cs="宋体" w:eastAsia="宋体" w:hint="default"/>
          <w:spacing w:val="-50"/>
        </w:rPr>
        <w:t> </w:t>
      </w:r>
      <w:r>
        <w:rPr/>
        <w:t>年</w:t>
      </w:r>
      <w:r>
        <w:rPr>
          <w:spacing w:val="12"/>
        </w:rPr>
        <w:t> </w:t>
      </w:r>
      <w:r>
        <w:rPr>
          <w:rFonts w:ascii="宋体" w:hAnsi="宋体" w:cs="宋体" w:eastAsia="宋体" w:hint="default"/>
        </w:rPr>
        <w:t>3</w:t>
      </w:r>
      <w:r>
        <w:rPr>
          <w:rFonts w:ascii="宋体" w:hAnsi="宋体" w:cs="宋体" w:eastAsia="宋体" w:hint="default"/>
          <w:spacing w:val="-50"/>
        </w:rPr>
        <w:t> </w:t>
      </w:r>
      <w:r>
        <w:rPr>
          <w:spacing w:val="-5"/>
        </w:rPr>
        <w:t>月注册设立的子公司，恒生股权占比</w:t>
      </w:r>
      <w:r>
        <w:rPr>
          <w:spacing w:val="-47"/>
        </w:rPr>
        <w:t> </w:t>
      </w:r>
      <w:r>
        <w:rPr>
          <w:rFonts w:ascii="宋体" w:hAnsi="宋体" w:cs="宋体" w:eastAsia="宋体" w:hint="default"/>
          <w:spacing w:val="-9"/>
        </w:rPr>
        <w:t>34%</w:t>
      </w:r>
      <w:r>
        <w:rPr>
          <w:spacing w:val="-9"/>
        </w:rPr>
        <w:t>，作为</w:t>
      </w:r>
      <w:r>
        <w:rPr>
          <w:w w:val="100"/>
        </w:rPr>
        <w:t> </w:t>
      </w:r>
      <w:r>
        <w:rPr>
          <w:spacing w:val="-2"/>
        </w:rPr>
        <w:t>移动互联网医疗综合服务提供商，为医院、医疗主管机构提供金融安全级的掌上医院及云医院解</w:t>
      </w:r>
      <w:r>
        <w:rPr>
          <w:spacing w:val="-25"/>
        </w:rPr>
        <w:t> </w:t>
      </w:r>
      <w:r>
        <w:rPr>
          <w:spacing w:val="-25"/>
        </w:rPr>
      </w:r>
      <w:r>
        <w:rPr/>
        <w:t>决方案。公司产品覆盖全国</w:t>
      </w:r>
      <w:r>
        <w:rPr>
          <w:spacing w:val="-54"/>
        </w:rPr>
        <w:t> </w:t>
      </w:r>
      <w:r>
        <w:rPr>
          <w:rFonts w:ascii="宋体" w:hAnsi="宋体" w:cs="宋体" w:eastAsia="宋体" w:hint="default"/>
        </w:rPr>
        <w:t>26</w:t>
      </w:r>
      <w:r>
        <w:rPr>
          <w:rFonts w:ascii="宋体" w:hAnsi="宋体" w:cs="宋体" w:eastAsia="宋体" w:hint="default"/>
          <w:spacing w:val="-56"/>
        </w:rPr>
        <w:t> </w:t>
      </w:r>
      <w:r>
        <w:rPr/>
        <w:t>省（市、区），上线医院</w:t>
      </w:r>
      <w:r>
        <w:rPr>
          <w:spacing w:val="-54"/>
        </w:rPr>
        <w:t> </w:t>
      </w:r>
      <w:r>
        <w:rPr>
          <w:rFonts w:ascii="宋体" w:hAnsi="宋体" w:cs="宋体" w:eastAsia="宋体" w:hint="default"/>
        </w:rPr>
        <w:t>181</w:t>
      </w:r>
      <w:r>
        <w:rPr>
          <w:rFonts w:ascii="宋体" w:hAnsi="宋体" w:cs="宋体" w:eastAsia="宋体" w:hint="default"/>
          <w:spacing w:val="-54"/>
        </w:rPr>
        <w:t> </w:t>
      </w:r>
      <w:r>
        <w:rPr/>
        <w:t>家，</w:t>
      </w:r>
      <w:r>
        <w:rPr>
          <w:rFonts w:ascii="宋体" w:hAnsi="宋体" w:cs="宋体" w:eastAsia="宋体" w:hint="default"/>
        </w:rPr>
        <w:t>HIS</w:t>
      </w:r>
      <w:r>
        <w:rPr>
          <w:rFonts w:ascii="宋体" w:hAnsi="宋体" w:cs="宋体" w:eastAsia="宋体" w:hint="default"/>
          <w:spacing w:val="-54"/>
        </w:rPr>
        <w:t> </w:t>
      </w:r>
      <w:r>
        <w:rPr/>
        <w:t>对接</w:t>
      </w:r>
      <w:r>
        <w:rPr>
          <w:spacing w:val="-54"/>
        </w:rPr>
        <w:t> </w:t>
      </w:r>
      <w:r>
        <w:rPr>
          <w:rFonts w:ascii="宋体" w:hAnsi="宋体" w:cs="宋体" w:eastAsia="宋体" w:hint="default"/>
        </w:rPr>
        <w:t>75</w:t>
      </w:r>
      <w:r>
        <w:rPr>
          <w:rFonts w:ascii="宋体" w:hAnsi="宋体" w:cs="宋体" w:eastAsia="宋体" w:hint="default"/>
          <w:spacing w:val="-55"/>
        </w:rPr>
        <w:t> </w:t>
      </w:r>
      <w:r>
        <w:rPr/>
        <w:t>家，产品下载</w:t>
      </w:r>
      <w:r>
        <w:rPr>
          <w:spacing w:val="-54"/>
        </w:rPr>
        <w:t> </w:t>
      </w:r>
      <w:r>
        <w:rPr>
          <w:rFonts w:ascii="宋体" w:hAnsi="宋体" w:cs="宋体" w:eastAsia="宋体" w:hint="default"/>
        </w:rPr>
        <w:t>400</w:t>
      </w:r>
    </w:p>
    <w:p>
      <w:pPr>
        <w:pStyle w:val="BodyText"/>
        <w:spacing w:line="237" w:lineRule="auto" w:before="1"/>
        <w:ind w:left="678" w:right="490"/>
        <w:jc w:val="both"/>
      </w:pPr>
      <w:r>
        <w:rPr/>
        <w:t>万次，发展注册用户</w:t>
      </w:r>
      <w:r>
        <w:rPr>
          <w:spacing w:val="-53"/>
        </w:rPr>
        <w:t> </w:t>
      </w:r>
      <w:r>
        <w:rPr>
          <w:rFonts w:ascii="宋体" w:hAnsi="宋体" w:cs="宋体" w:eastAsia="宋体" w:hint="default"/>
        </w:rPr>
        <w:t>220</w:t>
      </w:r>
      <w:r>
        <w:rPr>
          <w:rFonts w:ascii="宋体" w:hAnsi="宋体" w:cs="宋体" w:eastAsia="宋体" w:hint="default"/>
          <w:spacing w:val="-54"/>
        </w:rPr>
        <w:t> </w:t>
      </w:r>
      <w:r>
        <w:rPr/>
        <w:t>多万，活跃度达</w:t>
      </w:r>
      <w:r>
        <w:rPr>
          <w:spacing w:val="-53"/>
        </w:rPr>
        <w:t> </w:t>
      </w:r>
      <w:r>
        <w:rPr>
          <w:rFonts w:ascii="宋体" w:hAnsi="宋体" w:cs="宋体" w:eastAsia="宋体" w:hint="default"/>
        </w:rPr>
        <w:t>25%</w:t>
      </w:r>
      <w:r>
        <w:rPr/>
        <w:t>，服务覆盖患者超</w:t>
      </w:r>
      <w:r>
        <w:rPr>
          <w:spacing w:val="-53"/>
        </w:rPr>
        <w:t> </w:t>
      </w:r>
      <w:r>
        <w:rPr>
          <w:rFonts w:ascii="宋体" w:hAnsi="宋体" w:cs="宋体" w:eastAsia="宋体" w:hint="default"/>
        </w:rPr>
        <w:t>2</w:t>
      </w:r>
      <w:r>
        <w:rPr>
          <w:rFonts w:ascii="宋体" w:hAnsi="宋体" w:cs="宋体" w:eastAsia="宋体" w:hint="default"/>
          <w:spacing w:val="-55"/>
        </w:rPr>
        <w:t> </w:t>
      </w:r>
      <w:r>
        <w:rPr/>
        <w:t>亿人，产品安全性、并发性能</w:t>
      </w:r>
      <w:r>
        <w:rPr>
          <w:w w:val="100"/>
        </w:rPr>
        <w:t> </w:t>
      </w:r>
      <w:r>
        <w:rPr/>
        <w:t>业界领先。签约医院</w:t>
      </w:r>
      <w:r>
        <w:rPr>
          <w:spacing w:val="-54"/>
        </w:rPr>
        <w:t> </w:t>
      </w:r>
      <w:r>
        <w:rPr>
          <w:rFonts w:ascii="宋体" w:hAnsi="宋体" w:cs="宋体" w:eastAsia="宋体" w:hint="default"/>
        </w:rPr>
        <w:t>420</w:t>
      </w:r>
      <w:r>
        <w:rPr>
          <w:rFonts w:ascii="宋体" w:hAnsi="宋体" w:cs="宋体" w:eastAsia="宋体" w:hint="default"/>
          <w:spacing w:val="-55"/>
        </w:rPr>
        <w:t> </w:t>
      </w:r>
      <w:r>
        <w:rPr/>
        <w:t>余家，其中一半以上三级医院，市场覆盖率三甲医院</w:t>
      </w:r>
      <w:r>
        <w:rPr>
          <w:spacing w:val="-53"/>
        </w:rPr>
        <w:t> </w:t>
      </w:r>
      <w:r>
        <w:rPr>
          <w:rFonts w:ascii="宋体" w:hAnsi="宋体" w:cs="宋体" w:eastAsia="宋体" w:hint="default"/>
        </w:rPr>
        <w:t>16%</w:t>
      </w:r>
      <w:r>
        <w:rPr/>
        <w:t>，签约一级渠</w:t>
      </w:r>
      <w:r>
        <w:rPr>
          <w:w w:val="100"/>
        </w:rPr>
        <w:t> </w:t>
      </w:r>
      <w:r>
        <w:rPr/>
        <w:t>道</w:t>
      </w:r>
      <w:r>
        <w:rPr>
          <w:spacing w:val="-52"/>
        </w:rPr>
        <w:t> </w:t>
      </w:r>
      <w:r>
        <w:rPr>
          <w:rFonts w:ascii="宋体" w:hAnsi="宋体" w:cs="宋体" w:eastAsia="宋体" w:hint="default"/>
        </w:rPr>
        <w:t>12</w:t>
      </w:r>
      <w:r>
        <w:rPr>
          <w:rFonts w:ascii="宋体" w:hAnsi="宋体" w:cs="宋体" w:eastAsia="宋体" w:hint="default"/>
          <w:spacing w:val="-54"/>
        </w:rPr>
        <w:t> </w:t>
      </w:r>
      <w:r>
        <w:rPr/>
        <w:t>家，二级渠道</w:t>
      </w:r>
      <w:r>
        <w:rPr>
          <w:spacing w:val="-54"/>
        </w:rPr>
        <w:t> </w:t>
      </w:r>
      <w:r>
        <w:rPr>
          <w:rFonts w:ascii="宋体" w:hAnsi="宋体" w:cs="宋体" w:eastAsia="宋体" w:hint="default"/>
        </w:rPr>
        <w:t>50</w:t>
      </w:r>
      <w:r>
        <w:rPr>
          <w:rFonts w:ascii="宋体" w:hAnsi="宋体" w:cs="宋体" w:eastAsia="宋体" w:hint="default"/>
          <w:spacing w:val="-51"/>
        </w:rPr>
        <w:t> </w:t>
      </w:r>
      <w:r>
        <w:rPr/>
        <w:t>多家。</w:t>
      </w:r>
    </w:p>
    <w:p>
      <w:pPr>
        <w:pStyle w:val="BodyText"/>
        <w:spacing w:line="271" w:lineRule="exact"/>
        <w:ind w:left="678" w:right="0"/>
        <w:jc w:val="both"/>
      </w:pPr>
      <w:r>
        <w:rPr/>
        <w:t>●恒生长运：</w:t>
      </w:r>
    </w:p>
    <w:p>
      <w:pPr>
        <w:pStyle w:val="BodyText"/>
        <w:spacing w:line="237" w:lineRule="auto" w:before="2"/>
        <w:ind w:left="678" w:right="265" w:firstLine="419"/>
        <w:jc w:val="left"/>
      </w:pPr>
      <w:r>
        <w:rPr>
          <w:spacing w:val="-2"/>
        </w:rPr>
        <w:t>浙江恒生长运网络科技有限公司系由恒生电子和浙江长运投资有限公司共同投资组建，本着</w:t>
      </w:r>
      <w:r>
        <w:rPr>
          <w:w w:val="100"/>
        </w:rPr>
        <w:t> </w:t>
      </w:r>
      <w:r>
        <w:rPr/>
        <w:t>让用户“出行更轻松”的使命，通过巴巴快巴互联网售票平台及手机端为道路客运提供互联网</w:t>
      </w:r>
      <w:r>
        <w:rPr>
          <w:rFonts w:ascii="宋体" w:hAnsi="宋体" w:cs="宋体" w:eastAsia="宋体" w:hint="default"/>
        </w:rPr>
        <w:t>+</w:t>
      </w:r>
      <w:r>
        <w:rPr>
          <w:rFonts w:ascii="宋体" w:hAnsi="宋体" w:cs="宋体" w:eastAsia="宋体" w:hint="default"/>
          <w:w w:val="100"/>
        </w:rPr>
        <w:t> </w:t>
      </w:r>
      <w:r>
        <w:rPr>
          <w:spacing w:val="-3"/>
        </w:rPr>
        <w:t>客运的服务。目前已经覆盖浙江省内</w:t>
      </w:r>
      <w:r>
        <w:rPr>
          <w:spacing w:val="-31"/>
        </w:rPr>
        <w:t> </w:t>
      </w:r>
      <w:r>
        <w:rPr>
          <w:rFonts w:ascii="宋体" w:hAnsi="宋体" w:cs="宋体" w:eastAsia="宋体" w:hint="default"/>
        </w:rPr>
        <w:t>48</w:t>
      </w:r>
      <w:r>
        <w:rPr>
          <w:rFonts w:ascii="宋体" w:hAnsi="宋体" w:cs="宋体" w:eastAsia="宋体" w:hint="default"/>
          <w:spacing w:val="-34"/>
        </w:rPr>
        <w:t> </w:t>
      </w:r>
      <w:r>
        <w:rPr>
          <w:spacing w:val="-3"/>
        </w:rPr>
        <w:t>家一级车站，</w:t>
      </w:r>
      <w:r>
        <w:rPr>
          <w:rFonts w:ascii="宋体" w:hAnsi="宋体" w:cs="宋体" w:eastAsia="宋体" w:hint="default"/>
          <w:spacing w:val="-3"/>
        </w:rPr>
        <w:t>117</w:t>
      </w:r>
      <w:r>
        <w:rPr>
          <w:rFonts w:ascii="宋体" w:hAnsi="宋体" w:cs="宋体" w:eastAsia="宋体" w:hint="default"/>
          <w:spacing w:val="-31"/>
        </w:rPr>
        <w:t> </w:t>
      </w:r>
      <w:r>
        <w:rPr>
          <w:spacing w:val="-3"/>
        </w:rPr>
        <w:t>家二级站，基本实现了省内全覆盖和可</w:t>
      </w:r>
      <w:r>
        <w:rPr>
          <w:spacing w:val="-96"/>
        </w:rPr>
        <w:t> </w:t>
      </w:r>
      <w:r>
        <w:rPr>
          <w:spacing w:val="-96"/>
        </w:rPr>
      </w:r>
      <w:r>
        <w:rPr/>
        <w:t>实时购买</w:t>
      </w:r>
      <w:r>
        <w:rPr>
          <w:spacing w:val="-55"/>
        </w:rPr>
        <w:t> </w:t>
      </w:r>
      <w:r>
        <w:rPr>
          <w:rFonts w:ascii="宋体" w:hAnsi="宋体" w:cs="宋体" w:eastAsia="宋体" w:hint="default"/>
        </w:rPr>
        <w:t>30</w:t>
      </w:r>
      <w:r>
        <w:rPr>
          <w:rFonts w:ascii="宋体" w:hAnsi="宋体" w:cs="宋体" w:eastAsia="宋体" w:hint="default"/>
          <w:spacing w:val="-55"/>
        </w:rPr>
        <w:t> </w:t>
      </w:r>
      <w:r>
        <w:rPr/>
        <w:t>分钟后的车票，年售票量已经突破百万张，累计用户</w:t>
      </w:r>
      <w:r>
        <w:rPr>
          <w:spacing w:val="-55"/>
        </w:rPr>
        <w:t> </w:t>
      </w:r>
      <w:r>
        <w:rPr>
          <w:rFonts w:ascii="宋体" w:hAnsi="宋体" w:cs="宋体" w:eastAsia="宋体" w:hint="default"/>
        </w:rPr>
        <w:t>130</w:t>
      </w:r>
      <w:r>
        <w:rPr>
          <w:rFonts w:ascii="宋体" w:hAnsi="宋体" w:cs="宋体" w:eastAsia="宋体" w:hint="default"/>
          <w:spacing w:val="-55"/>
        </w:rPr>
        <w:t> </w:t>
      </w:r>
      <w:r>
        <w:rPr/>
        <w:t>余万。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spacing w:line="240" w:lineRule="auto" w:before="0"/>
        <w:ind w:left="678" w:right="0"/>
        <w:jc w:val="both"/>
        <w:rPr>
          <w:rFonts w:ascii="宋体" w:hAnsi="宋体" w:cs="宋体" w:eastAsia="宋体" w:hint="default"/>
          <w:b w:val="0"/>
          <w:bCs w:val="0"/>
        </w:rPr>
      </w:pPr>
      <w:r>
        <w:rPr>
          <w:rFonts w:ascii="宋体"/>
        </w:rPr>
        <w:t>(2).</w:t>
      </w:r>
      <w:r>
        <w:rPr>
          <w:rFonts w:ascii="宋体"/>
          <w:spacing w:val="38"/>
        </w:rPr>
        <w:t> </w:t>
      </w:r>
      <w:r>
        <w:rPr>
          <w:rFonts w:ascii="宋体"/>
          <w:spacing w:val="38"/>
          <w:w w:val="99"/>
        </w:rPr>
      </w:r>
      <w:r>
        <w:rPr>
          <w:rFonts w:ascii="宋体"/>
          <w:w w:val="99"/>
          <w:u w:val="single" w:color="000000"/>
        </w:rPr>
        <w:t> </w:t>
      </w:r>
      <w:r>
        <w:rPr>
          <w:rFonts w:ascii="宋体"/>
          <w:u w:val="single" w:color="000000"/>
        </w:rPr>
        <w:t>     </w:t>
      </w:r>
      <w:r>
        <w:rPr>
          <w:rFonts w:ascii="宋体"/>
          <w:spacing w:val="-12"/>
          <w:u w:val="single" w:color="000000"/>
        </w:rPr>
        <w:t> </w:t>
      </w:r>
      <w:r>
        <w:rPr>
          <w:rFonts w:ascii="宋体"/>
          <w:spacing w:val="-12"/>
        </w:rPr>
      </w:r>
      <w:r>
        <w:rPr>
          <w:rFonts w:ascii="宋体"/>
          <w:b w:val="0"/>
        </w:rPr>
      </w:r>
    </w:p>
    <w:p>
      <w:pPr>
        <w:spacing w:line="240" w:lineRule="auto" w:before="11"/>
        <w:rPr>
          <w:rFonts w:ascii="宋体" w:hAnsi="宋体" w:cs="宋体" w:eastAsia="宋体" w:hint="default"/>
          <w:b/>
          <w:bCs/>
          <w:sz w:val="26"/>
          <w:szCs w:val="26"/>
        </w:rPr>
      </w:pPr>
    </w:p>
    <w:p>
      <w:pPr>
        <w:pStyle w:val="Heading4"/>
        <w:spacing w:line="240" w:lineRule="auto"/>
        <w:ind w:left="678" w:right="265"/>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6"/>
        <w:ind w:left="0" w:right="430"/>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368"/>
        <w:gridCol w:w="1118"/>
        <w:gridCol w:w="1688"/>
        <w:gridCol w:w="1320"/>
        <w:gridCol w:w="1582"/>
        <w:gridCol w:w="915"/>
        <w:gridCol w:w="905"/>
        <w:gridCol w:w="828"/>
      </w:tblGrid>
      <w:tr>
        <w:trPr>
          <w:trHeight w:val="281" w:hRule="exact"/>
        </w:trPr>
        <w:tc>
          <w:tcPr>
            <w:tcW w:w="972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45" w:right="129" w:hanging="212"/>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82" w:right="125" w:hanging="53"/>
              <w:jc w:val="left"/>
              <w:rPr>
                <w:rFonts w:ascii="宋体" w:hAnsi="宋体" w:cs="宋体" w:eastAsia="宋体" w:hint="default"/>
                <w:sz w:val="21"/>
                <w:szCs w:val="21"/>
              </w:rPr>
            </w:pPr>
            <w:r>
              <w:rPr>
                <w:rFonts w:ascii="宋体" w:hAnsi="宋体" w:cs="宋体" w:eastAsia="宋体" w:hint="default"/>
                <w:sz w:val="21"/>
                <w:szCs w:val="21"/>
              </w:rPr>
              <w:t>本期占总成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本比例</w:t>
            </w:r>
            <w:r>
              <w:rPr>
                <w:rFonts w:ascii="宋体" w:hAnsi="宋体" w:cs="宋体" w:eastAsia="宋体" w:hint="default"/>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6" w:right="134"/>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31" w:right="127"/>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96" w:right="197"/>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资本市场</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
              <w:jc w:val="center"/>
              <w:rPr>
                <w:rFonts w:ascii="宋体" w:hAnsi="宋体" w:cs="宋体" w:eastAsia="宋体" w:hint="default"/>
                <w:sz w:val="21"/>
                <w:szCs w:val="21"/>
              </w:rPr>
            </w:pPr>
            <w:r>
              <w:rPr>
                <w:rFonts w:ascii="宋体" w:hAnsi="宋体" w:cs="宋体" w:eastAsia="宋体" w:hint="default"/>
                <w:sz w:val="21"/>
                <w:szCs w:val="21"/>
              </w:rPr>
              <w:t>外购成本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89,516,977.66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55.33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41,149,073.69</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46.09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center"/>
              <w:rPr>
                <w:rFonts w:ascii="宋体" w:hAnsi="宋体" w:cs="宋体" w:eastAsia="宋体" w:hint="default"/>
                <w:sz w:val="21"/>
                <w:szCs w:val="21"/>
              </w:rPr>
            </w:pPr>
            <w:r>
              <w:rPr>
                <w:rFonts w:ascii="宋体"/>
                <w:sz w:val="21"/>
              </w:rPr>
              <w:t>117.54</w:t>
            </w: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
              <w:jc w:val="center"/>
              <w:rPr>
                <w:rFonts w:ascii="宋体" w:hAnsi="宋体" w:cs="宋体" w:eastAsia="宋体" w:hint="default"/>
                <w:sz w:val="21"/>
                <w:szCs w:val="21"/>
              </w:rPr>
            </w:pPr>
            <w:r>
              <w:rPr>
                <w:rFonts w:ascii="宋体" w:hAnsi="宋体" w:cs="宋体" w:eastAsia="宋体" w:hint="default"/>
                <w:sz w:val="21"/>
                <w:szCs w:val="21"/>
              </w:rPr>
              <w:t>外购成本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2,832,624.42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4,031,843.38</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center"/>
              <w:rPr>
                <w:rFonts w:ascii="宋体" w:hAnsi="宋体" w:cs="宋体" w:eastAsia="宋体" w:hint="default"/>
                <w:sz w:val="21"/>
                <w:szCs w:val="21"/>
              </w:rPr>
            </w:pPr>
            <w:r>
              <w:rPr>
                <w:rFonts w:ascii="宋体"/>
                <w:sz w:val="21"/>
              </w:rPr>
              <w:t>-29.74</w:t>
            </w: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互联网</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
              <w:jc w:val="center"/>
              <w:rPr>
                <w:rFonts w:ascii="宋体" w:hAnsi="宋体" w:cs="宋体" w:eastAsia="宋体" w:hint="default"/>
                <w:sz w:val="21"/>
                <w:szCs w:val="21"/>
              </w:rPr>
            </w:pPr>
            <w:r>
              <w:rPr>
                <w:rFonts w:ascii="宋体" w:hAnsi="宋体" w:cs="宋体" w:eastAsia="宋体" w:hint="default"/>
                <w:sz w:val="21"/>
                <w:szCs w:val="21"/>
              </w:rPr>
              <w:t>外购成本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36,058,846.88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22.29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15,762,648.51</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17.65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center"/>
              <w:rPr>
                <w:rFonts w:ascii="宋体" w:hAnsi="宋体" w:cs="宋体" w:eastAsia="宋体" w:hint="default"/>
                <w:sz w:val="21"/>
                <w:szCs w:val="21"/>
              </w:rPr>
            </w:pPr>
            <w:r>
              <w:rPr>
                <w:rFonts w:ascii="宋体"/>
                <w:sz w:val="21"/>
              </w:rPr>
              <w:t>128.76</w:t>
            </w:r>
          </w:p>
        </w:tc>
        <w:tc>
          <w:tcPr>
            <w:tcW w:w="8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120" w:right="8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368"/>
        <w:gridCol w:w="1118"/>
        <w:gridCol w:w="1688"/>
        <w:gridCol w:w="1320"/>
        <w:gridCol w:w="1582"/>
        <w:gridCol w:w="915"/>
        <w:gridCol w:w="905"/>
        <w:gridCol w:w="828"/>
      </w:tblGrid>
      <w:tr>
        <w:trPr>
          <w:trHeight w:val="28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1" w:right="0"/>
              <w:jc w:val="left"/>
              <w:rPr>
                <w:rFonts w:ascii="宋体" w:hAnsi="宋体" w:cs="宋体" w:eastAsia="宋体" w:hint="default"/>
                <w:sz w:val="21"/>
                <w:szCs w:val="21"/>
              </w:rPr>
            </w:pPr>
            <w:r>
              <w:rPr>
                <w:rFonts w:ascii="宋体" w:hAnsi="宋体" w:cs="宋体" w:eastAsia="宋体" w:hint="default"/>
                <w:sz w:val="21"/>
                <w:szCs w:val="21"/>
              </w:rPr>
              <w:t>非金融业务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7"/>
              <w:jc w:val="center"/>
              <w:rPr>
                <w:rFonts w:ascii="宋体" w:hAnsi="宋体" w:cs="宋体" w:eastAsia="宋体" w:hint="default"/>
                <w:sz w:val="21"/>
                <w:szCs w:val="21"/>
              </w:rPr>
            </w:pPr>
            <w:r>
              <w:rPr>
                <w:rFonts w:ascii="宋体" w:hAnsi="宋体" w:cs="宋体" w:eastAsia="宋体" w:hint="default"/>
                <w:sz w:val="21"/>
                <w:szCs w:val="21"/>
              </w:rPr>
              <w:t>外购成本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33,383,297.65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20.63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28,339,113.83</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31.74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65" w:right="0"/>
              <w:jc w:val="center"/>
              <w:rPr>
                <w:rFonts w:ascii="宋体" w:hAnsi="宋体" w:cs="宋体" w:eastAsia="宋体" w:hint="default"/>
                <w:sz w:val="21"/>
                <w:szCs w:val="21"/>
              </w:rPr>
            </w:pPr>
            <w:r>
              <w:rPr>
                <w:rFonts w:ascii="宋体"/>
                <w:sz w:val="21"/>
              </w:rPr>
              <w:t>17.80</w:t>
            </w: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11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161,791,746.61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89,282,679.41</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center"/>
              <w:rPr>
                <w:rFonts w:ascii="宋体" w:hAnsi="宋体" w:cs="宋体" w:eastAsia="宋体" w:hint="default"/>
                <w:sz w:val="21"/>
                <w:szCs w:val="21"/>
              </w:rPr>
            </w:pPr>
            <w:r>
              <w:rPr>
                <w:rFonts w:ascii="宋体"/>
                <w:sz w:val="21"/>
              </w:rPr>
              <w:t>81.21</w:t>
            </w: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72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37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45" w:right="129" w:hanging="212"/>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82" w:right="125" w:hanging="53"/>
              <w:jc w:val="left"/>
              <w:rPr>
                <w:rFonts w:ascii="宋体" w:hAnsi="宋体" w:cs="宋体" w:eastAsia="宋体" w:hint="default"/>
                <w:sz w:val="21"/>
                <w:szCs w:val="21"/>
              </w:rPr>
            </w:pPr>
            <w:r>
              <w:rPr>
                <w:rFonts w:ascii="宋体" w:hAnsi="宋体" w:cs="宋体" w:eastAsia="宋体" w:hint="default"/>
                <w:sz w:val="21"/>
                <w:szCs w:val="21"/>
              </w:rPr>
              <w:t>本期占总成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本比例</w:t>
            </w:r>
            <w:r>
              <w:rPr>
                <w:rFonts w:ascii="宋体" w:hAnsi="宋体" w:cs="宋体" w:eastAsia="宋体" w:hint="default"/>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6" w:right="134"/>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31" w:right="127"/>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96" w:right="197"/>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软件收入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
              <w:jc w:val="center"/>
              <w:rPr>
                <w:rFonts w:ascii="宋体" w:hAnsi="宋体" w:cs="宋体" w:eastAsia="宋体" w:hint="default"/>
                <w:sz w:val="21"/>
                <w:szCs w:val="21"/>
              </w:rPr>
            </w:pPr>
            <w:r>
              <w:rPr>
                <w:rFonts w:ascii="宋体" w:hAnsi="宋体" w:cs="宋体" w:eastAsia="宋体" w:hint="default"/>
                <w:sz w:val="21"/>
                <w:szCs w:val="21"/>
              </w:rPr>
              <w:t>外购成本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31,179,297.36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19.27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11,959,506.67</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13.40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center"/>
              <w:rPr>
                <w:rFonts w:ascii="宋体" w:hAnsi="宋体" w:cs="宋体" w:eastAsia="宋体" w:hint="default"/>
                <w:sz w:val="21"/>
                <w:szCs w:val="21"/>
              </w:rPr>
            </w:pPr>
            <w:r>
              <w:rPr>
                <w:rFonts w:ascii="宋体"/>
                <w:sz w:val="21"/>
              </w:rPr>
              <w:t>160.71</w:t>
            </w: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集成收入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
              <w:jc w:val="center"/>
              <w:rPr>
                <w:rFonts w:ascii="宋体" w:hAnsi="宋体" w:cs="宋体" w:eastAsia="宋体" w:hint="default"/>
                <w:sz w:val="21"/>
                <w:szCs w:val="21"/>
              </w:rPr>
            </w:pPr>
            <w:r>
              <w:rPr>
                <w:rFonts w:ascii="宋体" w:hAnsi="宋体" w:cs="宋体" w:eastAsia="宋体" w:hint="default"/>
                <w:sz w:val="21"/>
                <w:szCs w:val="21"/>
              </w:rPr>
              <w:t>外购成本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8,617,867.50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5.33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3,783,617.11</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center"/>
              <w:rPr>
                <w:rFonts w:ascii="宋体" w:hAnsi="宋体" w:cs="宋体" w:eastAsia="宋体" w:hint="default"/>
                <w:sz w:val="21"/>
                <w:szCs w:val="21"/>
              </w:rPr>
            </w:pPr>
            <w:r>
              <w:rPr>
                <w:rFonts w:ascii="宋体"/>
                <w:sz w:val="21"/>
              </w:rPr>
              <w:t>127.77</w:t>
            </w: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硬件收入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
              <w:jc w:val="center"/>
              <w:rPr>
                <w:rFonts w:ascii="宋体" w:hAnsi="宋体" w:cs="宋体" w:eastAsia="宋体" w:hint="default"/>
                <w:sz w:val="21"/>
                <w:szCs w:val="21"/>
              </w:rPr>
            </w:pPr>
            <w:r>
              <w:rPr>
                <w:rFonts w:ascii="宋体" w:hAnsi="宋体" w:cs="宋体" w:eastAsia="宋体" w:hint="default"/>
                <w:sz w:val="21"/>
                <w:szCs w:val="21"/>
              </w:rPr>
              <w:t>外购成本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81,526,464.35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50.39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43,192,287.71</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48.38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center"/>
              <w:rPr>
                <w:rFonts w:ascii="宋体" w:hAnsi="宋体" w:cs="宋体" w:eastAsia="宋体" w:hint="default"/>
                <w:sz w:val="21"/>
                <w:szCs w:val="21"/>
              </w:rPr>
            </w:pPr>
            <w:r>
              <w:rPr>
                <w:rFonts w:ascii="宋体"/>
                <w:sz w:val="21"/>
              </w:rPr>
              <w:t>88.75</w:t>
            </w: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科技园</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
              <w:jc w:val="center"/>
              <w:rPr>
                <w:rFonts w:ascii="宋体" w:hAnsi="宋体" w:cs="宋体" w:eastAsia="宋体" w:hint="default"/>
                <w:sz w:val="21"/>
                <w:szCs w:val="21"/>
              </w:rPr>
            </w:pPr>
            <w:r>
              <w:rPr>
                <w:rFonts w:ascii="宋体" w:hAnsi="宋体" w:cs="宋体" w:eastAsia="宋体" w:hint="default"/>
                <w:sz w:val="21"/>
                <w:szCs w:val="21"/>
              </w:rPr>
              <w:t>外购成本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4,409,270.52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14,584,619.41</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16.34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center"/>
              <w:rPr>
                <w:rFonts w:ascii="宋体" w:hAnsi="宋体" w:cs="宋体" w:eastAsia="宋体" w:hint="default"/>
                <w:sz w:val="21"/>
                <w:szCs w:val="21"/>
              </w:rPr>
            </w:pPr>
            <w:r>
              <w:rPr>
                <w:rFonts w:ascii="宋体"/>
                <w:sz w:val="21"/>
              </w:rPr>
              <w:t>-69.77</w:t>
            </w: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7"/>
              <w:jc w:val="center"/>
              <w:rPr>
                <w:rFonts w:ascii="宋体" w:hAnsi="宋体" w:cs="宋体" w:eastAsia="宋体" w:hint="default"/>
                <w:sz w:val="21"/>
                <w:szCs w:val="21"/>
              </w:rPr>
            </w:pPr>
            <w:r>
              <w:rPr>
                <w:rFonts w:ascii="宋体" w:hAnsi="宋体" w:cs="宋体" w:eastAsia="宋体" w:hint="default"/>
                <w:sz w:val="21"/>
                <w:szCs w:val="21"/>
              </w:rPr>
              <w:t>外购成本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36,058,846.88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22.28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15,762,648.51</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17.65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9" w:right="0"/>
              <w:jc w:val="center"/>
              <w:rPr>
                <w:rFonts w:ascii="宋体" w:hAnsi="宋体" w:cs="宋体" w:eastAsia="宋体" w:hint="default"/>
                <w:sz w:val="21"/>
                <w:szCs w:val="21"/>
              </w:rPr>
            </w:pPr>
            <w:r>
              <w:rPr>
                <w:rFonts w:ascii="宋体"/>
                <w:sz w:val="21"/>
              </w:rPr>
              <w:t>128.76</w:t>
            </w: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11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161,791,746.61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89,282,679.41</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center"/>
              <w:rPr>
                <w:rFonts w:ascii="宋体" w:hAnsi="宋体" w:cs="宋体" w:eastAsia="宋体" w:hint="default"/>
                <w:sz w:val="21"/>
                <w:szCs w:val="21"/>
              </w:rPr>
            </w:pPr>
            <w:r>
              <w:rPr>
                <w:rFonts w:ascii="宋体"/>
                <w:sz w:val="21"/>
              </w:rPr>
              <w:t>81.21</w:t>
            </w:r>
          </w:p>
        </w:tc>
        <w:tc>
          <w:tcPr>
            <w:tcW w:w="8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1098" w:right="265" w:hanging="420"/>
        <w:jc w:val="left"/>
      </w:pPr>
      <w:r>
        <w:rPr/>
        <w:t>成本分析其他情况说明：</w:t>
      </w:r>
      <w:r>
        <w:rPr>
          <w:w w:val="100"/>
        </w:rPr>
        <w:t> </w:t>
      </w:r>
      <w:r>
        <w:rPr>
          <w:spacing w:val="-2"/>
        </w:rPr>
        <w:t>总体看，主要是券商对创新业务需求旺盛，同时通过我司对外采购硬件设备，外购硬件成本</w:t>
      </w:r>
    </w:p>
    <w:p>
      <w:pPr>
        <w:pStyle w:val="BodyText"/>
        <w:spacing w:line="237" w:lineRule="auto"/>
        <w:ind w:left="678" w:right="428"/>
        <w:jc w:val="both"/>
      </w:pPr>
      <w:r>
        <w:rPr/>
        <w:t>同比增长 </w:t>
      </w:r>
      <w:r>
        <w:rPr>
          <w:rFonts w:ascii="宋体" w:hAnsi="宋体" w:cs="宋体" w:eastAsia="宋体" w:hint="default"/>
          <w:spacing w:val="-3"/>
        </w:rPr>
        <w:t>81.21%</w:t>
      </w:r>
      <w:r>
        <w:rPr>
          <w:spacing w:val="-3"/>
        </w:rPr>
        <w:t>。其次，公司严格执行收入成本配比原则，将本期无法具体配比到项目的营业成</w:t>
      </w:r>
      <w:r>
        <w:rPr>
          <w:spacing w:val="-85"/>
        </w:rPr>
        <w:t> </w:t>
      </w:r>
      <w:r>
        <w:rPr>
          <w:spacing w:val="-85"/>
        </w:rPr>
      </w:r>
      <w:r>
        <w:rPr>
          <w:spacing w:val="-8"/>
        </w:rPr>
        <w:t>本（如：平台建设铺设通讯专线、租赁本地、异地机房服务费用、外购云服务、</w:t>
      </w:r>
      <w:r>
        <w:rPr>
          <w:rFonts w:ascii="宋体" w:hAnsi="宋体" w:cs="宋体" w:eastAsia="宋体" w:hint="default"/>
          <w:spacing w:val="-8"/>
        </w:rPr>
        <w:t>Level2 </w:t>
      </w:r>
      <w:r>
        <w:rPr/>
        <w:t>行情数据，</w:t>
      </w:r>
      <w:r>
        <w:rPr>
          <w:spacing w:val="-88"/>
        </w:rPr>
        <w:t> </w:t>
      </w:r>
      <w:r>
        <w:rPr>
          <w:spacing w:val="-88"/>
        </w:rPr>
      </w:r>
      <w:r>
        <w:rPr>
          <w:spacing w:val="-2"/>
        </w:rPr>
        <w:t>美股和港股行情、人力外包、软件购置费、项目咨询费等），分别计入销售费用、管理费用等核</w:t>
      </w:r>
      <w:r>
        <w:rPr>
          <w:spacing w:val="-25"/>
        </w:rPr>
        <w:t> </w:t>
      </w:r>
      <w:r>
        <w:rPr>
          <w:spacing w:val="-25"/>
        </w:rPr>
      </w:r>
      <w:r>
        <w:rPr/>
        <w:t>算，导致本期较上期成本变化较大。</w:t>
      </w:r>
    </w:p>
    <w:p>
      <w:pPr>
        <w:spacing w:line="240" w:lineRule="auto" w:before="3"/>
        <w:rPr>
          <w:rFonts w:ascii="宋体" w:hAnsi="宋体" w:cs="宋体" w:eastAsia="宋体" w:hint="default"/>
          <w:sz w:val="25"/>
          <w:szCs w:val="25"/>
        </w:rPr>
      </w:pPr>
    </w:p>
    <w:p>
      <w:pPr>
        <w:pStyle w:val="Heading4"/>
        <w:spacing w:line="240" w:lineRule="auto" w:before="0"/>
        <w:ind w:left="678" w:right="0"/>
        <w:jc w:val="both"/>
        <w:rPr>
          <w:b w:val="0"/>
          <w:bCs w:val="0"/>
        </w:rPr>
      </w:pPr>
      <w:r>
        <w:rPr>
          <w:rFonts w:ascii="宋体" w:hAnsi="宋体" w:cs="宋体" w:eastAsia="宋体" w:hint="default"/>
        </w:rPr>
        <w:t>2.</w:t>
      </w:r>
      <w:r>
        <w:rPr>
          <w:rFonts w:ascii="宋体" w:hAnsi="宋体" w:cs="宋体" w:eastAsia="宋体" w:hint="default"/>
          <w:spacing w:val="103"/>
        </w:rPr>
        <w:t> </w:t>
      </w:r>
      <w:r>
        <w:rPr/>
        <w:t>费用</w:t>
      </w:r>
      <w:r>
        <w:rPr>
          <w:b w:val="0"/>
          <w:bCs w:val="0"/>
        </w:rPr>
      </w:r>
    </w:p>
    <w:p>
      <w:pPr>
        <w:pStyle w:val="BodyText"/>
        <w:spacing w:line="237" w:lineRule="auto" w:before="59"/>
        <w:ind w:left="678" w:right="430" w:firstLine="419"/>
        <w:jc w:val="both"/>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50"/>
        </w:rPr>
        <w:t> </w:t>
      </w:r>
      <w:r>
        <w:rPr/>
        <w:t>年费用实际发生额</w:t>
      </w:r>
      <w:r>
        <w:rPr>
          <w:spacing w:val="9"/>
        </w:rPr>
        <w:t> </w:t>
      </w:r>
      <w:r>
        <w:rPr>
          <w:rFonts w:ascii="宋体" w:hAnsi="宋体" w:cs="宋体" w:eastAsia="宋体" w:hint="default"/>
        </w:rPr>
        <w:t>16.39</w:t>
      </w:r>
      <w:r>
        <w:rPr>
          <w:rFonts w:ascii="宋体" w:hAnsi="宋体" w:cs="宋体" w:eastAsia="宋体" w:hint="default"/>
          <w:spacing w:val="-50"/>
        </w:rPr>
        <w:t> </w:t>
      </w:r>
      <w:r>
        <w:rPr>
          <w:spacing w:val="-4"/>
        </w:rPr>
        <w:t>亿元，较上年数增长</w:t>
      </w:r>
      <w:r>
        <w:rPr>
          <w:spacing w:val="9"/>
        </w:rPr>
        <w:t> </w:t>
      </w:r>
      <w:r>
        <w:rPr>
          <w:rFonts w:ascii="宋体" w:hAnsi="宋体" w:cs="宋体" w:eastAsia="宋体" w:hint="default"/>
        </w:rPr>
        <w:t>41.42</w:t>
      </w:r>
      <w:r>
        <w:rPr>
          <w:rFonts w:ascii="宋体" w:hAnsi="宋体" w:cs="宋体" w:eastAsia="宋体" w:hint="default"/>
          <w:spacing w:val="-50"/>
        </w:rPr>
        <w:t> </w:t>
      </w:r>
      <w:r>
        <w:rPr>
          <w:rFonts w:ascii="宋体" w:hAnsi="宋体" w:cs="宋体" w:eastAsia="宋体" w:hint="default"/>
          <w:spacing w:val="-3"/>
        </w:rPr>
        <w:t>%</w:t>
      </w:r>
      <w:r>
        <w:rPr>
          <w:spacing w:val="-3"/>
        </w:rPr>
        <w:t>。这是因为公司严格执行收入成</w:t>
      </w:r>
      <w:r>
        <w:rPr>
          <w:w w:val="100"/>
        </w:rPr>
        <w:t> </w:t>
      </w:r>
      <w:r>
        <w:rPr>
          <w:spacing w:val="-2"/>
        </w:rPr>
        <w:t>本配比原则，将本期无法具体配比到项目的营业成本（如：平台建设铺设通讯专线、租赁本地、</w:t>
      </w:r>
      <w:r>
        <w:rPr>
          <w:spacing w:val="-25"/>
        </w:rPr>
        <w:t> </w:t>
      </w:r>
      <w:r>
        <w:rPr>
          <w:spacing w:val="-25"/>
        </w:rPr>
      </w:r>
      <w:r>
        <w:rPr/>
        <w:t>异地机房服务费用、外购云服务、</w:t>
      </w:r>
      <w:r>
        <w:rPr>
          <w:rFonts w:ascii="宋体" w:hAnsi="宋体" w:cs="宋体" w:eastAsia="宋体" w:hint="default"/>
        </w:rPr>
        <w:t>Level2</w:t>
      </w:r>
      <w:r>
        <w:rPr>
          <w:rFonts w:ascii="宋体" w:hAnsi="宋体" w:cs="宋体" w:eastAsia="宋体" w:hint="default"/>
          <w:spacing w:val="-40"/>
        </w:rPr>
        <w:t> </w:t>
      </w:r>
      <w:r>
        <w:rPr>
          <w:spacing w:val="-3"/>
        </w:rPr>
        <w:t>行情数据，美股和港股行情、软件购置费、项目咨询费</w:t>
      </w:r>
      <w:r>
        <w:rPr>
          <w:spacing w:val="-100"/>
        </w:rPr>
        <w:t> </w:t>
      </w:r>
      <w:r>
        <w:rPr>
          <w:spacing w:val="-100"/>
        </w:rPr>
      </w:r>
      <w:r>
        <w:rPr/>
        <w:t>等），计入销售费用，人力外包费用计入管理费用。具体说明如下</w:t>
      </w:r>
      <w:r>
        <w:rPr>
          <w:rFonts w:ascii="宋体" w:hAnsi="宋体" w:cs="宋体" w:eastAsia="宋体" w:hint="default"/>
        </w:rPr>
        <w:t>:</w:t>
      </w:r>
    </w:p>
    <w:p>
      <w:pPr>
        <w:pStyle w:val="BodyText"/>
        <w:spacing w:line="274" w:lineRule="exact" w:before="22"/>
        <w:ind w:left="678" w:right="495" w:firstLine="419"/>
        <w:jc w:val="both"/>
      </w:pPr>
      <w:r>
        <w:rPr>
          <w:spacing w:val="-2"/>
        </w:rPr>
        <w:t>（</w:t>
      </w:r>
      <w:r>
        <w:rPr>
          <w:rFonts w:ascii="宋体" w:hAnsi="宋体" w:cs="宋体" w:eastAsia="宋体" w:hint="default"/>
          <w:spacing w:val="-2"/>
        </w:rPr>
        <w:t>1</w:t>
      </w:r>
      <w:r>
        <w:rPr>
          <w:spacing w:val="-2"/>
        </w:rPr>
        <w:t>）销售费用本期数较上年同期数增长</w:t>
      </w:r>
      <w:r>
        <w:rPr>
          <w:spacing w:val="2"/>
        </w:rPr>
        <w:t> </w:t>
      </w:r>
      <w:r>
        <w:rPr>
          <w:rFonts w:ascii="宋体" w:hAnsi="宋体" w:cs="宋体" w:eastAsia="宋体" w:hint="default"/>
          <w:spacing w:val="-2"/>
        </w:rPr>
        <w:t>62.78%</w:t>
      </w:r>
      <w:r>
        <w:rPr>
          <w:spacing w:val="-2"/>
        </w:rPr>
        <w:t>，主要系公司及控股子公司本期业务规模扩</w:t>
      </w:r>
      <w:r>
        <w:rPr>
          <w:w w:val="100"/>
        </w:rPr>
        <w:t> </w:t>
      </w:r>
      <w:r>
        <w:rPr/>
        <w:t>大，运营费用、销售人员薪资、市场营销费用等支出同比有所增加。</w:t>
      </w:r>
    </w:p>
    <w:p>
      <w:pPr>
        <w:pStyle w:val="BodyText"/>
        <w:spacing w:line="245" w:lineRule="exact"/>
        <w:ind w:left="1098" w:right="265"/>
        <w:jc w:val="left"/>
      </w:pPr>
      <w:r>
        <w:rPr>
          <w:spacing w:val="-2"/>
        </w:rPr>
        <w:t>（</w:t>
      </w:r>
      <w:r>
        <w:rPr>
          <w:rFonts w:ascii="宋体" w:hAnsi="宋体" w:cs="宋体" w:eastAsia="宋体" w:hint="default"/>
          <w:spacing w:val="-2"/>
        </w:rPr>
        <w:t>2</w:t>
      </w:r>
      <w:r>
        <w:rPr>
          <w:spacing w:val="-2"/>
        </w:rPr>
        <w:t>）管理费用本期数较上期数增长</w:t>
      </w:r>
      <w:r>
        <w:rPr>
          <w:spacing w:val="22"/>
        </w:rPr>
        <w:t> </w:t>
      </w:r>
      <w:r>
        <w:rPr>
          <w:rFonts w:ascii="宋体" w:hAnsi="宋体" w:cs="宋体" w:eastAsia="宋体" w:hint="default"/>
          <w:spacing w:val="-2"/>
        </w:rPr>
        <w:t>32.02%</w:t>
      </w:r>
      <w:r>
        <w:rPr>
          <w:spacing w:val="-2"/>
        </w:rPr>
        <w:t>，主要系公司本期增加创新业务投入，人员有所</w:t>
      </w:r>
    </w:p>
    <w:p>
      <w:pPr>
        <w:pStyle w:val="BodyText"/>
        <w:spacing w:line="272" w:lineRule="exact"/>
        <w:ind w:left="678" w:right="0"/>
        <w:jc w:val="both"/>
      </w:pPr>
      <w:r>
        <w:rPr/>
        <w:t>增加，人力外包及研发投入使得薪酬费用增加所至。</w:t>
      </w:r>
    </w:p>
    <w:p>
      <w:pPr>
        <w:pStyle w:val="BodyText"/>
        <w:spacing w:line="240" w:lineRule="auto"/>
        <w:ind w:left="678" w:right="495" w:firstLine="419"/>
        <w:jc w:val="both"/>
      </w:pPr>
      <w:r>
        <w:rPr>
          <w:spacing w:val="-2"/>
        </w:rPr>
        <w:t>（</w:t>
      </w:r>
      <w:r>
        <w:rPr>
          <w:rFonts w:ascii="宋体" w:hAnsi="宋体" w:cs="宋体" w:eastAsia="宋体" w:hint="default"/>
          <w:spacing w:val="-2"/>
        </w:rPr>
        <w:t>3</w:t>
      </w:r>
      <w:r>
        <w:rPr>
          <w:spacing w:val="-2"/>
        </w:rPr>
        <w:t>）财务费用本期数较上期数增长</w:t>
      </w:r>
      <w:r>
        <w:rPr/>
        <w:t> </w:t>
      </w:r>
      <w:r>
        <w:rPr>
          <w:rFonts w:ascii="宋体" w:hAnsi="宋体" w:cs="宋体" w:eastAsia="宋体" w:hint="default"/>
          <w:spacing w:val="-2"/>
        </w:rPr>
        <w:t>60.41%</w:t>
      </w:r>
      <w:r>
        <w:rPr>
          <w:spacing w:val="-2"/>
        </w:rPr>
        <w:t>，主要是银行利率下调，本期利息收入较上年同</w:t>
      </w:r>
      <w:r>
        <w:rPr>
          <w:w w:val="100"/>
        </w:rPr>
        <w:t> </w:t>
      </w:r>
      <w:r>
        <w:rPr/>
        <w:t>期数减少</w:t>
      </w:r>
      <w:r>
        <w:rPr>
          <w:spacing w:val="-55"/>
        </w:rPr>
        <w:t> </w:t>
      </w:r>
      <w:r>
        <w:rPr>
          <w:rFonts w:ascii="宋体" w:hAnsi="宋体" w:cs="宋体" w:eastAsia="宋体" w:hint="default"/>
        </w:rPr>
        <w:t>546</w:t>
      </w:r>
      <w:r>
        <w:rPr>
          <w:rFonts w:ascii="宋体" w:hAnsi="宋体" w:cs="宋体" w:eastAsia="宋体" w:hint="default"/>
          <w:spacing w:val="-55"/>
        </w:rPr>
        <w:t> </w:t>
      </w:r>
      <w:r>
        <w:rPr/>
        <w:t>万元，公司将银行间歇不用资金作了固定性收益理财。</w:t>
      </w:r>
    </w:p>
    <w:p>
      <w:pPr>
        <w:pStyle w:val="BodyText"/>
        <w:spacing w:line="237" w:lineRule="auto"/>
        <w:ind w:left="678" w:right="427" w:firstLine="419"/>
        <w:jc w:val="both"/>
      </w:pPr>
      <w:r>
        <w:rPr>
          <w:spacing w:val="-10"/>
          <w:w w:val="100"/>
        </w:rPr>
        <w:t>（</w:t>
      </w:r>
      <w:r>
        <w:rPr>
          <w:rFonts w:ascii="宋体" w:hAnsi="宋体" w:cs="宋体" w:eastAsia="宋体" w:hint="default"/>
          <w:spacing w:val="-10"/>
          <w:w w:val="100"/>
        </w:rPr>
        <w:t>4</w:t>
      </w:r>
      <w:r>
        <w:rPr>
          <w:spacing w:val="-10"/>
          <w:w w:val="100"/>
        </w:rPr>
        <w:t>）所得税费发生额</w:t>
      </w:r>
      <w:r>
        <w:rPr>
          <w:spacing w:val="-54"/>
          <w:w w:val="100"/>
        </w:rPr>
        <w:t> </w:t>
      </w:r>
      <w:r>
        <w:rPr>
          <w:rFonts w:ascii="宋体" w:hAnsi="宋体" w:cs="宋体" w:eastAsia="宋体" w:hint="default"/>
          <w:spacing w:val="-1"/>
          <w:w w:val="100"/>
        </w:rPr>
        <w:t>6639</w:t>
      </w:r>
      <w:r>
        <w:rPr>
          <w:rFonts w:ascii="宋体" w:hAnsi="宋体" w:cs="宋体" w:eastAsia="宋体" w:hint="default"/>
          <w:spacing w:val="-54"/>
          <w:w w:val="100"/>
        </w:rPr>
        <w:t> </w:t>
      </w:r>
      <w:r>
        <w:rPr>
          <w:spacing w:val="-7"/>
          <w:w w:val="100"/>
        </w:rPr>
        <w:t>万元，较去年同期增加所得税费用</w:t>
      </w:r>
      <w:r>
        <w:rPr>
          <w:spacing w:val="-51"/>
          <w:w w:val="100"/>
        </w:rPr>
        <w:t> </w:t>
      </w:r>
      <w:r>
        <w:rPr>
          <w:rFonts w:ascii="宋体" w:hAnsi="宋体" w:cs="宋体" w:eastAsia="宋体" w:hint="default"/>
          <w:spacing w:val="-1"/>
          <w:w w:val="100"/>
        </w:rPr>
        <w:t>3529</w:t>
      </w:r>
      <w:r>
        <w:rPr>
          <w:rFonts w:ascii="宋体" w:hAnsi="宋体" w:cs="宋体" w:eastAsia="宋体" w:hint="default"/>
          <w:spacing w:val="-51"/>
          <w:w w:val="100"/>
        </w:rPr>
        <w:t> </w:t>
      </w:r>
      <w:r>
        <w:rPr>
          <w:spacing w:val="-14"/>
          <w:w w:val="100"/>
        </w:rPr>
        <w:t>万元，同比增长</w:t>
      </w:r>
      <w:r>
        <w:rPr>
          <w:spacing w:val="-50"/>
          <w:w w:val="100"/>
        </w:rPr>
        <w:t> </w:t>
      </w:r>
      <w:r>
        <w:rPr>
          <w:rFonts w:ascii="宋体" w:hAnsi="宋体" w:cs="宋体" w:eastAsia="宋体" w:hint="default"/>
          <w:spacing w:val="-1"/>
          <w:w w:val="100"/>
        </w:rPr>
        <w:t>113.45%</w:t>
      </w:r>
      <w:r>
        <w:rPr>
          <w:spacing w:val="-1"/>
          <w:w w:val="100"/>
        </w:rPr>
        <w:t>。</w:t>
      </w:r>
      <w:r>
        <w:rPr>
          <w:w w:val="100"/>
        </w:rPr>
        <w:t> </w:t>
      </w:r>
      <w:r>
        <w:rPr/>
        <w:t>主要是公司享受国家规划布局内重点软件企业满</w:t>
      </w:r>
      <w:r>
        <w:rPr>
          <w:spacing w:val="-50"/>
        </w:rPr>
        <w:t> </w:t>
      </w:r>
      <w:r>
        <w:rPr>
          <w:rFonts w:ascii="宋体" w:hAnsi="宋体" w:cs="宋体" w:eastAsia="宋体" w:hint="default"/>
        </w:rPr>
        <w:t>2</w:t>
      </w:r>
      <w:r>
        <w:rPr>
          <w:rFonts w:ascii="宋体" w:hAnsi="宋体" w:cs="宋体" w:eastAsia="宋体" w:hint="default"/>
          <w:spacing w:val="-52"/>
        </w:rPr>
        <w:t> </w:t>
      </w:r>
      <w:r>
        <w:rPr>
          <w:spacing w:val="-5"/>
        </w:rPr>
        <w:t>年要重新评审，</w:t>
      </w:r>
      <w:r>
        <w:rPr>
          <w:rFonts w:ascii="宋体" w:hAnsi="宋体" w:cs="宋体" w:eastAsia="宋体" w:hint="default"/>
          <w:spacing w:val="-5"/>
        </w:rPr>
        <w:t>2015</w:t>
      </w:r>
      <w:r>
        <w:rPr>
          <w:rFonts w:ascii="宋体" w:hAnsi="宋体" w:cs="宋体" w:eastAsia="宋体" w:hint="default"/>
          <w:spacing w:val="-52"/>
        </w:rPr>
        <w:t> </w:t>
      </w:r>
      <w:r>
        <w:rPr/>
        <w:t>年浙江省这方面评审工作</w:t>
      </w:r>
      <w:r>
        <w:rPr>
          <w:w w:val="100"/>
        </w:rPr>
        <w:t> </w:t>
      </w:r>
      <w:r>
        <w:rPr>
          <w:spacing w:val="-4"/>
        </w:rPr>
        <w:t>还在进程中，原来按所得税率</w:t>
      </w:r>
      <w:r>
        <w:rPr>
          <w:spacing w:val="-39"/>
        </w:rPr>
        <w:t> </w:t>
      </w:r>
      <w:r>
        <w:rPr>
          <w:rFonts w:ascii="宋体" w:hAnsi="宋体" w:cs="宋体" w:eastAsia="宋体" w:hint="default"/>
          <w:spacing w:val="-5"/>
        </w:rPr>
        <w:t>10%</w:t>
      </w:r>
      <w:r>
        <w:rPr>
          <w:spacing w:val="-5"/>
        </w:rPr>
        <w:t>计算，现在按</w:t>
      </w:r>
      <w:r>
        <w:rPr>
          <w:spacing w:val="-40"/>
        </w:rPr>
        <w:t> </w:t>
      </w:r>
      <w:r>
        <w:rPr>
          <w:rFonts w:ascii="宋体" w:hAnsi="宋体" w:cs="宋体" w:eastAsia="宋体" w:hint="default"/>
          <w:spacing w:val="-5"/>
        </w:rPr>
        <w:t>15%</w:t>
      </w:r>
      <w:r>
        <w:rPr>
          <w:spacing w:val="-5"/>
        </w:rPr>
        <w:t>计算，评审通过后，</w:t>
      </w:r>
      <w:r>
        <w:rPr>
          <w:rFonts w:ascii="宋体" w:hAnsi="宋体" w:cs="宋体" w:eastAsia="宋体" w:hint="default"/>
          <w:spacing w:val="-5"/>
        </w:rPr>
        <w:t>5</w:t>
      </w:r>
      <w:r>
        <w:rPr>
          <w:rFonts w:ascii="宋体" w:hAnsi="宋体" w:cs="宋体" w:eastAsia="宋体" w:hint="default"/>
          <w:spacing w:val="-40"/>
        </w:rPr>
        <w:t> </w:t>
      </w:r>
      <w:r>
        <w:rPr/>
        <w:t>个点所得税政策在</w:t>
      </w:r>
      <w:r>
        <w:rPr>
          <w:spacing w:val="-39"/>
        </w:rPr>
        <w:t> </w:t>
      </w:r>
      <w:r>
        <w:rPr>
          <w:rFonts w:ascii="宋体" w:hAnsi="宋体" w:cs="宋体" w:eastAsia="宋体" w:hint="default"/>
        </w:rPr>
        <w:t>2016</w:t>
      </w:r>
      <w:r>
        <w:rPr>
          <w:rFonts w:ascii="宋体" w:hAnsi="宋体" w:cs="宋体" w:eastAsia="宋体" w:hint="default"/>
          <w:spacing w:val="-100"/>
        </w:rPr>
        <w:t> </w:t>
      </w:r>
      <w:r>
        <w:rPr>
          <w:rFonts w:ascii="宋体" w:hAnsi="宋体" w:cs="宋体" w:eastAsia="宋体" w:hint="default"/>
          <w:spacing w:val="-100"/>
        </w:rPr>
      </w:r>
      <w:r>
        <w:rPr/>
        <w:t>年一起享受。</w:t>
      </w:r>
    </w:p>
    <w:p>
      <w:pPr>
        <w:pStyle w:val="BodyText"/>
        <w:spacing w:line="272" w:lineRule="exact" w:before="26"/>
        <w:ind w:left="678" w:right="440" w:firstLine="419"/>
        <w:jc w:val="both"/>
      </w:pPr>
      <w:r>
        <w:rPr/>
        <w:t>（</w:t>
      </w:r>
      <w:r>
        <w:rPr>
          <w:rFonts w:ascii="宋体" w:hAnsi="宋体" w:cs="宋体" w:eastAsia="宋体" w:hint="default"/>
        </w:rPr>
        <w:t>5</w:t>
      </w:r>
      <w:r>
        <w:rPr/>
        <w:t>）</w:t>
      </w:r>
      <w:r>
        <w:rPr>
          <w:rFonts w:ascii="宋体" w:hAnsi="宋体" w:cs="宋体" w:eastAsia="宋体" w:hint="default"/>
        </w:rPr>
        <w:t>2015</w:t>
      </w:r>
      <w:r>
        <w:rPr>
          <w:rFonts w:ascii="宋体" w:hAnsi="宋体" w:cs="宋体" w:eastAsia="宋体" w:hint="default"/>
          <w:spacing w:val="-57"/>
        </w:rPr>
        <w:t> </w:t>
      </w:r>
      <w:r>
        <w:rPr/>
        <w:t>年公司本期研发费用投入同比增长</w:t>
      </w:r>
      <w:r>
        <w:rPr>
          <w:spacing w:val="-55"/>
        </w:rPr>
        <w:t> </w:t>
      </w:r>
      <w:r>
        <w:rPr>
          <w:rFonts w:ascii="宋体" w:hAnsi="宋体" w:cs="宋体" w:eastAsia="宋体" w:hint="default"/>
        </w:rPr>
        <w:t>46.08%</w:t>
      </w:r>
      <w:r>
        <w:rPr/>
        <w:t>，本期享受技术开发费加计扣除政策同</w:t>
      </w:r>
      <w:r>
        <w:rPr>
          <w:w w:val="100"/>
        </w:rPr>
        <w:t> </w:t>
      </w:r>
      <w:r>
        <w:rPr/>
        <w:t>比增加。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120" w:right="840"/>
        </w:sectPr>
      </w:pPr>
    </w:p>
    <w:p>
      <w:pPr>
        <w:pStyle w:val="Heading4"/>
        <w:tabs>
          <w:tab w:pos="1097" w:val="left" w:leader="none"/>
        </w:tabs>
        <w:spacing w:line="290" w:lineRule="auto"/>
        <w:ind w:left="678" w:right="0"/>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678" w:right="0"/>
        <w:jc w:val="left"/>
      </w:pPr>
      <w:r>
        <w:rPr/>
        <w:t>单位：元</w:t>
      </w:r>
    </w:p>
    <w:p>
      <w:pPr>
        <w:spacing w:after="0" w:line="240" w:lineRule="auto"/>
        <w:jc w:val="left"/>
        <w:sectPr>
          <w:type w:val="continuous"/>
          <w:pgSz w:w="11910" w:h="16840"/>
          <w:pgMar w:top="1120" w:bottom="1380" w:left="1120" w:right="840"/>
          <w:cols w:num="2" w:equalWidth="0">
            <w:col w:w="2157" w:space="5837"/>
            <w:col w:w="1956"/>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795"/>
        <w:gridCol w:w="5255"/>
      </w:tblGrid>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862,614,676.32</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862,614,676.32</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38.76</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3,483</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59.81</w:t>
            </w:r>
          </w:p>
        </w:tc>
      </w:tr>
    </w:tbl>
    <w:p>
      <w:pPr>
        <w:spacing w:after="0" w:line="241" w:lineRule="exact"/>
        <w:jc w:val="right"/>
        <w:rPr>
          <w:rFonts w:ascii="宋体" w:hAnsi="宋体" w:cs="宋体" w:eastAsia="宋体" w:hint="default"/>
          <w:sz w:val="21"/>
          <w:szCs w:val="21"/>
        </w:rPr>
        <w:sectPr>
          <w:type w:val="continuous"/>
          <w:pgSz w:w="11910" w:h="16840"/>
          <w:pgMar w:top="1120" w:bottom="1380" w:left="1120" w:right="8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425" w:type="dxa"/>
        <w:tblLayout w:type="fixed"/>
        <w:tblCellMar>
          <w:top w:w="0" w:type="dxa"/>
          <w:left w:w="0" w:type="dxa"/>
          <w:bottom w:w="0" w:type="dxa"/>
          <w:right w:w="0" w:type="dxa"/>
        </w:tblCellMar>
        <w:tblLook w:val="01E0"/>
      </w:tblPr>
      <w:tblGrid>
        <w:gridCol w:w="3795"/>
        <w:gridCol w:w="5255"/>
      </w:tblGrid>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2"/>
        <w:rPr>
          <w:rFonts w:ascii="宋体" w:hAnsi="宋体" w:cs="宋体" w:eastAsia="宋体" w:hint="default"/>
          <w:sz w:val="20"/>
          <w:szCs w:val="20"/>
        </w:rPr>
      </w:pPr>
    </w:p>
    <w:p>
      <w:pPr>
        <w:pStyle w:val="Heading4"/>
        <w:spacing w:line="240" w:lineRule="auto"/>
        <w:ind w:left="1538" w:right="344"/>
        <w:jc w:val="left"/>
        <w:rPr>
          <w:b w:val="0"/>
          <w:bCs w:val="0"/>
        </w:rPr>
      </w:pPr>
      <w:r>
        <w:rPr/>
        <w:t>情况说明</w:t>
      </w:r>
      <w:r>
        <w:rPr>
          <w:b w:val="0"/>
          <w:bCs w:val="0"/>
        </w:rPr>
      </w:r>
    </w:p>
    <w:p>
      <w:pPr>
        <w:pStyle w:val="BodyText"/>
        <w:spacing w:line="237" w:lineRule="auto" w:before="59"/>
        <w:ind w:left="1538" w:right="927" w:firstLine="419"/>
        <w:jc w:val="both"/>
      </w:pPr>
      <w:r>
        <w:rPr>
          <w:spacing w:val="-2"/>
        </w:rPr>
        <w:t>公司研发中心成立多年，在技术平台的研发上不断积累，实现了行业内的领先，是恒生核心</w:t>
      </w:r>
      <w:r>
        <w:rPr>
          <w:w w:val="100"/>
        </w:rPr>
        <w:t> </w:t>
      </w:r>
      <w:r>
        <w:rPr>
          <w:spacing w:val="-3"/>
        </w:rPr>
        <w:t>竞争优势的基础，恒生研发中心还承担了国家级、省级重点项目的研发工作，</w:t>
      </w:r>
      <w:r>
        <w:rPr>
          <w:rFonts w:ascii="宋体" w:hAnsi="宋体" w:cs="宋体" w:eastAsia="宋体" w:hint="default"/>
          <w:spacing w:val="-3"/>
        </w:rPr>
        <w:t>2015 </w:t>
      </w:r>
      <w:r>
        <w:rPr/>
        <w:t>年公司进一步</w:t>
      </w:r>
      <w:r>
        <w:rPr>
          <w:spacing w:val="-89"/>
        </w:rPr>
        <w:t> </w:t>
      </w:r>
      <w:r>
        <w:rPr>
          <w:spacing w:val="-89"/>
        </w:rPr>
      </w:r>
      <w:r>
        <w:rPr>
          <w:spacing w:val="-2"/>
        </w:rPr>
        <w:t>加大了在基础平台研发的投入，证券公司新业务和新产品的密集发布，证券公司升级松藕合架构</w:t>
      </w:r>
      <w:r>
        <w:rPr>
          <w:spacing w:val="-25"/>
        </w:rPr>
        <w:t> </w:t>
      </w:r>
      <w:r>
        <w:rPr>
          <w:spacing w:val="-25"/>
        </w:rPr>
      </w:r>
      <w:r>
        <w:rPr/>
        <w:t>核心交易系统的需求爆发，</w:t>
      </w:r>
      <w:r>
        <w:rPr>
          <w:rFonts w:ascii="宋体" w:hAnsi="宋体" w:cs="宋体" w:eastAsia="宋体" w:hint="default"/>
        </w:rPr>
        <w:t>UF2.0</w:t>
      </w:r>
      <w:r>
        <w:rPr>
          <w:rFonts w:ascii="宋体" w:hAnsi="宋体" w:cs="宋体" w:eastAsia="宋体" w:hint="default"/>
          <w:spacing w:val="-54"/>
        </w:rPr>
        <w:t> </w:t>
      </w:r>
      <w:r>
        <w:rPr/>
        <w:t>升级；涉及</w:t>
      </w:r>
      <w:r>
        <w:rPr>
          <w:spacing w:val="-56"/>
        </w:rPr>
        <w:t> </w:t>
      </w:r>
      <w:r>
        <w:rPr>
          <w:rFonts w:ascii="宋体" w:hAnsi="宋体" w:cs="宋体" w:eastAsia="宋体" w:hint="default"/>
        </w:rPr>
        <w:t>PB</w:t>
      </w:r>
      <w:r>
        <w:rPr/>
        <w:t>、期货、做市、托管估值、基金子公司估值、全</w:t>
      </w:r>
      <w:r>
        <w:rPr>
          <w:w w:val="100"/>
        </w:rPr>
        <w:t> </w:t>
      </w:r>
      <w:r>
        <w:rPr/>
        <w:t>面风控</w:t>
      </w:r>
      <w:r>
        <w:rPr>
          <w:spacing w:val="-3"/>
        </w:rPr>
        <w:t> </w:t>
      </w:r>
      <w:r>
        <w:rPr>
          <w:rFonts w:ascii="宋体" w:hAnsi="宋体" w:cs="宋体" w:eastAsia="宋体" w:hint="default"/>
        </w:rPr>
        <w:t>6</w:t>
      </w:r>
      <w:r>
        <w:rPr>
          <w:rFonts w:ascii="宋体" w:hAnsi="宋体" w:cs="宋体" w:eastAsia="宋体" w:hint="default"/>
          <w:spacing w:val="-56"/>
        </w:rPr>
        <w:t> </w:t>
      </w:r>
      <w:r>
        <w:rPr/>
        <w:t>个新领域软件产品升级，</w:t>
      </w:r>
      <w:r>
        <w:rPr>
          <w:spacing w:val="-3"/>
        </w:rPr>
        <w:t> </w:t>
      </w:r>
      <w:r>
        <w:rPr/>
        <w:t>公司“投资系统</w:t>
      </w:r>
      <w:r>
        <w:rPr>
          <w:spacing w:val="-53"/>
        </w:rPr>
        <w:t> </w:t>
      </w:r>
      <w:r>
        <w:rPr>
          <w:rFonts w:ascii="宋体" w:hAnsi="宋体" w:cs="宋体" w:eastAsia="宋体" w:hint="default"/>
        </w:rPr>
        <w:t>O4</w:t>
      </w:r>
      <w:r>
        <w:rPr>
          <w:rFonts w:ascii="宋体" w:hAnsi="宋体" w:cs="宋体" w:eastAsia="宋体" w:hint="default"/>
          <w:spacing w:val="-56"/>
        </w:rPr>
        <w:t> </w:t>
      </w:r>
      <w:r>
        <w:rPr/>
        <w:t>完成研发并结项”等。</w:t>
      </w:r>
    </w:p>
    <w:p>
      <w:pPr>
        <w:pStyle w:val="BodyText"/>
        <w:spacing w:line="274" w:lineRule="exact"/>
        <w:ind w:left="1960" w:right="344"/>
        <w:jc w:val="left"/>
      </w:pPr>
      <w:r>
        <w:rPr/>
        <w:t>公司一贯基于稳健经营的考虑，研发费用直接计入当期损益，不作资本化处理。</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tabs>
          <w:tab w:pos="1957" w:val="left" w:leader="none"/>
        </w:tabs>
        <w:spacing w:line="240" w:lineRule="auto" w:before="0"/>
        <w:ind w:left="1538" w:right="344"/>
        <w:jc w:val="left"/>
        <w:rPr>
          <w:b w:val="0"/>
          <w:bCs w:val="0"/>
        </w:rPr>
      </w:pPr>
      <w:r>
        <w:rPr>
          <w:rFonts w:ascii="宋体" w:hAnsi="宋体" w:cs="宋体" w:eastAsia="宋体" w:hint="default"/>
          <w:w w:val="95"/>
        </w:rPr>
        <w:t>4.</w:t>
        <w:tab/>
      </w:r>
      <w:r>
        <w:rPr/>
        <w:t>现金流</w:t>
      </w:r>
      <w:r>
        <w:rPr>
          <w:b w:val="0"/>
          <w:bCs w:val="0"/>
        </w:rPr>
      </w:r>
    </w:p>
    <w:p>
      <w:pPr>
        <w:pStyle w:val="BodyText"/>
        <w:spacing w:line="240" w:lineRule="auto" w:before="56"/>
        <w:ind w:left="1538" w:right="928" w:firstLine="419"/>
        <w:jc w:val="both"/>
      </w:pPr>
      <w:r>
        <w:rPr/>
        <w:t>经营活动产生的现金流量净额增长</w:t>
      </w:r>
      <w:r>
        <w:rPr>
          <w:spacing w:val="-29"/>
        </w:rPr>
        <w:t> </w:t>
      </w:r>
      <w:r>
        <w:rPr>
          <w:rFonts w:ascii="宋体" w:hAnsi="宋体" w:cs="宋体" w:eastAsia="宋体" w:hint="default"/>
          <w:spacing w:val="-3"/>
        </w:rPr>
        <w:t>61.63%</w:t>
      </w:r>
      <w:r>
        <w:rPr>
          <w:spacing w:val="-3"/>
        </w:rPr>
        <w:t>。主要系公司销售商品、提供劳务收到的现金增加</w:t>
      </w:r>
      <w:r>
        <w:rPr>
          <w:w w:val="100"/>
        </w:rPr>
        <w:t> </w:t>
      </w:r>
      <w:r>
        <w:rPr/>
        <w:t>所致。</w:t>
      </w:r>
    </w:p>
    <w:p>
      <w:pPr>
        <w:pStyle w:val="BodyText"/>
        <w:spacing w:line="274" w:lineRule="exact" w:before="22"/>
        <w:ind w:left="1538" w:right="937" w:firstLine="419"/>
        <w:jc w:val="both"/>
      </w:pPr>
      <w:r>
        <w:rPr>
          <w:spacing w:val="-2"/>
        </w:rPr>
        <w:t>投资活动产生的现金流量净额增长</w:t>
      </w:r>
      <w:r>
        <w:rPr>
          <w:rFonts w:ascii="宋体" w:hAnsi="宋体" w:cs="宋体" w:eastAsia="宋体" w:hint="default"/>
          <w:spacing w:val="-2"/>
        </w:rPr>
        <w:t>-286.83%</w:t>
      </w:r>
      <w:r>
        <w:rPr>
          <w:spacing w:val="-2"/>
        </w:rPr>
        <w:t>，主要系公司本期处置子公司杭州数米基金销售</w:t>
      </w:r>
      <w:r>
        <w:rPr>
          <w:w w:val="100"/>
        </w:rPr>
        <w:t> </w:t>
      </w:r>
      <w:r>
        <w:rPr/>
        <w:t>公司部分股权导致不纳入合并所致。</w:t>
      </w:r>
    </w:p>
    <w:p>
      <w:pPr>
        <w:pStyle w:val="BodyText"/>
        <w:spacing w:line="245" w:lineRule="exact"/>
        <w:ind w:left="1538" w:right="0" w:firstLine="419"/>
        <w:jc w:val="both"/>
      </w:pPr>
      <w:r>
        <w:rPr/>
        <w:t>筹资活动产生的现金流量净额增长</w:t>
      </w:r>
      <w:r>
        <w:rPr>
          <w:spacing w:val="-5"/>
        </w:rPr>
        <w:t> </w:t>
      </w:r>
      <w:r>
        <w:rPr>
          <w:rFonts w:ascii="宋体" w:hAnsi="宋体" w:cs="宋体" w:eastAsia="宋体" w:hint="default"/>
        </w:rPr>
        <w:t>368.62%</w:t>
      </w:r>
      <w:r>
        <w:rPr/>
        <w:t>，主要是子公司本期吸收少数股东投资收到现金</w:t>
      </w:r>
    </w:p>
    <w:p>
      <w:pPr>
        <w:pStyle w:val="BodyText"/>
        <w:spacing w:line="272" w:lineRule="exact" w:before="27"/>
        <w:ind w:left="1538" w:right="344"/>
        <w:jc w:val="left"/>
      </w:pPr>
      <w:r>
        <w:rPr>
          <w:spacing w:val="-7"/>
        </w:rPr>
        <w:t>比上年同期增加所致。其中：支付二期研发大楼提前还贷</w:t>
      </w:r>
      <w:r>
        <w:rPr>
          <w:spacing w:val="-32"/>
        </w:rPr>
        <w:t> </w:t>
      </w:r>
      <w:r>
        <w:rPr>
          <w:rFonts w:ascii="宋体" w:hAnsi="宋体" w:cs="宋体" w:eastAsia="宋体" w:hint="default"/>
        </w:rPr>
        <w:t>3020</w:t>
      </w:r>
      <w:r>
        <w:rPr>
          <w:rFonts w:ascii="宋体" w:hAnsi="宋体" w:cs="宋体" w:eastAsia="宋体" w:hint="default"/>
          <w:spacing w:val="-32"/>
        </w:rPr>
        <w:t> </w:t>
      </w:r>
      <w:r>
        <w:rPr>
          <w:spacing w:val="-12"/>
        </w:rPr>
        <w:t>万（银行贷款为零）支付分红</w:t>
      </w:r>
      <w:r>
        <w:rPr>
          <w:spacing w:val="-31"/>
        </w:rPr>
        <w:t> </w:t>
      </w:r>
      <w:r>
        <w:rPr>
          <w:rFonts w:ascii="宋体" w:hAnsi="宋体" w:cs="宋体" w:eastAsia="宋体" w:hint="default"/>
        </w:rPr>
        <w:t>11164</w:t>
      </w:r>
      <w:r>
        <w:rPr>
          <w:rFonts w:ascii="宋体" w:hAnsi="宋体" w:cs="宋体" w:eastAsia="宋体" w:hint="default"/>
          <w:spacing w:val="-97"/>
        </w:rPr>
        <w:t> </w:t>
      </w:r>
      <w:r>
        <w:rPr>
          <w:rFonts w:ascii="宋体" w:hAnsi="宋体" w:cs="宋体" w:eastAsia="宋体" w:hint="default"/>
          <w:spacing w:val="-97"/>
        </w:rPr>
      </w:r>
      <w:r>
        <w:rPr/>
        <w:t>万元。</w:t>
      </w:r>
    </w:p>
    <w:p>
      <w:pPr>
        <w:spacing w:line="240" w:lineRule="auto" w:before="4"/>
        <w:rPr>
          <w:rFonts w:ascii="宋体" w:hAnsi="宋体" w:cs="宋体" w:eastAsia="宋体" w:hint="default"/>
          <w:sz w:val="23"/>
          <w:szCs w:val="23"/>
        </w:rPr>
      </w:pPr>
    </w:p>
    <w:p>
      <w:pPr>
        <w:pStyle w:val="Heading4"/>
        <w:spacing w:line="240" w:lineRule="auto" w:before="0"/>
        <w:ind w:left="1538" w:right="344"/>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非主营业务导致利润重大变化的说明</w:t>
      </w:r>
      <w:r>
        <w:rPr>
          <w:b w:val="0"/>
          <w:bCs w:val="0"/>
        </w:rPr>
      </w:r>
    </w:p>
    <w:p>
      <w:pPr>
        <w:pStyle w:val="BodyText"/>
        <w:spacing w:line="240" w:lineRule="auto" w:before="32"/>
        <w:ind w:left="1538" w:right="34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260" w:right="340"/>
        </w:sectPr>
      </w:pPr>
    </w:p>
    <w:p>
      <w:pPr>
        <w:pStyle w:val="Heading4"/>
        <w:spacing w:line="240" w:lineRule="auto"/>
        <w:ind w:left="1538" w:right="-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资产、负债情况分析</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Heading4"/>
        <w:spacing w:line="240" w:lineRule="auto" w:before="0"/>
        <w:ind w:left="1316" w:right="-17"/>
        <w:jc w:val="left"/>
        <w:rPr>
          <w:b w:val="0"/>
          <w:bCs w:val="0"/>
        </w:rPr>
      </w:pP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1538" w:right="0"/>
        <w:jc w:val="left"/>
      </w:pPr>
      <w:r>
        <w:rPr/>
        <w:t>单位：元</w:t>
      </w:r>
    </w:p>
    <w:p>
      <w:pPr>
        <w:spacing w:after="0" w:line="240" w:lineRule="auto"/>
        <w:jc w:val="left"/>
        <w:sectPr>
          <w:type w:val="continuous"/>
          <w:pgSz w:w="11910" w:h="16840"/>
          <w:pgMar w:top="1120" w:bottom="1380" w:left="260" w:right="340"/>
          <w:cols w:num="3" w:equalWidth="0">
            <w:col w:w="3859" w:space="40"/>
            <w:col w:w="2796" w:space="1299"/>
            <w:col w:w="3316"/>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524"/>
        <w:gridCol w:w="1899"/>
        <w:gridCol w:w="1188"/>
        <w:gridCol w:w="1688"/>
        <w:gridCol w:w="1015"/>
        <w:gridCol w:w="1104"/>
        <w:gridCol w:w="2643"/>
      </w:tblGrid>
      <w:tr>
        <w:trPr>
          <w:trHeight w:val="137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68" w:right="165"/>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1" w:lineRule="exact"/>
              <w:ind w:left="3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both"/>
              <w:rPr>
                <w:rFonts w:ascii="宋体" w:hAnsi="宋体" w:cs="宋体" w:eastAsia="宋体" w:hint="default"/>
                <w:sz w:val="21"/>
                <w:szCs w:val="21"/>
              </w:rPr>
            </w:pPr>
            <w:r>
              <w:rPr>
                <w:rFonts w:ascii="宋体" w:hAnsi="宋体" w:cs="宋体" w:eastAsia="宋体" w:hint="default"/>
                <w:sz w:val="21"/>
                <w:szCs w:val="21"/>
              </w:rPr>
              <w:t>上期期</w:t>
            </w:r>
          </w:p>
          <w:p>
            <w:pPr>
              <w:pStyle w:val="TableParagraph"/>
              <w:spacing w:line="237" w:lineRule="auto" w:before="2"/>
              <w:ind w:left="187" w:right="182"/>
              <w:jc w:val="both"/>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1" w:lineRule="exact"/>
              <w:ind w:left="239"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before="2"/>
              <w:ind w:left="127" w:right="122"/>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1100"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302,552,931.69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7.61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522,325,564.63</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17.23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-42.08</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主要系公司到款集中在下</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半年</w:t>
            </w:r>
            <w:r>
              <w:rPr>
                <w:rFonts w:ascii="宋体" w:hAnsi="宋体" w:cs="宋体" w:eastAsia="宋体" w:hint="default"/>
                <w:sz w:val="21"/>
                <w:szCs w:val="21"/>
              </w:rPr>
              <w:t>,</w:t>
            </w:r>
            <w:r>
              <w:rPr>
                <w:rFonts w:ascii="宋体" w:hAnsi="宋体" w:cs="宋体" w:eastAsia="宋体" w:hint="default"/>
                <w:sz w:val="21"/>
                <w:szCs w:val="21"/>
              </w:rPr>
              <w:t>本期购入理财产品增</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0"/>
                <w:w w:val="100"/>
                <w:sz w:val="21"/>
                <w:szCs w:val="21"/>
              </w:rPr>
              <w:t>加，原子公司数米不纳入合</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并等原因。</w:t>
            </w:r>
          </w:p>
        </w:tc>
      </w:tr>
      <w:tr>
        <w:trPr>
          <w:trHeight w:val="55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11,071,037.49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0.28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6,508,876.33</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0.21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70.09</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主要系公司本期预付货款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增加所致。</w:t>
            </w:r>
          </w:p>
        </w:tc>
      </w:tr>
      <w:tr>
        <w:trPr>
          <w:trHeight w:val="28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58,656,916.98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57,361,999.19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2.26</w:t>
            </w:r>
          </w:p>
        </w:tc>
        <w:tc>
          <w:tcPr>
            <w:tcW w:w="264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1,248,688,722.54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31.41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918,619,376.49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30.31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35.93</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主要系公司本期购入不以</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pacing w:val="7"/>
                <w:sz w:val="21"/>
                <w:szCs w:val="21"/>
              </w:rPr>
              <w:t>公允价值计量的理财产品</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增加所致。</w:t>
            </w:r>
          </w:p>
        </w:tc>
      </w:tr>
      <w:tr>
        <w:trPr>
          <w:trHeight w:val="55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可供出售金融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852,801,976.64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21.45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423,863,248.05</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13.99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101.20</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主要系公司本期可供出售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金融资产投资增加所致。</w:t>
            </w:r>
          </w:p>
        </w:tc>
      </w:tr>
      <w:tr>
        <w:trPr>
          <w:trHeight w:val="828"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99"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155,807,049.87</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5.14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主要系公司本期软件园二</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pacing w:val="7"/>
                <w:sz w:val="21"/>
                <w:szCs w:val="21"/>
              </w:rPr>
              <w:t>期项目投入使用转固定资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产所致。</w:t>
            </w:r>
          </w:p>
        </w:tc>
      </w:tr>
      <w:tr>
        <w:trPr>
          <w:trHeight w:val="55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37,321,878.71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0.94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17,400,291.28</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0.57</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114.49</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主要系公司本期房屋出租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面积增加所致。</w:t>
            </w:r>
          </w:p>
        </w:tc>
      </w:tr>
    </w:tbl>
    <w:p>
      <w:pPr>
        <w:spacing w:after="0" w:line="273" w:lineRule="exact"/>
        <w:jc w:val="left"/>
        <w:rPr>
          <w:rFonts w:ascii="宋体" w:hAnsi="宋体" w:cs="宋体" w:eastAsia="宋体" w:hint="default"/>
          <w:sz w:val="21"/>
          <w:szCs w:val="21"/>
        </w:rPr>
        <w:sectPr>
          <w:type w:val="continuous"/>
          <w:pgSz w:w="11910" w:h="16840"/>
          <w:pgMar w:top="1120" w:bottom="1380" w:left="260" w:right="3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524"/>
        <w:gridCol w:w="1899"/>
        <w:gridCol w:w="1188"/>
        <w:gridCol w:w="1688"/>
        <w:gridCol w:w="1015"/>
        <w:gridCol w:w="1104"/>
        <w:gridCol w:w="2643"/>
      </w:tblGrid>
      <w:tr>
        <w:trPr>
          <w:trHeight w:val="557"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782,361,095.41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19.68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464,946,059.45</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15.34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68.27</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主要系公司本期销售增长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预收款项增加所致</w:t>
            </w:r>
          </w:p>
        </w:tc>
      </w:tr>
      <w:tr>
        <w:trPr>
          <w:trHeight w:val="82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315,493,125.93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7.94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89,428,785.86</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2.95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252.79</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主要系公司本期软件园二</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pacing w:val="7"/>
                <w:sz w:val="21"/>
                <w:szCs w:val="21"/>
              </w:rPr>
              <w:t>期项目投入使用转固定资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产所致。</w:t>
            </w:r>
          </w:p>
        </w:tc>
      </w:tr>
      <w:tr>
        <w:trPr>
          <w:trHeight w:val="55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620,206,079.24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15.60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321,866,784.05</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10.62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92.69</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主要系公司本期长期股权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投资增加所致。</w:t>
            </w:r>
          </w:p>
        </w:tc>
      </w:tr>
      <w:tr>
        <w:trPr>
          <w:trHeight w:val="828"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84,996,521.69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2.14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245,676,109.85</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8.11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-65.40</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主要系本期处置子公司数</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pacing w:val="7"/>
                <w:sz w:val="21"/>
                <w:szCs w:val="21"/>
              </w:rPr>
              <w:t>米基金部分股权不纳入合</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并所致。</w:t>
            </w:r>
          </w:p>
        </w:tc>
      </w:tr>
      <w:tr>
        <w:trPr>
          <w:trHeight w:val="55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99"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30,199,000.00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主要系公司本期已偿还银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行长期借款。</w:t>
            </w:r>
          </w:p>
        </w:tc>
      </w:tr>
    </w:tbl>
    <w:p>
      <w:pPr>
        <w:spacing w:line="240" w:lineRule="auto" w:before="8"/>
        <w:rPr>
          <w:rFonts w:ascii="宋体" w:hAnsi="宋体" w:cs="宋体" w:eastAsia="宋体" w:hint="default"/>
          <w:sz w:val="15"/>
          <w:szCs w:val="15"/>
        </w:rPr>
      </w:pPr>
    </w:p>
    <w:p>
      <w:pPr>
        <w:pStyle w:val="BodyText"/>
        <w:spacing w:line="272" w:lineRule="exact" w:before="64"/>
        <w:ind w:left="1538" w:right="1044"/>
        <w:jc w:val="left"/>
      </w:pPr>
      <w:r>
        <w:rPr/>
        <w:t>其他说明</w:t>
      </w:r>
      <w:r>
        <w:rPr>
          <w:w w:val="100"/>
        </w:rPr>
        <w:t> </w:t>
      </w:r>
      <w:r>
        <w:rPr>
          <w:spacing w:val="-2"/>
        </w:rPr>
        <w:t>本条内容详见财务附注审计报告附注：公司主要会计报表项目的异常情况及原因的说明</w:t>
      </w:r>
    </w:p>
    <w:p>
      <w:pPr>
        <w:pStyle w:val="Heading4"/>
        <w:spacing w:line="240" w:lineRule="auto" w:before="34"/>
        <w:ind w:left="1538" w:right="344"/>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3"/>
        </w:rPr>
        <w:t> </w:t>
      </w:r>
      <w:r>
        <w:rPr/>
        <w:t>行业经营性信息分析</w:t>
      </w:r>
      <w:r>
        <w:rPr>
          <w:b w:val="0"/>
          <w:bCs w:val="0"/>
        </w:rPr>
      </w:r>
    </w:p>
    <w:p>
      <w:pPr>
        <w:spacing w:line="240" w:lineRule="auto" w:before="3"/>
        <w:rPr>
          <w:rFonts w:ascii="宋体" w:hAnsi="宋体" w:cs="宋体" w:eastAsia="宋体" w:hint="default"/>
          <w:b/>
          <w:bCs/>
          <w:sz w:val="23"/>
          <w:szCs w:val="23"/>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0" w:footer="1195" w:top="1120" w:bottom="1380" w:left="260" w:right="340"/>
        </w:sectPr>
      </w:pPr>
    </w:p>
    <w:p>
      <w:pPr>
        <w:spacing w:line="240" w:lineRule="auto" w:before="11"/>
        <w:rPr>
          <w:rFonts w:ascii="宋体" w:hAnsi="宋体" w:cs="宋体" w:eastAsia="宋体" w:hint="default"/>
          <w:b/>
          <w:bCs/>
          <w:sz w:val="29"/>
          <w:szCs w:val="29"/>
        </w:rPr>
      </w:pPr>
    </w:p>
    <w:p>
      <w:pPr>
        <w:pStyle w:val="Heading4"/>
        <w:spacing w:line="240" w:lineRule="auto"/>
        <w:ind w:left="81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1"/>
        </w:rPr>
        <w:t> </w:t>
      </w:r>
      <w:r>
        <w:rPr/>
        <w:t>投资状况分析</w:t>
      </w:r>
      <w:r>
        <w:rPr>
          <w:b w:val="0"/>
          <w:bCs w:val="0"/>
        </w:rPr>
      </w:r>
    </w:p>
    <w:p>
      <w:pPr>
        <w:pStyle w:val="Heading4"/>
        <w:spacing w:line="240" w:lineRule="auto" w:before="32"/>
        <w:ind w:left="818" w:right="0"/>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spacing w:line="240" w:lineRule="auto" w:before="3"/>
        <w:rPr>
          <w:rFonts w:ascii="宋体" w:hAnsi="宋体" w:cs="宋体" w:eastAsia="宋体" w:hint="default"/>
          <w:b/>
          <w:bCs/>
          <w:sz w:val="25"/>
          <w:szCs w:val="25"/>
        </w:rPr>
      </w:pPr>
    </w:p>
    <w:p>
      <w:pPr>
        <w:spacing w:line="20" w:lineRule="exact"/>
        <w:ind w:left="8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818"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051" w:val="left" w:leader="none"/>
        </w:tabs>
        <w:spacing w:line="240" w:lineRule="auto" w:before="58"/>
        <w:ind w:left="0" w:right="390"/>
        <w:jc w:val="right"/>
      </w:pPr>
      <w:r>
        <w:rPr>
          <w:spacing w:val="-1"/>
        </w:rPr>
        <w:t>单位：元</w:t>
        <w:tab/>
        <w:t>币种：</w:t>
      </w:r>
      <w:r>
        <w:rPr>
          <w:spacing w:val="5"/>
        </w:rPr>
        <w:t> </w:t>
      </w:r>
      <w:r>
        <w:rPr>
          <w:spacing w:val="-1"/>
        </w:rPr>
        <w:t>人民币</w:t>
      </w:r>
    </w:p>
    <w:p>
      <w:pPr>
        <w:spacing w:line="240" w:lineRule="auto" w:before="4"/>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1951"/>
        <w:gridCol w:w="1441"/>
        <w:gridCol w:w="1688"/>
        <w:gridCol w:w="1018"/>
        <w:gridCol w:w="1157"/>
        <w:gridCol w:w="1582"/>
      </w:tblGrid>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tabs>
                <w:tab w:pos="1391" w:val="left" w:leader="none"/>
              </w:tabs>
              <w:spacing w:line="240" w:lineRule="auto" w:before="102"/>
              <w:ind w:left="129" w:right="0"/>
              <w:jc w:val="left"/>
              <w:rPr>
                <w:rFonts w:ascii="宋体" w:hAnsi="宋体" w:cs="宋体" w:eastAsia="宋体" w:hint="default"/>
                <w:sz w:val="21"/>
                <w:szCs w:val="21"/>
              </w:rPr>
            </w:pPr>
            <w:r>
              <w:rPr>
                <w:rFonts w:ascii="宋体" w:hAnsi="宋体" w:cs="宋体" w:eastAsia="宋体" w:hint="default"/>
                <w:spacing w:val="-1"/>
                <w:sz w:val="21"/>
                <w:szCs w:val="21"/>
              </w:rPr>
              <w:t>被投资公司</w:t>
              <w:tab/>
            </w:r>
            <w:r>
              <w:rPr>
                <w:rFonts w:ascii="宋体" w:hAnsi="宋体" w:cs="宋体" w:eastAsia="宋体" w:hint="default"/>
                <w:spacing w:val="-3"/>
                <w:sz w:val="21"/>
                <w:szCs w:val="21"/>
              </w:rPr>
              <w:t>名称</w:t>
            </w:r>
            <w:r>
              <w:rPr>
                <w:rFonts w:ascii="宋体" w:hAnsi="宋体" w:cs="宋体" w:eastAsia="宋体" w:hint="default"/>
                <w:sz w:val="21"/>
                <w:szCs w:val="21"/>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主要业务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投资金额</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9"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74" w:lineRule="exact"/>
              <w:ind w:left="23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资金来源</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本期投资盈亏</w:t>
            </w:r>
          </w:p>
        </w:tc>
      </w:tr>
      <w:tr>
        <w:trPr>
          <w:trHeight w:val="557"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中证信用增进股份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信用业务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100,000,000.00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2.44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自有资金</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深圳开拓者科技有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72,000,000.00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43.375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自有资金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8" w:right="0"/>
              <w:jc w:val="center"/>
              <w:rPr>
                <w:rFonts w:ascii="宋体" w:hAnsi="宋体" w:cs="宋体" w:eastAsia="宋体" w:hint="default"/>
                <w:sz w:val="21"/>
                <w:szCs w:val="21"/>
              </w:rPr>
            </w:pPr>
            <w:r>
              <w:rPr>
                <w:rFonts w:ascii="宋体"/>
                <w:sz w:val="21"/>
              </w:rPr>
              <w:t>7,678,212.66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818"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366" w:val="left" w:leader="none"/>
        </w:tabs>
        <w:spacing w:line="240" w:lineRule="auto" w:before="56"/>
        <w:ind w:left="0" w:right="390"/>
        <w:jc w:val="right"/>
      </w:pPr>
      <w:r>
        <w:rPr/>
        <w:t>单位：</w:t>
      </w:r>
      <w:r>
        <w:rPr>
          <w:spacing w:val="1"/>
        </w:rPr>
        <w:t> </w:t>
      </w:r>
      <w:r>
        <w:rPr/>
        <w:t>万元</w:t>
        <w:tab/>
        <w:t>币种：</w:t>
      </w:r>
      <w:r>
        <w:rPr>
          <w:spacing w:val="1"/>
        </w:rPr>
        <w:t> </w:t>
      </w:r>
      <w:r>
        <w:rPr/>
        <w:t>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96"/>
        <w:gridCol w:w="1289"/>
        <w:gridCol w:w="1159"/>
        <w:gridCol w:w="1133"/>
        <w:gridCol w:w="1272"/>
        <w:gridCol w:w="1292"/>
        <w:gridCol w:w="1277"/>
      </w:tblGrid>
      <w:tr>
        <w:trPr>
          <w:trHeight w:val="75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7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92"/>
              <w:ind w:left="322" w:right="219" w:hanging="107"/>
              <w:jc w:val="left"/>
              <w:rPr>
                <w:rFonts w:ascii="宋体" w:hAnsi="宋体" w:cs="宋体" w:eastAsia="宋体" w:hint="default"/>
                <w:sz w:val="21"/>
                <w:szCs w:val="21"/>
              </w:rPr>
            </w:pPr>
            <w:r>
              <w:rPr>
                <w:rFonts w:ascii="宋体" w:hAnsi="宋体" w:cs="宋体" w:eastAsia="宋体" w:hint="default"/>
                <w:sz w:val="21"/>
                <w:szCs w:val="21"/>
              </w:rPr>
              <w:t>项目已投</w:t>
            </w:r>
            <w:r>
              <w:rPr>
                <w:rFonts w:ascii="宋体" w:hAnsi="宋体" w:cs="宋体" w:eastAsia="宋体" w:hint="default"/>
                <w:w w:val="100"/>
                <w:sz w:val="21"/>
                <w:szCs w:val="21"/>
              </w:rPr>
              <w:t> </w:t>
            </w:r>
            <w:r>
              <w:rPr>
                <w:rFonts w:ascii="宋体" w:hAnsi="宋体" w:cs="宋体" w:eastAsia="宋体" w:hint="default"/>
                <w:sz w:val="21"/>
                <w:szCs w:val="21"/>
              </w:rPr>
              <w:t>入总额</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92"/>
              <w:ind w:left="153" w:right="151" w:hanging="3"/>
              <w:jc w:val="left"/>
              <w:rPr>
                <w:rFonts w:ascii="宋体" w:hAnsi="宋体" w:cs="宋体" w:eastAsia="宋体" w:hint="default"/>
                <w:sz w:val="21"/>
                <w:szCs w:val="21"/>
              </w:rPr>
            </w:pPr>
            <w:r>
              <w:rPr>
                <w:rFonts w:ascii="宋体" w:hAnsi="宋体" w:cs="宋体" w:eastAsia="宋体" w:hint="default"/>
                <w:sz w:val="21"/>
                <w:szCs w:val="21"/>
              </w:rPr>
              <w:t>项目本年</w:t>
            </w:r>
            <w:r>
              <w:rPr>
                <w:rFonts w:ascii="宋体" w:hAnsi="宋体" w:cs="宋体" w:eastAsia="宋体" w:hint="default"/>
                <w:w w:val="100"/>
                <w:sz w:val="21"/>
                <w:szCs w:val="21"/>
              </w:rPr>
              <w:t> </w:t>
            </w:r>
            <w:r>
              <w:rPr>
                <w:rFonts w:ascii="宋体" w:hAnsi="宋体" w:cs="宋体" w:eastAsia="宋体" w:hint="default"/>
                <w:sz w:val="21"/>
                <w:szCs w:val="21"/>
              </w:rPr>
              <w:t>投入金额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92"/>
              <w:ind w:left="141" w:right="137" w:hanging="3"/>
              <w:jc w:val="left"/>
              <w:rPr>
                <w:rFonts w:ascii="宋体" w:hAnsi="宋体" w:cs="宋体" w:eastAsia="宋体" w:hint="default"/>
                <w:sz w:val="21"/>
                <w:szCs w:val="21"/>
              </w:rPr>
            </w:pPr>
            <w:r>
              <w:rPr>
                <w:rFonts w:ascii="宋体" w:hAnsi="宋体" w:cs="宋体" w:eastAsia="宋体" w:hint="default"/>
                <w:sz w:val="21"/>
                <w:szCs w:val="21"/>
              </w:rPr>
              <w:t>项目本年</w:t>
            </w:r>
            <w:r>
              <w:rPr>
                <w:rFonts w:ascii="宋体" w:hAnsi="宋体" w:cs="宋体" w:eastAsia="宋体" w:hint="default"/>
                <w:w w:val="100"/>
                <w:sz w:val="21"/>
                <w:szCs w:val="21"/>
              </w:rPr>
              <w:t> </w:t>
            </w:r>
            <w:r>
              <w:rPr>
                <w:rFonts w:ascii="宋体" w:hAnsi="宋体" w:cs="宋体" w:eastAsia="宋体" w:hint="default"/>
                <w:sz w:val="21"/>
                <w:szCs w:val="21"/>
              </w:rPr>
              <w:t>收回成本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92"/>
              <w:ind w:left="211" w:right="101" w:hanging="106"/>
              <w:jc w:val="left"/>
              <w:rPr>
                <w:rFonts w:ascii="宋体" w:hAnsi="宋体" w:cs="宋体" w:eastAsia="宋体" w:hint="default"/>
                <w:sz w:val="21"/>
                <w:szCs w:val="21"/>
              </w:rPr>
            </w:pPr>
            <w:r>
              <w:rPr>
                <w:rFonts w:ascii="宋体" w:hAnsi="宋体" w:cs="宋体" w:eastAsia="宋体" w:hint="default"/>
                <w:sz w:val="21"/>
                <w:szCs w:val="21"/>
              </w:rPr>
              <w:t>项目累计已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收回成本</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92"/>
              <w:ind w:left="323" w:right="113" w:hanging="212"/>
              <w:jc w:val="left"/>
              <w:rPr>
                <w:rFonts w:ascii="宋体" w:hAnsi="宋体" w:cs="宋体" w:eastAsia="宋体" w:hint="default"/>
                <w:sz w:val="21"/>
                <w:szCs w:val="21"/>
              </w:rPr>
            </w:pPr>
            <w:r>
              <w:rPr>
                <w:rFonts w:ascii="宋体" w:hAnsi="宋体" w:cs="宋体" w:eastAsia="宋体" w:hint="default"/>
                <w:sz w:val="21"/>
                <w:szCs w:val="21"/>
              </w:rPr>
              <w:t>本年项目收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益情况</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1"/>
              <w:jc w:val="right"/>
              <w:rPr>
                <w:rFonts w:ascii="宋体" w:hAnsi="宋体" w:cs="宋体" w:eastAsia="宋体" w:hint="default"/>
                <w:sz w:val="21"/>
                <w:szCs w:val="21"/>
              </w:rPr>
            </w:pPr>
            <w:r>
              <w:rPr>
                <w:rFonts w:ascii="宋体" w:hAnsi="宋体" w:cs="宋体" w:eastAsia="宋体" w:hint="default"/>
                <w:spacing w:val="-1"/>
                <w:sz w:val="21"/>
                <w:szCs w:val="21"/>
              </w:rPr>
              <w:t>资金来源</w:t>
            </w:r>
          </w:p>
        </w:tc>
      </w:tr>
      <w:tr>
        <w:trPr>
          <w:trHeight w:val="55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天津鼎晖股权投资一期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基金（有限合伙）</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7,953.13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104.41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2,627.51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3,637.45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4,486.07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r>
      <w:tr>
        <w:trPr>
          <w:trHeight w:val="55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天津鼎晖嘉瑞股权投资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基金（有限合伙）</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1,000.00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21.20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550.81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10.93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r>
      <w:tr>
        <w:trPr>
          <w:trHeight w:val="55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天津鼎晖恒瑞股权投资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基金（有限合伙）</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2,000.00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41.06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776.93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100.87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r>
      <w:tr>
        <w:trPr>
          <w:trHeight w:val="55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星环信息科技（上海）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1,094.59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87.84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r>
      <w:tr>
        <w:trPr>
          <w:trHeight w:val="55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嘉兴极地信天壹期投资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合伙企业（有限合伙）</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2,000.00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78.52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r>
      <w:tr>
        <w:trPr>
          <w:trHeight w:val="55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杭州天璞创业投资合伙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企业（有限合伙）</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r>
      <w:tr>
        <w:trPr>
          <w:trHeight w:val="55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苏州方广创业投资合伙</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企业（有限合伙）</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2,400.00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r>
      <w:tr>
        <w:trPr>
          <w:trHeight w:val="557"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3"/>
              <w:jc w:val="left"/>
              <w:rPr>
                <w:rFonts w:ascii="宋体" w:hAnsi="宋体" w:cs="宋体" w:eastAsia="宋体" w:hint="default"/>
                <w:sz w:val="21"/>
                <w:szCs w:val="21"/>
              </w:rPr>
            </w:pPr>
            <w:r>
              <w:rPr>
                <w:rFonts w:ascii="宋体" w:hAnsi="宋体" w:cs="宋体" w:eastAsia="宋体" w:hint="default"/>
                <w:spacing w:val="5"/>
                <w:sz w:val="21"/>
                <w:szCs w:val="21"/>
              </w:rPr>
              <w:t>宁波市科发股权投资基</w:t>
            </w:r>
          </w:p>
          <w:p>
            <w:pPr>
              <w:pStyle w:val="TableParagraph"/>
              <w:spacing w:line="273" w:lineRule="exact"/>
              <w:ind w:left="100" w:right="-3"/>
              <w:jc w:val="left"/>
              <w:rPr>
                <w:rFonts w:ascii="宋体" w:hAnsi="宋体" w:cs="宋体" w:eastAsia="宋体" w:hint="default"/>
                <w:sz w:val="21"/>
                <w:szCs w:val="21"/>
              </w:rPr>
            </w:pPr>
            <w:r>
              <w:rPr>
                <w:rFonts w:ascii="宋体" w:hAnsi="宋体" w:cs="宋体" w:eastAsia="宋体" w:hint="default"/>
                <w:spacing w:val="-4"/>
                <w:sz w:val="21"/>
                <w:szCs w:val="21"/>
              </w:rPr>
              <w:t>金合伙企业（有限合伙）</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2,000.00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r>
      <w:tr>
        <w:trPr>
          <w:trHeight w:val="82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苏州工业园区八二五新</w:t>
            </w:r>
          </w:p>
          <w:p>
            <w:pPr>
              <w:pStyle w:val="TableParagraph"/>
              <w:spacing w:line="240" w:lineRule="auto"/>
              <w:ind w:left="100" w:right="103"/>
              <w:jc w:val="left"/>
              <w:rPr>
                <w:rFonts w:ascii="宋体" w:hAnsi="宋体" w:cs="宋体" w:eastAsia="宋体" w:hint="default"/>
                <w:sz w:val="21"/>
                <w:szCs w:val="21"/>
              </w:rPr>
            </w:pPr>
            <w:r>
              <w:rPr>
                <w:rFonts w:ascii="宋体" w:hAnsi="宋体" w:cs="宋体" w:eastAsia="宋体" w:hint="default"/>
                <w:spacing w:val="5"/>
                <w:sz w:val="21"/>
                <w:szCs w:val="21"/>
              </w:rPr>
              <w:t>媒体投资企业（有限合</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伙）</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600.00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1"/>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r>
      <w:tr>
        <w:trPr>
          <w:trHeight w:val="55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杭州复朴共进投资合伙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企业（有限合伙）</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3,100.00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3,100.00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r>
      <w:tr>
        <w:trPr>
          <w:trHeight w:val="55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宁波云汉投资管理合伙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企业（有限合伙）</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15,135.35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15,103.35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-4,319.05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r>
      <w:tr>
        <w:trPr>
          <w:trHeight w:val="557"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宁波云夏股权投资管理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合伙企业（有限合伙）</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1,981.01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1,981.01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-1,981.01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r>
      <w:tr>
        <w:trPr>
          <w:trHeight w:val="55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宁波云蜀股权投资管理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合伙企业（有限合伙）</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183.39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183.39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1"/>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r>
      <w:tr>
        <w:trPr>
          <w:trHeight w:val="55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宁波云魏股权投资管理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合伙企业（有限合伙）</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269.94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269.94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1"/>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r>
    </w:tbl>
    <w:p>
      <w:pPr>
        <w:spacing w:after="0" w:line="240" w:lineRule="auto"/>
        <w:jc w:val="right"/>
        <w:rPr>
          <w:rFonts w:ascii="宋体" w:hAnsi="宋体" w:cs="宋体" w:eastAsia="宋体" w:hint="default"/>
          <w:sz w:val="21"/>
          <w:szCs w:val="21"/>
        </w:rPr>
        <w:sectPr>
          <w:pgSz w:w="11910" w:h="16840"/>
          <w:pgMar w:header="880" w:footer="1195" w:top="1120" w:bottom="1380" w:left="980" w:right="8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684" w:type="dxa"/>
        <w:tblLayout w:type="fixed"/>
        <w:tblCellMar>
          <w:top w:w="0" w:type="dxa"/>
          <w:left w:w="0" w:type="dxa"/>
          <w:bottom w:w="0" w:type="dxa"/>
          <w:right w:w="0" w:type="dxa"/>
        </w:tblCellMar>
        <w:tblLook w:val="01E0"/>
      </w:tblPr>
      <w:tblGrid>
        <w:gridCol w:w="2396"/>
        <w:gridCol w:w="1289"/>
        <w:gridCol w:w="1159"/>
        <w:gridCol w:w="1133"/>
        <w:gridCol w:w="1272"/>
        <w:gridCol w:w="1292"/>
        <w:gridCol w:w="1277"/>
      </w:tblGrid>
      <w:tr>
        <w:trPr>
          <w:trHeight w:val="557"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宁波云吴股权投资管理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合伙企业（有限合伙）</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174.70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174.70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1"/>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r>
      <w:tr>
        <w:trPr>
          <w:trHeight w:val="55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宁波云晋股权投资管理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合伙企业（有限合伙）</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536.00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536.00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1"/>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r>
      <w:tr>
        <w:trPr>
          <w:trHeight w:val="55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宁波云银股权投资管理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合伙企业（有限合伙）</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788.62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788.62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-788.62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r>
      <w:tr>
        <w:trPr>
          <w:trHeight w:val="55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宁波云明股权投资管理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合伙企业（有限合伙）</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404.29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404.29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r>
      <w:tr>
        <w:trPr>
          <w:trHeight w:val="55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宁波云宋股权投资管理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合伙企业（有限合伙）</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142.00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142.00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r>
      <w:tr>
        <w:trPr>
          <w:trHeight w:val="55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宁波云秦投资管理合伙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企业（有限合伙）</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486.45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455.45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r>
      <w:tr>
        <w:trPr>
          <w:trHeight w:val="55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宁波云唐投资管理合伙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企业（有限合伙）</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392.03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361.03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1"/>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r>
      <w:tr>
        <w:trPr>
          <w:trHeight w:val="55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国投瑞银盈湖地产专项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资产管理计划</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6,000.00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4,600.00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4,600.00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315.55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r>
      <w:tr>
        <w:trPr>
          <w:trHeight w:val="82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国投瑞银资本海峡中投</w:t>
            </w:r>
          </w:p>
          <w:p>
            <w:pPr>
              <w:pStyle w:val="TableParagraph"/>
              <w:spacing w:line="272" w:lineRule="exact" w:before="26"/>
              <w:ind w:left="100" w:right="103"/>
              <w:jc w:val="left"/>
              <w:rPr>
                <w:rFonts w:ascii="宋体" w:hAnsi="宋体" w:cs="宋体" w:eastAsia="宋体" w:hint="default"/>
                <w:sz w:val="21"/>
                <w:szCs w:val="21"/>
              </w:rPr>
            </w:pPr>
            <w:r>
              <w:rPr>
                <w:rFonts w:ascii="宋体" w:hAnsi="宋体" w:cs="宋体" w:eastAsia="宋体" w:hint="default"/>
                <w:spacing w:val="5"/>
                <w:sz w:val="21"/>
                <w:szCs w:val="21"/>
              </w:rPr>
              <w:t>保恒生电子专项资产管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理计划</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10,284.75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10,284.75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817.50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1"/>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r>
      <w:tr>
        <w:trPr>
          <w:trHeight w:val="55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国投瑞银资本海峡收益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号专项资产管理计划</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2,000.00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179.62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r>
      <w:tr>
        <w:trPr>
          <w:trHeight w:val="437"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12"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63,326.25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37,676.78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7,289.77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9,565.19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-1,099.62</w:t>
            </w: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4"/>
        <w:spacing w:line="240" w:lineRule="auto"/>
        <w:ind w:left="1398" w:right="344"/>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8865" w:val="left" w:leader="none"/>
        </w:tabs>
        <w:spacing w:line="240" w:lineRule="auto" w:before="58"/>
        <w:ind w:left="7499" w:right="344"/>
        <w:jc w:val="left"/>
      </w:pPr>
      <w:r>
        <w:rPr/>
        <w:t>单位：</w:t>
      </w:r>
      <w:r>
        <w:rPr>
          <w:spacing w:val="1"/>
        </w:rPr>
        <w:t> </w:t>
      </w:r>
      <w:r>
        <w:rPr/>
        <w:t>万元</w:t>
        <w:tab/>
        <w:t>币种：</w:t>
      </w:r>
      <w:r>
        <w:rPr>
          <w:spacing w:val="1"/>
        </w:rPr>
        <w:t> </w:t>
      </w:r>
      <w:r>
        <w:rPr/>
        <w:t>人民币</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419"/>
        <w:gridCol w:w="852"/>
        <w:gridCol w:w="2693"/>
        <w:gridCol w:w="1133"/>
        <w:gridCol w:w="703"/>
        <w:gridCol w:w="998"/>
        <w:gridCol w:w="1136"/>
        <w:gridCol w:w="991"/>
        <w:gridCol w:w="1133"/>
      </w:tblGrid>
      <w:tr>
        <w:trPr>
          <w:trHeight w:val="8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32" w:lineRule="exact"/>
              <w:ind w:left="239" w:right="240"/>
              <w:jc w:val="left"/>
              <w:rPr>
                <w:rFonts w:ascii="宋体" w:hAnsi="宋体" w:cs="宋体" w:eastAsia="宋体" w:hint="default"/>
                <w:sz w:val="18"/>
                <w:szCs w:val="18"/>
              </w:rPr>
            </w:pPr>
            <w:r>
              <w:rPr>
                <w:rFonts w:ascii="宋体" w:hAnsi="宋体" w:cs="宋体" w:eastAsia="宋体" w:hint="default"/>
                <w:sz w:val="18"/>
                <w:szCs w:val="18"/>
              </w:rPr>
              <w:t>证券 代码</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证券简称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32" w:lineRule="exact"/>
              <w:ind w:left="381" w:right="201" w:hanging="180"/>
              <w:jc w:val="left"/>
              <w:rPr>
                <w:rFonts w:ascii="宋体" w:hAnsi="宋体" w:cs="宋体" w:eastAsia="宋体" w:hint="default"/>
                <w:sz w:val="18"/>
                <w:szCs w:val="18"/>
              </w:rPr>
            </w:pPr>
            <w:r>
              <w:rPr>
                <w:rFonts w:ascii="宋体" w:hAnsi="宋体" w:cs="宋体" w:eastAsia="宋体" w:hint="default"/>
                <w:sz w:val="18"/>
                <w:szCs w:val="18"/>
              </w:rPr>
              <w:t>最初投资 成本</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32" w:lineRule="exact"/>
              <w:ind w:left="165" w:right="167"/>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持有数量</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32" w:lineRule="exact"/>
              <w:ind w:left="381" w:right="202" w:hanging="180"/>
              <w:jc w:val="left"/>
              <w:rPr>
                <w:rFonts w:ascii="宋体" w:hAnsi="宋体" w:cs="宋体" w:eastAsia="宋体" w:hint="default"/>
                <w:sz w:val="18"/>
                <w:szCs w:val="18"/>
              </w:rPr>
            </w:pPr>
            <w:r>
              <w:rPr>
                <w:rFonts w:ascii="宋体" w:hAnsi="宋体" w:cs="宋体" w:eastAsia="宋体" w:hint="default"/>
                <w:sz w:val="18"/>
                <w:szCs w:val="18"/>
              </w:rPr>
              <w:t>期末账面 价值</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32" w:lineRule="exact"/>
              <w:ind w:left="307" w:right="221" w:hanging="89"/>
              <w:jc w:val="left"/>
              <w:rPr>
                <w:rFonts w:ascii="宋体" w:hAnsi="宋体" w:cs="宋体" w:eastAsia="宋体" w:hint="default"/>
                <w:sz w:val="18"/>
                <w:szCs w:val="18"/>
              </w:rPr>
            </w:pPr>
            <w:r>
              <w:rPr>
                <w:rFonts w:ascii="宋体" w:hAnsi="宋体" w:cs="宋体" w:eastAsia="宋体" w:hint="default"/>
                <w:sz w:val="18"/>
                <w:szCs w:val="18"/>
              </w:rPr>
              <w:t>报告期 损益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32" w:lineRule="exact"/>
              <w:ind w:left="381" w:right="201" w:hanging="180"/>
              <w:jc w:val="left"/>
              <w:rPr>
                <w:rFonts w:ascii="宋体" w:hAnsi="宋体" w:cs="宋体" w:eastAsia="宋体" w:hint="default"/>
                <w:sz w:val="18"/>
                <w:szCs w:val="18"/>
              </w:rPr>
            </w:pPr>
            <w:r>
              <w:rPr>
                <w:rFonts w:ascii="宋体" w:hAnsi="宋体" w:cs="宋体" w:eastAsia="宋体" w:hint="default"/>
                <w:sz w:val="18"/>
                <w:szCs w:val="18"/>
              </w:rPr>
              <w:t>公允价值 变动</w:t>
            </w: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8002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宁波银行净值型</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2,558.72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2,699.50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-0.50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8004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宁波银行净值型</w:t>
            </w:r>
            <w:r>
              <w:rPr>
                <w:rFonts w:ascii="宋体" w:hAnsi="宋体" w:cs="宋体" w:eastAsia="宋体" w:hint="default"/>
                <w:spacing w:val="-44"/>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1,987.60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2,015.92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15.92</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资产管理计划</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076036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嘉实高增长双利计划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448.72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824.96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133.42</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资产管理计划</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B60001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汇金</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400.00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396.02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pacing w:val="-1"/>
                <w:sz w:val="18"/>
              </w:rPr>
              <w:t>648.21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pacing w:val="-1"/>
                <w:sz w:val="18"/>
              </w:rPr>
              <w:t>158.33</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封闭式基金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500058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基金银丰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203.45</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195.70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301.38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104.90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开放式基金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160806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长盛同庆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200.04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146.45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206.06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31.36</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开放式基金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690003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民生加银精选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99.24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132.78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50.22</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资产管理计划</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B40003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国联金如意</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99.21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125.16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24.94</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资产管理计划</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940006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华泰造福桑梓集合计划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91.43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87.01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3.05</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开放式基金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161907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万家中证红利指数基金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50.00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49.41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76.69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16.34</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开放式基金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100038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富国沪深</w:t>
            </w:r>
            <w:r>
              <w:rPr>
                <w:rFonts w:ascii="宋体" w:hAnsi="宋体" w:cs="宋体" w:eastAsia="宋体" w:hint="default"/>
                <w:spacing w:val="-46"/>
                <w:sz w:val="18"/>
                <w:szCs w:val="18"/>
              </w:rPr>
              <w:t> </w:t>
            </w:r>
            <w:r>
              <w:rPr>
                <w:rFonts w:ascii="宋体" w:hAnsi="宋体" w:cs="宋体" w:eastAsia="宋体" w:hint="default"/>
                <w:sz w:val="18"/>
                <w:szCs w:val="18"/>
              </w:rPr>
              <w:t>300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49.51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75.05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12.97</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开放式基金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150096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招商中证商品</w:t>
            </w:r>
            <w:r>
              <w:rPr>
                <w:rFonts w:ascii="宋体" w:hAnsi="宋体" w:cs="宋体" w:eastAsia="宋体" w:hint="default"/>
                <w:spacing w:val="-44"/>
                <w:sz w:val="18"/>
                <w:szCs w:val="18"/>
              </w:rPr>
              <w:t> </w:t>
            </w:r>
            <w:r>
              <w:rPr>
                <w:rFonts w:ascii="宋体" w:hAnsi="宋体" w:cs="宋体" w:eastAsia="宋体" w:hint="default"/>
                <w:sz w:val="18"/>
                <w:szCs w:val="18"/>
              </w:rPr>
              <w:t>A</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50.30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56.35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3.85</w:t>
            </w:r>
          </w:p>
        </w:tc>
        <w:tc>
          <w:tcPr>
            <w:tcW w:w="11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400" w:right="2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419"/>
        <w:gridCol w:w="852"/>
        <w:gridCol w:w="2693"/>
        <w:gridCol w:w="1133"/>
        <w:gridCol w:w="703"/>
        <w:gridCol w:w="998"/>
        <w:gridCol w:w="1136"/>
        <w:gridCol w:w="991"/>
        <w:gridCol w:w="1133"/>
      </w:tblGrid>
      <w:tr>
        <w:trPr>
          <w:trHeight w:val="245"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开放式基金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150097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招商中证商品</w:t>
            </w:r>
            <w:r>
              <w:rPr>
                <w:rFonts w:ascii="宋体" w:hAnsi="宋体" w:cs="宋体" w:eastAsia="宋体" w:hint="default"/>
                <w:spacing w:val="-44"/>
                <w:sz w:val="18"/>
                <w:szCs w:val="18"/>
              </w:rPr>
              <w:t> </w:t>
            </w:r>
            <w:r>
              <w:rPr>
                <w:rFonts w:ascii="宋体" w:hAnsi="宋体" w:cs="宋体" w:eastAsia="宋体" w:hint="default"/>
                <w:sz w:val="18"/>
                <w:szCs w:val="18"/>
              </w:rPr>
              <w:t>B</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50.30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51.00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12.05</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000783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长江证券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92.18</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26.00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322.92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3.75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-114.40</w:t>
            </w: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600446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金证股份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196.84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97.08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4,775.32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3,258.30</w:t>
            </w: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3866.HK</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青岛银行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5,200.00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2,005.77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8,351.54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3,151.54</w:t>
            </w: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信托</w:t>
            </w:r>
          </w:p>
        </w:tc>
        <w:tc>
          <w:tcPr>
            <w:tcW w:w="85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深国投</w:t>
            </w:r>
            <w:r>
              <w:rPr>
                <w:rFonts w:ascii="宋体" w:hAnsi="宋体" w:cs="宋体" w:eastAsia="宋体" w:hint="default"/>
                <w:spacing w:val="2"/>
                <w:sz w:val="18"/>
                <w:szCs w:val="18"/>
              </w:rPr>
              <w:t>.</w:t>
            </w:r>
            <w:r>
              <w:rPr>
                <w:rFonts w:ascii="宋体" w:hAnsi="宋体" w:cs="宋体" w:eastAsia="宋体" w:hint="default"/>
                <w:spacing w:val="2"/>
                <w:sz w:val="18"/>
                <w:szCs w:val="18"/>
              </w:rPr>
              <w:t>朱雀合伙专项证券投资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集合资金信托计划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3,000.00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19.90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6,918.56</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2,444.72</w:t>
            </w: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信托</w:t>
            </w:r>
          </w:p>
        </w:tc>
        <w:tc>
          <w:tcPr>
            <w:tcW w:w="85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深国投</w:t>
            </w:r>
            <w:r>
              <w:rPr>
                <w:rFonts w:ascii="宋体" w:hAnsi="宋体" w:cs="宋体" w:eastAsia="宋体" w:hint="default"/>
                <w:spacing w:val="2"/>
                <w:sz w:val="18"/>
                <w:szCs w:val="18"/>
              </w:rPr>
              <w:t>.</w:t>
            </w:r>
            <w:r>
              <w:rPr>
                <w:rFonts w:ascii="宋体" w:hAnsi="宋体" w:cs="宋体" w:eastAsia="宋体" w:hint="default"/>
                <w:spacing w:val="2"/>
                <w:sz w:val="18"/>
                <w:szCs w:val="18"/>
              </w:rPr>
              <w:t>景林丰收证券投资集合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资金信托计划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10.18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4,862.14</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1,185.83</w:t>
            </w: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信托</w:t>
            </w:r>
          </w:p>
        </w:tc>
        <w:tc>
          <w:tcPr>
            <w:tcW w:w="85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深国投</w:t>
            </w:r>
            <w:r>
              <w:rPr>
                <w:rFonts w:ascii="宋体" w:hAnsi="宋体" w:cs="宋体" w:eastAsia="宋体" w:hint="default"/>
                <w:sz w:val="18"/>
                <w:szCs w:val="18"/>
              </w:rPr>
              <w:t>.</w:t>
            </w:r>
            <w:r>
              <w:rPr>
                <w:rFonts w:ascii="宋体" w:hAnsi="宋体" w:cs="宋体" w:eastAsia="宋体" w:hint="default"/>
                <w:sz w:val="18"/>
                <w:szCs w:val="18"/>
              </w:rPr>
              <w:t>博颐精选二期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1,005.00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4.54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pacing w:val="-1"/>
                <w:sz w:val="18"/>
              </w:rPr>
              <w:t>1,489.64</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538.97</w:t>
            </w: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信托</w:t>
            </w:r>
          </w:p>
        </w:tc>
        <w:tc>
          <w:tcPr>
            <w:tcW w:w="85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北京信托</w:t>
            </w:r>
            <w:r>
              <w:rPr>
                <w:rFonts w:ascii="宋体" w:hAnsi="宋体" w:cs="宋体" w:eastAsia="宋体" w:hint="default"/>
                <w:spacing w:val="2"/>
                <w:sz w:val="18"/>
                <w:szCs w:val="18"/>
              </w:rPr>
              <w:t>.</w:t>
            </w:r>
            <w:r>
              <w:rPr>
                <w:rFonts w:ascii="宋体" w:hAnsi="宋体" w:cs="宋体" w:eastAsia="宋体" w:hint="default"/>
                <w:spacing w:val="2"/>
                <w:sz w:val="18"/>
                <w:szCs w:val="18"/>
              </w:rPr>
              <w:t>润晖稳健增值证券投</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资集合资金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731.95</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139.65</w:t>
            </w: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信托</w:t>
            </w:r>
          </w:p>
        </w:tc>
        <w:tc>
          <w:tcPr>
            <w:tcW w:w="85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外贸信托</w:t>
            </w:r>
            <w:r>
              <w:rPr>
                <w:rFonts w:ascii="宋体" w:hAnsi="宋体" w:cs="宋体" w:eastAsia="宋体" w:hint="default"/>
                <w:sz w:val="18"/>
                <w:szCs w:val="18"/>
              </w:rPr>
              <w:t>.</w:t>
            </w:r>
            <w:r>
              <w:rPr>
                <w:rFonts w:ascii="宋体" w:hAnsi="宋体" w:cs="宋体" w:eastAsia="宋体" w:hint="default"/>
                <w:sz w:val="18"/>
                <w:szCs w:val="18"/>
              </w:rPr>
              <w:t>朱雀专享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号证券投</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资集合资金信托计划（Ｂ）类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3,000.00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3,732.30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1,434.90</w:t>
            </w: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资产管理计划</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76AA97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千石资本</w:t>
            </w:r>
            <w:r>
              <w:rPr>
                <w:rFonts w:ascii="宋体" w:hAnsi="宋体" w:cs="宋体" w:eastAsia="宋体" w:hint="default"/>
                <w:sz w:val="18"/>
                <w:szCs w:val="18"/>
              </w:rPr>
              <w:t>.</w:t>
            </w:r>
            <w:r>
              <w:rPr>
                <w:rFonts w:ascii="宋体" w:hAnsi="宋体" w:cs="宋体" w:eastAsia="宋体" w:hint="default"/>
                <w:sz w:val="18"/>
                <w:szCs w:val="18"/>
              </w:rPr>
              <w:t>系数量化</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977.37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1,108.34</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120.86</w:t>
            </w: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期末持有的其</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他证券投资</w:t>
            </w:r>
          </w:p>
        </w:tc>
        <w:tc>
          <w:tcPr>
            <w:tcW w:w="85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49.29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37.79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2.82</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85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pacing w:val="-1"/>
                <w:sz w:val="18"/>
              </w:rPr>
              <w:t>22,547.40</w:t>
            </w:r>
          </w:p>
        </w:tc>
        <w:tc>
          <w:tcPr>
            <w:tcW w:w="703"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8"/>
                <w:szCs w:val="18"/>
              </w:rPr>
            </w:pPr>
            <w:r>
              <w:rPr>
                <w:rFonts w:ascii="宋体"/>
                <w:spacing w:val="-1"/>
                <w:sz w:val="18"/>
              </w:rPr>
              <w:t>39,630.57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8"/>
                <w:szCs w:val="18"/>
              </w:rPr>
            </w:pPr>
            <w:r>
              <w:rPr>
                <w:rFonts w:ascii="宋体"/>
                <w:spacing w:val="-1"/>
                <w:sz w:val="18"/>
              </w:rPr>
              <w:t>1,077.32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pacing w:val="-1"/>
                <w:sz w:val="18"/>
              </w:rPr>
              <w:t>12,160.37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4"/>
        <w:spacing w:line="240" w:lineRule="auto"/>
        <w:ind w:left="1398" w:right="344"/>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3"/>
        </w:rPr>
        <w:t> </w:t>
      </w:r>
      <w:r>
        <w:rPr/>
        <w:t>重大资产和股权出售</w:t>
      </w:r>
      <w:r>
        <w:rPr>
          <w:b w:val="0"/>
          <w:bCs w:val="0"/>
        </w:rPr>
      </w:r>
    </w:p>
    <w:p>
      <w:pPr>
        <w:spacing w:line="240" w:lineRule="auto" w:before="3"/>
        <w:rPr>
          <w:rFonts w:ascii="宋体" w:hAnsi="宋体" w:cs="宋体" w:eastAsia="宋体" w:hint="default"/>
          <w:b/>
          <w:bCs/>
          <w:sz w:val="23"/>
          <w:szCs w:val="23"/>
        </w:rPr>
      </w:pPr>
    </w:p>
    <w:p>
      <w:pPr>
        <w:spacing w:line="20" w:lineRule="exact"/>
        <w:ind w:left="139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footerReference w:type="default" r:id="rId13"/>
          <w:pgSz w:w="11910" w:h="16840"/>
          <w:pgMar w:footer="1195" w:header="880" w:top="1120" w:bottom="1380" w:left="400" w:right="200"/>
        </w:sectPr>
      </w:pPr>
    </w:p>
    <w:p>
      <w:pPr>
        <w:pStyle w:val="Heading4"/>
        <w:spacing w:line="240" w:lineRule="auto"/>
        <w:ind w:left="1398" w:right="-18"/>
        <w:jc w:val="left"/>
        <w:rPr>
          <w:b w:val="0"/>
          <w:bCs w:val="0"/>
        </w:rPr>
      </w:pPr>
      <w:r>
        <w:rPr>
          <w:rFonts w:ascii="Calibri" w:hAnsi="Calibri" w:cs="Calibri" w:eastAsia="Calibri" w:hint="default"/>
        </w:rPr>
        <w:t>(</w:t>
      </w:r>
      <w:r>
        <w:rPr/>
        <w:t>七</w:t>
      </w:r>
      <w:r>
        <w:rPr>
          <w:rFonts w:ascii="Calibri" w:hAnsi="Calibri" w:cs="Calibri" w:eastAsia="Calibri" w:hint="default"/>
        </w:rPr>
        <w:t>)</w:t>
      </w:r>
      <w:r>
        <w:rPr>
          <w:rFonts w:ascii="Calibri" w:hAnsi="Calibri" w:cs="Calibri" w:eastAsia="Calibri" w:hint="default"/>
          <w:spacing w:val="30"/>
        </w:rPr>
        <w:t> </w:t>
      </w:r>
      <w:r>
        <w:rPr/>
        <w:t>主要控股参股公司分析</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BodyText"/>
        <w:tabs>
          <w:tab w:pos="2764" w:val="left" w:leader="none"/>
        </w:tabs>
        <w:spacing w:line="240" w:lineRule="auto"/>
        <w:ind w:left="1398" w:right="0"/>
        <w:jc w:val="left"/>
      </w:pPr>
      <w:r>
        <w:rPr/>
        <w:t>单位：</w:t>
      </w:r>
      <w:r>
        <w:rPr>
          <w:spacing w:val="1"/>
        </w:rPr>
        <w:t> </w:t>
      </w:r>
      <w:r>
        <w:rPr/>
        <w:t>万元</w:t>
        <w:tab/>
        <w:t>币种：</w:t>
      </w:r>
      <w:r>
        <w:rPr>
          <w:spacing w:val="1"/>
        </w:rPr>
        <w:t> </w:t>
      </w:r>
      <w:r>
        <w:rPr/>
        <w:t>人民币</w:t>
      </w:r>
    </w:p>
    <w:p>
      <w:pPr>
        <w:spacing w:after="0" w:line="240" w:lineRule="auto"/>
        <w:jc w:val="left"/>
        <w:sectPr>
          <w:type w:val="continuous"/>
          <w:pgSz w:w="11910" w:h="16840"/>
          <w:pgMar w:top="1120" w:bottom="1380" w:left="400" w:right="200"/>
          <w:cols w:num="2" w:equalWidth="0">
            <w:col w:w="3928" w:space="2174"/>
            <w:col w:w="5208"/>
          </w:cols>
        </w:sectPr>
      </w:pPr>
    </w:p>
    <w:p>
      <w:pPr>
        <w:spacing w:line="240" w:lineRule="auto" w:before="4"/>
        <w:rPr>
          <w:rFonts w:ascii="宋体" w:hAnsi="宋体" w:cs="宋体" w:eastAsia="宋体" w:hint="default"/>
          <w:sz w:val="2"/>
          <w:szCs w:val="2"/>
        </w:rPr>
      </w:pPr>
    </w:p>
    <w:tbl>
      <w:tblPr>
        <w:tblW w:w="0" w:type="auto"/>
        <w:jc w:val="left"/>
        <w:tblInd w:w="1251" w:type="dxa"/>
        <w:tblLayout w:type="fixed"/>
        <w:tblCellMar>
          <w:top w:w="0" w:type="dxa"/>
          <w:left w:w="0" w:type="dxa"/>
          <w:bottom w:w="0" w:type="dxa"/>
          <w:right w:w="0" w:type="dxa"/>
        </w:tblCellMar>
        <w:tblLook w:val="01E0"/>
      </w:tblPr>
      <w:tblGrid>
        <w:gridCol w:w="1843"/>
        <w:gridCol w:w="1198"/>
        <w:gridCol w:w="1354"/>
        <w:gridCol w:w="1371"/>
        <w:gridCol w:w="1267"/>
        <w:gridCol w:w="1193"/>
        <w:gridCol w:w="1267"/>
      </w:tblGrid>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6" w:right="0"/>
              <w:jc w:val="left"/>
              <w:rPr>
                <w:rFonts w:ascii="宋体" w:hAnsi="宋体" w:cs="宋体" w:eastAsia="宋体" w:hint="default"/>
                <w:sz w:val="21"/>
                <w:szCs w:val="21"/>
              </w:rPr>
            </w:pPr>
            <w:r>
              <w:rPr>
                <w:rFonts w:ascii="宋体" w:hAnsi="宋体" w:cs="宋体" w:eastAsia="宋体" w:hint="default"/>
                <w:sz w:val="21"/>
                <w:szCs w:val="21"/>
              </w:rPr>
              <w:t>公司全称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所处行业</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主要产品或</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2"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6"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557"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5"/>
                <w:sz w:val="21"/>
                <w:szCs w:val="21"/>
              </w:rPr>
              <w:t> </w:t>
            </w:r>
            <w:r>
              <w:rPr>
                <w:rFonts w:ascii="宋体" w:hAnsi="宋体" w:cs="宋体" w:eastAsia="宋体" w:hint="default"/>
                <w:spacing w:val="11"/>
                <w:sz w:val="21"/>
                <w:szCs w:val="21"/>
              </w:rPr>
              <w:t>州恒</w:t>
            </w:r>
            <w:r>
              <w:rPr>
                <w:rFonts w:ascii="宋体" w:hAnsi="宋体" w:cs="宋体" w:eastAsia="宋体" w:hint="default"/>
                <w:spacing w:val="-75"/>
                <w:sz w:val="21"/>
                <w:szCs w:val="21"/>
              </w:rPr>
              <w:t> </w:t>
            </w:r>
            <w:r>
              <w:rPr>
                <w:rFonts w:ascii="宋体" w:hAnsi="宋体" w:cs="宋体" w:eastAsia="宋体" w:hint="default"/>
                <w:spacing w:val="14"/>
                <w:sz w:val="21"/>
                <w:szCs w:val="21"/>
              </w:rPr>
              <w:t>生云投</w:t>
            </w:r>
            <w:r>
              <w:rPr>
                <w:rFonts w:ascii="宋体" w:hAnsi="宋体" w:cs="宋体" w:eastAsia="宋体" w:hint="default"/>
                <w:spacing w:val="-75"/>
                <w:sz w:val="21"/>
                <w:szCs w:val="21"/>
              </w:rPr>
              <w:t> </w:t>
            </w:r>
            <w:r>
              <w:rPr>
                <w:rFonts w:ascii="宋体" w:hAnsi="宋体" w:cs="宋体" w:eastAsia="宋体" w:hint="default"/>
                <w:sz w:val="21"/>
                <w:szCs w:val="21"/>
              </w:rPr>
              <w:t>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实业投资</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实业投资等</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16,500.00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24,521.25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24,511.87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2,001.95</w:t>
            </w:r>
          </w:p>
        </w:tc>
      </w:tr>
      <w:tr>
        <w:trPr>
          <w:trHeight w:val="55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75"/>
                <w:sz w:val="21"/>
                <w:szCs w:val="21"/>
              </w:rPr>
              <w:t> </w:t>
            </w:r>
            <w:r>
              <w:rPr>
                <w:rFonts w:ascii="宋体" w:hAnsi="宋体" w:cs="宋体" w:eastAsia="宋体" w:hint="default"/>
                <w:spacing w:val="11"/>
                <w:sz w:val="21"/>
                <w:szCs w:val="21"/>
              </w:rPr>
              <w:t>锡恒</w:t>
            </w:r>
            <w:r>
              <w:rPr>
                <w:rFonts w:ascii="宋体" w:hAnsi="宋体" w:cs="宋体" w:eastAsia="宋体" w:hint="default"/>
                <w:spacing w:val="-75"/>
                <w:sz w:val="21"/>
                <w:szCs w:val="21"/>
              </w:rPr>
              <w:t> </w:t>
            </w:r>
            <w:r>
              <w:rPr>
                <w:rFonts w:ascii="宋体" w:hAnsi="宋体" w:cs="宋体" w:eastAsia="宋体" w:hint="default"/>
                <w:spacing w:val="14"/>
                <w:sz w:val="21"/>
                <w:szCs w:val="21"/>
              </w:rPr>
              <w:t>华科技</w:t>
            </w:r>
            <w:r>
              <w:rPr>
                <w:rFonts w:ascii="宋体" w:hAnsi="宋体" w:cs="宋体" w:eastAsia="宋体" w:hint="default"/>
                <w:spacing w:val="-75"/>
                <w:sz w:val="21"/>
                <w:szCs w:val="21"/>
              </w:rPr>
              <w:t> </w:t>
            </w:r>
            <w:r>
              <w:rPr>
                <w:rFonts w:ascii="宋体" w:hAnsi="宋体" w:cs="宋体" w:eastAsia="宋体" w:hint="default"/>
                <w:sz w:val="21"/>
                <w:szCs w:val="21"/>
              </w:rPr>
              <w:t>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科技园建设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与经营等</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8,548.41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6,774.78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-409.53</w:t>
            </w: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5"/>
                <w:sz w:val="21"/>
                <w:szCs w:val="21"/>
              </w:rPr>
              <w:t> </w:t>
            </w:r>
            <w:r>
              <w:rPr>
                <w:rFonts w:ascii="宋体" w:hAnsi="宋体" w:cs="宋体" w:eastAsia="宋体" w:hint="default"/>
                <w:spacing w:val="11"/>
                <w:sz w:val="21"/>
                <w:szCs w:val="21"/>
              </w:rPr>
              <w:t>州恒</w:t>
            </w:r>
            <w:r>
              <w:rPr>
                <w:rFonts w:ascii="宋体" w:hAnsi="宋体" w:cs="宋体" w:eastAsia="宋体" w:hint="default"/>
                <w:spacing w:val="-75"/>
                <w:sz w:val="21"/>
                <w:szCs w:val="21"/>
              </w:rPr>
              <w:t> </w:t>
            </w:r>
            <w:r>
              <w:rPr>
                <w:rFonts w:ascii="宋体" w:hAnsi="宋体" w:cs="宋体" w:eastAsia="宋体" w:hint="default"/>
                <w:spacing w:val="14"/>
                <w:sz w:val="21"/>
                <w:szCs w:val="21"/>
              </w:rPr>
              <w:t>生数据</w:t>
            </w:r>
            <w:r>
              <w:rPr>
                <w:rFonts w:ascii="宋体" w:hAnsi="宋体" w:cs="宋体" w:eastAsia="宋体" w:hint="default"/>
                <w:spacing w:val="-75"/>
                <w:sz w:val="21"/>
                <w:szCs w:val="21"/>
              </w:rPr>
              <w:t> </w:t>
            </w:r>
            <w:r>
              <w:rPr>
                <w:rFonts w:ascii="宋体" w:hAnsi="宋体" w:cs="宋体" w:eastAsia="宋体" w:hint="default"/>
                <w:sz w:val="21"/>
                <w:szCs w:val="21"/>
              </w:rPr>
              <w:t>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全技术有限公司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软件开发、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硬件销售等</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1,459.50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2,452.70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1,848.43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166.58</w:t>
            </w: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5"/>
                <w:sz w:val="21"/>
                <w:szCs w:val="21"/>
              </w:rPr>
              <w:t> </w:t>
            </w:r>
            <w:r>
              <w:rPr>
                <w:rFonts w:ascii="宋体" w:hAnsi="宋体" w:cs="宋体" w:eastAsia="宋体" w:hint="default"/>
                <w:spacing w:val="11"/>
                <w:sz w:val="21"/>
                <w:szCs w:val="21"/>
              </w:rPr>
              <w:t>州恒</w:t>
            </w:r>
            <w:r>
              <w:rPr>
                <w:rFonts w:ascii="宋体" w:hAnsi="宋体" w:cs="宋体" w:eastAsia="宋体" w:hint="default"/>
                <w:spacing w:val="-75"/>
                <w:sz w:val="21"/>
                <w:szCs w:val="21"/>
              </w:rPr>
              <w:t> </w:t>
            </w:r>
            <w:r>
              <w:rPr>
                <w:rFonts w:ascii="宋体" w:hAnsi="宋体" w:cs="宋体" w:eastAsia="宋体" w:hint="default"/>
                <w:spacing w:val="14"/>
                <w:sz w:val="21"/>
                <w:szCs w:val="21"/>
              </w:rPr>
              <w:t>生网络</w:t>
            </w:r>
            <w:r>
              <w:rPr>
                <w:rFonts w:ascii="宋体" w:hAnsi="宋体" w:cs="宋体" w:eastAsia="宋体" w:hint="default"/>
                <w:spacing w:val="-75"/>
                <w:sz w:val="21"/>
                <w:szCs w:val="21"/>
              </w:rPr>
              <w:t> </w:t>
            </w:r>
            <w:r>
              <w:rPr>
                <w:rFonts w:ascii="宋体" w:hAnsi="宋体" w:cs="宋体" w:eastAsia="宋体" w:hint="default"/>
                <w:sz w:val="21"/>
                <w:szCs w:val="21"/>
              </w:rPr>
              <w:t>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术服务有限公司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软件开发、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硬件销售等</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12,262.52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433.25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-16,767.38</w:t>
            </w: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75"/>
                <w:sz w:val="21"/>
                <w:szCs w:val="21"/>
              </w:rPr>
              <w:t> </w:t>
            </w:r>
            <w:r>
              <w:rPr>
                <w:rFonts w:ascii="宋体" w:hAnsi="宋体" w:cs="宋体" w:eastAsia="宋体" w:hint="default"/>
                <w:spacing w:val="11"/>
                <w:sz w:val="21"/>
                <w:szCs w:val="21"/>
              </w:rPr>
              <w:t>本恒</w:t>
            </w:r>
            <w:r>
              <w:rPr>
                <w:rFonts w:ascii="宋体" w:hAnsi="宋体" w:cs="宋体" w:eastAsia="宋体" w:hint="default"/>
                <w:spacing w:val="-75"/>
                <w:sz w:val="21"/>
                <w:szCs w:val="21"/>
              </w:rPr>
              <w:t> </w:t>
            </w:r>
            <w:r>
              <w:rPr>
                <w:rFonts w:ascii="宋体" w:hAnsi="宋体" w:cs="宋体" w:eastAsia="宋体" w:hint="default"/>
                <w:spacing w:val="14"/>
                <w:sz w:val="21"/>
                <w:szCs w:val="21"/>
              </w:rPr>
              <w:t>生软件</w:t>
            </w:r>
            <w:r>
              <w:rPr>
                <w:rFonts w:ascii="宋体" w:hAnsi="宋体" w:cs="宋体" w:eastAsia="宋体" w:hint="default"/>
                <w:spacing w:val="-75"/>
                <w:sz w:val="21"/>
                <w:szCs w:val="21"/>
              </w:rPr>
              <w:t> </w:t>
            </w:r>
            <w:r>
              <w:rPr>
                <w:rFonts w:ascii="宋体" w:hAnsi="宋体" w:cs="宋体" w:eastAsia="宋体" w:hint="default"/>
                <w:sz w:val="21"/>
                <w:szCs w:val="21"/>
              </w:rPr>
              <w:t>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式会社</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软件开发、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硬件销售等</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JPY7,850.00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1,859.02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737.19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170.97</w:t>
            </w: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5"/>
                <w:sz w:val="21"/>
                <w:szCs w:val="21"/>
              </w:rPr>
              <w:t> </w:t>
            </w:r>
            <w:r>
              <w:rPr>
                <w:rFonts w:ascii="宋体" w:hAnsi="宋体" w:cs="宋体" w:eastAsia="宋体" w:hint="default"/>
                <w:spacing w:val="11"/>
                <w:sz w:val="21"/>
                <w:szCs w:val="21"/>
              </w:rPr>
              <w:t>海恒</w:t>
            </w:r>
            <w:r>
              <w:rPr>
                <w:rFonts w:ascii="宋体" w:hAnsi="宋体" w:cs="宋体" w:eastAsia="宋体" w:hint="default"/>
                <w:spacing w:val="-75"/>
                <w:sz w:val="21"/>
                <w:szCs w:val="21"/>
              </w:rPr>
              <w:t> </w:t>
            </w:r>
            <w:r>
              <w:rPr>
                <w:rFonts w:ascii="宋体" w:hAnsi="宋体" w:cs="宋体" w:eastAsia="宋体" w:hint="default"/>
                <w:spacing w:val="14"/>
                <w:sz w:val="21"/>
                <w:szCs w:val="21"/>
              </w:rPr>
              <w:t>生聚源</w:t>
            </w:r>
            <w:r>
              <w:rPr>
                <w:rFonts w:ascii="宋体" w:hAnsi="宋体" w:cs="宋体" w:eastAsia="宋体" w:hint="default"/>
                <w:spacing w:val="-75"/>
                <w:sz w:val="21"/>
                <w:szCs w:val="21"/>
              </w:rPr>
              <w:t> </w:t>
            </w:r>
            <w:r>
              <w:rPr>
                <w:rFonts w:ascii="宋体" w:hAnsi="宋体" w:cs="宋体" w:eastAsia="宋体" w:hint="default"/>
                <w:sz w:val="21"/>
                <w:szCs w:val="21"/>
              </w:rPr>
              <w:t>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据服务有限公司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数据服务等</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4,226.18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-2,139.70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-1,528.72</w:t>
            </w: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5"/>
                <w:sz w:val="21"/>
                <w:szCs w:val="21"/>
              </w:rPr>
              <w:t> </w:t>
            </w:r>
            <w:r>
              <w:rPr>
                <w:rFonts w:ascii="宋体" w:hAnsi="宋体" w:cs="宋体" w:eastAsia="宋体" w:hint="default"/>
                <w:spacing w:val="11"/>
                <w:sz w:val="21"/>
                <w:szCs w:val="21"/>
              </w:rPr>
              <w:t>州恒</w:t>
            </w:r>
            <w:r>
              <w:rPr>
                <w:rFonts w:ascii="宋体" w:hAnsi="宋体" w:cs="宋体" w:eastAsia="宋体" w:hint="default"/>
                <w:spacing w:val="-75"/>
                <w:sz w:val="21"/>
                <w:szCs w:val="21"/>
              </w:rPr>
              <w:t> </w:t>
            </w:r>
            <w:r>
              <w:rPr>
                <w:rFonts w:ascii="宋体" w:hAnsi="宋体" w:cs="宋体" w:eastAsia="宋体" w:hint="default"/>
                <w:spacing w:val="14"/>
                <w:sz w:val="21"/>
                <w:szCs w:val="21"/>
              </w:rPr>
              <w:t>生鼎汇</w:t>
            </w:r>
            <w:r>
              <w:rPr>
                <w:rFonts w:ascii="宋体" w:hAnsi="宋体" w:cs="宋体" w:eastAsia="宋体" w:hint="default"/>
                <w:spacing w:val="-75"/>
                <w:sz w:val="21"/>
                <w:szCs w:val="21"/>
              </w:rPr>
              <w:t> </w:t>
            </w:r>
            <w:r>
              <w:rPr>
                <w:rFonts w:ascii="宋体" w:hAnsi="宋体" w:cs="宋体" w:eastAsia="宋体" w:hint="default"/>
                <w:sz w:val="21"/>
                <w:szCs w:val="21"/>
              </w:rPr>
              <w:t>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实业投资</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实业投资等</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43,156.43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132,657.84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52,476.25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3,659.72</w:t>
            </w:r>
          </w:p>
        </w:tc>
      </w:tr>
      <w:tr>
        <w:trPr>
          <w:trHeight w:val="55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5"/>
                <w:sz w:val="21"/>
                <w:szCs w:val="21"/>
              </w:rPr>
              <w:t> </w:t>
            </w:r>
            <w:r>
              <w:rPr>
                <w:rFonts w:ascii="宋体" w:hAnsi="宋体" w:cs="宋体" w:eastAsia="宋体" w:hint="default"/>
                <w:spacing w:val="11"/>
                <w:sz w:val="21"/>
                <w:szCs w:val="21"/>
              </w:rPr>
              <w:t>州恒</w:t>
            </w:r>
            <w:r>
              <w:rPr>
                <w:rFonts w:ascii="宋体" w:hAnsi="宋体" w:cs="宋体" w:eastAsia="宋体" w:hint="default"/>
                <w:spacing w:val="-75"/>
                <w:sz w:val="21"/>
                <w:szCs w:val="21"/>
              </w:rPr>
              <w:t> </w:t>
            </w:r>
            <w:r>
              <w:rPr>
                <w:rFonts w:ascii="宋体" w:hAnsi="宋体" w:cs="宋体" w:eastAsia="宋体" w:hint="default"/>
                <w:spacing w:val="14"/>
                <w:sz w:val="21"/>
                <w:szCs w:val="21"/>
              </w:rPr>
              <w:t>生世纪</w:t>
            </w:r>
            <w:r>
              <w:rPr>
                <w:rFonts w:ascii="宋体" w:hAnsi="宋体" w:cs="宋体" w:eastAsia="宋体" w:hint="default"/>
                <w:spacing w:val="-75"/>
                <w:sz w:val="21"/>
                <w:szCs w:val="21"/>
              </w:rPr>
              <w:t> </w:t>
            </w:r>
            <w:r>
              <w:rPr>
                <w:rFonts w:ascii="宋体" w:hAnsi="宋体" w:cs="宋体" w:eastAsia="宋体" w:hint="default"/>
                <w:sz w:val="21"/>
                <w:szCs w:val="21"/>
              </w:rPr>
              <w:t>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2"/>
                <w:sz w:val="21"/>
                <w:szCs w:val="21"/>
              </w:rPr>
              <w:t> </w:t>
            </w:r>
            <w:r>
              <w:rPr>
                <w:rFonts w:ascii="宋体" w:hAnsi="宋体" w:cs="宋体" w:eastAsia="宋体" w:hint="default"/>
                <w:sz w:val="21"/>
                <w:szCs w:val="21"/>
              </w:rPr>
              <w:t>他</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12,705.60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9,913.09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-181.81</w:t>
            </w:r>
          </w:p>
        </w:tc>
      </w:tr>
      <w:tr>
        <w:trPr>
          <w:trHeight w:val="557"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5"/>
                <w:sz w:val="21"/>
                <w:szCs w:val="21"/>
              </w:rPr>
              <w:t> </w:t>
            </w:r>
            <w:r>
              <w:rPr>
                <w:rFonts w:ascii="宋体" w:hAnsi="宋体" w:cs="宋体" w:eastAsia="宋体" w:hint="default"/>
                <w:spacing w:val="11"/>
                <w:sz w:val="21"/>
                <w:szCs w:val="21"/>
              </w:rPr>
              <w:t>江维</w:t>
            </w:r>
            <w:r>
              <w:rPr>
                <w:rFonts w:ascii="宋体" w:hAnsi="宋体" w:cs="宋体" w:eastAsia="宋体" w:hint="default"/>
                <w:spacing w:val="-75"/>
                <w:sz w:val="21"/>
                <w:szCs w:val="21"/>
              </w:rPr>
              <w:t> </w:t>
            </w:r>
            <w:r>
              <w:rPr>
                <w:rFonts w:ascii="宋体" w:hAnsi="宋体" w:cs="宋体" w:eastAsia="宋体" w:hint="default"/>
                <w:spacing w:val="14"/>
                <w:sz w:val="21"/>
                <w:szCs w:val="21"/>
              </w:rPr>
              <w:t>尔科技</w:t>
            </w:r>
            <w:r>
              <w:rPr>
                <w:rFonts w:ascii="宋体" w:hAnsi="宋体" w:cs="宋体" w:eastAsia="宋体" w:hint="default"/>
                <w:spacing w:val="-75"/>
                <w:sz w:val="21"/>
                <w:szCs w:val="21"/>
              </w:rPr>
              <w:t> </w:t>
            </w:r>
            <w:r>
              <w:rPr>
                <w:rFonts w:ascii="宋体" w:hAnsi="宋体" w:cs="宋体" w:eastAsia="宋体" w:hint="default"/>
                <w:sz w:val="21"/>
                <w:szCs w:val="21"/>
              </w:rPr>
              <w:t>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生物识别技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术等</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26,959.11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18,001.63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4,598.42</w:t>
            </w:r>
          </w:p>
        </w:tc>
      </w:tr>
    </w:tbl>
    <w:p>
      <w:pPr>
        <w:spacing w:after="0" w:line="240" w:lineRule="auto"/>
        <w:jc w:val="right"/>
        <w:rPr>
          <w:rFonts w:ascii="宋体" w:hAnsi="宋体" w:cs="宋体" w:eastAsia="宋体" w:hint="default"/>
          <w:sz w:val="21"/>
          <w:szCs w:val="21"/>
        </w:rPr>
        <w:sectPr>
          <w:type w:val="continuous"/>
          <w:pgSz w:w="11910" w:h="16840"/>
          <w:pgMar w:top="1120" w:bottom="1380" w:left="400" w:right="2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843"/>
        <w:gridCol w:w="1198"/>
        <w:gridCol w:w="1354"/>
        <w:gridCol w:w="1371"/>
        <w:gridCol w:w="1267"/>
        <w:gridCol w:w="1193"/>
        <w:gridCol w:w="1267"/>
      </w:tblGrid>
      <w:tr>
        <w:trPr>
          <w:trHeight w:val="557"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5"/>
                <w:sz w:val="21"/>
                <w:szCs w:val="21"/>
              </w:rPr>
              <w:t> </w:t>
            </w:r>
            <w:r>
              <w:rPr>
                <w:rFonts w:ascii="宋体" w:hAnsi="宋体" w:cs="宋体" w:eastAsia="宋体" w:hint="default"/>
                <w:spacing w:val="11"/>
                <w:sz w:val="21"/>
                <w:szCs w:val="21"/>
              </w:rPr>
              <w:t>州恒</w:t>
            </w:r>
            <w:r>
              <w:rPr>
                <w:rFonts w:ascii="宋体" w:hAnsi="宋体" w:cs="宋体" w:eastAsia="宋体" w:hint="default"/>
                <w:spacing w:val="-75"/>
                <w:sz w:val="21"/>
                <w:szCs w:val="21"/>
              </w:rPr>
              <w:t> </w:t>
            </w:r>
            <w:r>
              <w:rPr>
                <w:rFonts w:ascii="宋体" w:hAnsi="宋体" w:cs="宋体" w:eastAsia="宋体" w:hint="default"/>
                <w:spacing w:val="14"/>
                <w:sz w:val="21"/>
                <w:szCs w:val="21"/>
              </w:rPr>
              <w:t>生百川</w:t>
            </w:r>
            <w:r>
              <w:rPr>
                <w:rFonts w:ascii="宋体" w:hAnsi="宋体" w:cs="宋体" w:eastAsia="宋体" w:hint="default"/>
                <w:spacing w:val="-75"/>
                <w:sz w:val="21"/>
                <w:szCs w:val="21"/>
              </w:rPr>
              <w:t> </w:t>
            </w:r>
            <w:r>
              <w:rPr>
                <w:rFonts w:ascii="宋体" w:hAnsi="宋体" w:cs="宋体" w:eastAsia="宋体" w:hint="default"/>
                <w:sz w:val="21"/>
                <w:szCs w:val="21"/>
              </w:rPr>
              <w:t>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房地产业</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科技园建设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与经营等</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12,800.00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60,223.00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22,997.90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2,378.97</w:t>
            </w: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5"/>
                <w:sz w:val="21"/>
                <w:szCs w:val="21"/>
              </w:rPr>
              <w:t> </w:t>
            </w:r>
            <w:r>
              <w:rPr>
                <w:rFonts w:ascii="宋体" w:hAnsi="宋体" w:cs="宋体" w:eastAsia="宋体" w:hint="default"/>
                <w:spacing w:val="11"/>
                <w:sz w:val="21"/>
                <w:szCs w:val="21"/>
              </w:rPr>
              <w:t>州恒</w:t>
            </w:r>
            <w:r>
              <w:rPr>
                <w:rFonts w:ascii="宋体" w:hAnsi="宋体" w:cs="宋体" w:eastAsia="宋体" w:hint="default"/>
                <w:spacing w:val="-75"/>
                <w:sz w:val="21"/>
                <w:szCs w:val="21"/>
              </w:rPr>
              <w:t> </w:t>
            </w:r>
            <w:r>
              <w:rPr>
                <w:rFonts w:ascii="宋体" w:hAnsi="宋体" w:cs="宋体" w:eastAsia="宋体" w:hint="default"/>
                <w:spacing w:val="14"/>
                <w:sz w:val="21"/>
                <w:szCs w:val="21"/>
              </w:rPr>
              <w:t>生云融</w:t>
            </w:r>
            <w:r>
              <w:rPr>
                <w:rFonts w:ascii="宋体" w:hAnsi="宋体" w:cs="宋体" w:eastAsia="宋体" w:hint="default"/>
                <w:spacing w:val="-75"/>
                <w:sz w:val="21"/>
                <w:szCs w:val="21"/>
              </w:rPr>
              <w:t> </w:t>
            </w:r>
            <w:r>
              <w:rPr>
                <w:rFonts w:ascii="宋体" w:hAnsi="宋体" w:cs="宋体" w:eastAsia="宋体" w:hint="default"/>
                <w:sz w:val="21"/>
                <w:szCs w:val="21"/>
              </w:rPr>
              <w:t>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络科技有限公司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技术开发、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技术咨询等</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6,000.00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4,263.69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3,237.43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-2,762.57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64" w:lineRule="auto"/>
        <w:ind w:left="258" w:right="6501"/>
        <w:jc w:val="left"/>
        <w:rPr>
          <w:rFonts w:ascii="宋体" w:hAnsi="宋体" w:cs="宋体" w:eastAsia="宋体" w:hint="default"/>
          <w:b w:val="0"/>
          <w:bCs w:val="0"/>
        </w:rPr>
      </w:pPr>
      <w:r>
        <w:rPr>
          <w:rFonts w:ascii="Calibri" w:hAnsi="Calibri" w:cs="Calibri" w:eastAsia="Calibri" w:hint="default"/>
        </w:rPr>
        <w:t>(</w:t>
      </w:r>
      <w:r>
        <w:rPr/>
        <w:t>八</w:t>
      </w:r>
      <w:r>
        <w:rPr>
          <w:rFonts w:ascii="Calibri" w:hAnsi="Calibri" w:cs="Calibri" w:eastAsia="Calibri" w:hint="default"/>
        </w:rPr>
        <w:t>)</w:t>
      </w:r>
      <w:r>
        <w:rPr>
          <w:rFonts w:ascii="Calibri" w:hAnsi="Calibri" w:cs="Calibri" w:eastAsia="Calibri" w:hint="default"/>
          <w:spacing w:val="28"/>
        </w:rPr>
        <w:t> </w:t>
      </w:r>
      <w:r>
        <w:rPr/>
        <w:t>公司控制的结构化主体情况</w:t>
      </w:r>
      <w:r>
        <w:rPr>
          <w:w w:val="100"/>
        </w:rPr>
        <w:t> </w:t>
      </w:r>
      <w:r>
        <w:rPr>
          <w:rFonts w:ascii="宋体" w:hAnsi="宋体" w:cs="宋体" w:eastAsia="宋体" w:hint="default"/>
          <w:b w:val="0"/>
          <w:bCs w:val="0"/>
        </w:rPr>
        <w:t>无</w:t>
      </w:r>
    </w:p>
    <w:p>
      <w:pPr>
        <w:spacing w:line="240" w:lineRule="auto" w:before="8"/>
        <w:rPr>
          <w:rFonts w:ascii="宋体" w:hAnsi="宋体" w:cs="宋体" w:eastAsia="宋体" w:hint="default"/>
          <w:sz w:val="23"/>
          <w:szCs w:val="23"/>
        </w:rPr>
      </w:pPr>
    </w:p>
    <w:p>
      <w:pPr>
        <w:pStyle w:val="Heading4"/>
        <w:spacing w:line="240" w:lineRule="auto" w:before="0"/>
        <w:ind w:left="258" w:right="0"/>
        <w:jc w:val="left"/>
        <w:rPr>
          <w:b w:val="0"/>
          <w:bCs w:val="0"/>
        </w:rPr>
      </w:pPr>
      <w:r>
        <w:rPr/>
        <w:t>三、公司关于公司未来发展的讨论与分析</w:t>
      </w:r>
      <w:r>
        <w:rPr>
          <w:b w:val="0"/>
          <w:bCs w:val="0"/>
        </w:rPr>
      </w:r>
    </w:p>
    <w:p>
      <w:pPr>
        <w:spacing w:line="264" w:lineRule="auto" w:before="58"/>
        <w:ind w:left="678" w:right="0"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行业竞争格局和发展趋势</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中国的金融市场处于变革之中，引发变革的因素很多，利率市场化、人民币国际化这些都是</w:t>
      </w:r>
    </w:p>
    <w:p>
      <w:pPr>
        <w:pStyle w:val="BodyText"/>
        <w:spacing w:line="272" w:lineRule="exact" w:before="5"/>
        <w:ind w:left="258" w:right="0"/>
        <w:jc w:val="left"/>
      </w:pPr>
      <w:r>
        <w:rPr>
          <w:spacing w:val="-2"/>
        </w:rPr>
        <w:t>背后的推动力量。因此，金融机构以及各类寻求金融创新业务的群体都积极的参与到这一场变革</w:t>
      </w:r>
      <w:r>
        <w:rPr>
          <w:spacing w:val="-25"/>
        </w:rPr>
        <w:t> </w:t>
      </w:r>
      <w:r>
        <w:rPr>
          <w:spacing w:val="-25"/>
        </w:rPr>
      </w:r>
      <w:r>
        <w:rPr/>
        <w:t>之中，以互联网的名义，拉开了一道序幕。</w:t>
      </w:r>
    </w:p>
    <w:p>
      <w:pPr>
        <w:pStyle w:val="BodyText"/>
        <w:spacing w:line="272" w:lineRule="exact" w:before="1"/>
        <w:ind w:left="258" w:right="628" w:firstLine="419"/>
        <w:jc w:val="both"/>
      </w:pPr>
      <w:r>
        <w:rPr>
          <w:spacing w:val="-2"/>
          <w:w w:val="100"/>
        </w:rPr>
        <w:t>为这些金融客户以及终端用户提供</w:t>
      </w:r>
      <w:r>
        <w:rPr>
          <w:w w:val="100"/>
        </w:rPr>
        <w:t> </w:t>
      </w:r>
      <w:r>
        <w:rPr>
          <w:rFonts w:ascii="宋体" w:hAnsi="宋体" w:cs="宋体" w:eastAsia="宋体" w:hint="default"/>
          <w:spacing w:val="-2"/>
          <w:w w:val="100"/>
        </w:rPr>
        <w:t>IT</w:t>
      </w:r>
      <w:r>
        <w:rPr>
          <w:rFonts w:ascii="宋体" w:hAnsi="宋体" w:cs="宋体" w:eastAsia="宋体" w:hint="default"/>
          <w:spacing w:val="-83"/>
          <w:w w:val="100"/>
        </w:rPr>
        <w:t> </w:t>
      </w:r>
      <w:r>
        <w:rPr>
          <w:spacing w:val="-6"/>
          <w:w w:val="100"/>
        </w:rPr>
        <w:t>服务的厂商也毫不例外的将直面这些未来的变革。是继</w:t>
      </w:r>
      <w:r>
        <w:rPr>
          <w:w w:val="100"/>
        </w:rPr>
        <w:t> </w:t>
      </w:r>
      <w:r>
        <w:rPr/>
        <w:t>续维持原有软件的销售模式，还是以互联网和云计算为基础提供</w:t>
      </w:r>
      <w:r>
        <w:rPr>
          <w:spacing w:val="-55"/>
        </w:rPr>
        <w:t> </w:t>
      </w:r>
      <w:r>
        <w:rPr>
          <w:rFonts w:ascii="宋体" w:hAnsi="宋体" w:cs="宋体" w:eastAsia="宋体" w:hint="default"/>
        </w:rPr>
        <w:t>SAAS</w:t>
      </w:r>
      <w:r>
        <w:rPr>
          <w:rFonts w:ascii="宋体" w:hAnsi="宋体" w:cs="宋体" w:eastAsia="宋体" w:hint="default"/>
          <w:spacing w:val="-57"/>
        </w:rPr>
        <w:t> </w:t>
      </w:r>
      <w:r>
        <w:rPr/>
        <w:t>服务，</w:t>
      </w:r>
      <w:r>
        <w:rPr>
          <w:rFonts w:ascii="宋体" w:hAnsi="宋体" w:cs="宋体" w:eastAsia="宋体" w:hint="default"/>
        </w:rPr>
        <w:t>IT</w:t>
      </w:r>
      <w:r>
        <w:rPr>
          <w:rFonts w:ascii="宋体" w:hAnsi="宋体" w:cs="宋体" w:eastAsia="宋体" w:hint="default"/>
          <w:spacing w:val="-54"/>
        </w:rPr>
        <w:t> </w:t>
      </w:r>
      <w:r>
        <w:rPr/>
        <w:t>服务是基础的支</w:t>
      </w:r>
    </w:p>
    <w:p>
      <w:pPr>
        <w:pStyle w:val="BodyText"/>
        <w:spacing w:line="272" w:lineRule="exact" w:before="1"/>
        <w:ind w:left="678" w:right="0" w:hanging="420"/>
        <w:jc w:val="left"/>
      </w:pPr>
      <w:r>
        <w:rPr/>
        <w:t>撑工具还是引领业务发展的突破工具，都引发了行业的思考。</w:t>
      </w:r>
      <w:r>
        <w:rPr>
          <w:w w:val="100"/>
        </w:rPr>
        <w:t> </w:t>
      </w:r>
      <w:r>
        <w:rPr>
          <w:spacing w:val="-2"/>
        </w:rPr>
        <w:t>互联网金融的局部市场示范效应，吸引了大家的关注和产业投入，随着技术在互联网金融中</w:t>
      </w:r>
    </w:p>
    <w:p>
      <w:pPr>
        <w:pStyle w:val="BodyText"/>
        <w:spacing w:line="246" w:lineRule="exact"/>
        <w:ind w:left="258" w:right="0"/>
        <w:jc w:val="left"/>
      </w:pPr>
      <w:r>
        <w:rPr/>
        <w:t>的重要作用，随之而来的人才争夺战也是此起彼伏，增加了行业成本，但技术的发展更多的让客</w:t>
      </w:r>
    </w:p>
    <w:p>
      <w:pPr>
        <w:pStyle w:val="BodyText"/>
        <w:spacing w:line="237" w:lineRule="auto" w:before="2"/>
        <w:ind w:left="258" w:right="637"/>
        <w:jc w:val="both"/>
      </w:pPr>
      <w:r>
        <w:rPr>
          <w:spacing w:val="-2"/>
        </w:rPr>
        <w:t>户看到了技术的力量，“软件定义世界”不是一个说辞，而是真实的逐步展现，这是这个行业的</w:t>
      </w:r>
      <w:r>
        <w:rPr>
          <w:spacing w:val="-25"/>
        </w:rPr>
        <w:t> </w:t>
      </w:r>
      <w:r>
        <w:rPr>
          <w:spacing w:val="-25"/>
        </w:rPr>
      </w:r>
      <w:r>
        <w:rPr>
          <w:spacing w:val="-2"/>
        </w:rPr>
        <w:t>魅力，将有利于行业的发展，包括对行业的定价水平都带来积极的变化，行业的整体市场容量也</w:t>
      </w:r>
      <w:r>
        <w:rPr>
          <w:spacing w:val="-26"/>
        </w:rPr>
        <w:t> </w:t>
      </w:r>
      <w:r>
        <w:rPr>
          <w:spacing w:val="-26"/>
        </w:rPr>
      </w:r>
      <w:r>
        <w:rPr/>
        <w:t>将因此而增加。</w:t>
      </w:r>
    </w:p>
    <w:p>
      <w:pPr>
        <w:pStyle w:val="BodyText"/>
        <w:spacing w:line="237" w:lineRule="auto"/>
        <w:ind w:left="258" w:right="637" w:firstLine="419"/>
        <w:jc w:val="both"/>
      </w:pPr>
      <w:r>
        <w:rPr/>
        <w:t>当然，行业的发展也出现了良莠不齐的现象以及法制规范滞后的情况，包括一些</w:t>
      </w:r>
      <w:r>
        <w:rPr>
          <w:spacing w:val="-54"/>
        </w:rPr>
        <w:t> </w:t>
      </w:r>
      <w:r>
        <w:rPr>
          <w:rFonts w:ascii="宋体" w:hAnsi="宋体" w:cs="宋体" w:eastAsia="宋体" w:hint="default"/>
        </w:rPr>
        <w:t>P2P</w:t>
      </w:r>
      <w:r>
        <w:rPr>
          <w:rFonts w:ascii="宋体" w:hAnsi="宋体" w:cs="宋体" w:eastAsia="宋体" w:hint="default"/>
          <w:spacing w:val="-55"/>
        </w:rPr>
        <w:t> </w:t>
      </w:r>
      <w:r>
        <w:rPr/>
        <w:t>之类的</w:t>
      </w:r>
      <w:r>
        <w:rPr>
          <w:w w:val="100"/>
        </w:rPr>
        <w:t> </w:t>
      </w:r>
      <w:r>
        <w:rPr>
          <w:spacing w:val="-2"/>
        </w:rPr>
        <w:t>风险，引起监管层的高度重视，市场规范是一件好事，从长期看是有利于行业发展的，短期看，</w:t>
      </w:r>
      <w:r>
        <w:rPr>
          <w:spacing w:val="-25"/>
        </w:rPr>
        <w:t> </w:t>
      </w:r>
      <w:r>
        <w:rPr>
          <w:spacing w:val="-25"/>
        </w:rPr>
      </w:r>
      <w:r>
        <w:rPr/>
        <w:t>对行业的业务会带来一定的影响。</w:t>
      </w:r>
    </w:p>
    <w:p>
      <w:pPr>
        <w:pStyle w:val="BodyText"/>
        <w:spacing w:line="272" w:lineRule="exact" w:before="26"/>
        <w:ind w:left="258" w:right="637" w:firstLine="419"/>
        <w:jc w:val="both"/>
      </w:pPr>
      <w:r>
        <w:rPr>
          <w:spacing w:val="-2"/>
        </w:rPr>
        <w:t>行业技术的发展也很迅猛，新技术不断应用，比如人脸识别、区块链技术等。拥有核心竞争</w:t>
      </w:r>
      <w:r>
        <w:rPr>
          <w:w w:val="100"/>
        </w:rPr>
        <w:t> </w:t>
      </w:r>
      <w:r>
        <w:rPr/>
        <w:t>力的企业将在这一轮的长跑中获得胜利。</w:t>
      </w:r>
    </w:p>
    <w:p>
      <w:pPr>
        <w:spacing w:line="240" w:lineRule="auto" w:before="4"/>
        <w:rPr>
          <w:rFonts w:ascii="宋体" w:hAnsi="宋体" w:cs="宋体" w:eastAsia="宋体" w:hint="default"/>
          <w:sz w:val="23"/>
          <w:szCs w:val="23"/>
        </w:rPr>
      </w:pPr>
    </w:p>
    <w:p>
      <w:pPr>
        <w:spacing w:line="266" w:lineRule="auto" w:before="0"/>
        <w:ind w:left="678" w:right="0"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公司发展战略</w:t>
      </w:r>
      <w:r>
        <w:rPr>
          <w:rFonts w:ascii="宋体" w:hAnsi="宋体" w:cs="宋体" w:eastAsia="宋体" w:hint="default"/>
          <w:b/>
          <w:bCs/>
          <w:spacing w:val="-102"/>
          <w:sz w:val="21"/>
          <w:szCs w:val="21"/>
        </w:rPr>
        <w:t> </w:t>
      </w:r>
      <w:r>
        <w:rPr>
          <w:rFonts w:ascii="宋体" w:hAnsi="宋体" w:cs="宋体" w:eastAsia="宋体" w:hint="default"/>
          <w:spacing w:val="-2"/>
          <w:sz w:val="21"/>
          <w:szCs w:val="21"/>
        </w:rPr>
        <w:t>公司的愿景是“连接百万亿”，公司的使命是“让金融变简单，让财富动起来”；公司未来</w:t>
      </w:r>
    </w:p>
    <w:p>
      <w:pPr>
        <w:pStyle w:val="BodyText"/>
        <w:spacing w:line="247" w:lineRule="exact"/>
        <w:ind w:left="678" w:right="0" w:hanging="420"/>
        <w:jc w:val="left"/>
      </w:pPr>
      <w:r>
        <w:rPr>
          <w:spacing w:val="-7"/>
        </w:rPr>
        <w:t>几年的战略为“端、网、云、数”战略，即客户端战略、互联网战略、云计算战略、大数据战略。</w:t>
      </w:r>
    </w:p>
    <w:p>
      <w:pPr>
        <w:pStyle w:val="BodyText"/>
        <w:spacing w:line="237" w:lineRule="auto" w:before="2"/>
        <w:ind w:left="258" w:right="627" w:firstLine="419"/>
        <w:jc w:val="both"/>
      </w:pPr>
      <w:r>
        <w:rPr>
          <w:rFonts w:ascii="宋体" w:hAnsi="宋体" w:cs="宋体" w:eastAsia="宋体" w:hint="default"/>
        </w:rPr>
        <w:t>1.0 </w:t>
      </w:r>
      <w:r>
        <w:rPr>
          <w:spacing w:val="-5"/>
        </w:rPr>
        <w:t>业务未来仍有它良好的市场发展空间，在局部客户以及产品领域；</w:t>
      </w:r>
      <w:r>
        <w:rPr>
          <w:rFonts w:ascii="宋体" w:hAnsi="宋体" w:cs="宋体" w:eastAsia="宋体" w:hint="default"/>
          <w:spacing w:val="-5"/>
        </w:rPr>
        <w:t>2.0</w:t>
      </w:r>
      <w:r>
        <w:rPr>
          <w:rFonts w:ascii="宋体" w:hAnsi="宋体" w:cs="宋体" w:eastAsia="宋体" w:hint="default"/>
          <w:spacing w:val="-54"/>
        </w:rPr>
        <w:t> </w:t>
      </w:r>
      <w:r>
        <w:rPr/>
        <w:t>业务的发展将使客</w:t>
      </w:r>
      <w:r>
        <w:rPr>
          <w:w w:val="100"/>
        </w:rPr>
        <w:t> </w:t>
      </w:r>
      <w:r>
        <w:rPr/>
        <w:t>户的</w:t>
      </w:r>
      <w:r>
        <w:rPr>
          <w:spacing w:val="-55"/>
        </w:rPr>
        <w:t> </w:t>
      </w:r>
      <w:r>
        <w:rPr>
          <w:rFonts w:ascii="宋体" w:hAnsi="宋体" w:cs="宋体" w:eastAsia="宋体" w:hint="default"/>
        </w:rPr>
        <w:t>IT</w:t>
      </w:r>
      <w:r>
        <w:rPr>
          <w:rFonts w:ascii="宋体" w:hAnsi="宋体" w:cs="宋体" w:eastAsia="宋体" w:hint="default"/>
          <w:spacing w:val="-55"/>
        </w:rPr>
        <w:t> </w:t>
      </w:r>
      <w:r>
        <w:rPr/>
        <w:t>系统上云，客户可以将精力聚焦在专业领域，而把</w:t>
      </w:r>
      <w:r>
        <w:rPr>
          <w:spacing w:val="-55"/>
        </w:rPr>
        <w:t> </w:t>
      </w:r>
      <w:r>
        <w:rPr>
          <w:rFonts w:ascii="宋体" w:hAnsi="宋体" w:cs="宋体" w:eastAsia="宋体" w:hint="default"/>
        </w:rPr>
        <w:t>IT</w:t>
      </w:r>
      <w:r>
        <w:rPr>
          <w:rFonts w:ascii="宋体" w:hAnsi="宋体" w:cs="宋体" w:eastAsia="宋体" w:hint="default"/>
          <w:spacing w:val="-57"/>
        </w:rPr>
        <w:t> </w:t>
      </w:r>
      <w:r>
        <w:rPr/>
        <w:t>系统的生产与运维交给专业公司打</w:t>
      </w:r>
      <w:r>
        <w:rPr>
          <w:w w:val="100"/>
        </w:rPr>
        <w:t> </w:t>
      </w:r>
      <w:r>
        <w:rPr>
          <w:spacing w:val="-2"/>
        </w:rPr>
        <w:t>理，但这个转换的过程除了基础的客户需求（包括成本比较）之外，尚需法规政策的支持，以及</w:t>
      </w:r>
      <w:r>
        <w:rPr>
          <w:spacing w:val="-25"/>
        </w:rPr>
        <w:t> </w:t>
      </w:r>
      <w:r>
        <w:rPr>
          <w:spacing w:val="-25"/>
        </w:rPr>
      </w:r>
      <w:r>
        <w:rPr/>
        <w:t>市场产品供应商的成熟度支持；</w:t>
      </w:r>
      <w:r>
        <w:rPr>
          <w:rFonts w:ascii="宋体" w:hAnsi="宋体" w:cs="宋体" w:eastAsia="宋体" w:hint="default"/>
        </w:rPr>
        <w:t>3.0</w:t>
      </w:r>
      <w:r>
        <w:rPr>
          <w:rFonts w:ascii="宋体" w:hAnsi="宋体" w:cs="宋体" w:eastAsia="宋体" w:hint="default"/>
          <w:spacing w:val="-57"/>
        </w:rPr>
        <w:t> </w:t>
      </w:r>
      <w:r>
        <w:rPr/>
        <w:t>业务可以实现帮助客户在业务领域的延伸，</w:t>
      </w:r>
      <w:r>
        <w:rPr>
          <w:rFonts w:ascii="宋体" w:hAnsi="宋体" w:cs="宋体" w:eastAsia="宋体" w:hint="default"/>
        </w:rPr>
        <w:t>IT</w:t>
      </w:r>
      <w:r>
        <w:rPr>
          <w:rFonts w:ascii="宋体" w:hAnsi="宋体" w:cs="宋体" w:eastAsia="宋体" w:hint="default"/>
          <w:spacing w:val="-55"/>
        </w:rPr>
        <w:t> </w:t>
      </w:r>
      <w:r>
        <w:rPr/>
        <w:t>成为推动业务</w:t>
      </w:r>
      <w:r>
        <w:rPr>
          <w:w w:val="100"/>
        </w:rPr>
        <w:t> </w:t>
      </w:r>
      <w:r>
        <w:rPr>
          <w:spacing w:val="-2"/>
        </w:rPr>
        <w:t>能力的重要手段，这是很重要的一点，公司的资源和研发会重点覆盖到，并希望有实践领域的渐</w:t>
      </w:r>
      <w:r>
        <w:rPr>
          <w:spacing w:val="-25"/>
        </w:rPr>
        <w:t> </w:t>
      </w:r>
      <w:r>
        <w:rPr>
          <w:spacing w:val="-25"/>
        </w:rPr>
      </w:r>
      <w:r>
        <w:rPr/>
        <w:t>次突破。</w:t>
      </w:r>
    </w:p>
    <w:p>
      <w:pPr>
        <w:pStyle w:val="BodyText"/>
        <w:spacing w:line="272" w:lineRule="exact" w:before="26"/>
        <w:ind w:left="258" w:right="637" w:firstLine="419"/>
        <w:jc w:val="both"/>
      </w:pPr>
      <w:r>
        <w:rPr/>
        <w:t>公司主要服务于机构</w:t>
      </w:r>
      <w:r>
        <w:rPr>
          <w:spacing w:val="-54"/>
        </w:rPr>
        <w:t> </w:t>
      </w:r>
      <w:r>
        <w:rPr>
          <w:rFonts w:ascii="宋体" w:hAnsi="宋体" w:cs="宋体" w:eastAsia="宋体" w:hint="default"/>
        </w:rPr>
        <w:t>B</w:t>
      </w:r>
      <w:r>
        <w:rPr>
          <w:rFonts w:ascii="宋体" w:hAnsi="宋体" w:cs="宋体" w:eastAsia="宋体" w:hint="default"/>
          <w:spacing w:val="-54"/>
        </w:rPr>
        <w:t> </w:t>
      </w:r>
      <w:r>
        <w:rPr/>
        <w:t>端的客户，但通过互联网合作伙伴和部分产品线也间接覆盖到</w:t>
      </w:r>
      <w:r>
        <w:rPr>
          <w:spacing w:val="-54"/>
        </w:rPr>
        <w:t> </w:t>
      </w:r>
      <w:r>
        <w:rPr>
          <w:rFonts w:ascii="宋体" w:hAnsi="宋体" w:cs="宋体" w:eastAsia="宋体" w:hint="default"/>
        </w:rPr>
        <w:t>C</w:t>
      </w:r>
      <w:r>
        <w:rPr>
          <w:rFonts w:ascii="宋体" w:hAnsi="宋体" w:cs="宋体" w:eastAsia="宋体" w:hint="default"/>
          <w:spacing w:val="-56"/>
        </w:rPr>
        <w:t> </w:t>
      </w:r>
      <w:r>
        <w:rPr/>
        <w:t>端的</w:t>
      </w:r>
      <w:r>
        <w:rPr>
          <w:w w:val="100"/>
        </w:rPr>
        <w:t> </w:t>
      </w:r>
      <w:r>
        <w:rPr/>
        <w:t>使用者。</w:t>
      </w:r>
    </w:p>
    <w:p>
      <w:pPr>
        <w:pStyle w:val="BodyText"/>
        <w:spacing w:line="272" w:lineRule="exact" w:before="1"/>
        <w:ind w:left="678" w:right="0"/>
        <w:jc w:val="left"/>
      </w:pPr>
      <w:r>
        <w:rPr/>
        <w:t>在发展策略方面，公司注重内生与外延式发展战略并重。</w:t>
      </w:r>
      <w:r>
        <w:rPr>
          <w:w w:val="100"/>
        </w:rPr>
        <w:t> </w:t>
      </w:r>
      <w:r>
        <w:rPr>
          <w:spacing w:val="-7"/>
        </w:rPr>
        <w:t>在产品平台领域，公司未来几年将运作三大技术平台战略，暨资管技术平台、经纪技术平台、</w:t>
      </w:r>
    </w:p>
    <w:p>
      <w:pPr>
        <w:pStyle w:val="BodyText"/>
        <w:spacing w:line="246" w:lineRule="exact"/>
        <w:ind w:left="258" w:right="6501"/>
        <w:jc w:val="left"/>
      </w:pPr>
      <w:r>
        <w:rPr/>
        <w:t>财富管理技术平台。</w:t>
      </w:r>
    </w:p>
    <w:p>
      <w:pPr>
        <w:pStyle w:val="BodyText"/>
        <w:spacing w:line="237" w:lineRule="auto" w:before="2"/>
        <w:ind w:left="258" w:right="628" w:firstLine="419"/>
        <w:jc w:val="both"/>
      </w:pPr>
      <w:r>
        <w:rPr>
          <w:spacing w:val="-2"/>
        </w:rPr>
        <w:t>技术是无止境的，是恒生立足的根本之所在，放眼未来，公司会看到更多的可能，研发关注</w:t>
      </w:r>
      <w:r>
        <w:rPr>
          <w:w w:val="100"/>
        </w:rPr>
        <w:t> </w:t>
      </w:r>
      <w:r>
        <w:rPr>
          <w:spacing w:val="-5"/>
        </w:rPr>
        <w:t>的领域，包括比如机器人投顾，比如区块链技术。日前在深圳举办的金融</w:t>
      </w:r>
      <w:r>
        <w:rPr>
          <w:spacing w:val="-27"/>
        </w:rPr>
        <w:t> </w:t>
      </w:r>
      <w:r>
        <w:rPr>
          <w:rFonts w:ascii="宋体" w:hAnsi="宋体" w:cs="宋体" w:eastAsia="宋体" w:hint="default"/>
        </w:rPr>
        <w:t>IT</w:t>
      </w:r>
      <w:r>
        <w:rPr>
          <w:rFonts w:ascii="宋体" w:hAnsi="宋体" w:cs="宋体" w:eastAsia="宋体" w:hint="default"/>
          <w:spacing w:val="-30"/>
        </w:rPr>
        <w:t> </w:t>
      </w:r>
      <w:r>
        <w:rPr/>
        <w:t>界区块链技术专题研</w:t>
      </w:r>
      <w:r>
        <w:rPr>
          <w:spacing w:val="-95"/>
        </w:rPr>
        <w:t> </w:t>
      </w:r>
      <w:r>
        <w:rPr>
          <w:spacing w:val="-95"/>
        </w:rPr>
      </w:r>
      <w:r>
        <w:rPr>
          <w:spacing w:val="-2"/>
        </w:rPr>
        <w:t>讨会上，恒生向客户介绍了区块链技术在金融行业的应用探索——基于联盟链的数字票据系统，</w:t>
      </w:r>
      <w:r>
        <w:rPr>
          <w:spacing w:val="-25"/>
        </w:rPr>
        <w:t> </w:t>
      </w:r>
      <w:r>
        <w:rPr>
          <w:spacing w:val="-25"/>
        </w:rPr>
      </w:r>
      <w:r>
        <w:rPr/>
        <w:t>受到大家关注。</w:t>
      </w:r>
    </w:p>
    <w:p>
      <w:pPr>
        <w:spacing w:after="0" w:line="237" w:lineRule="auto"/>
        <w:jc w:val="both"/>
        <w:sectPr>
          <w:footerReference w:type="default" r:id="rId14"/>
          <w:pgSz w:w="11910" w:h="16840"/>
          <w:pgMar w:footer="1195" w:header="880" w:top="1120" w:bottom="1380" w:left="1540" w:right="640"/>
          <w:pgNumType w:start="21"/>
        </w:sectPr>
      </w:pPr>
    </w:p>
    <w:p>
      <w:pPr>
        <w:spacing w:line="240" w:lineRule="auto" w:before="4"/>
        <w:rPr>
          <w:rFonts w:ascii="宋体" w:hAnsi="宋体" w:cs="宋体" w:eastAsia="宋体" w:hint="default"/>
          <w:sz w:val="25"/>
          <w:szCs w:val="25"/>
        </w:rPr>
      </w:pPr>
    </w:p>
    <w:p>
      <w:pPr>
        <w:pStyle w:val="Heading4"/>
        <w:spacing w:line="240" w:lineRule="auto"/>
        <w:ind w:left="138" w:right="346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经营计划</w:t>
      </w:r>
      <w:r>
        <w:rPr>
          <w:b w:val="0"/>
          <w:bCs w:val="0"/>
        </w:rPr>
      </w:r>
    </w:p>
    <w:p>
      <w:pPr>
        <w:pStyle w:val="BodyText"/>
        <w:spacing w:line="273" w:lineRule="exact" w:before="32"/>
        <w:ind w:left="558" w:right="0"/>
        <w:jc w:val="left"/>
      </w:pPr>
      <w:r>
        <w:rPr>
          <w:rFonts w:ascii="宋体" w:hAnsi="宋体" w:cs="宋体" w:eastAsia="宋体" w:hint="default"/>
        </w:rPr>
        <w:t>2016</w:t>
      </w:r>
      <w:r>
        <w:rPr>
          <w:rFonts w:ascii="宋体" w:hAnsi="宋体" w:cs="宋体" w:eastAsia="宋体" w:hint="default"/>
          <w:spacing w:val="-57"/>
        </w:rPr>
        <w:t> </w:t>
      </w:r>
      <w:r>
        <w:rPr/>
        <w:t>年，公司的营业收入预算总额为</w:t>
      </w:r>
      <w:r>
        <w:rPr>
          <w:spacing w:val="-55"/>
        </w:rPr>
        <w:t> </w:t>
      </w:r>
      <w:r>
        <w:rPr>
          <w:rFonts w:ascii="宋体" w:hAnsi="宋体" w:cs="宋体" w:eastAsia="宋体" w:hint="default"/>
        </w:rPr>
        <w:t>28</w:t>
      </w:r>
      <w:r>
        <w:rPr>
          <w:rFonts w:ascii="宋体" w:hAnsi="宋体" w:cs="宋体" w:eastAsia="宋体" w:hint="default"/>
          <w:spacing w:val="-57"/>
        </w:rPr>
        <w:t> </w:t>
      </w:r>
      <w:r>
        <w:rPr/>
        <w:t>亿元人民币，营业收入预计增长</w:t>
      </w:r>
      <w:r>
        <w:rPr>
          <w:spacing w:val="-54"/>
        </w:rPr>
        <w:t> </w:t>
      </w:r>
      <w:r>
        <w:rPr>
          <w:rFonts w:ascii="宋体" w:hAnsi="宋体" w:cs="宋体" w:eastAsia="宋体" w:hint="default"/>
        </w:rPr>
        <w:t>26%</w:t>
      </w:r>
      <w:r>
        <w:rPr/>
        <w:t>。</w:t>
      </w:r>
    </w:p>
    <w:p>
      <w:pPr>
        <w:pStyle w:val="BodyText"/>
        <w:spacing w:line="237" w:lineRule="auto"/>
        <w:ind w:left="138" w:right="190" w:firstLine="419"/>
        <w:jc w:val="both"/>
      </w:pPr>
      <w:r>
        <w:rPr>
          <w:rFonts w:ascii="宋体" w:hAnsi="宋体" w:cs="宋体" w:eastAsia="宋体" w:hint="default"/>
        </w:rPr>
        <w:t>2016</w:t>
      </w:r>
      <w:r>
        <w:rPr>
          <w:rFonts w:ascii="宋体" w:hAnsi="宋体" w:cs="宋体" w:eastAsia="宋体" w:hint="default"/>
          <w:spacing w:val="-56"/>
        </w:rPr>
        <w:t> </w:t>
      </w:r>
      <w:r>
        <w:rPr/>
        <w:t>年，公司的费用预算总额为</w:t>
      </w:r>
      <w:r>
        <w:rPr>
          <w:spacing w:val="-54"/>
        </w:rPr>
        <w:t> </w:t>
      </w:r>
      <w:r>
        <w:rPr>
          <w:rFonts w:ascii="宋体" w:hAnsi="宋体" w:cs="宋体" w:eastAsia="宋体" w:hint="default"/>
        </w:rPr>
        <w:t>22</w:t>
      </w:r>
      <w:r>
        <w:rPr>
          <w:rFonts w:ascii="宋体" w:hAnsi="宋体" w:cs="宋体" w:eastAsia="宋体" w:hint="default"/>
          <w:spacing w:val="-56"/>
        </w:rPr>
        <w:t> </w:t>
      </w:r>
      <w:r>
        <w:rPr/>
        <w:t>亿元人民币，较去年费用总额的</w:t>
      </w:r>
      <w:r>
        <w:rPr>
          <w:spacing w:val="-54"/>
        </w:rPr>
        <w:t> </w:t>
      </w:r>
      <w:r>
        <w:rPr>
          <w:rFonts w:ascii="宋体" w:hAnsi="宋体" w:cs="宋体" w:eastAsia="宋体" w:hint="default"/>
        </w:rPr>
        <w:t>16.39</w:t>
      </w:r>
      <w:r>
        <w:rPr>
          <w:rFonts w:ascii="宋体" w:hAnsi="宋体" w:cs="宋体" w:eastAsia="宋体" w:hint="default"/>
          <w:spacing w:val="-53"/>
        </w:rPr>
        <w:t> </w:t>
      </w:r>
      <w:r>
        <w:rPr/>
        <w:t>亿元人民币预计</w:t>
      </w:r>
      <w:r>
        <w:rPr>
          <w:w w:val="100"/>
        </w:rPr>
        <w:t> </w:t>
      </w:r>
      <w:r>
        <w:rPr/>
        <w:t>增长 </w:t>
      </w:r>
      <w:r>
        <w:rPr>
          <w:rFonts w:ascii="宋体" w:hAnsi="宋体" w:cs="宋体" w:eastAsia="宋体" w:hint="default"/>
          <w:spacing w:val="-2"/>
        </w:rPr>
        <w:t>35%</w:t>
      </w:r>
      <w:r>
        <w:rPr>
          <w:spacing w:val="-2"/>
        </w:rPr>
        <w:t>。费用预算增长主要基于三个方面的考虑，一是加大对公司创新业务的资源配置，二是</w:t>
      </w:r>
      <w:r>
        <w:rPr>
          <w:spacing w:val="-81"/>
        </w:rPr>
        <w:t> </w:t>
      </w:r>
      <w:r>
        <w:rPr>
          <w:spacing w:val="-81"/>
        </w:rPr>
      </w:r>
      <w:r>
        <w:rPr/>
        <w:t>加大对新技术的产品研发，三是增加员工薪酬以增强公司的人力资源竞争力水平。</w:t>
      </w:r>
    </w:p>
    <w:p>
      <w:pPr>
        <w:spacing w:line="240" w:lineRule="auto" w:before="3"/>
        <w:rPr>
          <w:rFonts w:ascii="宋体" w:hAnsi="宋体" w:cs="宋体" w:eastAsia="宋体" w:hint="default"/>
          <w:sz w:val="25"/>
          <w:szCs w:val="25"/>
        </w:rPr>
      </w:pPr>
    </w:p>
    <w:p>
      <w:pPr>
        <w:spacing w:line="266" w:lineRule="auto" w:before="0"/>
        <w:ind w:left="138" w:right="3683"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可能面对的风险</w:t>
      </w:r>
      <w:r>
        <w:rPr>
          <w:rFonts w:ascii="宋体" w:hAnsi="宋体" w:cs="宋体" w:eastAsia="宋体" w:hint="default"/>
          <w:b/>
          <w:bCs/>
          <w:spacing w:val="-102"/>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、政策和控股子公司拟受处罚的风险</w:t>
      </w:r>
    </w:p>
    <w:p>
      <w:pPr>
        <w:pStyle w:val="BodyText"/>
        <w:spacing w:line="247" w:lineRule="exact"/>
        <w:ind w:left="558" w:right="0"/>
        <w:jc w:val="left"/>
      </w:pPr>
      <w:r>
        <w:rPr>
          <w:w w:val="100"/>
        </w:rPr>
        <w:t>金融</w:t>
      </w:r>
      <w:r>
        <w:rPr>
          <w:spacing w:val="-3"/>
          <w:w w:val="100"/>
        </w:rPr>
        <w:t>监</w:t>
      </w:r>
      <w:r>
        <w:rPr>
          <w:w w:val="100"/>
        </w:rPr>
        <w:t>管</w:t>
      </w:r>
      <w:r>
        <w:rPr>
          <w:spacing w:val="-3"/>
          <w:w w:val="100"/>
        </w:rPr>
        <w:t>政</w:t>
      </w:r>
      <w:r>
        <w:rPr>
          <w:w w:val="100"/>
        </w:rPr>
        <w:t>策</w:t>
      </w:r>
      <w:r>
        <w:rPr>
          <w:spacing w:val="-3"/>
          <w:w w:val="100"/>
        </w:rPr>
        <w:t>如</w:t>
      </w:r>
      <w:r>
        <w:rPr>
          <w:w w:val="100"/>
        </w:rPr>
        <w:t>趋</w:t>
      </w:r>
      <w:r>
        <w:rPr>
          <w:spacing w:val="-3"/>
          <w:w w:val="100"/>
        </w:rPr>
        <w:t>向</w:t>
      </w:r>
      <w:r>
        <w:rPr>
          <w:w w:val="100"/>
        </w:rPr>
        <w:t>严</w:t>
      </w:r>
      <w:r>
        <w:rPr>
          <w:spacing w:val="-3"/>
          <w:w w:val="100"/>
        </w:rPr>
        <w:t>格</w:t>
      </w:r>
      <w:r>
        <w:rPr>
          <w:spacing w:val="-101"/>
          <w:w w:val="100"/>
        </w:rPr>
        <w:t>，</w:t>
      </w:r>
      <w:r>
        <w:rPr>
          <w:w w:val="100"/>
        </w:rPr>
        <w:t>在金</w:t>
      </w:r>
      <w:r>
        <w:rPr>
          <w:spacing w:val="-3"/>
          <w:w w:val="100"/>
        </w:rPr>
        <w:t>融</w:t>
      </w:r>
      <w:r>
        <w:rPr>
          <w:w w:val="100"/>
        </w:rPr>
        <w:t>法</w:t>
      </w:r>
      <w:r>
        <w:rPr>
          <w:spacing w:val="-3"/>
          <w:w w:val="100"/>
        </w:rPr>
        <w:t>律</w:t>
      </w:r>
      <w:r>
        <w:rPr>
          <w:w w:val="100"/>
        </w:rPr>
        <w:t>政</w:t>
      </w:r>
      <w:r>
        <w:rPr>
          <w:spacing w:val="-3"/>
          <w:w w:val="100"/>
        </w:rPr>
        <w:t>策</w:t>
      </w:r>
      <w:r>
        <w:rPr>
          <w:w w:val="100"/>
        </w:rPr>
        <w:t>完</w:t>
      </w:r>
      <w:r>
        <w:rPr>
          <w:spacing w:val="-3"/>
          <w:w w:val="100"/>
        </w:rPr>
        <w:t>善</w:t>
      </w:r>
      <w:r>
        <w:rPr>
          <w:w w:val="100"/>
        </w:rPr>
        <w:t>之</w:t>
      </w:r>
      <w:r>
        <w:rPr>
          <w:spacing w:val="-3"/>
          <w:w w:val="100"/>
        </w:rPr>
        <w:t>前</w:t>
      </w:r>
      <w:r>
        <w:rPr>
          <w:spacing w:val="-101"/>
          <w:w w:val="100"/>
        </w:rPr>
        <w:t>，</w:t>
      </w:r>
      <w:r>
        <w:rPr>
          <w:w w:val="100"/>
        </w:rPr>
        <w:t>将对</w:t>
      </w:r>
      <w:r>
        <w:rPr>
          <w:spacing w:val="-3"/>
          <w:w w:val="100"/>
        </w:rPr>
        <w:t>行</w:t>
      </w:r>
      <w:r>
        <w:rPr>
          <w:w w:val="100"/>
        </w:rPr>
        <w:t>业</w:t>
      </w:r>
      <w:r>
        <w:rPr>
          <w:spacing w:val="-3"/>
          <w:w w:val="100"/>
        </w:rPr>
        <w:t>行</w:t>
      </w:r>
      <w:r>
        <w:rPr>
          <w:w w:val="100"/>
        </w:rPr>
        <w:t>业</w:t>
      </w:r>
      <w:r>
        <w:rPr>
          <w:spacing w:val="-3"/>
          <w:w w:val="100"/>
        </w:rPr>
        <w:t>金</w:t>
      </w:r>
      <w:r>
        <w:rPr>
          <w:w w:val="100"/>
        </w:rPr>
        <w:t>融</w:t>
      </w:r>
      <w:r>
        <w:rPr>
          <w:spacing w:val="-3"/>
          <w:w w:val="100"/>
        </w:rPr>
        <w:t>创</w:t>
      </w:r>
      <w:r>
        <w:rPr>
          <w:w w:val="100"/>
        </w:rPr>
        <w:t>新</w:t>
      </w:r>
      <w:r>
        <w:rPr>
          <w:spacing w:val="-3"/>
          <w:w w:val="100"/>
        </w:rPr>
        <w:t>带</w:t>
      </w:r>
      <w:r>
        <w:rPr>
          <w:w w:val="100"/>
        </w:rPr>
        <w:t>来一</w:t>
      </w:r>
      <w:r>
        <w:rPr>
          <w:spacing w:val="-3"/>
          <w:w w:val="100"/>
        </w:rPr>
        <w:t>定</w:t>
      </w:r>
      <w:r>
        <w:rPr>
          <w:w w:val="100"/>
        </w:rPr>
        <w:t>压</w:t>
      </w:r>
      <w:r>
        <w:rPr>
          <w:spacing w:val="-3"/>
          <w:w w:val="100"/>
        </w:rPr>
        <w:t>抑</w:t>
      </w:r>
      <w:r>
        <w:rPr>
          <w:w w:val="100"/>
        </w:rPr>
        <w:t>，</w:t>
      </w:r>
    </w:p>
    <w:p>
      <w:pPr>
        <w:pStyle w:val="BodyText"/>
        <w:spacing w:line="272" w:lineRule="exact" w:before="27"/>
        <w:ind w:left="558" w:right="3467" w:hanging="420"/>
        <w:jc w:val="left"/>
      </w:pPr>
      <w:r>
        <w:rPr>
          <w:spacing w:val="-2"/>
        </w:rPr>
        <w:t>行业和公司发展会受到影响。的发展将带来较大影响。</w:t>
      </w:r>
      <w:r>
        <w:rPr>
          <w:spacing w:val="-59"/>
        </w:rPr>
        <w:t> </w:t>
      </w:r>
      <w:r>
        <w:rPr>
          <w:spacing w:val="-59"/>
        </w:rPr>
      </w:r>
      <w:r>
        <w:rPr>
          <w:spacing w:val="-2"/>
        </w:rPr>
        <w:t>风险的应对措施包括：“拥抱监管，稳妥创新”。</w:t>
      </w:r>
    </w:p>
    <w:p>
      <w:pPr>
        <w:pStyle w:val="BodyText"/>
        <w:spacing w:line="248" w:lineRule="exact"/>
        <w:ind w:left="138" w:right="3467"/>
        <w:jc w:val="left"/>
      </w:pPr>
      <w:r>
        <w:rPr>
          <w:rFonts w:ascii="宋体" w:hAnsi="宋体" w:cs="宋体" w:eastAsia="宋体" w:hint="default"/>
        </w:rPr>
        <w:t>2</w:t>
      </w:r>
      <w:r>
        <w:rPr/>
        <w:t>、行业规划的风险</w:t>
      </w:r>
    </w:p>
    <w:p>
      <w:pPr>
        <w:pStyle w:val="BodyText"/>
        <w:spacing w:line="240" w:lineRule="auto"/>
        <w:ind w:left="138" w:right="127" w:firstLine="419"/>
        <w:jc w:val="both"/>
      </w:pPr>
      <w:r>
        <w:rPr/>
        <w:t>公司从事的金融 </w:t>
      </w:r>
      <w:r>
        <w:rPr>
          <w:rFonts w:ascii="宋体" w:hAnsi="宋体" w:cs="宋体" w:eastAsia="宋体" w:hint="default"/>
        </w:rPr>
        <w:t>IT</w:t>
      </w:r>
      <w:r>
        <w:rPr>
          <w:rFonts w:ascii="宋体" w:hAnsi="宋体" w:cs="宋体" w:eastAsia="宋体" w:hint="default"/>
          <w:spacing w:val="-56"/>
        </w:rPr>
        <w:t> </w:t>
      </w:r>
      <w:r>
        <w:rPr>
          <w:spacing w:val="-5"/>
        </w:rPr>
        <w:t>服务行业是国家重点关注的领域，如出现行业规划，导致国家行业级的金</w:t>
      </w:r>
      <w:r>
        <w:rPr>
          <w:w w:val="100"/>
        </w:rPr>
        <w:t> </w:t>
      </w:r>
      <w:r>
        <w:rPr/>
        <w:t>融</w:t>
      </w:r>
      <w:r>
        <w:rPr>
          <w:spacing w:val="-55"/>
        </w:rPr>
        <w:t> </w:t>
      </w:r>
      <w:r>
        <w:rPr>
          <w:rFonts w:ascii="宋体" w:hAnsi="宋体" w:cs="宋体" w:eastAsia="宋体" w:hint="default"/>
        </w:rPr>
        <w:t>IT</w:t>
      </w:r>
      <w:r>
        <w:rPr>
          <w:rFonts w:ascii="宋体" w:hAnsi="宋体" w:cs="宋体" w:eastAsia="宋体" w:hint="default"/>
          <w:spacing w:val="-57"/>
        </w:rPr>
        <w:t> </w:t>
      </w:r>
      <w:r>
        <w:rPr/>
        <w:t>服务平台出现，势必影响公司作为独立运营的民营企业的运营风险。</w:t>
      </w:r>
    </w:p>
    <w:p>
      <w:pPr>
        <w:pStyle w:val="BodyText"/>
        <w:spacing w:line="274" w:lineRule="exact" w:before="22"/>
        <w:ind w:left="138" w:right="137" w:firstLine="419"/>
        <w:jc w:val="both"/>
      </w:pPr>
      <w:r>
        <w:rPr>
          <w:spacing w:val="-2"/>
        </w:rPr>
        <w:t>风险的应对措施：积极参与与相关部门的沟通，及时审视公司的基本发展战略，在核心技术</w:t>
      </w:r>
      <w:r>
        <w:rPr>
          <w:w w:val="100"/>
        </w:rPr>
        <w:t> </w:t>
      </w:r>
      <w:r>
        <w:rPr/>
        <w:t>上保持行业领先。</w:t>
      </w:r>
    </w:p>
    <w:p>
      <w:pPr>
        <w:pStyle w:val="BodyText"/>
        <w:spacing w:line="245" w:lineRule="exact"/>
        <w:ind w:left="138" w:right="3467"/>
        <w:jc w:val="left"/>
      </w:pPr>
      <w:r>
        <w:rPr>
          <w:rFonts w:ascii="宋体" w:hAnsi="宋体" w:cs="宋体" w:eastAsia="宋体" w:hint="default"/>
        </w:rPr>
        <w:t>3</w:t>
      </w:r>
      <w:r>
        <w:rPr/>
        <w:t>、创新预期的风险</w:t>
      </w:r>
    </w:p>
    <w:p>
      <w:pPr>
        <w:pStyle w:val="BodyText"/>
        <w:spacing w:line="272" w:lineRule="exact" w:before="27"/>
        <w:ind w:left="558" w:right="0"/>
        <w:jc w:val="left"/>
      </w:pPr>
      <w:r>
        <w:rPr/>
        <w:t>金融创新如实际发展低于预期将存在研发投入与产出错配的风险。</w:t>
      </w:r>
      <w:r>
        <w:rPr>
          <w:w w:val="100"/>
        </w:rPr>
        <w:t> </w:t>
      </w:r>
      <w:r>
        <w:rPr>
          <w:spacing w:val="-2"/>
        </w:rPr>
        <w:t>风险的应对措施包括：加强基础平台的研发，提高产品的适应性，加强和行业主管部门以及</w:t>
      </w:r>
    </w:p>
    <w:p>
      <w:pPr>
        <w:pStyle w:val="BodyText"/>
        <w:spacing w:line="246" w:lineRule="exact"/>
        <w:ind w:left="138" w:right="3467"/>
        <w:jc w:val="left"/>
      </w:pPr>
      <w:r>
        <w:rPr/>
        <w:t>客户的沟通，及时掌握市场变化的动态。</w:t>
      </w:r>
    </w:p>
    <w:p>
      <w:pPr>
        <w:pStyle w:val="BodyText"/>
        <w:spacing w:line="272" w:lineRule="exact" w:before="27"/>
        <w:ind w:left="558" w:right="0" w:hanging="420"/>
        <w:jc w:val="left"/>
      </w:pPr>
      <w:r>
        <w:rPr>
          <w:rFonts w:ascii="宋体" w:hAnsi="宋体" w:cs="宋体" w:eastAsia="宋体" w:hint="default"/>
        </w:rPr>
        <w:t>4</w:t>
      </w:r>
      <w:r>
        <w:rPr/>
        <w:t>、市场竞争的风险</w:t>
      </w:r>
      <w:r>
        <w:rPr>
          <w:w w:val="100"/>
        </w:rPr>
        <w:t> </w:t>
      </w:r>
      <w:r>
        <w:rPr>
          <w:spacing w:val="-2"/>
        </w:rPr>
        <w:t>互联网金融和新金融的发展，吸引了大量的新进入者参与市场竞争，包括互联网巨头公司以</w:t>
      </w:r>
    </w:p>
    <w:p>
      <w:pPr>
        <w:pStyle w:val="BodyText"/>
        <w:spacing w:line="272" w:lineRule="exact" w:before="1"/>
        <w:ind w:left="138" w:right="142"/>
        <w:jc w:val="left"/>
      </w:pPr>
      <w:r>
        <w:rPr/>
        <w:t>及各强势金融机构衍生的</w:t>
      </w:r>
      <w:r>
        <w:rPr>
          <w:spacing w:val="-57"/>
        </w:rPr>
        <w:t> </w:t>
      </w:r>
      <w:r>
        <w:rPr>
          <w:rFonts w:ascii="宋体" w:hAnsi="宋体" w:cs="宋体" w:eastAsia="宋体" w:hint="default"/>
        </w:rPr>
        <w:t>IT</w:t>
      </w:r>
      <w:r>
        <w:rPr>
          <w:rFonts w:ascii="宋体" w:hAnsi="宋体" w:cs="宋体" w:eastAsia="宋体" w:hint="default"/>
          <w:spacing w:val="-55"/>
        </w:rPr>
        <w:t> </w:t>
      </w:r>
      <w:r>
        <w:rPr/>
        <w:t>服务机构和海外的金融</w:t>
      </w:r>
      <w:r>
        <w:rPr>
          <w:spacing w:val="-57"/>
        </w:rPr>
        <w:t> </w:t>
      </w:r>
      <w:r>
        <w:rPr>
          <w:rFonts w:ascii="宋体" w:hAnsi="宋体" w:cs="宋体" w:eastAsia="宋体" w:hint="default"/>
        </w:rPr>
        <w:t>IT</w:t>
      </w:r>
      <w:r>
        <w:rPr>
          <w:rFonts w:ascii="宋体" w:hAnsi="宋体" w:cs="宋体" w:eastAsia="宋体" w:hint="default"/>
          <w:spacing w:val="-55"/>
        </w:rPr>
        <w:t> </w:t>
      </w:r>
      <w:r>
        <w:rPr/>
        <w:t>企业，如果公司在新一轮市场竞争中不能</w:t>
      </w:r>
      <w:r>
        <w:rPr>
          <w:w w:val="100"/>
        </w:rPr>
        <w:t> </w:t>
      </w:r>
      <w:r>
        <w:rPr/>
        <w:t>把握机会，推出具备市场吸引力的产品，将导致竞争力下降。</w:t>
      </w:r>
    </w:p>
    <w:p>
      <w:pPr>
        <w:pStyle w:val="BodyText"/>
        <w:spacing w:line="272" w:lineRule="exact" w:before="1"/>
        <w:ind w:left="138" w:right="137" w:firstLine="419"/>
        <w:jc w:val="both"/>
      </w:pPr>
      <w:r>
        <w:rPr>
          <w:spacing w:val="-2"/>
        </w:rPr>
        <w:t>风险的应对措施包括：加强新产品研发，利用规模成本优势主动应对竞争，增加对互联网金</w:t>
      </w:r>
      <w:r>
        <w:rPr>
          <w:w w:val="100"/>
        </w:rPr>
        <w:t> </w:t>
      </w:r>
      <w:r>
        <w:rPr/>
        <w:t>融领域的投入。</w:t>
      </w:r>
    </w:p>
    <w:p>
      <w:pPr>
        <w:pStyle w:val="BodyText"/>
        <w:spacing w:line="247" w:lineRule="exact"/>
        <w:ind w:left="138" w:right="3467"/>
        <w:jc w:val="left"/>
      </w:pPr>
      <w:r>
        <w:rPr>
          <w:rFonts w:ascii="宋体" w:hAnsi="宋体" w:cs="宋体" w:eastAsia="宋体" w:hint="default"/>
        </w:rPr>
        <w:t>5</w:t>
      </w:r>
      <w:r>
        <w:rPr/>
        <w:t>、人力资源风险</w:t>
      </w:r>
    </w:p>
    <w:p>
      <w:pPr>
        <w:pStyle w:val="BodyText"/>
        <w:spacing w:line="237" w:lineRule="auto"/>
        <w:ind w:left="138" w:right="128" w:firstLine="419"/>
        <w:jc w:val="both"/>
      </w:pPr>
      <w:r>
        <w:rPr/>
        <w:t>作为一家 </w:t>
      </w:r>
      <w:r>
        <w:rPr>
          <w:rFonts w:ascii="宋体" w:hAnsi="宋体" w:cs="宋体" w:eastAsia="宋体" w:hint="default"/>
        </w:rPr>
        <w:t>IT</w:t>
      </w:r>
      <w:r>
        <w:rPr>
          <w:rFonts w:ascii="宋体" w:hAnsi="宋体" w:cs="宋体" w:eastAsia="宋体" w:hint="default"/>
          <w:spacing w:val="-44"/>
        </w:rPr>
        <w:t> </w:t>
      </w:r>
      <w:r>
        <w:rPr>
          <w:spacing w:val="-5"/>
        </w:rPr>
        <w:t>公司，人才是公司最重要的资产，是公司保持核心竞争力的基础。随着互联网金</w:t>
      </w:r>
      <w:r>
        <w:rPr>
          <w:w w:val="100"/>
        </w:rPr>
        <w:t> </w:t>
      </w:r>
      <w:r>
        <w:rPr>
          <w:spacing w:val="-11"/>
          <w:w w:val="100"/>
        </w:rPr>
        <w:t>融的迅猛发展，对金融</w:t>
      </w:r>
      <w:r>
        <w:rPr>
          <w:spacing w:val="-50"/>
          <w:w w:val="100"/>
        </w:rPr>
        <w:t> </w:t>
      </w:r>
      <w:r>
        <w:rPr>
          <w:rFonts w:ascii="宋体" w:hAnsi="宋体" w:cs="宋体" w:eastAsia="宋体" w:hint="default"/>
          <w:spacing w:val="-2"/>
          <w:w w:val="100"/>
        </w:rPr>
        <w:t>IT</w:t>
      </w:r>
      <w:r>
        <w:rPr>
          <w:rFonts w:ascii="宋体" w:hAnsi="宋体" w:cs="宋体" w:eastAsia="宋体" w:hint="default"/>
          <w:spacing w:val="-53"/>
          <w:w w:val="100"/>
        </w:rPr>
        <w:t> </w:t>
      </w:r>
      <w:r>
        <w:rPr>
          <w:spacing w:val="-6"/>
          <w:w w:val="100"/>
        </w:rPr>
        <w:t>人才的争夺日渐激烈，尤其是金融机构自身对金融</w:t>
      </w:r>
      <w:r>
        <w:rPr>
          <w:spacing w:val="-51"/>
          <w:w w:val="100"/>
        </w:rPr>
        <w:t> </w:t>
      </w:r>
      <w:r>
        <w:rPr>
          <w:rFonts w:ascii="宋体" w:hAnsi="宋体" w:cs="宋体" w:eastAsia="宋体" w:hint="default"/>
          <w:spacing w:val="-2"/>
          <w:w w:val="100"/>
        </w:rPr>
        <w:t>IT</w:t>
      </w:r>
      <w:r>
        <w:rPr>
          <w:rFonts w:ascii="宋体" w:hAnsi="宋体" w:cs="宋体" w:eastAsia="宋体" w:hint="default"/>
          <w:spacing w:val="-52"/>
          <w:w w:val="100"/>
        </w:rPr>
        <w:t> </w:t>
      </w:r>
      <w:r>
        <w:rPr>
          <w:spacing w:val="-2"/>
          <w:w w:val="100"/>
        </w:rPr>
        <w:t>人才的需求旺盛，</w:t>
      </w:r>
      <w:r>
        <w:rPr>
          <w:w w:val="100"/>
        </w:rPr>
        <w:t> </w:t>
      </w:r>
      <w:r>
        <w:rPr/>
        <w:t>同时能够提供较高的薪酬待遇，潜在对公司的人力资源形成影响。</w:t>
      </w:r>
    </w:p>
    <w:p>
      <w:pPr>
        <w:pStyle w:val="BodyText"/>
        <w:spacing w:line="237" w:lineRule="auto" w:before="1"/>
        <w:ind w:left="138" w:right="130" w:firstLine="419"/>
        <w:jc w:val="both"/>
      </w:pPr>
      <w:r>
        <w:rPr>
          <w:spacing w:val="-2"/>
        </w:rPr>
        <w:t>应对风险的措施：提升员工的薪酬水平，制定有利的绩效奖励体系，建立公司多层次的长期</w:t>
      </w:r>
      <w:r>
        <w:rPr>
          <w:w w:val="100"/>
        </w:rPr>
        <w:t> </w:t>
      </w:r>
      <w:r>
        <w:rPr>
          <w:spacing w:val="-7"/>
        </w:rPr>
        <w:t>激励体系，落实“创新业务子公司”员工持股计划，加强企业文化建设，建设优秀雇主品牌效应。</w:t>
      </w:r>
      <w:r>
        <w:rPr>
          <w:spacing w:val="-13"/>
        </w:rPr>
        <w:t> </w:t>
      </w:r>
      <w:r>
        <w:rPr>
          <w:spacing w:val="-13"/>
        </w:rPr>
      </w:r>
      <w:r>
        <w:rPr>
          <w:rFonts w:ascii="宋体" w:hAnsi="宋体" w:cs="宋体" w:eastAsia="宋体" w:hint="default"/>
        </w:rPr>
        <w:t>6</w:t>
      </w:r>
      <w:r>
        <w:rPr/>
        <w:t>、技术的风险</w:t>
      </w:r>
    </w:p>
    <w:p>
      <w:pPr>
        <w:pStyle w:val="BodyText"/>
        <w:spacing w:line="237" w:lineRule="auto"/>
        <w:ind w:left="138" w:right="130" w:firstLine="419"/>
        <w:jc w:val="both"/>
      </w:pPr>
      <w:r>
        <w:rPr>
          <w:rFonts w:ascii="宋体" w:hAnsi="宋体" w:cs="宋体" w:eastAsia="宋体" w:hint="default"/>
        </w:rPr>
        <w:t>IT </w:t>
      </w:r>
      <w:r>
        <w:rPr>
          <w:spacing w:val="-4"/>
        </w:rPr>
        <w:t>技术日新月异，如公司不能跟上技术前沿的产品，将给公司造成技术落后的风险，同时</w:t>
      </w:r>
      <w:r>
        <w:rPr>
          <w:spacing w:val="-62"/>
        </w:rPr>
        <w:t> </w:t>
      </w:r>
      <w:r>
        <w:rPr>
          <w:rFonts w:ascii="宋体" w:hAnsi="宋体" w:cs="宋体" w:eastAsia="宋体" w:hint="default"/>
          <w:spacing w:val="-3"/>
        </w:rPr>
        <w:t>IT</w:t>
      </w:r>
      <w:r>
        <w:rPr>
          <w:rFonts w:ascii="宋体" w:hAnsi="宋体" w:cs="宋体" w:eastAsia="宋体" w:hint="default"/>
          <w:spacing w:val="-3"/>
          <w:w w:val="100"/>
        </w:rPr>
        <w:t> </w:t>
      </w:r>
      <w:r>
        <w:rPr>
          <w:spacing w:val="-2"/>
        </w:rPr>
        <w:t>产品在客户以及自身运营的平台体系亦可能出现各种类型的、不能事先识别与预见的技术风险，</w:t>
      </w:r>
      <w:r>
        <w:rPr>
          <w:spacing w:val="-26"/>
        </w:rPr>
        <w:t> </w:t>
      </w:r>
      <w:r>
        <w:rPr>
          <w:spacing w:val="-26"/>
        </w:rPr>
      </w:r>
      <w:r>
        <w:rPr/>
        <w:t>以及在运维过程中不能避免出现人工风险，上述技术风险均可能导致经济上的损失。</w:t>
      </w:r>
    </w:p>
    <w:p>
      <w:pPr>
        <w:pStyle w:val="BodyText"/>
        <w:spacing w:line="272" w:lineRule="exact" w:before="26"/>
        <w:ind w:left="138" w:right="127" w:firstLine="419"/>
        <w:jc w:val="both"/>
      </w:pPr>
      <w:r>
        <w:rPr>
          <w:spacing w:val="-5"/>
        </w:rPr>
        <w:t>应对风险的措施：积极跟进前沿技术，开展各项新技术的培训工作；对 </w:t>
      </w:r>
      <w:r>
        <w:rPr>
          <w:rFonts w:ascii="宋体" w:hAnsi="宋体" w:cs="宋体" w:eastAsia="宋体" w:hint="default"/>
        </w:rPr>
        <w:t>IT</w:t>
      </w:r>
      <w:r>
        <w:rPr>
          <w:rFonts w:ascii="宋体" w:hAnsi="宋体" w:cs="宋体" w:eastAsia="宋体" w:hint="default"/>
          <w:spacing w:val="-56"/>
        </w:rPr>
        <w:t> </w:t>
      </w:r>
      <w:r>
        <w:rPr/>
        <w:t>产品与运维制定严</w:t>
      </w:r>
      <w:r>
        <w:rPr>
          <w:w w:val="100"/>
        </w:rPr>
        <w:t> </w:t>
      </w:r>
      <w:r>
        <w:rPr/>
        <w:t>格的测试体系和运维体系，落实业务合同签署中的法律风险防范。</w:t>
      </w:r>
    </w:p>
    <w:p>
      <w:pPr>
        <w:spacing w:line="240" w:lineRule="auto" w:before="4"/>
        <w:rPr>
          <w:rFonts w:ascii="宋体" w:hAnsi="宋体" w:cs="宋体" w:eastAsia="宋体" w:hint="default"/>
          <w:sz w:val="23"/>
          <w:szCs w:val="23"/>
        </w:rPr>
      </w:pPr>
    </w:p>
    <w:p>
      <w:pPr>
        <w:pStyle w:val="Heading4"/>
        <w:spacing w:line="240" w:lineRule="auto" w:before="0"/>
        <w:ind w:left="138" w:right="3467"/>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spacing w:line="240" w:lineRule="auto" w:before="3"/>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138" w:right="0"/>
        <w:jc w:val="left"/>
        <w:rPr>
          <w:b w:val="0"/>
          <w:bCs w:val="0"/>
        </w:rPr>
      </w:pPr>
      <w:r>
        <w:rPr/>
        <w:t>四、公司因不适用准则规定或特殊原因，未按准则披露的情况和原因说明</w:t>
      </w:r>
      <w:r>
        <w:rPr>
          <w:b w:val="0"/>
          <w:bCs w:val="0"/>
        </w:rPr>
      </w:r>
    </w:p>
    <w:p>
      <w:pPr>
        <w:pStyle w:val="BodyText"/>
        <w:spacing w:line="240" w:lineRule="auto" w:before="58"/>
        <w:ind w:left="138" w:right="3467"/>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11"/>
        <w:rPr>
          <w:rFonts w:ascii="宋体" w:hAnsi="宋体" w:cs="宋体" w:eastAsia="宋体" w:hint="default"/>
          <w:sz w:val="25"/>
          <w:szCs w:val="25"/>
        </w:rPr>
      </w:pPr>
    </w:p>
    <w:p>
      <w:pPr>
        <w:pStyle w:val="Heading1"/>
        <w:tabs>
          <w:tab w:pos="5350" w:val="left" w:leader="none"/>
        </w:tabs>
        <w:spacing w:line="240" w:lineRule="auto"/>
        <w:ind w:left="4249" w:right="85"/>
        <w:jc w:val="left"/>
        <w:rPr>
          <w:b w:val="0"/>
          <w:bCs w:val="0"/>
        </w:rPr>
      </w:pPr>
      <w:bookmarkStart w:name="_TOC_250007" w:id="5"/>
      <w:r>
        <w:rPr>
          <w:w w:val="95"/>
        </w:rPr>
        <w:t>第五节</w:t>
        <w:tab/>
      </w:r>
      <w:r>
        <w:rPr/>
        <w:t>重要事项</w:t>
      </w:r>
      <w:bookmarkEnd w:id="5"/>
      <w:r>
        <w:rPr>
          <w:b w:val="0"/>
          <w:bCs w:val="0"/>
        </w:rPr>
      </w:r>
    </w:p>
    <w:p>
      <w:pPr>
        <w:spacing w:line="240" w:lineRule="auto" w:before="7"/>
        <w:rPr>
          <w:rFonts w:ascii="黑体" w:hAnsi="黑体" w:cs="黑体" w:eastAsia="黑体" w:hint="default"/>
          <w:b/>
          <w:bCs/>
          <w:sz w:val="16"/>
          <w:szCs w:val="16"/>
        </w:rPr>
      </w:pPr>
    </w:p>
    <w:p>
      <w:pPr>
        <w:spacing w:line="278" w:lineRule="auto" w:before="36"/>
        <w:ind w:left="238" w:right="5138" w:firstLine="0"/>
        <w:jc w:val="both"/>
        <w:rPr>
          <w:rFonts w:ascii="宋体" w:hAnsi="宋体" w:cs="宋体" w:eastAsia="宋体" w:hint="default"/>
          <w:sz w:val="21"/>
          <w:szCs w:val="21"/>
        </w:rPr>
      </w:pPr>
      <w:r>
        <w:rPr>
          <w:rFonts w:ascii="宋体" w:hAnsi="宋体" w:cs="宋体" w:eastAsia="宋体" w:hint="default"/>
          <w:b/>
          <w:bCs/>
          <w:spacing w:val="-1"/>
          <w:sz w:val="21"/>
          <w:szCs w:val="21"/>
        </w:rPr>
        <w:t>一、普通股利润分配或资本公积金转增预案</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w w:val="100"/>
          <w:sz w:val="21"/>
          <w:szCs w:val="21"/>
        </w:rPr>
        <w:t> </w:t>
      </w:r>
      <w:r>
        <w:rPr>
          <w:rFonts w:ascii="宋体" w:hAnsi="宋体" w:cs="宋体" w:eastAsia="宋体" w:hint="default"/>
          <w:sz w:val="21"/>
          <w:szCs w:val="21"/>
        </w:rPr>
        <w:t>按照既定的分红政策执行。</w:t>
      </w:r>
    </w:p>
    <w:p>
      <w:pPr>
        <w:spacing w:line="240" w:lineRule="auto" w:before="9"/>
        <w:rPr>
          <w:rFonts w:ascii="宋体" w:hAnsi="宋体" w:cs="宋体" w:eastAsia="宋体" w:hint="default"/>
          <w:sz w:val="22"/>
          <w:szCs w:val="22"/>
        </w:rPr>
      </w:pPr>
    </w:p>
    <w:p>
      <w:pPr>
        <w:pStyle w:val="Heading4"/>
        <w:spacing w:line="240" w:lineRule="auto" w:before="0"/>
        <w:ind w:left="238"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公司近三年（含报告期）的普通股利润分配方案或预案、资本公积金转增股本方案或预案</w:t>
      </w:r>
      <w:r>
        <w:rPr>
          <w:b w:val="0"/>
          <w:bCs w:val="0"/>
        </w:rPr>
      </w:r>
    </w:p>
    <w:p>
      <w:pPr>
        <w:pStyle w:val="BodyText"/>
        <w:tabs>
          <w:tab w:pos="1051" w:val="left" w:leader="none"/>
        </w:tabs>
        <w:spacing w:line="240" w:lineRule="auto" w:before="32"/>
        <w:ind w:left="0" w:right="31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31"/>
        <w:gridCol w:w="1135"/>
        <w:gridCol w:w="1090"/>
        <w:gridCol w:w="1135"/>
        <w:gridCol w:w="1685"/>
        <w:gridCol w:w="1688"/>
        <w:gridCol w:w="1385"/>
      </w:tblGrid>
      <w:tr>
        <w:trPr>
          <w:trHeight w:val="137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49" w:right="247"/>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0" w:right="119" w:firstLine="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（含</w:t>
            </w:r>
            <w:r>
              <w:rPr>
                <w:rFonts w:ascii="宋体" w:hAnsi="宋体" w:cs="宋体" w:eastAsia="宋体" w:hint="default"/>
                <w:spacing w:val="-103"/>
                <w:sz w:val="21"/>
                <w:szCs w:val="21"/>
              </w:rPr>
              <w:t> </w:t>
            </w:r>
            <w:r>
              <w:rPr>
                <w:rFonts w:ascii="宋体" w:hAnsi="宋体" w:cs="宋体" w:eastAsia="宋体" w:hint="default"/>
                <w:sz w:val="21"/>
                <w:szCs w:val="21"/>
              </w:rPr>
              <w:t>税）</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0" w:right="-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z w:val="21"/>
                <w:szCs w:val="21"/>
              </w:rPr>
              <w:t>股转</w:t>
            </w:r>
            <w:r>
              <w:rPr>
                <w:rFonts w:ascii="宋体" w:hAnsi="宋体" w:cs="宋体" w:eastAsia="宋体" w:hint="default"/>
                <w:spacing w:val="-103"/>
                <w:sz w:val="21"/>
                <w:szCs w:val="21"/>
              </w:rPr>
              <w:t> </w:t>
            </w:r>
            <w:r>
              <w:rPr>
                <w:rFonts w:ascii="宋体" w:hAnsi="宋体" w:cs="宋体" w:eastAsia="宋体" w:hint="default"/>
                <w:spacing w:val="-6"/>
                <w:sz w:val="21"/>
                <w:szCs w:val="21"/>
              </w:rPr>
              <w:t>增数（股）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（含税）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公司股东的净利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before="2"/>
              <w:ind w:left="160" w:right="158"/>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市公司股东</w:t>
            </w:r>
            <w:r>
              <w:rPr>
                <w:rFonts w:ascii="宋体" w:hAnsi="宋体" w:cs="宋体" w:eastAsia="宋体" w:hint="default"/>
                <w:w w:val="100"/>
                <w:sz w:val="21"/>
                <w:szCs w:val="21"/>
              </w:rPr>
              <w:t> </w:t>
            </w:r>
            <w:r>
              <w:rPr>
                <w:rFonts w:ascii="宋体" w:hAnsi="宋体" w:cs="宋体" w:eastAsia="宋体" w:hint="default"/>
                <w:sz w:val="21"/>
                <w:szCs w:val="21"/>
              </w:rPr>
              <w:t>的净利润的</w:t>
            </w:r>
            <w:r>
              <w:rPr>
                <w:rFonts w:ascii="宋体" w:hAnsi="宋体" w:cs="宋体" w:eastAsia="宋体" w:hint="default"/>
                <w:w w:val="100"/>
                <w:sz w:val="21"/>
                <w:szCs w:val="21"/>
              </w:rPr>
              <w:t> </w:t>
            </w:r>
            <w:r>
              <w:rPr>
                <w:rFonts w:ascii="宋体" w:hAnsi="宋体" w:cs="宋体" w:eastAsia="宋体" w:hint="default"/>
                <w:sz w:val="21"/>
                <w:szCs w:val="21"/>
              </w:rPr>
              <w:t>比率</w:t>
            </w:r>
            <w:r>
              <w:rPr>
                <w:rFonts w:ascii="宋体" w:hAnsi="宋体" w:cs="宋体" w:eastAsia="宋体" w:hint="default"/>
                <w:sz w:val="21"/>
                <w:szCs w:val="21"/>
              </w:rPr>
              <w:t>(%)</w:t>
            </w:r>
          </w:p>
        </w:tc>
      </w:tr>
      <w:tr>
        <w:trPr>
          <w:trHeight w:val="281"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160,629,346.80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453,733,512.62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35.40</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111,204,932.40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360,520,485.09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30.84</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98,848,828.80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323,317,900.98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30.57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72" w:lineRule="exact" w:before="64"/>
        <w:ind w:left="658" w:right="85" w:hanging="42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10"/>
        </w:rPr>
        <w:t> </w:t>
      </w:r>
      <w:r>
        <w:rPr/>
        <w:t>报告期内盈利且母公司可供普通股股东分配利润为正，但未提出普通股现金利润分配预案的，</w:t>
      </w:r>
      <w:r>
        <w:rPr>
          <w:w w:val="100"/>
        </w:rPr>
        <w:t> </w:t>
      </w:r>
      <w:r>
        <w:rPr/>
        <w:t>公司应当详细披露原因以及未分配利润的用途和使用计划</w:t>
      </w:r>
      <w:r>
        <w:rPr>
          <w:b w:val="0"/>
          <w:bCs w:val="0"/>
        </w:rPr>
      </w:r>
    </w:p>
    <w:p>
      <w:pPr>
        <w:spacing w:line="290" w:lineRule="auto" w:before="34"/>
        <w:ind w:left="238" w:right="70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BodyText"/>
        <w:spacing w:line="240" w:lineRule="auto" w:before="15"/>
        <w:ind w:left="238" w:right="85"/>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4"/>
        <w:tabs>
          <w:tab w:pos="804" w:val="left" w:leader="none"/>
        </w:tabs>
        <w:spacing w:line="272" w:lineRule="exact" w:before="0"/>
        <w:ind w:left="804" w:right="31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公司、股东、实际控制人、收购人、董事、监事、高级管理人员或其他关联方在报告期内</w:t>
      </w:r>
      <w:r>
        <w:rPr>
          <w:spacing w:val="-66"/>
        </w:rPr>
        <w:t> </w:t>
      </w:r>
      <w:r>
        <w:rPr>
          <w:spacing w:val="-66"/>
        </w:rPr>
      </w:r>
      <w:r>
        <w:rPr/>
        <w:t>或持续到报告期内的承诺事项</w:t>
      </w:r>
      <w:r>
        <w:rPr>
          <w:b w:val="0"/>
          <w:bCs w:val="0"/>
        </w:rPr>
      </w:r>
    </w:p>
    <w:p>
      <w:pPr>
        <w:spacing w:line="240" w:lineRule="auto" w:before="3"/>
        <w:rPr>
          <w:rFonts w:ascii="宋体" w:hAnsi="宋体" w:cs="宋体" w:eastAsia="宋体" w:hint="default"/>
          <w:b/>
          <w:bCs/>
          <w:sz w:val="5"/>
          <w:szCs w:val="5"/>
        </w:rPr>
      </w:pPr>
    </w:p>
    <w:tbl>
      <w:tblPr>
        <w:tblW w:w="0" w:type="auto"/>
        <w:jc w:val="left"/>
        <w:tblInd w:w="106" w:type="dxa"/>
        <w:tblLayout w:type="fixed"/>
        <w:tblCellMar>
          <w:top w:w="0" w:type="dxa"/>
          <w:left w:w="0" w:type="dxa"/>
          <w:bottom w:w="0" w:type="dxa"/>
          <w:right w:w="0" w:type="dxa"/>
        </w:tblCellMar>
        <w:tblLook w:val="01E0"/>
      </w:tblPr>
      <w:tblGrid>
        <w:gridCol w:w="554"/>
        <w:gridCol w:w="989"/>
        <w:gridCol w:w="853"/>
        <w:gridCol w:w="4186"/>
        <w:gridCol w:w="977"/>
        <w:gridCol w:w="809"/>
        <w:gridCol w:w="694"/>
      </w:tblGrid>
      <w:tr>
        <w:trPr>
          <w:trHeight w:val="1099"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both"/>
              <w:rPr>
                <w:rFonts w:ascii="宋体" w:hAnsi="宋体" w:cs="宋体" w:eastAsia="宋体" w:hint="default"/>
                <w:sz w:val="21"/>
                <w:szCs w:val="21"/>
              </w:rPr>
            </w:pPr>
            <w:r>
              <w:rPr>
                <w:rFonts w:ascii="宋体" w:hAnsi="宋体" w:cs="宋体" w:eastAsia="宋体" w:hint="default"/>
                <w:w w:val="100"/>
                <w:sz w:val="21"/>
                <w:szCs w:val="21"/>
              </w:rPr>
              <w:t>承</w:t>
            </w:r>
          </w:p>
          <w:p>
            <w:pPr>
              <w:pStyle w:val="TableParagraph"/>
              <w:spacing w:line="237" w:lineRule="auto"/>
              <w:ind w:left="165" w:right="165"/>
              <w:jc w:val="both"/>
              <w:rPr>
                <w:rFonts w:ascii="宋体" w:hAnsi="宋体" w:cs="宋体" w:eastAsia="宋体" w:hint="default"/>
                <w:sz w:val="21"/>
                <w:szCs w:val="21"/>
              </w:rPr>
            </w:pPr>
            <w:r>
              <w:rPr>
                <w:rFonts w:ascii="宋体" w:hAnsi="宋体" w:cs="宋体" w:eastAsia="宋体" w:hint="default"/>
                <w:sz w:val="21"/>
                <w:szCs w:val="21"/>
              </w:rPr>
              <w:t>诺</w:t>
            </w:r>
            <w:r>
              <w:rPr>
                <w:rFonts w:ascii="宋体" w:hAnsi="宋体" w:cs="宋体" w:eastAsia="宋体" w:hint="default"/>
                <w:w w:val="100"/>
                <w:sz w:val="21"/>
                <w:szCs w:val="21"/>
              </w:rPr>
              <w:t> </w:t>
            </w:r>
            <w:r>
              <w:rPr>
                <w:rFonts w:ascii="宋体" w:hAnsi="宋体" w:cs="宋体" w:eastAsia="宋体" w:hint="default"/>
                <w:sz w:val="21"/>
                <w:szCs w:val="21"/>
              </w:rPr>
              <w:t>背</w:t>
            </w:r>
            <w:r>
              <w:rPr>
                <w:rFonts w:ascii="宋体" w:hAnsi="宋体" w:cs="宋体" w:eastAsia="宋体" w:hint="default"/>
                <w:w w:val="100"/>
                <w:sz w:val="21"/>
                <w:szCs w:val="21"/>
              </w:rPr>
              <w:t> </w:t>
            </w:r>
            <w:r>
              <w:rPr>
                <w:rFonts w:ascii="宋体" w:hAnsi="宋体" w:cs="宋体" w:eastAsia="宋体" w:hint="default"/>
                <w:sz w:val="21"/>
                <w:szCs w:val="21"/>
              </w:rPr>
              <w:t>景</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78" w:right="276"/>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876" w:right="1875"/>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67" w:right="164"/>
              <w:jc w:val="center"/>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w w:val="100"/>
                <w:sz w:val="21"/>
                <w:szCs w:val="21"/>
              </w:rPr>
              <w:t> </w:t>
            </w:r>
            <w:r>
              <w:rPr>
                <w:rFonts w:ascii="宋体" w:hAnsi="宋体" w:cs="宋体" w:eastAsia="宋体" w:hint="default"/>
                <w:sz w:val="21"/>
                <w:szCs w:val="21"/>
              </w:rPr>
              <w:t>间及期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ind w:left="189" w:right="185"/>
              <w:jc w:val="both"/>
              <w:rPr>
                <w:rFonts w:ascii="宋体" w:hAnsi="宋体" w:cs="宋体" w:eastAsia="宋体" w:hint="default"/>
                <w:sz w:val="21"/>
                <w:szCs w:val="21"/>
              </w:rPr>
            </w:pP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ind w:left="129" w:right="131"/>
              <w:jc w:val="both"/>
              <w:rPr>
                <w:rFonts w:ascii="宋体" w:hAnsi="宋体" w:cs="宋体" w:eastAsia="宋体" w:hint="default"/>
                <w:sz w:val="21"/>
                <w:szCs w:val="21"/>
              </w:rPr>
            </w:pP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r>
      <w:tr>
        <w:trPr>
          <w:trHeight w:val="4914"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37" w:lineRule="auto"/>
              <w:ind w:left="103" w:right="228"/>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杭州恒</w:t>
            </w:r>
          </w:p>
          <w:p>
            <w:pPr>
              <w:pStyle w:val="TableParagraph"/>
              <w:spacing w:line="237" w:lineRule="auto"/>
              <w:ind w:left="103" w:right="104"/>
              <w:jc w:val="both"/>
              <w:rPr>
                <w:rFonts w:ascii="宋体" w:hAnsi="宋体" w:cs="宋体" w:eastAsia="宋体" w:hint="default"/>
                <w:sz w:val="21"/>
                <w:szCs w:val="21"/>
              </w:rPr>
            </w:pPr>
            <w:r>
              <w:rPr>
                <w:rFonts w:ascii="宋体" w:hAnsi="宋体" w:cs="宋体" w:eastAsia="宋体" w:hint="default"/>
                <w:sz w:val="21"/>
                <w:szCs w:val="21"/>
              </w:rPr>
              <w:t>生电子</w:t>
            </w:r>
            <w:r>
              <w:rPr>
                <w:rFonts w:ascii="宋体" w:hAnsi="宋体" w:cs="宋体" w:eastAsia="宋体" w:hint="default"/>
                <w:spacing w:val="-102"/>
                <w:sz w:val="21"/>
                <w:szCs w:val="21"/>
              </w:rPr>
              <w:t> </w:t>
            </w:r>
            <w:r>
              <w:rPr>
                <w:rFonts w:ascii="宋体" w:hAnsi="宋体" w:cs="宋体" w:eastAsia="宋体" w:hint="default"/>
                <w:sz w:val="21"/>
                <w:szCs w:val="21"/>
              </w:rPr>
              <w:t>集团有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4186" w:type="dxa"/>
            <w:tcBorders>
              <w:top w:val="single" w:sz="4" w:space="0" w:color="000000"/>
              <w:left w:val="single" w:sz="4" w:space="0" w:color="000000"/>
              <w:bottom w:val="single" w:sz="4" w:space="0" w:color="000000"/>
              <w:right w:val="single" w:sz="4" w:space="0" w:color="000000"/>
            </w:tcBorders>
          </w:tcPr>
          <w:p>
            <w:pPr>
              <w:pStyle w:val="TableParagraph"/>
              <w:tabs>
                <w:tab w:pos="940" w:val="left" w:leader="none"/>
              </w:tabs>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tab/>
            </w:r>
            <w:r>
              <w:rPr>
                <w:rFonts w:ascii="宋体" w:hAnsi="宋体" w:cs="宋体" w:eastAsia="宋体" w:hint="default"/>
                <w:sz w:val="21"/>
                <w:szCs w:val="21"/>
              </w:rPr>
              <w:t>浙江蚂蚁小微金融服务集团有限</w:t>
            </w:r>
          </w:p>
          <w:p>
            <w:pPr>
              <w:pStyle w:val="TableParagraph"/>
              <w:spacing w:line="240" w:lineRule="auto" w:before="133"/>
              <w:ind w:left="100" w:right="0"/>
              <w:jc w:val="both"/>
              <w:rPr>
                <w:rFonts w:ascii="宋体" w:hAnsi="宋体" w:cs="宋体" w:eastAsia="宋体" w:hint="default"/>
                <w:sz w:val="21"/>
                <w:szCs w:val="21"/>
              </w:rPr>
            </w:pPr>
            <w:r>
              <w:rPr>
                <w:rFonts w:ascii="宋体" w:hAnsi="宋体" w:cs="宋体" w:eastAsia="宋体" w:hint="default"/>
                <w:spacing w:val="-3"/>
                <w:sz w:val="21"/>
                <w:szCs w:val="21"/>
              </w:rPr>
              <w:t>公司将通过恒生集团，在即日起的未来 </w:t>
            </w:r>
            <w:r>
              <w:rPr>
                <w:rFonts w:ascii="宋体" w:hAnsi="宋体" w:cs="宋体" w:eastAsia="宋体" w:hint="default"/>
                <w:sz w:val="21"/>
                <w:szCs w:val="21"/>
              </w:rPr>
              <w:t>6</w:t>
            </w:r>
            <w:r>
              <w:rPr>
                <w:rFonts w:ascii="宋体" w:hAnsi="宋体" w:cs="宋体" w:eastAsia="宋体" w:hint="default"/>
                <w:spacing w:val="-73"/>
                <w:sz w:val="21"/>
                <w:szCs w:val="21"/>
              </w:rPr>
              <w:t> </w:t>
            </w:r>
            <w:r>
              <w:rPr>
                <w:rFonts w:ascii="宋体" w:hAnsi="宋体" w:cs="宋体" w:eastAsia="宋体" w:hint="default"/>
                <w:sz w:val="21"/>
                <w:szCs w:val="21"/>
              </w:rPr>
              <w:t>个</w:t>
            </w:r>
          </w:p>
          <w:p>
            <w:pPr>
              <w:pStyle w:val="TableParagraph"/>
              <w:spacing w:line="357" w:lineRule="auto" w:before="133"/>
              <w:ind w:left="100" w:right="98"/>
              <w:jc w:val="both"/>
              <w:rPr>
                <w:rFonts w:ascii="宋体" w:hAnsi="宋体" w:cs="宋体" w:eastAsia="宋体" w:hint="default"/>
                <w:sz w:val="21"/>
                <w:szCs w:val="21"/>
              </w:rPr>
            </w:pPr>
            <w:r>
              <w:rPr>
                <w:rFonts w:ascii="宋体" w:hAnsi="宋体" w:cs="宋体" w:eastAsia="宋体" w:hint="default"/>
                <w:sz w:val="21"/>
                <w:szCs w:val="21"/>
              </w:rPr>
              <w:t>月内投入不低于</w:t>
            </w:r>
            <w:r>
              <w:rPr>
                <w:rFonts w:ascii="宋体" w:hAnsi="宋体" w:cs="宋体" w:eastAsia="宋体" w:hint="default"/>
                <w:spacing w:val="-47"/>
                <w:sz w:val="21"/>
                <w:szCs w:val="21"/>
              </w:rPr>
              <w:t> </w:t>
            </w:r>
            <w:r>
              <w:rPr>
                <w:rFonts w:ascii="宋体" w:hAnsi="宋体" w:cs="宋体" w:eastAsia="宋体" w:hint="default"/>
                <w:sz w:val="21"/>
                <w:szCs w:val="21"/>
              </w:rPr>
              <w:t>4,000</w:t>
            </w:r>
            <w:r>
              <w:rPr>
                <w:rFonts w:ascii="宋体" w:hAnsi="宋体" w:cs="宋体" w:eastAsia="宋体" w:hint="default"/>
                <w:spacing w:val="-47"/>
                <w:sz w:val="21"/>
                <w:szCs w:val="21"/>
              </w:rPr>
              <w:t> </w:t>
            </w:r>
            <w:r>
              <w:rPr>
                <w:rFonts w:ascii="宋体" w:hAnsi="宋体" w:cs="宋体" w:eastAsia="宋体" w:hint="default"/>
                <w:spacing w:val="-4"/>
                <w:sz w:val="21"/>
                <w:szCs w:val="21"/>
              </w:rPr>
              <w:t>万元人民币，在股票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二级市场增持恒生电子股份，在前述增持期</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间及增持完成后</w:t>
            </w:r>
            <w:r>
              <w:rPr>
                <w:rFonts w:ascii="宋体" w:hAnsi="宋体" w:cs="宋体" w:eastAsia="宋体" w:hint="default"/>
                <w:spacing w:val="-64"/>
                <w:sz w:val="21"/>
                <w:szCs w:val="21"/>
              </w:rPr>
              <w:t> </w:t>
            </w:r>
            <w:r>
              <w:rPr>
                <w:rFonts w:ascii="宋体" w:hAnsi="宋体" w:cs="宋体" w:eastAsia="宋体" w:hint="default"/>
                <w:sz w:val="21"/>
                <w:szCs w:val="21"/>
              </w:rPr>
              <w:t>6</w:t>
            </w:r>
            <w:r>
              <w:rPr>
                <w:rFonts w:ascii="宋体" w:hAnsi="宋体" w:cs="宋体" w:eastAsia="宋体" w:hint="default"/>
                <w:spacing w:val="-63"/>
                <w:sz w:val="21"/>
                <w:szCs w:val="21"/>
              </w:rPr>
              <w:t> </w:t>
            </w:r>
            <w:r>
              <w:rPr>
                <w:rFonts w:ascii="宋体" w:hAnsi="宋体" w:cs="宋体" w:eastAsia="宋体" w:hint="default"/>
                <w:sz w:val="21"/>
                <w:szCs w:val="21"/>
              </w:rPr>
              <w:t>个月内不转让本次增持的</w:t>
            </w:r>
            <w:r>
              <w:rPr>
                <w:rFonts w:ascii="宋体" w:hAnsi="宋体" w:cs="宋体" w:eastAsia="宋体" w:hint="default"/>
                <w:w w:val="100"/>
                <w:sz w:val="21"/>
                <w:szCs w:val="21"/>
              </w:rPr>
              <w:t> </w:t>
            </w:r>
            <w:r>
              <w:rPr>
                <w:rFonts w:ascii="宋体" w:hAnsi="宋体" w:cs="宋体" w:eastAsia="宋体" w:hint="default"/>
                <w:sz w:val="21"/>
                <w:szCs w:val="21"/>
              </w:rPr>
              <w:t>股份。</w:t>
            </w:r>
          </w:p>
          <w:p>
            <w:pPr>
              <w:pStyle w:val="TableParagraph"/>
              <w:tabs>
                <w:tab w:pos="940" w:val="left" w:leader="none"/>
              </w:tabs>
              <w:spacing w:line="355" w:lineRule="auto" w:before="30"/>
              <w:ind w:left="100" w:right="101" w:firstLine="420"/>
              <w:jc w:val="left"/>
              <w:rPr>
                <w:rFonts w:ascii="宋体" w:hAnsi="宋体" w:cs="宋体" w:eastAsia="宋体" w:hint="default"/>
                <w:sz w:val="21"/>
                <w:szCs w:val="21"/>
              </w:rPr>
            </w:pPr>
            <w:r>
              <w:rPr>
                <w:rFonts w:ascii="宋体" w:hAnsi="宋体" w:cs="宋体" w:eastAsia="宋体" w:hint="default"/>
                <w:sz w:val="21"/>
                <w:szCs w:val="21"/>
              </w:rPr>
              <w:t>2.</w:t>
              <w:tab/>
            </w:r>
            <w:r>
              <w:rPr>
                <w:rFonts w:ascii="宋体" w:hAnsi="宋体" w:cs="宋体" w:eastAsia="宋体" w:hint="default"/>
                <w:sz w:val="21"/>
                <w:szCs w:val="21"/>
              </w:rPr>
              <w:t>恒生集团在即日起的未来</w:t>
            </w:r>
            <w:r>
              <w:rPr>
                <w:rFonts w:ascii="宋体" w:hAnsi="宋体" w:cs="宋体" w:eastAsia="宋体" w:hint="default"/>
                <w:spacing w:val="-66"/>
                <w:sz w:val="21"/>
                <w:szCs w:val="21"/>
              </w:rPr>
              <w:t> </w:t>
            </w:r>
            <w:r>
              <w:rPr>
                <w:rFonts w:ascii="宋体" w:hAnsi="宋体" w:cs="宋体" w:eastAsia="宋体" w:hint="default"/>
                <w:sz w:val="21"/>
                <w:szCs w:val="21"/>
              </w:rPr>
              <w:t>6</w:t>
            </w:r>
            <w:r>
              <w:rPr>
                <w:rFonts w:ascii="宋体" w:hAnsi="宋体" w:cs="宋体" w:eastAsia="宋体" w:hint="default"/>
                <w:spacing w:val="-63"/>
                <w:sz w:val="21"/>
                <w:szCs w:val="21"/>
              </w:rPr>
              <w:t> </w:t>
            </w:r>
            <w:r>
              <w:rPr>
                <w:rFonts w:ascii="宋体" w:hAnsi="宋体" w:cs="宋体" w:eastAsia="宋体" w:hint="default"/>
                <w:sz w:val="21"/>
                <w:szCs w:val="21"/>
              </w:rPr>
              <w:t>个月内</w:t>
            </w:r>
            <w:r>
              <w:rPr>
                <w:rFonts w:ascii="宋体" w:hAnsi="宋体" w:cs="宋体" w:eastAsia="宋体" w:hint="default"/>
                <w:w w:val="100"/>
                <w:sz w:val="21"/>
                <w:szCs w:val="21"/>
              </w:rPr>
              <w:t> </w:t>
            </w:r>
            <w:r>
              <w:rPr>
                <w:rFonts w:ascii="宋体" w:hAnsi="宋体" w:cs="宋体" w:eastAsia="宋体" w:hint="default"/>
                <w:sz w:val="21"/>
                <w:szCs w:val="21"/>
              </w:rPr>
              <w:t>不减持已经持有的恒生电子股份。</w:t>
            </w:r>
          </w:p>
          <w:p>
            <w:pPr>
              <w:pStyle w:val="TableParagraph"/>
              <w:tabs>
                <w:tab w:pos="940" w:val="left" w:leader="none"/>
              </w:tabs>
              <w:spacing w:line="357" w:lineRule="auto" w:before="34"/>
              <w:ind w:left="100" w:right="98" w:firstLine="420"/>
              <w:jc w:val="left"/>
              <w:rPr>
                <w:rFonts w:ascii="宋体" w:hAnsi="宋体" w:cs="宋体" w:eastAsia="宋体" w:hint="default"/>
                <w:sz w:val="21"/>
                <w:szCs w:val="21"/>
              </w:rPr>
            </w:pPr>
            <w:r>
              <w:rPr>
                <w:rFonts w:ascii="宋体" w:hAnsi="宋体" w:cs="宋体" w:eastAsia="宋体" w:hint="default"/>
                <w:sz w:val="21"/>
                <w:szCs w:val="21"/>
              </w:rPr>
              <w:t>3.</w:t>
              <w:tab/>
            </w:r>
            <w:r>
              <w:rPr>
                <w:rFonts w:ascii="宋体" w:hAnsi="宋体" w:cs="宋体" w:eastAsia="宋体" w:hint="default"/>
                <w:sz w:val="21"/>
                <w:szCs w:val="21"/>
              </w:rPr>
              <w:t>上述增持股份的资金由蚂蚁金服</w:t>
            </w:r>
            <w:r>
              <w:rPr>
                <w:rFonts w:ascii="宋体" w:hAnsi="宋体" w:cs="宋体" w:eastAsia="宋体" w:hint="default"/>
                <w:w w:val="100"/>
                <w:sz w:val="21"/>
                <w:szCs w:val="21"/>
              </w:rPr>
              <w:t> </w:t>
            </w:r>
            <w:r>
              <w:rPr>
                <w:rFonts w:ascii="宋体" w:hAnsi="宋体" w:cs="宋体" w:eastAsia="宋体" w:hint="default"/>
                <w:spacing w:val="-3"/>
                <w:sz w:val="21"/>
                <w:szCs w:val="21"/>
              </w:rPr>
              <w:t>向恒生集团提供，上述增持股份将依照国家</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法律法规及证监会、交易所最新的规定与制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度执行。</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Arial" w:hAnsi="Arial" w:cs="Arial" w:eastAsia="Arial" w:hint="default"/>
                <w:b/>
                <w:bCs/>
                <w:sz w:val="21"/>
                <w:szCs w:val="21"/>
              </w:rPr>
              <w:t>2015</w:t>
            </w:r>
            <w:r>
              <w:rPr>
                <w:rFonts w:ascii="Arial" w:hAnsi="Arial" w:cs="Arial" w:eastAsia="Arial" w:hint="default"/>
                <w:b/>
                <w:bCs/>
                <w:spacing w:val="-5"/>
                <w:sz w:val="21"/>
                <w:szCs w:val="21"/>
              </w:rPr>
              <w:t> </w:t>
            </w:r>
            <w:r>
              <w:rPr>
                <w:rFonts w:ascii="宋体" w:hAnsi="宋体" w:cs="宋体" w:eastAsia="宋体" w:hint="default"/>
                <w:sz w:val="21"/>
                <w:szCs w:val="21"/>
              </w:rPr>
              <w:t>年</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日，半年</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1" w:lineRule="exact"/>
        <w:jc w:val="left"/>
        <w:rPr>
          <w:rFonts w:ascii="宋体" w:hAnsi="宋体" w:cs="宋体" w:eastAsia="宋体" w:hint="default"/>
          <w:sz w:val="21"/>
          <w:szCs w:val="21"/>
        </w:rPr>
        <w:sectPr>
          <w:pgSz w:w="11910" w:h="16840"/>
          <w:pgMar w:header="880" w:footer="1195" w:top="1120" w:bottom="1380" w:left="1560" w:right="96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6" w:type="dxa"/>
        <w:tblLayout w:type="fixed"/>
        <w:tblCellMar>
          <w:top w:w="0" w:type="dxa"/>
          <w:left w:w="0" w:type="dxa"/>
          <w:bottom w:w="0" w:type="dxa"/>
          <w:right w:w="0" w:type="dxa"/>
        </w:tblCellMar>
        <w:tblLook w:val="01E0"/>
      </w:tblPr>
      <w:tblGrid>
        <w:gridCol w:w="554"/>
        <w:gridCol w:w="989"/>
        <w:gridCol w:w="853"/>
        <w:gridCol w:w="4186"/>
        <w:gridCol w:w="977"/>
        <w:gridCol w:w="809"/>
        <w:gridCol w:w="694"/>
      </w:tblGrid>
      <w:tr>
        <w:trPr>
          <w:trHeight w:val="1644"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37" w:lineRule="auto"/>
              <w:ind w:left="103" w:right="228"/>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彭政纲</w:t>
            </w:r>
          </w:p>
        </w:tc>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董事长彭政纲先生承诺计划在未来</w:t>
            </w:r>
            <w:r>
              <w:rPr>
                <w:rFonts w:ascii="宋体" w:hAnsi="宋体" w:cs="宋体" w:eastAsia="宋体" w:hint="default"/>
                <w:spacing w:val="-62"/>
                <w:sz w:val="21"/>
                <w:szCs w:val="21"/>
              </w:rPr>
              <w:t> </w:t>
            </w:r>
            <w:r>
              <w:rPr>
                <w:rFonts w:ascii="宋体" w:hAnsi="宋体" w:cs="宋体" w:eastAsia="宋体" w:hint="default"/>
                <w:sz w:val="21"/>
                <w:szCs w:val="21"/>
              </w:rPr>
              <w:t>6</w:t>
            </w:r>
            <w:r>
              <w:rPr>
                <w:rFonts w:ascii="宋体" w:hAnsi="宋体" w:cs="宋体" w:eastAsia="宋体" w:hint="default"/>
                <w:spacing w:val="-65"/>
                <w:sz w:val="21"/>
                <w:szCs w:val="21"/>
              </w:rPr>
              <w:t> </w:t>
            </w:r>
            <w:r>
              <w:rPr>
                <w:rFonts w:ascii="宋体" w:hAnsi="宋体" w:cs="宋体" w:eastAsia="宋体" w:hint="default"/>
                <w:sz w:val="21"/>
                <w:szCs w:val="21"/>
              </w:rPr>
              <w:t>个月内</w:t>
            </w:r>
          </w:p>
          <w:p>
            <w:pPr>
              <w:pStyle w:val="TableParagraph"/>
              <w:spacing w:line="355" w:lineRule="auto" w:before="133"/>
              <w:ind w:left="100" w:right="185"/>
              <w:jc w:val="left"/>
              <w:rPr>
                <w:rFonts w:ascii="宋体" w:hAnsi="宋体" w:cs="宋体" w:eastAsia="宋体" w:hint="default"/>
                <w:sz w:val="21"/>
                <w:szCs w:val="21"/>
              </w:rPr>
            </w:pPr>
            <w:r>
              <w:rPr>
                <w:rFonts w:ascii="宋体" w:hAnsi="宋体" w:cs="宋体" w:eastAsia="宋体" w:hint="default"/>
                <w:sz w:val="21"/>
                <w:szCs w:val="21"/>
              </w:rPr>
              <w:t>通过股票二级市场增持恒生电子股票不低</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spacing w:val="-55"/>
                <w:sz w:val="21"/>
                <w:szCs w:val="21"/>
              </w:rPr>
              <w:t> </w:t>
            </w:r>
            <w:r>
              <w:rPr>
                <w:rFonts w:ascii="宋体" w:hAnsi="宋体" w:cs="宋体" w:eastAsia="宋体" w:hint="default"/>
                <w:sz w:val="21"/>
                <w:szCs w:val="21"/>
              </w:rPr>
              <w:t>1000</w:t>
            </w:r>
            <w:r>
              <w:rPr>
                <w:rFonts w:ascii="宋体" w:hAnsi="宋体" w:cs="宋体" w:eastAsia="宋体" w:hint="default"/>
                <w:spacing w:val="-55"/>
                <w:sz w:val="21"/>
                <w:szCs w:val="21"/>
              </w:rPr>
              <w:t> </w:t>
            </w:r>
            <w:r>
              <w:rPr>
                <w:rFonts w:ascii="宋体" w:hAnsi="宋体" w:cs="宋体" w:eastAsia="宋体" w:hint="default"/>
                <w:sz w:val="21"/>
                <w:szCs w:val="21"/>
              </w:rPr>
              <w:t>万元人民币，在增持期间及增持完</w:t>
            </w:r>
          </w:p>
          <w:p>
            <w:pPr>
              <w:pStyle w:val="TableParagraph"/>
              <w:spacing w:line="240" w:lineRule="auto" w:before="32"/>
              <w:ind w:left="100" w:right="0"/>
              <w:jc w:val="left"/>
              <w:rPr>
                <w:rFonts w:ascii="宋体" w:hAnsi="宋体" w:cs="宋体" w:eastAsia="宋体" w:hint="default"/>
                <w:sz w:val="21"/>
                <w:szCs w:val="21"/>
              </w:rPr>
            </w:pPr>
            <w:r>
              <w:rPr>
                <w:rFonts w:ascii="宋体" w:hAnsi="宋体" w:cs="宋体" w:eastAsia="宋体" w:hint="default"/>
                <w:sz w:val="21"/>
                <w:szCs w:val="21"/>
              </w:rPr>
              <w:t>成后</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个月内不转让本次增持的股份。</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Arial" w:hAnsi="Arial" w:cs="Arial" w:eastAsia="Arial" w:hint="default"/>
                <w:b/>
                <w:bCs/>
                <w:sz w:val="21"/>
                <w:szCs w:val="21"/>
              </w:rPr>
              <w:t>2015</w:t>
            </w:r>
            <w:r>
              <w:rPr>
                <w:rFonts w:ascii="Arial" w:hAnsi="Arial" w:cs="Arial" w:eastAsia="Arial" w:hint="default"/>
                <w:b/>
                <w:bCs/>
                <w:spacing w:val="-5"/>
                <w:sz w:val="21"/>
                <w:szCs w:val="21"/>
              </w:rPr>
              <w:t> </w:t>
            </w:r>
            <w:r>
              <w:rPr>
                <w:rFonts w:ascii="宋体" w:hAnsi="宋体" w:cs="宋体" w:eastAsia="宋体" w:hint="default"/>
                <w:sz w:val="21"/>
                <w:szCs w:val="21"/>
              </w:rPr>
              <w:t>年</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日，半年</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373"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228"/>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刘曙峰</w:t>
            </w:r>
          </w:p>
        </w:tc>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公司董事、总裁刘曙峰先生承诺计划在未来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个月内通过股票二级市场增持恒生电子股</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票不低于</w:t>
            </w:r>
            <w:r>
              <w:rPr>
                <w:rFonts w:ascii="宋体" w:hAnsi="宋体" w:cs="宋体" w:eastAsia="宋体" w:hint="default"/>
                <w:spacing w:val="-53"/>
                <w:sz w:val="21"/>
                <w:szCs w:val="21"/>
              </w:rPr>
              <w:t> </w:t>
            </w:r>
            <w:r>
              <w:rPr>
                <w:rFonts w:ascii="宋体" w:hAnsi="宋体" w:cs="宋体" w:eastAsia="宋体" w:hint="default"/>
                <w:sz w:val="21"/>
                <w:szCs w:val="21"/>
              </w:rPr>
              <w:t>1000</w:t>
            </w:r>
            <w:r>
              <w:rPr>
                <w:rFonts w:ascii="宋体" w:hAnsi="宋体" w:cs="宋体" w:eastAsia="宋体" w:hint="default"/>
                <w:spacing w:val="-55"/>
                <w:sz w:val="21"/>
                <w:szCs w:val="21"/>
              </w:rPr>
              <w:t> </w:t>
            </w:r>
            <w:r>
              <w:rPr>
                <w:rFonts w:ascii="宋体" w:hAnsi="宋体" w:cs="宋体" w:eastAsia="宋体" w:hint="default"/>
                <w:sz w:val="21"/>
                <w:szCs w:val="21"/>
              </w:rPr>
              <w:t>万元人民币，在增持期间及</w:t>
            </w:r>
          </w:p>
          <w:p>
            <w:pPr>
              <w:pStyle w:val="TableParagraph"/>
              <w:spacing w:line="240" w:lineRule="auto"/>
              <w:ind w:left="100" w:right="288"/>
              <w:jc w:val="left"/>
              <w:rPr>
                <w:rFonts w:ascii="宋体" w:hAnsi="宋体" w:cs="宋体" w:eastAsia="宋体" w:hint="default"/>
                <w:sz w:val="21"/>
                <w:szCs w:val="21"/>
              </w:rPr>
            </w:pPr>
            <w:r>
              <w:rPr>
                <w:rFonts w:ascii="宋体" w:hAnsi="宋体" w:cs="宋体" w:eastAsia="宋体" w:hint="default"/>
                <w:sz w:val="21"/>
                <w:szCs w:val="21"/>
              </w:rPr>
              <w:t>增持完成后</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个月内不转让本次增持的股</w:t>
            </w:r>
            <w:r>
              <w:rPr>
                <w:rFonts w:ascii="宋体" w:hAnsi="宋体" w:cs="宋体" w:eastAsia="宋体" w:hint="default"/>
                <w:w w:val="100"/>
                <w:sz w:val="21"/>
                <w:szCs w:val="21"/>
              </w:rPr>
              <w:t> </w:t>
            </w:r>
            <w:r>
              <w:rPr>
                <w:rFonts w:ascii="宋体" w:hAnsi="宋体" w:cs="宋体" w:eastAsia="宋体" w:hint="default"/>
                <w:sz w:val="21"/>
                <w:szCs w:val="21"/>
              </w:rPr>
              <w:t>份。</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Arial" w:hAnsi="Arial" w:cs="Arial" w:eastAsia="Arial" w:hint="default"/>
                <w:b/>
                <w:bCs/>
                <w:sz w:val="21"/>
                <w:szCs w:val="21"/>
              </w:rPr>
              <w:t>2015</w:t>
            </w:r>
            <w:r>
              <w:rPr>
                <w:rFonts w:ascii="Arial" w:hAnsi="Arial" w:cs="Arial" w:eastAsia="Arial" w:hint="default"/>
                <w:b/>
                <w:bCs/>
                <w:spacing w:val="-5"/>
                <w:sz w:val="21"/>
                <w:szCs w:val="21"/>
              </w:rPr>
              <w:t> </w:t>
            </w:r>
            <w:r>
              <w:rPr>
                <w:rFonts w:ascii="宋体" w:hAnsi="宋体" w:cs="宋体" w:eastAsia="宋体" w:hint="default"/>
                <w:sz w:val="21"/>
                <w:szCs w:val="21"/>
              </w:rPr>
              <w:t>年</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日，半年</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373"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228"/>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方汉林</w:t>
            </w:r>
          </w:p>
        </w:tc>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公司副总裁方汉林先生承诺计划在未来</w:t>
            </w:r>
            <w:r>
              <w:rPr>
                <w:rFonts w:ascii="宋体" w:hAnsi="宋体" w:cs="宋体" w:eastAsia="宋体" w:hint="default"/>
                <w:spacing w:val="-62"/>
                <w:sz w:val="21"/>
                <w:szCs w:val="21"/>
              </w:rPr>
              <w:t> </w:t>
            </w:r>
            <w:r>
              <w:rPr>
                <w:rFonts w:ascii="宋体" w:hAnsi="宋体" w:cs="宋体" w:eastAsia="宋体" w:hint="default"/>
                <w:sz w:val="21"/>
                <w:szCs w:val="21"/>
              </w:rPr>
              <w:t>6</w:t>
            </w:r>
            <w:r>
              <w:rPr>
                <w:rFonts w:ascii="宋体" w:hAnsi="宋体" w:cs="宋体" w:eastAsia="宋体" w:hint="default"/>
                <w:spacing w:val="-65"/>
                <w:sz w:val="21"/>
                <w:szCs w:val="21"/>
              </w:rPr>
              <w:t> </w:t>
            </w:r>
            <w:r>
              <w:rPr>
                <w:rFonts w:ascii="宋体" w:hAnsi="宋体" w:cs="宋体" w:eastAsia="宋体" w:hint="default"/>
                <w:sz w:val="21"/>
                <w:szCs w:val="21"/>
              </w:rPr>
              <w:t>个</w:t>
            </w:r>
          </w:p>
          <w:p>
            <w:pPr>
              <w:pStyle w:val="TableParagraph"/>
              <w:spacing w:line="272" w:lineRule="exact" w:before="27"/>
              <w:ind w:left="100" w:right="98"/>
              <w:jc w:val="left"/>
              <w:rPr>
                <w:rFonts w:ascii="宋体" w:hAnsi="宋体" w:cs="宋体" w:eastAsia="宋体" w:hint="default"/>
                <w:sz w:val="21"/>
                <w:szCs w:val="21"/>
              </w:rPr>
            </w:pPr>
            <w:r>
              <w:rPr>
                <w:rFonts w:ascii="宋体" w:hAnsi="宋体" w:cs="宋体" w:eastAsia="宋体" w:hint="default"/>
                <w:sz w:val="21"/>
                <w:szCs w:val="21"/>
              </w:rPr>
              <w:t>月内通过定向资产管理计划增持恒生电子</w:t>
            </w:r>
            <w:r>
              <w:rPr>
                <w:rFonts w:ascii="宋体" w:hAnsi="宋体" w:cs="宋体" w:eastAsia="宋体" w:hint="default"/>
                <w:w w:val="100"/>
                <w:sz w:val="21"/>
                <w:szCs w:val="21"/>
              </w:rPr>
              <w:t> </w:t>
            </w:r>
            <w:r>
              <w:rPr>
                <w:rFonts w:ascii="宋体" w:hAnsi="宋体" w:cs="宋体" w:eastAsia="宋体" w:hint="default"/>
                <w:sz w:val="21"/>
                <w:szCs w:val="21"/>
              </w:rPr>
              <w:t>股票不低于</w:t>
            </w:r>
            <w:r>
              <w:rPr>
                <w:rFonts w:ascii="宋体" w:hAnsi="宋体" w:cs="宋体" w:eastAsia="宋体" w:hint="default"/>
                <w:spacing w:val="-45"/>
                <w:sz w:val="21"/>
                <w:szCs w:val="21"/>
              </w:rPr>
              <w:t> </w:t>
            </w:r>
            <w:r>
              <w:rPr>
                <w:rFonts w:ascii="宋体" w:hAnsi="宋体" w:cs="宋体" w:eastAsia="宋体" w:hint="default"/>
                <w:sz w:val="21"/>
                <w:szCs w:val="21"/>
              </w:rPr>
              <w:t>590</w:t>
            </w:r>
            <w:r>
              <w:rPr>
                <w:rFonts w:ascii="宋体" w:hAnsi="宋体" w:cs="宋体" w:eastAsia="宋体" w:hint="default"/>
                <w:spacing w:val="-47"/>
                <w:sz w:val="21"/>
                <w:szCs w:val="21"/>
              </w:rPr>
              <w:t> </w:t>
            </w:r>
            <w:r>
              <w:rPr>
                <w:rFonts w:ascii="宋体" w:hAnsi="宋体" w:cs="宋体" w:eastAsia="宋体" w:hint="default"/>
                <w:spacing w:val="-3"/>
                <w:sz w:val="21"/>
                <w:szCs w:val="21"/>
              </w:rPr>
              <w:t>万元人民币，在增持期间及</w:t>
            </w:r>
          </w:p>
          <w:p>
            <w:pPr>
              <w:pStyle w:val="TableParagraph"/>
              <w:spacing w:line="272" w:lineRule="exact" w:before="1"/>
              <w:ind w:left="100" w:right="288"/>
              <w:jc w:val="left"/>
              <w:rPr>
                <w:rFonts w:ascii="宋体" w:hAnsi="宋体" w:cs="宋体" w:eastAsia="宋体" w:hint="default"/>
                <w:sz w:val="21"/>
                <w:szCs w:val="21"/>
              </w:rPr>
            </w:pPr>
            <w:r>
              <w:rPr>
                <w:rFonts w:ascii="宋体" w:hAnsi="宋体" w:cs="宋体" w:eastAsia="宋体" w:hint="default"/>
                <w:sz w:val="21"/>
                <w:szCs w:val="21"/>
              </w:rPr>
              <w:t>增持完成后</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个月内不转让本次增持的股</w:t>
            </w:r>
            <w:r>
              <w:rPr>
                <w:rFonts w:ascii="宋体" w:hAnsi="宋体" w:cs="宋体" w:eastAsia="宋体" w:hint="default"/>
                <w:w w:val="100"/>
                <w:sz w:val="21"/>
                <w:szCs w:val="21"/>
              </w:rPr>
              <w:t> </w:t>
            </w:r>
            <w:r>
              <w:rPr>
                <w:rFonts w:ascii="宋体" w:hAnsi="宋体" w:cs="宋体" w:eastAsia="宋体" w:hint="default"/>
                <w:sz w:val="21"/>
                <w:szCs w:val="21"/>
              </w:rPr>
              <w:t>份。</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Arial" w:hAnsi="Arial" w:cs="Arial" w:eastAsia="Arial" w:hint="default"/>
                <w:b/>
                <w:bCs/>
                <w:sz w:val="21"/>
                <w:szCs w:val="21"/>
              </w:rPr>
              <w:t>2015</w:t>
            </w:r>
            <w:r>
              <w:rPr>
                <w:rFonts w:ascii="Arial" w:hAnsi="Arial" w:cs="Arial" w:eastAsia="Arial" w:hint="default"/>
                <w:b/>
                <w:bCs/>
                <w:spacing w:val="-5"/>
                <w:sz w:val="21"/>
                <w:szCs w:val="21"/>
              </w:rPr>
              <w:t> </w:t>
            </w:r>
            <w:r>
              <w:rPr>
                <w:rFonts w:ascii="宋体" w:hAnsi="宋体" w:cs="宋体" w:eastAsia="宋体" w:hint="default"/>
                <w:sz w:val="21"/>
                <w:szCs w:val="21"/>
              </w:rPr>
              <w:t>年</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日，半年</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370"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3" w:right="228"/>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官晓岚</w:t>
            </w:r>
          </w:p>
        </w:tc>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公司副总裁官晓岚先生承诺计划在未来</w:t>
            </w:r>
            <w:r>
              <w:rPr>
                <w:rFonts w:ascii="宋体" w:hAnsi="宋体" w:cs="宋体" w:eastAsia="宋体" w:hint="default"/>
                <w:spacing w:val="-62"/>
                <w:sz w:val="21"/>
                <w:szCs w:val="21"/>
              </w:rPr>
              <w:t> </w:t>
            </w:r>
            <w:r>
              <w:rPr>
                <w:rFonts w:ascii="宋体" w:hAnsi="宋体" w:cs="宋体" w:eastAsia="宋体" w:hint="default"/>
                <w:sz w:val="21"/>
                <w:szCs w:val="21"/>
              </w:rPr>
              <w:t>6</w:t>
            </w:r>
            <w:r>
              <w:rPr>
                <w:rFonts w:ascii="宋体" w:hAnsi="宋体" w:cs="宋体" w:eastAsia="宋体" w:hint="default"/>
                <w:spacing w:val="-65"/>
                <w:sz w:val="21"/>
                <w:szCs w:val="21"/>
              </w:rPr>
              <w:t> </w:t>
            </w:r>
            <w:r>
              <w:rPr>
                <w:rFonts w:ascii="宋体" w:hAnsi="宋体" w:cs="宋体" w:eastAsia="宋体" w:hint="default"/>
                <w:sz w:val="21"/>
                <w:szCs w:val="21"/>
              </w:rPr>
              <w:t>个</w:t>
            </w:r>
          </w:p>
          <w:p>
            <w:pPr>
              <w:pStyle w:val="TableParagraph"/>
              <w:spacing w:line="240" w:lineRule="auto"/>
              <w:ind w:left="100" w:right="185"/>
              <w:jc w:val="left"/>
              <w:rPr>
                <w:rFonts w:ascii="宋体" w:hAnsi="宋体" w:cs="宋体" w:eastAsia="宋体" w:hint="default"/>
                <w:sz w:val="21"/>
                <w:szCs w:val="21"/>
              </w:rPr>
            </w:pPr>
            <w:r>
              <w:rPr>
                <w:rFonts w:ascii="宋体" w:hAnsi="宋体" w:cs="宋体" w:eastAsia="宋体" w:hint="default"/>
                <w:sz w:val="21"/>
                <w:szCs w:val="21"/>
              </w:rPr>
              <w:t>月内通过定向资产管理计划增持恒生电子</w:t>
            </w:r>
            <w:r>
              <w:rPr>
                <w:rFonts w:ascii="宋体" w:hAnsi="宋体" w:cs="宋体" w:eastAsia="宋体" w:hint="default"/>
                <w:w w:val="100"/>
                <w:sz w:val="21"/>
                <w:szCs w:val="21"/>
              </w:rPr>
              <w:t> </w:t>
            </w:r>
            <w:r>
              <w:rPr>
                <w:rFonts w:ascii="宋体" w:hAnsi="宋体" w:cs="宋体" w:eastAsia="宋体" w:hint="default"/>
                <w:sz w:val="21"/>
                <w:szCs w:val="21"/>
              </w:rPr>
              <w:t>股票不低于</w:t>
            </w:r>
            <w:r>
              <w:rPr>
                <w:rFonts w:ascii="宋体" w:hAnsi="宋体" w:cs="宋体" w:eastAsia="宋体" w:hint="default"/>
                <w:spacing w:val="-53"/>
                <w:sz w:val="21"/>
                <w:szCs w:val="21"/>
              </w:rPr>
              <w:t> </w:t>
            </w:r>
            <w:r>
              <w:rPr>
                <w:rFonts w:ascii="宋体" w:hAnsi="宋体" w:cs="宋体" w:eastAsia="宋体" w:hint="default"/>
                <w:sz w:val="21"/>
                <w:szCs w:val="21"/>
              </w:rPr>
              <w:t>39</w:t>
            </w:r>
            <w:r>
              <w:rPr>
                <w:rFonts w:ascii="宋体" w:hAnsi="宋体" w:cs="宋体" w:eastAsia="宋体" w:hint="default"/>
                <w:spacing w:val="-55"/>
                <w:sz w:val="21"/>
                <w:szCs w:val="21"/>
              </w:rPr>
              <w:t> </w:t>
            </w:r>
            <w:r>
              <w:rPr>
                <w:rFonts w:ascii="宋体" w:hAnsi="宋体" w:cs="宋体" w:eastAsia="宋体" w:hint="default"/>
                <w:sz w:val="21"/>
                <w:szCs w:val="21"/>
              </w:rPr>
              <w:t>万元人民币，在增持期间及</w:t>
            </w:r>
          </w:p>
          <w:p>
            <w:pPr>
              <w:pStyle w:val="TableParagraph"/>
              <w:spacing w:line="274" w:lineRule="exact" w:before="22"/>
              <w:ind w:left="100" w:right="288"/>
              <w:jc w:val="left"/>
              <w:rPr>
                <w:rFonts w:ascii="宋体" w:hAnsi="宋体" w:cs="宋体" w:eastAsia="宋体" w:hint="default"/>
                <w:sz w:val="21"/>
                <w:szCs w:val="21"/>
              </w:rPr>
            </w:pPr>
            <w:r>
              <w:rPr>
                <w:rFonts w:ascii="宋体" w:hAnsi="宋体" w:cs="宋体" w:eastAsia="宋体" w:hint="default"/>
                <w:sz w:val="21"/>
                <w:szCs w:val="21"/>
              </w:rPr>
              <w:t>增持完成后</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个月内不转让本次增持的股</w:t>
            </w:r>
            <w:r>
              <w:rPr>
                <w:rFonts w:ascii="宋体" w:hAnsi="宋体" w:cs="宋体" w:eastAsia="宋体" w:hint="default"/>
                <w:w w:val="100"/>
                <w:sz w:val="21"/>
                <w:szCs w:val="21"/>
              </w:rPr>
              <w:t> </w:t>
            </w:r>
            <w:r>
              <w:rPr>
                <w:rFonts w:ascii="宋体" w:hAnsi="宋体" w:cs="宋体" w:eastAsia="宋体" w:hint="default"/>
                <w:sz w:val="21"/>
                <w:szCs w:val="21"/>
              </w:rPr>
              <w:t>份。</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Arial" w:hAnsi="Arial" w:cs="Arial" w:eastAsia="Arial" w:hint="default"/>
                <w:b/>
                <w:bCs/>
                <w:sz w:val="21"/>
                <w:szCs w:val="21"/>
              </w:rPr>
              <w:t>2015</w:t>
            </w:r>
            <w:r>
              <w:rPr>
                <w:rFonts w:ascii="Arial" w:hAnsi="Arial" w:cs="Arial" w:eastAsia="Arial" w:hint="default"/>
                <w:b/>
                <w:bCs/>
                <w:spacing w:val="-5"/>
                <w:sz w:val="21"/>
                <w:szCs w:val="21"/>
              </w:rPr>
              <w:t> </w:t>
            </w:r>
            <w:r>
              <w:rPr>
                <w:rFonts w:ascii="宋体" w:hAnsi="宋体" w:cs="宋体" w:eastAsia="宋体" w:hint="default"/>
                <w:sz w:val="21"/>
                <w:szCs w:val="21"/>
              </w:rPr>
              <w:t>年</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日，半年</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1"/>
          <w:szCs w:val="21"/>
        </w:rPr>
      </w:pPr>
    </w:p>
    <w:p>
      <w:pPr>
        <w:pStyle w:val="Heading4"/>
        <w:tabs>
          <w:tab w:pos="804" w:val="left" w:leader="none"/>
        </w:tabs>
        <w:spacing w:line="240" w:lineRule="auto"/>
        <w:ind w:left="238" w:right="222"/>
        <w:jc w:val="left"/>
        <w:rPr>
          <w:b w:val="0"/>
          <w:bCs w:val="0"/>
        </w:rPr>
      </w:pPr>
      <w:r>
        <w:rPr>
          <w:rFonts w:ascii="Calibri" w:hAnsi="Calibri" w:cs="Calibri" w:eastAsia="Calibri" w:hint="default"/>
        </w:rPr>
        <w:t>(</w:t>
      </w:r>
      <w:r>
        <w:rPr/>
        <w:t>二</w:t>
      </w:r>
      <w:r>
        <w:rPr>
          <w:rFonts w:ascii="Calibri" w:hAnsi="Calibri" w:cs="Calibri" w:eastAsia="Calibri" w:hint="default"/>
        </w:rPr>
        <w:t>)</w:t>
        <w:tab/>
      </w:r>
      <w:r>
        <w:rPr/>
        <w:t>公司资产或项目存在盈利预测，且报告期仍处在盈利预测期间，公司就资产或项目</w:t>
      </w:r>
      <w:r>
        <w:rPr>
          <w:b w:val="0"/>
          <w:bCs w:val="0"/>
        </w:rPr>
      </w:r>
    </w:p>
    <w:p>
      <w:pPr>
        <w:pStyle w:val="BodyText"/>
        <w:tabs>
          <w:tab w:pos="917" w:val="left" w:leader="none"/>
        </w:tabs>
        <w:spacing w:line="240" w:lineRule="auto" w:before="29"/>
        <w:ind w:left="238" w:right="222"/>
        <w:jc w:val="left"/>
      </w:pPr>
      <w:r>
        <w:rPr>
          <w:rFonts w:ascii="Times New Roman" w:hAnsi="Times New Roman" w:cs="Times New Roman" w:eastAsia="Times New Roman" w:hint="default"/>
          <w:w w:val="100"/>
        </w:rPr>
      </w:r>
      <w:r>
        <w:rPr>
          <w:rFonts w:ascii="Times New Roman" w:hAnsi="Times New Roman" w:cs="Times New Roman" w:eastAsia="Times New Roman" w:hint="default"/>
          <w:w w:val="100"/>
          <w:u w:val="single" w:color="333399"/>
        </w:rPr>
        <w:t> </w:t>
      </w:r>
      <w:r>
        <w:rPr>
          <w:rFonts w:ascii="Times New Roman" w:hAnsi="Times New Roman" w:cs="Times New Roman" w:eastAsia="Times New Roman" w:hint="default"/>
          <w:u w:val="single" w:color="333399"/>
        </w:rPr>
        <w:tab/>
      </w:r>
      <w:r>
        <w:rPr>
          <w:rFonts w:ascii="Times New Roman" w:hAnsi="Times New Roman" w:cs="Times New Roman" w:eastAsia="Times New Roman" w:hint="default"/>
        </w:rPr>
      </w:r>
      <w:r>
        <w:rPr>
          <w:rFonts w:ascii="Times New Roman" w:hAnsi="Times New Roman" w:cs="Times New Roman" w:eastAsia="Times New Roman" w:hint="default"/>
          <w:spacing w:val="5"/>
        </w:rPr>
        <w:t> </w:t>
      </w:r>
      <w:r>
        <w:rPr/>
        <w:t>达到原盈利预测及其原因作出说明</w:t>
      </w:r>
    </w:p>
    <w:p>
      <w:pPr>
        <w:spacing w:line="240" w:lineRule="auto" w:before="11"/>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left="238" w:right="222"/>
        <w:jc w:val="left"/>
        <w:rPr>
          <w:b w:val="0"/>
          <w:bCs w:val="0"/>
        </w:rPr>
      </w:pPr>
      <w:r>
        <w:rPr/>
        <w:t>三、报告期内资金被占用情况及清欠进展情况</w:t>
      </w:r>
      <w:r>
        <w:rPr>
          <w:b w:val="0"/>
          <w:bCs w:val="0"/>
        </w:rPr>
      </w:r>
    </w:p>
    <w:p>
      <w:pPr>
        <w:spacing w:line="290" w:lineRule="auto" w:before="56"/>
        <w:ind w:left="238" w:right="26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四、董事会对会计师事务所</w:t>
      </w:r>
      <w:r>
        <w:rPr>
          <w:rFonts w:ascii="Arial" w:hAnsi="Arial" w:cs="Arial" w:eastAsia="Arial" w:hint="default"/>
          <w:b/>
          <w:bCs/>
          <w:spacing w:val="-1"/>
          <w:sz w:val="21"/>
          <w:szCs w:val="21"/>
        </w:rPr>
        <w:t>“</w:t>
      </w:r>
      <w:r>
        <w:rPr>
          <w:rFonts w:ascii="宋体" w:hAnsi="宋体" w:cs="宋体" w:eastAsia="宋体" w:hint="default"/>
          <w:b/>
          <w:bCs/>
          <w:spacing w:val="-1"/>
          <w:sz w:val="21"/>
          <w:szCs w:val="21"/>
        </w:rPr>
        <w:t>非标准审计报告</w:t>
      </w:r>
      <w:r>
        <w:rPr>
          <w:rFonts w:ascii="Arial" w:hAnsi="Arial" w:cs="Arial" w:eastAsia="Arial" w:hint="default"/>
          <w:b/>
          <w:bCs/>
          <w:spacing w:val="-1"/>
          <w:sz w:val="21"/>
          <w:szCs w:val="21"/>
        </w:rPr>
        <w:t>”</w:t>
      </w:r>
      <w:r>
        <w:rPr>
          <w:rFonts w:ascii="宋体" w:hAnsi="宋体" w:cs="宋体" w:eastAsia="宋体" w:hint="default"/>
          <w:b/>
          <w:bCs/>
          <w:spacing w:val="-1"/>
          <w:sz w:val="21"/>
          <w:szCs w:val="21"/>
        </w:rPr>
        <w:t>的说明</w:t>
      </w:r>
      <w:r>
        <w:rPr>
          <w:rFonts w:ascii="宋体" w:hAnsi="宋体" w:cs="宋体" w:eastAsia="宋体" w:hint="default"/>
          <w:spacing w:val="-1"/>
          <w:sz w:val="21"/>
          <w:szCs w:val="21"/>
        </w:rPr>
      </w:r>
    </w:p>
    <w:p>
      <w:pPr>
        <w:pStyle w:val="Heading4"/>
        <w:spacing w:line="294" w:lineRule="exact" w:before="0"/>
        <w:ind w:left="180" w:right="222"/>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7"/>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32"/>
        <w:ind w:left="238" w:right="222"/>
        <w:jc w:val="left"/>
      </w:pPr>
      <w:r>
        <w:rPr/>
        <w:t>□适用</w:t>
      </w:r>
      <w:r>
        <w:rPr>
          <w:spacing w:val="-1"/>
        </w:rPr>
        <w:t> </w:t>
      </w:r>
      <w:r>
        <w:rPr/>
        <w:t>√不适用</w:t>
      </w:r>
    </w:p>
    <w:p>
      <w:pPr>
        <w:spacing w:line="240" w:lineRule="auto" w:before="1"/>
        <w:rPr>
          <w:rFonts w:ascii="宋体" w:hAnsi="宋体" w:cs="宋体" w:eastAsia="宋体" w:hint="default"/>
          <w:sz w:val="25"/>
          <w:szCs w:val="25"/>
        </w:rPr>
      </w:pPr>
    </w:p>
    <w:p>
      <w:pPr>
        <w:pStyle w:val="Heading4"/>
        <w:spacing w:line="240" w:lineRule="auto" w:before="0"/>
        <w:ind w:left="180" w:right="222"/>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9"/>
        </w:rPr>
        <w:t> </w:t>
      </w:r>
      <w:r>
        <w:rPr/>
        <w:t>董事会对会计政策、会计估计或核算方法变更的原因和影响的分析说明</w:t>
      </w:r>
      <w:r>
        <w:rPr>
          <w:b w:val="0"/>
          <w:bCs w:val="0"/>
        </w:rPr>
      </w:r>
    </w:p>
    <w:p>
      <w:pPr>
        <w:pStyle w:val="BodyText"/>
        <w:spacing w:line="240" w:lineRule="auto" w:before="32"/>
        <w:ind w:left="238" w:right="22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80" w:right="222"/>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6"/>
        </w:rPr>
        <w:t> </w:t>
      </w:r>
      <w:r>
        <w:rPr/>
        <w:t>董事会对重要前期差错更正的原因及影响的分析说明</w:t>
      </w:r>
      <w:r>
        <w:rPr>
          <w:b w:val="0"/>
          <w:bCs w:val="0"/>
        </w:rPr>
      </w:r>
    </w:p>
    <w:p>
      <w:pPr>
        <w:pStyle w:val="BodyText"/>
        <w:spacing w:line="240" w:lineRule="auto" w:before="29"/>
        <w:ind w:left="238" w:right="222"/>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4"/>
        <w:spacing w:line="240" w:lineRule="auto"/>
        <w:ind w:left="238" w:right="222"/>
        <w:jc w:val="left"/>
        <w:rPr>
          <w:b w:val="0"/>
          <w:bCs w:val="0"/>
        </w:rPr>
      </w:pPr>
      <w:r>
        <w:rPr/>
        <w:t>五、聘任、解聘会计师事务所情况</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天健会计师事务所（特殊普通</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right="2940"/>
        <w:jc w:val="left"/>
      </w:pPr>
      <w:r>
        <w:rPr/>
        <w:t>聘任、解聘会计师事务所的情况说明</w:t>
      </w:r>
    </w:p>
    <w:p>
      <w:pPr>
        <w:pStyle w:val="BodyText"/>
        <w:spacing w:line="274" w:lineRule="exact"/>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2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940"/>
        <w:jc w:val="left"/>
        <w:rPr>
          <w:b w:val="0"/>
          <w:bCs w:val="0"/>
        </w:rPr>
      </w:pPr>
      <w:r>
        <w:rPr/>
        <w:t>六、面临暂停上市风险的情况</w:t>
      </w:r>
      <w:r>
        <w:rPr>
          <w:b w:val="0"/>
          <w:bCs w:val="0"/>
        </w:rPr>
      </w:r>
    </w:p>
    <w:p>
      <w:pPr>
        <w:pStyle w:val="Heading4"/>
        <w:spacing w:line="264" w:lineRule="auto" w:before="58"/>
        <w:ind w:right="2940"/>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导致暂停上市的原因以及公司采取的消除暂停上市情形的措施</w:t>
      </w:r>
      <w:r>
        <w:rPr>
          <w:w w:val="100"/>
        </w:rPr>
        <w:t> </w:t>
      </w:r>
      <w:r>
        <w:rPr>
          <w:rFonts w:ascii="宋体" w:hAnsi="宋体" w:cs="宋体" w:eastAsia="宋体" w:hint="default"/>
          <w:b w:val="0"/>
          <w:bCs w:val="0"/>
        </w:rPr>
        <w:t>无</w:t>
      </w:r>
    </w:p>
    <w:p>
      <w:pPr>
        <w:spacing w:line="240" w:lineRule="auto" w:before="8"/>
        <w:rPr>
          <w:rFonts w:ascii="宋体" w:hAnsi="宋体" w:cs="宋体" w:eastAsia="宋体" w:hint="default"/>
          <w:sz w:val="23"/>
          <w:szCs w:val="23"/>
        </w:rPr>
      </w:pPr>
    </w:p>
    <w:p>
      <w:pPr>
        <w:pStyle w:val="Heading4"/>
        <w:spacing w:line="240" w:lineRule="auto" w:before="0"/>
        <w:ind w:right="2940"/>
        <w:jc w:val="left"/>
        <w:rPr>
          <w:b w:val="0"/>
          <w:bCs w:val="0"/>
        </w:rPr>
      </w:pPr>
      <w:r>
        <w:rPr/>
        <w:t>七、破产重整相关事项</w:t>
      </w:r>
      <w:r>
        <w:rPr>
          <w:b w:val="0"/>
          <w:bCs w:val="0"/>
        </w:rPr>
      </w:r>
    </w:p>
    <w:p>
      <w:pPr>
        <w:pStyle w:val="BodyText"/>
        <w:spacing w:line="240" w:lineRule="auto" w:before="58"/>
        <w:ind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940"/>
        <w:jc w:val="left"/>
        <w:rPr>
          <w:b w:val="0"/>
          <w:bCs w:val="0"/>
        </w:rPr>
      </w:pPr>
      <w:r>
        <w:rPr/>
        <w:t>八、重大诉讼、仲裁事项</w:t>
      </w:r>
      <w:r>
        <w:rPr>
          <w:b w:val="0"/>
          <w:bCs w:val="0"/>
        </w:rPr>
      </w:r>
    </w:p>
    <w:p>
      <w:pPr>
        <w:pStyle w:val="BodyText"/>
        <w:spacing w:line="240" w:lineRule="auto" w:before="56"/>
        <w:ind w:right="2940"/>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7"/>
        <w:ind w:right="98"/>
        <w:jc w:val="left"/>
        <w:rPr>
          <w:b w:val="0"/>
          <w:bCs w:val="0"/>
        </w:rPr>
      </w:pPr>
      <w:r>
        <w:rPr/>
        <w:t>九、上市公司及其董事、监事、高级管理人员、控股股东、实际控制人、收购人处罚及整改情况</w:t>
      </w:r>
      <w:r>
        <w:rPr>
          <w:b w:val="0"/>
          <w:bCs w:val="0"/>
        </w:rPr>
      </w:r>
    </w:p>
    <w:p>
      <w:pPr>
        <w:pStyle w:val="BodyText"/>
        <w:spacing w:line="274" w:lineRule="exact" w:before="56"/>
        <w:ind w:right="2940"/>
        <w:jc w:val="left"/>
      </w:pPr>
      <w:r>
        <w:rPr/>
        <w:t>√适用</w:t>
      </w:r>
      <w:r>
        <w:rPr>
          <w:spacing w:val="-1"/>
        </w:rPr>
        <w:t> </w:t>
      </w:r>
      <w:r>
        <w:rPr/>
        <w:t>□不适用</w:t>
      </w:r>
    </w:p>
    <w:p>
      <w:pPr>
        <w:pStyle w:val="BodyText"/>
        <w:spacing w:line="357" w:lineRule="auto"/>
        <w:ind w:right="128" w:firstLine="419"/>
        <w:jc w:val="left"/>
      </w:pPr>
      <w:r>
        <w:rPr>
          <w:rFonts w:ascii="宋体" w:hAnsi="宋体" w:cs="宋体" w:eastAsia="宋体" w:hint="default"/>
        </w:rPr>
        <w:t>2015</w:t>
      </w:r>
      <w:r>
        <w:rPr>
          <w:rFonts w:ascii="宋体" w:hAnsi="宋体" w:cs="宋体" w:eastAsia="宋体" w:hint="default"/>
          <w:spacing w:val="-44"/>
        </w:rPr>
        <w:t> </w:t>
      </w:r>
      <w:r>
        <w:rPr/>
        <w:t>年</w:t>
      </w:r>
      <w:r>
        <w:rPr>
          <w:spacing w:val="-41"/>
        </w:rPr>
        <w:t> </w:t>
      </w:r>
      <w:r>
        <w:rPr>
          <w:rFonts w:ascii="宋体" w:hAnsi="宋体" w:cs="宋体" w:eastAsia="宋体" w:hint="default"/>
        </w:rPr>
        <w:t>9</w:t>
      </w:r>
      <w:r>
        <w:rPr>
          <w:rFonts w:ascii="宋体" w:hAnsi="宋体" w:cs="宋体" w:eastAsia="宋体" w:hint="default"/>
          <w:spacing w:val="-44"/>
        </w:rPr>
        <w:t> </w:t>
      </w:r>
      <w:r>
        <w:rPr/>
        <w:t>月</w:t>
      </w:r>
      <w:r>
        <w:rPr>
          <w:spacing w:val="-41"/>
        </w:rPr>
        <w:t> </w:t>
      </w:r>
      <w:r>
        <w:rPr>
          <w:rFonts w:ascii="宋体" w:hAnsi="宋体" w:cs="宋体" w:eastAsia="宋体" w:hint="default"/>
        </w:rPr>
        <w:t>7</w:t>
      </w:r>
      <w:r>
        <w:rPr>
          <w:rFonts w:ascii="宋体" w:hAnsi="宋体" w:cs="宋体" w:eastAsia="宋体" w:hint="default"/>
          <w:spacing w:val="-44"/>
        </w:rPr>
        <w:t> </w:t>
      </w:r>
      <w:r>
        <w:rPr/>
        <w:t>日，恒生电子股份有限公司（以下称“恒生电子”、“公司”或“本公司”）</w:t>
      </w:r>
      <w:r>
        <w:rPr>
          <w:w w:val="100"/>
        </w:rPr>
        <w:t> </w:t>
      </w:r>
      <w:r>
        <w:rPr/>
        <w:t>收到公司控股子公司杭州恒生网络技术服务有限公司（以下简称“恒生网络”）的通知，恒生网</w:t>
      </w:r>
      <w:r>
        <w:rPr>
          <w:w w:val="100"/>
        </w:rPr>
        <w:t> </w:t>
      </w:r>
      <w:r>
        <w:rPr/>
        <w:t>络并刘曙峰先生、官晓岚先生于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7</w:t>
      </w:r>
      <w:r>
        <w:rPr>
          <w:rFonts w:ascii="宋体" w:hAnsi="宋体" w:cs="宋体" w:eastAsia="宋体" w:hint="default"/>
          <w:spacing w:val="-54"/>
        </w:rPr>
        <w:t> </w:t>
      </w:r>
      <w:r>
        <w:rPr/>
        <w:t>日收到中国证券监督管理委员会</w:t>
      </w:r>
      <w:r>
        <w:rPr>
          <w:rFonts w:ascii="宋体" w:hAnsi="宋体" w:cs="宋体" w:eastAsia="宋体" w:hint="default"/>
        </w:rPr>
        <w:t>(</w:t>
      </w:r>
      <w:r>
        <w:rPr/>
        <w:t>以下简称“证监</w:t>
      </w:r>
      <w:r>
        <w:rPr>
          <w:w w:val="100"/>
        </w:rPr>
        <w:t> </w:t>
      </w:r>
      <w:r>
        <w:rPr>
          <w:spacing w:val="-4"/>
        </w:rPr>
        <w:t>会”</w:t>
      </w:r>
      <w:r>
        <w:rPr>
          <w:rFonts w:ascii="宋体" w:hAnsi="宋体" w:cs="宋体" w:eastAsia="宋体" w:hint="default"/>
          <w:spacing w:val="-4"/>
        </w:rPr>
        <w:t>)</w:t>
      </w:r>
      <w:r>
        <w:rPr>
          <w:rFonts w:ascii="宋体" w:hAnsi="宋体" w:cs="宋体" w:eastAsia="宋体" w:hint="default"/>
          <w:spacing w:val="9"/>
        </w:rPr>
        <w:t> </w:t>
      </w:r>
      <w:r>
        <w:rPr/>
        <w:t>行政处罚事先告知书（处罚字</w:t>
      </w:r>
      <w:r>
        <w:rPr>
          <w:rFonts w:ascii="宋体" w:hAnsi="宋体" w:cs="宋体" w:eastAsia="宋体" w:hint="default"/>
        </w:rPr>
        <w:t>[2015]68</w:t>
      </w:r>
      <w:r>
        <w:rPr>
          <w:rFonts w:ascii="宋体" w:hAnsi="宋体" w:cs="宋体" w:eastAsia="宋体" w:hint="default"/>
          <w:spacing w:val="-49"/>
        </w:rPr>
        <w:t> </w:t>
      </w:r>
      <w:r>
        <w:rPr>
          <w:spacing w:val="-3"/>
        </w:rPr>
        <w:t>号），时任恒生网络董事长刘曙峰（现任恒生电子</w:t>
      </w:r>
      <w:r>
        <w:rPr>
          <w:spacing w:val="-95"/>
        </w:rPr>
        <w:t> </w:t>
      </w:r>
      <w:r>
        <w:rPr>
          <w:spacing w:val="-95"/>
        </w:rPr>
      </w:r>
      <w:r>
        <w:rPr/>
        <w:t>总裁）为直接负责的主管人员，总经理官晓岚（现任恒生电子副总裁）为其他直接责任人员。</w:t>
      </w:r>
    </w:p>
    <w:p>
      <w:pPr>
        <w:pStyle w:val="BodyText"/>
        <w:spacing w:line="357" w:lineRule="auto" w:before="30"/>
        <w:ind w:right="227" w:firstLine="419"/>
        <w:jc w:val="left"/>
      </w:pPr>
      <w:r>
        <w:rPr>
          <w:spacing w:val="-2"/>
        </w:rPr>
        <w:t>杭州恒生网络技术服务有限公司涉嫌违反证券法律法规一案，根据当事人违法行为的事实、</w:t>
      </w:r>
      <w:r>
        <w:rPr>
          <w:w w:val="100"/>
        </w:rPr>
        <w:t> </w:t>
      </w:r>
      <w:r>
        <w:rPr/>
        <w:t>性质、情节与社会危害程度，依据《证券法》第一百九十七条的规定，中国证监会拟决定：</w:t>
      </w:r>
    </w:p>
    <w:p>
      <w:pPr>
        <w:pStyle w:val="BodyText"/>
        <w:tabs>
          <w:tab w:pos="1477" w:val="left" w:leader="none"/>
        </w:tabs>
        <w:spacing w:line="357" w:lineRule="auto" w:before="30"/>
        <w:ind w:left="638" w:right="664"/>
        <w:jc w:val="left"/>
      </w:pPr>
      <w:r>
        <w:rPr/>
        <w:t>一、</w:t>
        <w:tab/>
        <w:t>没收恒生网络违法所得</w:t>
      </w:r>
      <w:r>
        <w:rPr>
          <w:spacing w:val="-54"/>
        </w:rPr>
        <w:t> </w:t>
      </w:r>
      <w:r>
        <w:rPr>
          <w:rFonts w:ascii="宋体" w:hAnsi="宋体" w:cs="宋体" w:eastAsia="宋体" w:hint="default"/>
        </w:rPr>
        <w:t>132,852,384.06</w:t>
      </w:r>
      <w:r>
        <w:rPr>
          <w:rFonts w:ascii="宋体" w:hAnsi="宋体" w:cs="宋体" w:eastAsia="宋体" w:hint="default"/>
          <w:spacing w:val="-57"/>
        </w:rPr>
        <w:t> </w:t>
      </w:r>
      <w:r>
        <w:rPr/>
        <w:t>元，并处以</w:t>
      </w:r>
      <w:r>
        <w:rPr>
          <w:spacing w:val="-57"/>
        </w:rPr>
        <w:t> </w:t>
      </w:r>
      <w:r>
        <w:rPr>
          <w:rFonts w:ascii="宋体" w:hAnsi="宋体" w:cs="宋体" w:eastAsia="宋体" w:hint="default"/>
        </w:rPr>
        <w:t>398,557,152.18</w:t>
      </w:r>
      <w:r>
        <w:rPr>
          <w:rFonts w:ascii="宋体" w:hAnsi="宋体" w:cs="宋体" w:eastAsia="宋体" w:hint="default"/>
          <w:spacing w:val="-54"/>
        </w:rPr>
        <w:t> </w:t>
      </w:r>
      <w:r>
        <w:rPr/>
        <w:t>元罚款；</w:t>
      </w:r>
      <w:r>
        <w:rPr>
          <w:w w:val="100"/>
        </w:rPr>
        <w:t> </w:t>
      </w:r>
      <w:r>
        <w:rPr/>
        <w:t>二、</w:t>
        <w:tab/>
        <w:t>对刘曙峰给予警告，并处以</w:t>
      </w:r>
      <w:r>
        <w:rPr>
          <w:spacing w:val="-52"/>
        </w:rPr>
        <w:t> </w:t>
      </w:r>
      <w:r>
        <w:rPr>
          <w:rFonts w:ascii="宋体" w:hAnsi="宋体" w:cs="宋体" w:eastAsia="宋体" w:hint="default"/>
        </w:rPr>
        <w:t>30</w:t>
      </w:r>
      <w:r>
        <w:rPr>
          <w:rFonts w:ascii="宋体" w:hAnsi="宋体" w:cs="宋体" w:eastAsia="宋体" w:hint="default"/>
          <w:spacing w:val="-55"/>
        </w:rPr>
        <w:t> </w:t>
      </w:r>
      <w:r>
        <w:rPr/>
        <w:t>万元罚款；</w:t>
      </w:r>
    </w:p>
    <w:p>
      <w:pPr>
        <w:pStyle w:val="BodyText"/>
        <w:tabs>
          <w:tab w:pos="1477" w:val="left" w:leader="none"/>
        </w:tabs>
        <w:spacing w:line="240" w:lineRule="auto" w:before="30"/>
        <w:ind w:left="638" w:right="2940"/>
        <w:jc w:val="left"/>
      </w:pPr>
      <w:r>
        <w:rPr/>
        <w:t>三、</w:t>
        <w:tab/>
        <w:t>对官晓岚给予警告，并处以</w:t>
      </w:r>
      <w:r>
        <w:rPr>
          <w:spacing w:val="-52"/>
        </w:rPr>
        <w:t> </w:t>
      </w:r>
      <w:r>
        <w:rPr>
          <w:rFonts w:ascii="宋体" w:hAnsi="宋体" w:cs="宋体" w:eastAsia="宋体" w:hint="default"/>
        </w:rPr>
        <w:t>30</w:t>
      </w:r>
      <w:r>
        <w:rPr>
          <w:rFonts w:ascii="宋体" w:hAnsi="宋体" w:cs="宋体" w:eastAsia="宋体" w:hint="default"/>
          <w:spacing w:val="-55"/>
        </w:rPr>
        <w:t> </w:t>
      </w:r>
      <w:r>
        <w:rPr/>
        <w:t>万元罚款；</w:t>
      </w:r>
    </w:p>
    <w:p>
      <w:pPr>
        <w:pStyle w:val="BodyText"/>
        <w:spacing w:line="355" w:lineRule="auto" w:before="133"/>
        <w:ind w:right="227" w:firstLine="419"/>
        <w:jc w:val="left"/>
      </w:pPr>
      <w:r>
        <w:rPr/>
        <w:t>以上内容详见公司</w:t>
      </w:r>
      <w:r>
        <w:rPr>
          <w:spacing w:val="-53"/>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w:t>
      </w:r>
      <w:r>
        <w:rPr>
          <w:spacing w:val="-54"/>
        </w:rPr>
        <w:t> </w:t>
      </w:r>
      <w:r>
        <w:rPr>
          <w:rFonts w:ascii="宋体" w:hAnsi="宋体" w:cs="宋体" w:eastAsia="宋体" w:hint="default"/>
        </w:rPr>
        <w:t>8</w:t>
      </w:r>
      <w:r>
        <w:rPr>
          <w:rFonts w:ascii="宋体" w:hAnsi="宋体" w:cs="宋体" w:eastAsia="宋体" w:hint="default"/>
          <w:spacing w:val="-54"/>
        </w:rPr>
        <w:t> </w:t>
      </w:r>
      <w:r>
        <w:rPr/>
        <w:t>日发布的</w:t>
      </w:r>
      <w:r>
        <w:rPr>
          <w:spacing w:val="-54"/>
        </w:rPr>
        <w:t> </w:t>
      </w:r>
      <w:r>
        <w:rPr>
          <w:rFonts w:ascii="宋体" w:hAnsi="宋体" w:cs="宋体" w:eastAsia="宋体" w:hint="default"/>
        </w:rPr>
        <w:t>2015-061</w:t>
      </w:r>
      <w:r>
        <w:rPr>
          <w:rFonts w:ascii="宋体" w:hAnsi="宋体" w:cs="宋体" w:eastAsia="宋体" w:hint="default"/>
          <w:spacing w:val="-54"/>
        </w:rPr>
        <w:t> </w:t>
      </w:r>
      <w:r>
        <w:rPr/>
        <w:t>号公告。截至本报告披露日，公司未收</w:t>
      </w:r>
      <w:r>
        <w:rPr>
          <w:w w:val="100"/>
        </w:rPr>
        <w:t> </w:t>
      </w:r>
      <w:r>
        <w:rPr/>
        <w:t>到有关以上处罚的进一步通知书。</w:t>
      </w:r>
    </w:p>
    <w:p>
      <w:pPr>
        <w:spacing w:line="648" w:lineRule="auto" w:before="32"/>
        <w:ind w:left="218" w:right="227" w:firstLine="419"/>
        <w:jc w:val="left"/>
        <w:rPr>
          <w:rFonts w:ascii="宋体" w:hAnsi="宋体" w:cs="宋体" w:eastAsia="宋体" w:hint="default"/>
          <w:sz w:val="21"/>
          <w:szCs w:val="21"/>
        </w:rPr>
      </w:pPr>
      <w:r>
        <w:rPr/>
        <w:pict>
          <v:group style="position:absolute;margin-left:89.903999pt;margin-top:69.383659pt;width:31.6pt;height:.1pt;mso-position-horizontal-relative:page;mso-position-vertical-relative:paragraph;z-index:-1078672" coordorigin="1798,1388" coordsize="632,2">
            <v:shape style="position:absolute;left:1798;top:1388;width:632;height:2" coordorigin="1798,1388" coordsize="632,0" path="m1798,1388l2429,1388e" filled="false" stroked="true" strokeweight=".600010pt" strokecolor="#333399">
              <v:path arrowok="t"/>
            </v:shape>
            <w10:wrap type="none"/>
          </v:group>
        </w:pict>
      </w:r>
      <w:r>
        <w:rPr>
          <w:rFonts w:ascii="宋体" w:hAnsi="宋体" w:cs="宋体" w:eastAsia="宋体" w:hint="default"/>
          <w:sz w:val="21"/>
          <w:szCs w:val="21"/>
        </w:rPr>
        <w:t>恒生网络关于</w:t>
      </w:r>
      <w:r>
        <w:rPr>
          <w:rFonts w:ascii="宋体" w:hAnsi="宋体" w:cs="宋体" w:eastAsia="宋体" w:hint="default"/>
          <w:spacing w:val="-53"/>
          <w:sz w:val="21"/>
          <w:szCs w:val="21"/>
        </w:rPr>
        <w:t> </w:t>
      </w:r>
      <w:r>
        <w:rPr>
          <w:rFonts w:ascii="宋体" w:hAnsi="宋体" w:cs="宋体" w:eastAsia="宋体" w:hint="default"/>
          <w:sz w:val="21"/>
          <w:szCs w:val="21"/>
        </w:rPr>
        <w:t>HOMS</w:t>
      </w:r>
      <w:r>
        <w:rPr>
          <w:rFonts w:ascii="宋体" w:hAnsi="宋体" w:cs="宋体" w:eastAsia="宋体" w:hint="default"/>
          <w:spacing w:val="-55"/>
          <w:sz w:val="21"/>
          <w:szCs w:val="21"/>
        </w:rPr>
        <w:t> </w:t>
      </w:r>
      <w:r>
        <w:rPr>
          <w:rFonts w:ascii="宋体" w:hAnsi="宋体" w:cs="宋体" w:eastAsia="宋体" w:hint="default"/>
          <w:sz w:val="21"/>
          <w:szCs w:val="21"/>
        </w:rPr>
        <w:t>事项的整改措施详见公司</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5"/>
          <w:sz w:val="21"/>
          <w:szCs w:val="21"/>
        </w:rPr>
        <w:t> </w:t>
      </w:r>
      <w:r>
        <w:rPr>
          <w:rFonts w:ascii="宋体" w:hAnsi="宋体" w:cs="宋体" w:eastAsia="宋体" w:hint="default"/>
          <w:sz w:val="21"/>
          <w:szCs w:val="21"/>
        </w:rPr>
        <w:t>日发布的公告</w:t>
      </w:r>
      <w:r>
        <w:rPr>
          <w:rFonts w:ascii="宋体" w:hAnsi="宋体" w:cs="宋体" w:eastAsia="宋体" w:hint="default"/>
          <w:spacing w:val="-55"/>
          <w:sz w:val="21"/>
          <w:szCs w:val="21"/>
        </w:rPr>
        <w:t> </w:t>
      </w:r>
      <w:r>
        <w:rPr>
          <w:rFonts w:ascii="宋体" w:hAnsi="宋体" w:cs="宋体" w:eastAsia="宋体" w:hint="default"/>
          <w:sz w:val="21"/>
          <w:szCs w:val="21"/>
        </w:rPr>
        <w:t>2015-048</w:t>
      </w:r>
      <w:r>
        <w:rPr>
          <w:rFonts w:ascii="宋体" w:hAnsi="宋体" w:cs="宋体" w:eastAsia="宋体" w:hint="default"/>
          <w:spacing w:val="-53"/>
          <w:sz w:val="21"/>
          <w:szCs w:val="21"/>
        </w:rPr>
        <w:t> </w:t>
      </w:r>
      <w:r>
        <w:rPr>
          <w:rFonts w:ascii="宋体" w:hAnsi="宋体" w:cs="宋体" w:eastAsia="宋体" w:hint="default"/>
          <w:spacing w:val="-3"/>
          <w:sz w:val="21"/>
          <w:szCs w:val="21"/>
        </w:rPr>
        <w:t>号。</w:t>
      </w:r>
      <w:r>
        <w:rPr>
          <w:rFonts w:ascii="宋体" w:hAnsi="宋体" w:cs="宋体" w:eastAsia="宋体" w:hint="default"/>
          <w:spacing w:val="-3"/>
          <w:w w:val="100"/>
          <w:sz w:val="21"/>
          <w:szCs w:val="21"/>
        </w:rPr>
        <w:t> </w:t>
      </w:r>
      <w:r>
        <w:rPr>
          <w:rFonts w:ascii="宋体" w:hAnsi="宋体" w:cs="宋体" w:eastAsia="宋体" w:hint="default"/>
          <w:b/>
          <w:bCs/>
          <w:sz w:val="21"/>
          <w:szCs w:val="21"/>
        </w:rPr>
        <w:t>十、报告期内公司及其控股股东、实际控制人诚信状况的说明</w:t>
      </w:r>
      <w:r>
        <w:rPr>
          <w:rFonts w:ascii="宋体" w:hAnsi="宋体" w:cs="宋体" w:eastAsia="宋体" w:hint="default"/>
          <w:sz w:val="21"/>
          <w:szCs w:val="21"/>
        </w:rPr>
      </w:r>
    </w:p>
    <w:p>
      <w:pPr>
        <w:spacing w:line="240" w:lineRule="auto" w:before="9"/>
        <w:rPr>
          <w:rFonts w:ascii="宋体" w:hAnsi="宋体" w:cs="宋体" w:eastAsia="宋体" w:hint="default"/>
          <w:b/>
          <w:bCs/>
          <w:sz w:val="20"/>
          <w:szCs w:val="20"/>
        </w:rPr>
      </w:pPr>
    </w:p>
    <w:p>
      <w:pPr>
        <w:pStyle w:val="Heading4"/>
        <w:spacing w:line="240" w:lineRule="auto"/>
        <w:ind w:right="227"/>
        <w:jc w:val="left"/>
        <w:rPr>
          <w:b w:val="0"/>
          <w:bCs w:val="0"/>
        </w:rPr>
      </w:pPr>
      <w:r>
        <w:rPr/>
        <w:t>十一、公司股权激励计划、员工持股计划或其他员工激励情况及其影响</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right="2940"/>
        <w:jc w:val="left"/>
        <w:rPr>
          <w:b w:val="0"/>
          <w:bCs w:val="0"/>
        </w:rPr>
      </w:pPr>
      <w:r>
        <w:rPr/>
        <w:t>十二、重大关联交易</w:t>
      </w:r>
      <w:r>
        <w:rPr>
          <w:b w:val="0"/>
          <w:bCs w:val="0"/>
        </w:rPr>
      </w:r>
    </w:p>
    <w:p>
      <w:pPr>
        <w:pStyle w:val="BodyText"/>
        <w:spacing w:line="240" w:lineRule="auto" w:before="58"/>
        <w:ind w:right="2940"/>
        <w:jc w:val="left"/>
      </w:pPr>
      <w:r>
        <w:rPr/>
        <w:t>√适用</w:t>
      </w:r>
      <w:r>
        <w:rPr>
          <w:spacing w:val="-1"/>
        </w:rPr>
        <w:t> </w:t>
      </w:r>
      <w:r>
        <w:rPr/>
        <w:t>□不适用</w:t>
      </w:r>
    </w:p>
    <w:p>
      <w:pPr>
        <w:pStyle w:val="Heading4"/>
        <w:spacing w:line="240" w:lineRule="auto" w:before="56"/>
        <w:ind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32"/>
        <w:ind w:right="294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关于和众安保险日常经营性关联交易的公告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2015-024</w:t>
            </w:r>
            <w:r>
              <w:rPr>
                <w:rFonts w:ascii="宋体" w:hAnsi="宋体" w:cs="宋体" w:eastAsia="宋体" w:hint="default"/>
                <w:spacing w:val="-53"/>
                <w:sz w:val="21"/>
                <w:szCs w:val="21"/>
              </w:rPr>
              <w:t> </w:t>
            </w:r>
            <w:r>
              <w:rPr>
                <w:rFonts w:ascii="宋体" w:hAnsi="宋体" w:cs="宋体" w:eastAsia="宋体" w:hint="default"/>
                <w:sz w:val="21"/>
                <w:szCs w:val="21"/>
              </w:rPr>
              <w:t>号公告</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关于和天弘基金日常经营性关联交易的公告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2015-025</w:t>
            </w:r>
            <w:r>
              <w:rPr>
                <w:rFonts w:ascii="宋体" w:hAnsi="宋体" w:cs="宋体" w:eastAsia="宋体" w:hint="default"/>
                <w:spacing w:val="-53"/>
                <w:sz w:val="21"/>
                <w:szCs w:val="21"/>
              </w:rPr>
              <w:t> </w:t>
            </w:r>
            <w:r>
              <w:rPr>
                <w:rFonts w:ascii="宋体" w:hAnsi="宋体" w:cs="宋体" w:eastAsia="宋体" w:hint="default"/>
                <w:sz w:val="21"/>
                <w:szCs w:val="21"/>
              </w:rPr>
              <w:t>号公告</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关于和浙金中心日常经营性关联交易的议案</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2015-064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关于和阿里云日常经营性关联交易的议案</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2015-065</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关于和数米公司日常经营性关联交易的议案</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2015-073</w:t>
            </w: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关于调整和蚂蚁金服日常经营性关联交易金额</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的议案</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2015-074</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pStyle w:val="Heading4"/>
        <w:spacing w:line="240" w:lineRule="auto"/>
        <w:ind w:right="294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0" w:footer="1195" w:top="1120" w:bottom="1380" w:left="1580" w:right="1040"/>
        </w:sectPr>
      </w:pPr>
    </w:p>
    <w:p>
      <w:pPr>
        <w:spacing w:line="240" w:lineRule="auto" w:before="4"/>
        <w:rPr>
          <w:rFonts w:ascii="宋体" w:hAnsi="宋体" w:cs="宋体" w:eastAsia="宋体" w:hint="default"/>
          <w:b/>
          <w:bCs/>
          <w:sz w:val="25"/>
          <w:szCs w:val="25"/>
        </w:rPr>
      </w:pPr>
    </w:p>
    <w:p>
      <w:pPr>
        <w:pStyle w:val="Heading4"/>
        <w:spacing w:line="240" w:lineRule="auto"/>
        <w:ind w:right="294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90" w:lineRule="auto" w:before="58"/>
        <w:ind w:left="218" w:right="50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4"/>
        <w:spacing w:line="240" w:lineRule="auto" w:before="14"/>
        <w:ind w:right="294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关于和关联法人云汉投资共同投资深圳开拓者</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科技有限公司的关联交易公告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2015-011</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关于同意数米基金销售公司增资扩股引进战略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控股股东并放弃优先认购权的关联交易公告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2015-028</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关于投资入股中证信用增进股份有限公司的议</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案</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2015-036</w:t>
            </w:r>
          </w:p>
        </w:tc>
      </w:tr>
      <w:tr>
        <w:trPr>
          <w:trHeight w:val="82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关于浙江三潭金融信息服务股份有限公司工商</w:t>
            </w:r>
            <w:r>
              <w:rPr>
                <w:rFonts w:ascii="宋体" w:hAnsi="宋体" w:cs="宋体" w:eastAsia="宋体" w:hint="default"/>
                <w:sz w:val="21"/>
                <w:szCs w:val="21"/>
              </w:rPr>
            </w:r>
          </w:p>
          <w:p>
            <w:pPr>
              <w:pStyle w:val="TableParagraph"/>
              <w:spacing w:line="272" w:lineRule="exact" w:before="27"/>
              <w:ind w:left="103" w:right="92"/>
              <w:jc w:val="left"/>
              <w:rPr>
                <w:rFonts w:ascii="宋体" w:hAnsi="宋体" w:cs="宋体" w:eastAsia="宋体" w:hint="default"/>
                <w:sz w:val="21"/>
                <w:szCs w:val="21"/>
              </w:rPr>
            </w:pPr>
            <w:r>
              <w:rPr>
                <w:rFonts w:ascii="宋体" w:hAnsi="宋体" w:cs="宋体" w:eastAsia="宋体" w:hint="default"/>
                <w:spacing w:val="2"/>
                <w:sz w:val="21"/>
                <w:szCs w:val="21"/>
              </w:rPr>
              <w:t>注册变更登记为浙江互联网金融资产交易中心</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股份有限公司的提示性公告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2015-043</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right="294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0"/>
          <w:szCs w:val="20"/>
        </w:rPr>
      </w:pPr>
    </w:p>
    <w:p>
      <w:pPr>
        <w:pStyle w:val="Heading4"/>
        <w:spacing w:line="240" w:lineRule="auto"/>
        <w:ind w:right="294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0"/>
        <w:ind w:right="294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right="294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29"/>
        <w:ind w:right="294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关于收购官晓岚持有的云唐投资股份份额的关</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联交易公告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2015-006</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关于</w:t>
            </w:r>
            <w:r>
              <w:rPr>
                <w:rFonts w:ascii="宋体" w:hAnsi="宋体" w:cs="宋体" w:eastAsia="宋体" w:hint="default"/>
                <w:spacing w:val="-3"/>
                <w:w w:val="100"/>
                <w:sz w:val="21"/>
                <w:szCs w:val="21"/>
              </w:rPr>
              <w:t>收</w:t>
            </w:r>
            <w:r>
              <w:rPr>
                <w:rFonts w:ascii="宋体" w:hAnsi="宋体" w:cs="宋体" w:eastAsia="宋体" w:hint="default"/>
                <w:w w:val="100"/>
                <w:sz w:val="21"/>
                <w:szCs w:val="21"/>
              </w:rPr>
              <w:t>购</w:t>
            </w:r>
            <w:r>
              <w:rPr>
                <w:rFonts w:ascii="宋体" w:hAnsi="宋体" w:cs="宋体" w:eastAsia="宋体" w:hint="default"/>
                <w:spacing w:val="-3"/>
                <w:w w:val="100"/>
                <w:sz w:val="21"/>
                <w:szCs w:val="21"/>
              </w:rPr>
              <w:t>倪</w:t>
            </w:r>
            <w:r>
              <w:rPr>
                <w:rFonts w:ascii="宋体" w:hAnsi="宋体" w:cs="宋体" w:eastAsia="宋体" w:hint="default"/>
                <w:w w:val="100"/>
                <w:sz w:val="21"/>
                <w:szCs w:val="21"/>
              </w:rPr>
              <w:t>守奇</w:t>
            </w:r>
            <w:r>
              <w:rPr>
                <w:rFonts w:ascii="宋体" w:hAnsi="宋体" w:cs="宋体" w:eastAsia="宋体" w:hint="default"/>
                <w:spacing w:val="-106"/>
                <w:w w:val="100"/>
                <w:sz w:val="21"/>
                <w:szCs w:val="21"/>
              </w:rPr>
              <w:t>、</w:t>
            </w:r>
            <w:r>
              <w:rPr>
                <w:rFonts w:ascii="宋体" w:hAnsi="宋体" w:cs="宋体" w:eastAsia="宋体" w:hint="default"/>
                <w:w w:val="100"/>
                <w:sz w:val="21"/>
                <w:szCs w:val="21"/>
              </w:rPr>
              <w:t>廖</w:t>
            </w:r>
            <w:r>
              <w:rPr>
                <w:rFonts w:ascii="宋体" w:hAnsi="宋体" w:cs="宋体" w:eastAsia="宋体" w:hint="default"/>
                <w:spacing w:val="-3"/>
                <w:w w:val="100"/>
                <w:sz w:val="21"/>
                <w:szCs w:val="21"/>
              </w:rPr>
              <w:t>章</w:t>
            </w:r>
            <w:r>
              <w:rPr>
                <w:rFonts w:ascii="宋体" w:hAnsi="宋体" w:cs="宋体" w:eastAsia="宋体" w:hint="default"/>
                <w:w w:val="100"/>
                <w:sz w:val="21"/>
                <w:szCs w:val="21"/>
              </w:rPr>
              <w:t>勇</w:t>
            </w:r>
            <w:r>
              <w:rPr>
                <w:rFonts w:ascii="宋体" w:hAnsi="宋体" w:cs="宋体" w:eastAsia="宋体" w:hint="default"/>
                <w:spacing w:val="-3"/>
                <w:w w:val="100"/>
                <w:sz w:val="21"/>
                <w:szCs w:val="21"/>
              </w:rPr>
              <w:t>持</w:t>
            </w:r>
            <w:r>
              <w:rPr>
                <w:rFonts w:ascii="宋体" w:hAnsi="宋体" w:cs="宋体" w:eastAsia="宋体" w:hint="default"/>
                <w:w w:val="100"/>
                <w:sz w:val="21"/>
                <w:szCs w:val="21"/>
              </w:rPr>
              <w:t>有的</w:t>
            </w:r>
            <w:r>
              <w:rPr>
                <w:rFonts w:ascii="宋体" w:hAnsi="宋体" w:cs="宋体" w:eastAsia="宋体" w:hint="default"/>
                <w:spacing w:val="-3"/>
                <w:w w:val="100"/>
                <w:sz w:val="21"/>
                <w:szCs w:val="21"/>
              </w:rPr>
              <w:t>云</w:t>
            </w:r>
            <w:r>
              <w:rPr>
                <w:rFonts w:ascii="宋体" w:hAnsi="宋体" w:cs="宋体" w:eastAsia="宋体" w:hint="default"/>
                <w:w w:val="100"/>
                <w:sz w:val="21"/>
                <w:szCs w:val="21"/>
              </w:rPr>
              <w:t>秦</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股</w:t>
            </w:r>
            <w:r>
              <w:rPr>
                <w:rFonts w:ascii="宋体" w:hAnsi="宋体" w:cs="宋体" w:eastAsia="宋体" w:hint="default"/>
                <w:w w:val="100"/>
                <w:sz w:val="21"/>
                <w:szCs w:val="21"/>
              </w:rPr>
              <w:t>份份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额的关联交易公告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2015-007</w:t>
            </w:r>
          </w:p>
        </w:tc>
      </w:tr>
      <w:tr>
        <w:trPr>
          <w:trHeight w:val="55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关于同意数米基金销售公司增资扩股引进战略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控股股东并放弃优先认购权的关联交易公告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2015-028</w:t>
            </w:r>
          </w:p>
        </w:tc>
      </w:tr>
      <w:tr>
        <w:trPr>
          <w:trHeight w:val="82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关于同意杭州恒生芸泰网络科技有限公司增资</w:t>
            </w:r>
            <w:r>
              <w:rPr>
                <w:rFonts w:ascii="宋体" w:hAnsi="宋体" w:cs="宋体" w:eastAsia="宋体" w:hint="default"/>
                <w:sz w:val="21"/>
                <w:szCs w:val="21"/>
              </w:rPr>
            </w:r>
          </w:p>
          <w:p>
            <w:pPr>
              <w:pStyle w:val="TableParagraph"/>
              <w:spacing w:line="240"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扩股暨公司放弃同比例优先增资权的关联交易</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2015-033</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关于和关联法人云汉投资共同投资江西联交运</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金融服务有限公司的关联交易议案</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2015-065</w:t>
            </w: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关于公司控股子公司和关联人共同投资鲲鹏投</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资（有限合伙）的关联交易议案</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2015-066</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关于和关联法人云汉投资共同投资六家创新业</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务子公司的关联交易公告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2015-071</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4"/>
        <w:rPr>
          <w:rFonts w:ascii="宋体" w:hAnsi="宋体" w:cs="宋体" w:eastAsia="宋体" w:hint="default"/>
          <w:b/>
          <w:bCs/>
          <w:sz w:val="25"/>
          <w:szCs w:val="25"/>
        </w:rPr>
      </w:pPr>
    </w:p>
    <w:p>
      <w:pPr>
        <w:pStyle w:val="Heading4"/>
        <w:spacing w:line="290" w:lineRule="auto"/>
        <w:ind w:left="1678" w:right="4492"/>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4"/>
        <w:spacing w:line="240" w:lineRule="auto" w:before="0"/>
        <w:ind w:left="1678" w:right="4492"/>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1678" w:right="449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1678" w:right="4492"/>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spacing w:line="240" w:lineRule="auto" w:before="3"/>
        <w:rPr>
          <w:rFonts w:ascii="宋体" w:hAnsi="宋体" w:cs="宋体" w:eastAsia="宋体" w:hint="default"/>
          <w:b/>
          <w:bCs/>
          <w:sz w:val="23"/>
          <w:szCs w:val="23"/>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tabs>
          <w:tab w:pos="2517" w:val="left" w:leader="none"/>
        </w:tabs>
        <w:spacing w:line="292" w:lineRule="auto"/>
        <w:ind w:left="1678" w:right="7036"/>
        <w:jc w:val="left"/>
        <w:rPr>
          <w:b w:val="0"/>
          <w:bCs w:val="0"/>
        </w:rPr>
      </w:pPr>
      <w:r>
        <w:rPr/>
        <w:t>十三、重大合同及其履行情况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b w:val="0"/>
          <w:bCs w:val="0"/>
          <w:spacing w:val="-1"/>
        </w:rPr>
      </w:r>
    </w:p>
    <w:p>
      <w:pPr>
        <w:pStyle w:val="BodyText"/>
        <w:spacing w:line="240" w:lineRule="auto" w:before="10"/>
        <w:ind w:left="1678" w:right="449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tabs>
          <w:tab w:pos="2517" w:val="left" w:leader="none"/>
        </w:tabs>
        <w:spacing w:line="240" w:lineRule="auto" w:before="0"/>
        <w:ind w:left="1678" w:right="4492"/>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6"/>
        <w:ind w:left="1678" w:right="4492"/>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20" w:right="120"/>
        </w:sectPr>
      </w:pPr>
    </w:p>
    <w:p>
      <w:pPr>
        <w:pStyle w:val="Heading4"/>
        <w:tabs>
          <w:tab w:pos="2517" w:val="left" w:leader="none"/>
        </w:tabs>
        <w:spacing w:line="290" w:lineRule="auto"/>
        <w:ind w:left="167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BodyText"/>
        <w:spacing w:line="240" w:lineRule="auto" w:before="14"/>
        <w:ind w:left="16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835" w:val="left" w:leader="none"/>
        </w:tabs>
        <w:spacing w:line="240" w:lineRule="auto"/>
        <w:ind w:left="1678" w:right="0"/>
        <w:jc w:val="left"/>
      </w:pPr>
      <w:r>
        <w:rPr>
          <w:spacing w:val="-1"/>
        </w:rPr>
        <w:t>单位</w:t>
      </w:r>
      <w:r>
        <w:rPr>
          <w:rFonts w:ascii="宋体" w:hAnsi="宋体" w:cs="宋体" w:eastAsia="宋体" w:hint="default"/>
          <w:spacing w:val="-1"/>
        </w:rPr>
        <w:t>:</w:t>
      </w:r>
      <w:r>
        <w:rPr>
          <w:spacing w:val="-1"/>
        </w:rPr>
        <w:t>万元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20" w:right="120"/>
          <w:cols w:num="2" w:equalWidth="0">
            <w:col w:w="5682" w:space="785"/>
            <w:col w:w="5203"/>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419"/>
        <w:gridCol w:w="1704"/>
        <w:gridCol w:w="845"/>
        <w:gridCol w:w="1118"/>
        <w:gridCol w:w="1152"/>
        <w:gridCol w:w="425"/>
        <w:gridCol w:w="883"/>
        <w:gridCol w:w="1022"/>
        <w:gridCol w:w="709"/>
        <w:gridCol w:w="430"/>
        <w:gridCol w:w="696"/>
        <w:gridCol w:w="566"/>
        <w:gridCol w:w="466"/>
      </w:tblGrid>
      <w:tr>
        <w:trPr>
          <w:trHeight w:val="187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受托人</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委托理财产品类型</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48" w:right="146"/>
              <w:jc w:val="left"/>
              <w:rPr>
                <w:rFonts w:ascii="宋体" w:hAnsi="宋体" w:cs="宋体" w:eastAsia="宋体" w:hint="default"/>
                <w:sz w:val="18"/>
                <w:szCs w:val="18"/>
              </w:rPr>
            </w:pPr>
            <w:r>
              <w:rPr>
                <w:rFonts w:ascii="宋体" w:hAnsi="宋体" w:cs="宋体" w:eastAsia="宋体" w:hint="default"/>
                <w:sz w:val="18"/>
                <w:szCs w:val="18"/>
              </w:rPr>
              <w:t>委托理 财金额</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283" w:right="103" w:hanging="180"/>
              <w:jc w:val="left"/>
              <w:rPr>
                <w:rFonts w:ascii="宋体" w:hAnsi="宋体" w:cs="宋体" w:eastAsia="宋体" w:hint="default"/>
                <w:sz w:val="18"/>
                <w:szCs w:val="18"/>
              </w:rPr>
            </w:pPr>
            <w:r>
              <w:rPr>
                <w:rFonts w:ascii="宋体" w:hAnsi="宋体" w:cs="宋体" w:eastAsia="宋体" w:hint="default"/>
                <w:sz w:val="18"/>
                <w:szCs w:val="18"/>
              </w:rPr>
              <w:t>委托理财起 始日期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299" w:right="120" w:hanging="180"/>
              <w:jc w:val="left"/>
              <w:rPr>
                <w:rFonts w:ascii="宋体" w:hAnsi="宋体" w:cs="宋体" w:eastAsia="宋体" w:hint="default"/>
                <w:sz w:val="18"/>
                <w:szCs w:val="18"/>
              </w:rPr>
            </w:pPr>
            <w:r>
              <w:rPr>
                <w:rFonts w:ascii="宋体" w:hAnsi="宋体" w:cs="宋体" w:eastAsia="宋体" w:hint="default"/>
                <w:sz w:val="18"/>
                <w:szCs w:val="18"/>
              </w:rPr>
              <w:t>委托理财终 止日期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sz w:val="18"/>
                <w:szCs w:val="18"/>
              </w:rPr>
              <w:t>报 酬 确 定 方 式</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65" w:right="167"/>
              <w:jc w:val="both"/>
              <w:rPr>
                <w:rFonts w:ascii="宋体" w:hAnsi="宋体" w:cs="宋体" w:eastAsia="宋体" w:hint="default"/>
                <w:sz w:val="18"/>
                <w:szCs w:val="18"/>
              </w:rPr>
            </w:pPr>
            <w:r>
              <w:rPr>
                <w:rFonts w:ascii="宋体" w:hAnsi="宋体" w:cs="宋体" w:eastAsia="宋体" w:hint="default"/>
                <w:sz w:val="18"/>
                <w:szCs w:val="18"/>
              </w:rPr>
              <w:t>实际收 回本金 金额</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326" w:right="144"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68" w:right="168"/>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both"/>
              <w:rPr>
                <w:rFonts w:ascii="宋体" w:hAnsi="宋体" w:cs="宋体" w:eastAsia="宋体" w:hint="default"/>
                <w:sz w:val="18"/>
                <w:szCs w:val="18"/>
              </w:rPr>
            </w:pPr>
            <w:r>
              <w:rPr>
                <w:rFonts w:ascii="宋体" w:hAnsi="宋体" w:cs="宋体" w:eastAsia="宋体" w:hint="default"/>
                <w:sz w:val="18"/>
                <w:szCs w:val="18"/>
              </w:rPr>
              <w:t>计</w:t>
            </w:r>
          </w:p>
          <w:p>
            <w:pPr>
              <w:pStyle w:val="TableParagraph"/>
              <w:spacing w:line="237" w:lineRule="auto"/>
              <w:ind w:left="117" w:right="120"/>
              <w:jc w:val="both"/>
              <w:rPr>
                <w:rFonts w:ascii="宋体" w:hAnsi="宋体" w:cs="宋体" w:eastAsia="宋体" w:hint="default"/>
                <w:sz w:val="18"/>
                <w:szCs w:val="18"/>
              </w:rPr>
            </w:pPr>
            <w:r>
              <w:rPr>
                <w:rFonts w:ascii="宋体" w:hAnsi="宋体" w:cs="宋体" w:eastAsia="宋体" w:hint="default"/>
                <w:sz w:val="18"/>
                <w:szCs w:val="18"/>
              </w:rPr>
              <w:t>提 减 值 准 备 金 额</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63" w:right="161"/>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87" w:right="187"/>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36" w:right="137"/>
              <w:jc w:val="both"/>
              <w:rPr>
                <w:rFonts w:ascii="宋体" w:hAnsi="宋体" w:cs="宋体" w:eastAsia="宋体" w:hint="default"/>
                <w:sz w:val="18"/>
                <w:szCs w:val="18"/>
              </w:rPr>
            </w:pPr>
            <w:r>
              <w:rPr>
                <w:rFonts w:ascii="宋体" w:hAnsi="宋体" w:cs="宋体" w:eastAsia="宋体" w:hint="default"/>
                <w:sz w:val="18"/>
                <w:szCs w:val="18"/>
              </w:rPr>
              <w:t>关 联 关 系</w:t>
            </w: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招商银行鼎鼎成金</w:t>
            </w:r>
          </w:p>
          <w:p>
            <w:pPr>
              <w:pStyle w:val="TableParagraph"/>
              <w:spacing w:line="240" w:lineRule="auto"/>
              <w:ind w:left="103" w:right="0"/>
              <w:jc w:val="left"/>
              <w:rPr>
                <w:rFonts w:ascii="宋体" w:hAnsi="宋体" w:cs="宋体" w:eastAsia="宋体" w:hint="default"/>
                <w:sz w:val="18"/>
                <w:szCs w:val="18"/>
              </w:rPr>
            </w:pPr>
            <w:r>
              <w:rPr>
                <w:rFonts w:ascii="宋体"/>
                <w:sz w:val="18"/>
              </w:rPr>
              <w:t>68357</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2014-11-10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2015-1-15</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510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4.61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招商银行鼎鼎成金</w:t>
            </w:r>
          </w:p>
          <w:p>
            <w:pPr>
              <w:pStyle w:val="TableParagraph"/>
              <w:spacing w:line="234" w:lineRule="exact"/>
              <w:ind w:left="103" w:right="0"/>
              <w:jc w:val="left"/>
              <w:rPr>
                <w:rFonts w:ascii="宋体" w:hAnsi="宋体" w:cs="宋体" w:eastAsia="宋体" w:hint="default"/>
                <w:sz w:val="18"/>
                <w:szCs w:val="18"/>
              </w:rPr>
            </w:pPr>
            <w:r>
              <w:rPr>
                <w:rFonts w:ascii="宋体"/>
                <w:sz w:val="18"/>
              </w:rPr>
              <w:t>68365</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2014-11-18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2015-1-21</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8.32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32" w:lineRule="exact" w:before="23"/>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2014-10-9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2015-2-11</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99.32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32" w:lineRule="exact" w:before="23"/>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2014-10-8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2015-2-10</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6,000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119.18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32" w:lineRule="exact" w:before="23"/>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2014-10-10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2015-2-10</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58.64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32" w:lineRule="exact" w:before="23"/>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2014-10-10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2015-2-10</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39.09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32" w:lineRule="exact" w:before="23"/>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2014-11-4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2015-3-4</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8,000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160.44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平安信托有限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2014-11-5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2015-3-5</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100.27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0" w:right="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419"/>
        <w:gridCol w:w="1704"/>
        <w:gridCol w:w="845"/>
        <w:gridCol w:w="1118"/>
        <w:gridCol w:w="1152"/>
        <w:gridCol w:w="425"/>
        <w:gridCol w:w="883"/>
        <w:gridCol w:w="1022"/>
        <w:gridCol w:w="709"/>
        <w:gridCol w:w="430"/>
        <w:gridCol w:w="696"/>
        <w:gridCol w:w="566"/>
        <w:gridCol w:w="466"/>
      </w:tblGrid>
      <w:tr>
        <w:trPr>
          <w:trHeight w:val="296"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32" w:lineRule="exact" w:before="23"/>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2014-11-7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2015-3-9</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6,500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132.53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32" w:lineRule="exact" w:before="24"/>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2014-11-10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2015-3-10</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4,000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78.90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32" w:lineRule="exact" w:before="24"/>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2014-11-17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2015-2-16</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72.30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32" w:lineRule="exact" w:before="24"/>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2014-12-4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2015-2-3</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7,000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66.68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32" w:lineRule="exact" w:before="25"/>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2014-12-2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2015-4-2</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4,000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79.56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32" w:lineRule="exact" w:before="24"/>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2014-12-8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2015-2-9</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4,000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41.42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32" w:lineRule="exact" w:before="24"/>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2014-12-22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2015-1-22</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3,000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15.80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32" w:lineRule="exact" w:before="24"/>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2014-12-25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2015-1-26</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7,000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38.05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40" w:lineRule="auto"/>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2014-11-7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2015-3-9</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1,200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24.47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40" w:lineRule="auto"/>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2014-10-29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2015-1-30</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800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11.70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40" w:lineRule="auto"/>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2014-11-20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2015-3-20</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2,100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41.42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40" w:lineRule="auto"/>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2014-10-8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2015-2-10</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3,500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69.52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农业银行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金钥匙·安心得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34</w:t>
            </w:r>
            <w:r>
              <w:rPr>
                <w:rFonts w:ascii="宋体" w:hAnsi="宋体" w:cs="宋体" w:eastAsia="宋体" w:hint="default"/>
                <w:spacing w:val="2"/>
                <w:sz w:val="18"/>
                <w:szCs w:val="18"/>
              </w:rPr>
              <w:t> </w:t>
            </w:r>
            <w:r>
              <w:rPr>
                <w:rFonts w:ascii="宋体" w:hAnsi="宋体" w:cs="宋体" w:eastAsia="宋体" w:hint="default"/>
                <w:sz w:val="18"/>
                <w:szCs w:val="18"/>
              </w:rPr>
              <w:t>天</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2014-12-16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2015-1-18</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16.58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农业银行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天天利滚利</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2014-12-31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2015-1-30</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50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0.12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浦东发展银行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利多多对公结构性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存款（保证收益型）</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2014-12-31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2015-3-31</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2,000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22.50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安心快线天天利滚</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利第２期</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2" w:right="0"/>
              <w:jc w:val="center"/>
              <w:rPr>
                <w:rFonts w:ascii="宋体" w:hAnsi="宋体" w:cs="宋体" w:eastAsia="宋体" w:hint="default"/>
                <w:sz w:val="18"/>
                <w:szCs w:val="18"/>
              </w:rPr>
            </w:pPr>
            <w:r>
              <w:rPr>
                <w:rFonts w:ascii="宋体"/>
                <w:sz w:val="18"/>
              </w:rPr>
              <w:t>5,000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2015-2-16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2015-3-31</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15.07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40" w:lineRule="auto"/>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号集合资金信托</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3" w:right="0"/>
              <w:jc w:val="center"/>
              <w:rPr>
                <w:rFonts w:ascii="宋体" w:hAnsi="宋体" w:cs="宋体" w:eastAsia="宋体" w:hint="default"/>
                <w:sz w:val="18"/>
                <w:szCs w:val="18"/>
              </w:rPr>
            </w:pPr>
            <w:r>
              <w:rPr>
                <w:rFonts w:ascii="宋体"/>
                <w:sz w:val="18"/>
              </w:rPr>
              <w:t>15,000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2015-4-7</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245.75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40" w:lineRule="auto"/>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号集合资金信托</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82" w:right="0"/>
              <w:jc w:val="center"/>
              <w:rPr>
                <w:rFonts w:ascii="宋体" w:hAnsi="宋体" w:cs="宋体" w:eastAsia="宋体" w:hint="default"/>
                <w:sz w:val="18"/>
                <w:szCs w:val="18"/>
              </w:rPr>
            </w:pPr>
            <w:r>
              <w:rPr>
                <w:rFonts w:ascii="宋体"/>
                <w:sz w:val="18"/>
              </w:rPr>
              <w:t>6,000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2015-1-21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2015-4-22</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6,000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89.75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40" w:lineRule="auto"/>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号集合资金信托</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82" w:right="0"/>
              <w:jc w:val="center"/>
              <w:rPr>
                <w:rFonts w:ascii="宋体" w:hAnsi="宋体" w:cs="宋体" w:eastAsia="宋体" w:hint="default"/>
                <w:sz w:val="18"/>
                <w:szCs w:val="18"/>
              </w:rPr>
            </w:pPr>
            <w:r>
              <w:rPr>
                <w:rFonts w:ascii="宋体"/>
                <w:sz w:val="18"/>
              </w:rPr>
              <w:t>3,000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2015-1-22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2015-4-22</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3,000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44.38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34" w:lineRule="exact" w:before="21"/>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号集合资金信托</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82" w:right="0"/>
              <w:jc w:val="center"/>
              <w:rPr>
                <w:rFonts w:ascii="宋体" w:hAnsi="宋体" w:cs="宋体" w:eastAsia="宋体" w:hint="default"/>
                <w:sz w:val="18"/>
                <w:szCs w:val="18"/>
              </w:rPr>
            </w:pPr>
            <w:r>
              <w:rPr>
                <w:rFonts w:ascii="宋体"/>
                <w:sz w:val="18"/>
              </w:rPr>
              <w:t>4,000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2015-1-26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2015-4-27</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4,000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59.84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平安信托有限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2" w:right="0"/>
              <w:jc w:val="center"/>
              <w:rPr>
                <w:rFonts w:ascii="宋体" w:hAnsi="宋体" w:cs="宋体" w:eastAsia="宋体" w:hint="default"/>
                <w:sz w:val="18"/>
                <w:szCs w:val="18"/>
              </w:rPr>
            </w:pPr>
            <w:r>
              <w:rPr>
                <w:rFonts w:ascii="宋体"/>
                <w:sz w:val="18"/>
              </w:rPr>
              <w:t>7,000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2015-2-3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2015-5-5</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7,000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101.22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20" w:right="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419"/>
        <w:gridCol w:w="1704"/>
        <w:gridCol w:w="845"/>
        <w:gridCol w:w="1118"/>
        <w:gridCol w:w="1152"/>
        <w:gridCol w:w="425"/>
        <w:gridCol w:w="883"/>
        <w:gridCol w:w="1022"/>
        <w:gridCol w:w="709"/>
        <w:gridCol w:w="430"/>
        <w:gridCol w:w="696"/>
        <w:gridCol w:w="566"/>
        <w:gridCol w:w="466"/>
      </w:tblGrid>
      <w:tr>
        <w:trPr>
          <w:trHeight w:val="296"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号集合资金信托</w:t>
            </w:r>
          </w:p>
        </w:tc>
        <w:tc>
          <w:tcPr>
            <w:tcW w:w="84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32" w:lineRule="exact" w:before="23"/>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号集合资金信托</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1,500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2015-4-2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2015-7-2</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1,500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20.19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平安信托有限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汇锦一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号集合信托</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2015-2-10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2015-5-12</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57.84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40" w:lineRule="auto"/>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号集合资金信托</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z w:val="18"/>
              </w:rPr>
              <w:t>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2015-2-11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2015-5-12</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7.27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40" w:lineRule="auto"/>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号集合资金信托</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z w:val="18"/>
              </w:rPr>
              <w:t>800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2015-2-2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2015-5-5</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800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11.70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平安信托有限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汇锦一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号集合信托</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2015-3-5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2015-5-5</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85.23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平安信托有限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平安汇通</w:t>
            </w:r>
            <w:r>
              <w:rPr>
                <w:rFonts w:ascii="宋体" w:hAnsi="宋体" w:cs="宋体" w:eastAsia="宋体" w:hint="default"/>
                <w:sz w:val="18"/>
                <w:szCs w:val="18"/>
              </w:rPr>
              <w:t>.</w:t>
            </w:r>
            <w:r>
              <w:rPr>
                <w:rFonts w:ascii="宋体" w:hAnsi="宋体" w:cs="宋体" w:eastAsia="宋体" w:hint="default"/>
                <w:sz w:val="18"/>
                <w:szCs w:val="18"/>
              </w:rPr>
              <w:t>聚富金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2,100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2015-3-25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2015-8-11</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2,100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50.75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平安信托有限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平安汇通</w:t>
            </w:r>
            <w:r>
              <w:rPr>
                <w:rFonts w:ascii="宋体" w:hAnsi="宋体" w:cs="宋体" w:eastAsia="宋体" w:hint="default"/>
                <w:sz w:val="18"/>
                <w:szCs w:val="18"/>
              </w:rPr>
              <w:t>.</w:t>
            </w:r>
            <w:r>
              <w:rPr>
                <w:rFonts w:ascii="宋体" w:hAnsi="宋体" w:cs="宋体" w:eastAsia="宋体" w:hint="default"/>
                <w:sz w:val="18"/>
                <w:szCs w:val="18"/>
              </w:rPr>
              <w:t>聚富金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2015-3-12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2015-7-29</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1,200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29.92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平安信托有限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汇锦一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号集合信托</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2015-4-1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2015-7-1</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41.14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32" w:lineRule="exact" w:before="23"/>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号集合资金信托</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4,000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2015-4-3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2015-7-6</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4,000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55.63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32" w:lineRule="exact" w:before="23"/>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号集合资金信托</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2,000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2015-4-7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2015-7-7</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2,000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27.42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32" w:lineRule="exact" w:before="23"/>
              <w:ind w:left="103" w:right="239"/>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 </w:t>
            </w:r>
            <w:r>
              <w:rPr>
                <w:rFonts w:ascii="宋体" w:hAnsi="宋体" w:cs="宋体" w:eastAsia="宋体" w:hint="default"/>
                <w:sz w:val="18"/>
                <w:szCs w:val="18"/>
              </w:rPr>
              <w:t>号集合资金信托</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6,000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2015-4-22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2015-7-22</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6,000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85.27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平安信托有限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汇锦三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号集合信托</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2,500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2015-4-28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2015-7-28</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2,500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34.28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平安信托有限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汇锦三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号集合信托</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2015-5-5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2015-8-4</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41.14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平安信托有限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汇锦三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号集合信托</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2015-5-6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2015-8-5</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27.42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32" w:lineRule="exact" w:before="23"/>
              <w:ind w:left="103" w:right="146"/>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18</w:t>
            </w:r>
            <w:r>
              <w:rPr>
                <w:rFonts w:ascii="宋体" w:hAnsi="宋体" w:cs="宋体" w:eastAsia="宋体" w:hint="default"/>
                <w:spacing w:val="1"/>
                <w:sz w:val="18"/>
                <w:szCs w:val="18"/>
              </w:rPr>
              <w:t> </w:t>
            </w:r>
            <w:r>
              <w:rPr>
                <w:rFonts w:ascii="宋体" w:hAnsi="宋体" w:cs="宋体" w:eastAsia="宋体" w:hint="default"/>
                <w:sz w:val="18"/>
                <w:szCs w:val="18"/>
              </w:rPr>
              <w:t>号集合资金信托</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2,500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2015-8-14</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2,500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33.40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224"/>
              <w:jc w:val="left"/>
              <w:rPr>
                <w:rFonts w:ascii="宋体" w:hAnsi="宋体" w:cs="宋体" w:eastAsia="宋体" w:hint="default"/>
                <w:sz w:val="18"/>
                <w:szCs w:val="18"/>
              </w:rPr>
            </w:pPr>
            <w:r>
              <w:rPr>
                <w:rFonts w:ascii="宋体" w:hAnsi="宋体" w:cs="宋体" w:eastAsia="宋体" w:hint="default"/>
                <w:sz w:val="18"/>
                <w:szCs w:val="18"/>
              </w:rPr>
              <w:t>平安信托有限 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平安财富</w:t>
            </w:r>
            <w:r>
              <w:rPr>
                <w:rFonts w:ascii="宋体" w:hAnsi="宋体" w:cs="宋体" w:eastAsia="宋体" w:hint="default"/>
                <w:sz w:val="18"/>
                <w:szCs w:val="18"/>
              </w:rPr>
              <w:t>*</w:t>
            </w:r>
            <w:r>
              <w:rPr>
                <w:rFonts w:ascii="宋体" w:hAnsi="宋体" w:cs="宋体" w:eastAsia="宋体" w:hint="default"/>
                <w:sz w:val="18"/>
                <w:szCs w:val="18"/>
              </w:rPr>
              <w:t>日聚金</w:t>
            </w:r>
          </w:p>
          <w:p>
            <w:pPr>
              <w:pStyle w:val="TableParagraph"/>
              <w:spacing w:line="232" w:lineRule="exact" w:before="23"/>
              <w:ind w:left="103" w:right="146"/>
              <w:jc w:val="left"/>
              <w:rPr>
                <w:rFonts w:ascii="宋体" w:hAnsi="宋体" w:cs="宋体" w:eastAsia="宋体" w:hint="default"/>
                <w:sz w:val="18"/>
                <w:szCs w:val="18"/>
              </w:rPr>
            </w:pPr>
            <w:r>
              <w:rPr>
                <w:rFonts w:ascii="宋体" w:hAnsi="宋体" w:cs="宋体" w:eastAsia="宋体" w:hint="default"/>
                <w:sz w:val="18"/>
                <w:szCs w:val="18"/>
              </w:rPr>
              <w:t>跨市场货币基金</w:t>
            </w:r>
            <w:r>
              <w:rPr>
                <w:rFonts w:ascii="宋体" w:hAnsi="宋体" w:cs="宋体" w:eastAsia="宋体" w:hint="default"/>
                <w:sz w:val="18"/>
                <w:szCs w:val="18"/>
              </w:rPr>
              <w:t>18</w:t>
            </w:r>
            <w:r>
              <w:rPr>
                <w:rFonts w:ascii="宋体" w:hAnsi="宋体" w:cs="宋体" w:eastAsia="宋体" w:hint="default"/>
                <w:spacing w:val="1"/>
                <w:sz w:val="18"/>
                <w:szCs w:val="18"/>
              </w:rPr>
              <w:t> </w:t>
            </w:r>
            <w:r>
              <w:rPr>
                <w:rFonts w:ascii="宋体" w:hAnsi="宋体" w:cs="宋体" w:eastAsia="宋体" w:hint="default"/>
                <w:sz w:val="18"/>
                <w:szCs w:val="18"/>
              </w:rPr>
              <w:t>号集合资金信托</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1,000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2015-5-15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2015-8-15</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1,000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13.36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2-0004</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3,000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2015-6-26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2015-8-28</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3,000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32.09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2-0004</w:t>
            </w:r>
            <w:r>
              <w:rPr>
                <w:rFonts w:ascii="宋体" w:hAnsi="宋体" w:cs="宋体" w:eastAsia="宋体" w:hint="default"/>
                <w:sz w:val="18"/>
                <w:szCs w:val="18"/>
              </w:rPr>
              <w:t>号私募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2015-7-3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2015-10-2</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81.92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2-0004</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2015-7-7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2015-10-6</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54.70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2-0004</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2015-7-23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2015-10-22</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61.50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2-0004</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2015-7-24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2015-10-23</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46.13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2-0004</w:t>
            </w:r>
            <w:r>
              <w:rPr>
                <w:rFonts w:ascii="宋体" w:hAnsi="宋体" w:cs="宋体" w:eastAsia="宋体" w:hint="default"/>
                <w:sz w:val="18"/>
                <w:szCs w:val="18"/>
              </w:rPr>
              <w:t>号私募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2015-7-29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2015-10-28</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52.93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2-0004</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2015-8-31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2015-10-31</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25.07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2-0004</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2,000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2015-8-14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2015-11-14</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2,000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26.21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1195" w:header="880" w:top="1120" w:bottom="1380" w:left="120" w:right="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419"/>
        <w:gridCol w:w="1704"/>
        <w:gridCol w:w="845"/>
        <w:gridCol w:w="1118"/>
        <w:gridCol w:w="1152"/>
        <w:gridCol w:w="425"/>
        <w:gridCol w:w="883"/>
        <w:gridCol w:w="1022"/>
        <w:gridCol w:w="709"/>
        <w:gridCol w:w="430"/>
        <w:gridCol w:w="696"/>
        <w:gridCol w:w="566"/>
        <w:gridCol w:w="466"/>
      </w:tblGrid>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2-0004</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2015-9-1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2015-12-1</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37.40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2-0004</w:t>
            </w:r>
            <w:r>
              <w:rPr>
                <w:rFonts w:ascii="宋体" w:hAnsi="宋体" w:cs="宋体" w:eastAsia="宋体" w:hint="default"/>
                <w:sz w:val="18"/>
                <w:szCs w:val="18"/>
              </w:rPr>
              <w:t>号私募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2015-9-21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2015-11-3</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17.67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2-0004</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2015-9-28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2016-1-4</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2-0004</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3,000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2015-9-29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2016-1-5</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2-0004</w:t>
            </w:r>
            <w:r>
              <w:rPr>
                <w:rFonts w:ascii="宋体" w:hAnsi="宋体" w:cs="宋体" w:eastAsia="宋体" w:hint="default"/>
                <w:sz w:val="18"/>
                <w:szCs w:val="18"/>
              </w:rPr>
              <w:t>号私募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2015-10-8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2016-1-8</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2-0004</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2015-10-10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2016-1-11</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2-0004</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3,000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2015-10-13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2016-4-14</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2-0004</w:t>
            </w:r>
            <w:r>
              <w:rPr>
                <w:rFonts w:ascii="宋体" w:hAnsi="宋体" w:cs="宋体" w:eastAsia="宋体" w:hint="default"/>
                <w:sz w:val="18"/>
                <w:szCs w:val="18"/>
              </w:rPr>
              <w:t>号私募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z w:val="18"/>
              </w:rPr>
              <w:t>3,000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2015-10-14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2016-4-15</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2-0004</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2015-10-21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2016-2-20</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2-0004</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6,000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2015-10-26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2016-3-27</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2-0004</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2015-10-27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2016-3-28</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2-0004</w:t>
            </w:r>
            <w:r>
              <w:rPr>
                <w:rFonts w:ascii="宋体" w:hAnsi="宋体" w:cs="宋体" w:eastAsia="宋体" w:hint="default"/>
                <w:sz w:val="18"/>
                <w:szCs w:val="18"/>
              </w:rPr>
              <w:t>号私募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2016-2-4</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2-0004</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2015-11-16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2016-2-16</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2-0004</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2015-11-30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2016-3-9</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2-0004</w:t>
            </w:r>
            <w:r>
              <w:rPr>
                <w:rFonts w:ascii="宋体" w:hAnsi="宋体" w:cs="宋体" w:eastAsia="宋体" w:hint="default"/>
                <w:sz w:val="18"/>
                <w:szCs w:val="18"/>
              </w:rPr>
              <w:t>号私募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2015-12-3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2016-3-4</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2-0003</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2015-6-8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2015-9-9</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6,000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96.79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2-0003</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4,300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2015-6-10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2015-9-11</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4,300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69.37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2-0003</w:t>
            </w:r>
            <w:r>
              <w:rPr>
                <w:rFonts w:ascii="宋体" w:hAnsi="宋体" w:cs="宋体" w:eastAsia="宋体" w:hint="default"/>
                <w:sz w:val="18"/>
                <w:szCs w:val="18"/>
              </w:rPr>
              <w:t>号私募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2015-6-12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2015-9-15</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16.13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2-0003</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2015-6-18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2015-8-19</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10.70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2-0003</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1,500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2015-6-8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2015-9-9</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1,500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24.20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2-0003</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800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2015-6-10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2015-8-11</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8.56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2-0003</w:t>
            </w:r>
            <w:r>
              <w:rPr>
                <w:rFonts w:ascii="宋体" w:hAnsi="宋体" w:cs="宋体" w:eastAsia="宋体" w:hint="default"/>
                <w:sz w:val="18"/>
                <w:szCs w:val="18"/>
              </w:rPr>
              <w:t>号私募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2015-7-3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2015-10-9</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24.58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2-0003</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2015-9-10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2015-11-11</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13.04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2-0003</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2015-8-27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2015-9-7</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3.73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2-0003</w:t>
            </w:r>
            <w:r>
              <w:rPr>
                <w:rFonts w:ascii="宋体" w:hAnsi="宋体" w:cs="宋体" w:eastAsia="宋体" w:hint="default"/>
                <w:sz w:val="18"/>
                <w:szCs w:val="18"/>
              </w:rPr>
              <w:t>号私募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2015-9-10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2015-11-10</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8,000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69.52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2-0003</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2015-9-21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2015-11-5</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35.34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2-0003</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1,500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2015-10-10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2016-1-12</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2-0003</w:t>
            </w:r>
            <w:r>
              <w:rPr>
                <w:rFonts w:ascii="宋体" w:hAnsi="宋体" w:cs="宋体" w:eastAsia="宋体" w:hint="default"/>
                <w:sz w:val="18"/>
                <w:szCs w:val="18"/>
              </w:rPr>
              <w:t>号私募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2015-11-12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2016-2-18</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2-0002</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800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2015-5-6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2015-11-9</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29.04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1195" w:header="880" w:top="1120" w:bottom="1380" w:left="120" w:right="12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419"/>
        <w:gridCol w:w="1704"/>
        <w:gridCol w:w="845"/>
        <w:gridCol w:w="1118"/>
        <w:gridCol w:w="1152"/>
        <w:gridCol w:w="425"/>
        <w:gridCol w:w="883"/>
        <w:gridCol w:w="1022"/>
        <w:gridCol w:w="709"/>
        <w:gridCol w:w="430"/>
        <w:gridCol w:w="696"/>
        <w:gridCol w:w="566"/>
        <w:gridCol w:w="466"/>
      </w:tblGrid>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2-0002</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2,200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2015-8-14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2015-11-17</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2,200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28.84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2-0002</w:t>
            </w:r>
            <w:r>
              <w:rPr>
                <w:rFonts w:ascii="宋体" w:hAnsi="宋体" w:cs="宋体" w:eastAsia="宋体" w:hint="default"/>
                <w:sz w:val="18"/>
                <w:szCs w:val="18"/>
              </w:rPr>
              <w:t>号私募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200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2015-11-10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2016-1-10</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2-0002</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600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2015-11-10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2016-2-10</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2-0002</w:t>
            </w:r>
            <w:r>
              <w:rPr>
                <w:rFonts w:ascii="宋体" w:hAnsi="宋体" w:cs="宋体" w:eastAsia="宋体" w:hint="default"/>
                <w:sz w:val="18"/>
                <w:szCs w:val="18"/>
              </w:rPr>
              <w:t>号私募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2,200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2015-11-17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2016-2-17</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深圳市思道科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泽沃</w:t>
            </w:r>
            <w:r>
              <w:rPr>
                <w:rFonts w:ascii="宋体" w:hAnsi="宋体" w:cs="宋体" w:eastAsia="宋体" w:hint="default"/>
                <w:sz w:val="18"/>
                <w:szCs w:val="18"/>
              </w:rPr>
              <w:t>2-0008</w:t>
            </w:r>
            <w:r>
              <w:rPr>
                <w:rFonts w:ascii="宋体" w:hAnsi="宋体" w:cs="宋体" w:eastAsia="宋体" w:hint="default"/>
                <w:sz w:val="18"/>
                <w:szCs w:val="18"/>
              </w:rPr>
              <w:t>号私募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2015-8-24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2015-10-2</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1,200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7.89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宁波银行智能定期</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理财</w:t>
            </w:r>
            <w:r>
              <w:rPr>
                <w:rFonts w:ascii="宋体" w:hAnsi="宋体" w:cs="宋体" w:eastAsia="宋体" w:hint="default"/>
                <w:spacing w:val="-5"/>
                <w:sz w:val="18"/>
                <w:szCs w:val="18"/>
              </w:rPr>
              <w:t>9</w:t>
            </w:r>
            <w:r>
              <w:rPr>
                <w:rFonts w:ascii="宋体" w:hAnsi="宋体" w:cs="宋体" w:eastAsia="宋体" w:hint="default"/>
                <w:spacing w:val="-5"/>
                <w:sz w:val="18"/>
                <w:szCs w:val="18"/>
              </w:rPr>
              <w:t>号（新客户专</w:t>
            </w:r>
            <w:r>
              <w:rPr>
                <w:rFonts w:ascii="宋体" w:hAnsi="宋体" w:cs="宋体" w:eastAsia="宋体" w:hint="default"/>
                <w:sz w:val="18"/>
                <w:szCs w:val="18"/>
              </w:rPr>
              <w:t> 属）</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3,000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2015-11-13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2015-12-13</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3,000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12.36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兴业金雪球优先一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pacing w:val="-1"/>
                <w:sz w:val="18"/>
              </w:rPr>
              <w:t>10,000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2015-5-14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2015-5-25</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10,000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8.23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兴业金雪球优先一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1,000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2015-7-3</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1,000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2.98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兴业金雪球</w:t>
            </w:r>
            <w:r>
              <w:rPr>
                <w:rFonts w:ascii="宋体" w:hAnsi="宋体" w:cs="宋体" w:eastAsia="宋体" w:hint="default"/>
                <w:sz w:val="18"/>
                <w:szCs w:val="18"/>
              </w:rPr>
              <w:t>-</w:t>
            </w:r>
            <w:r>
              <w:rPr>
                <w:rFonts w:ascii="宋体" w:hAnsi="宋体" w:cs="宋体" w:eastAsia="宋体" w:hint="default"/>
                <w:sz w:val="18"/>
                <w:szCs w:val="18"/>
              </w:rPr>
              <w:t>优先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2015-5-29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2015-7-3</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4.17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兴业金雪球</w:t>
            </w:r>
            <w:r>
              <w:rPr>
                <w:rFonts w:ascii="宋体" w:hAnsi="宋体" w:cs="宋体" w:eastAsia="宋体" w:hint="default"/>
                <w:sz w:val="18"/>
                <w:szCs w:val="18"/>
              </w:rPr>
              <w:t>-</w:t>
            </w:r>
            <w:r>
              <w:rPr>
                <w:rFonts w:ascii="宋体" w:hAnsi="宋体" w:cs="宋体" w:eastAsia="宋体" w:hint="default"/>
                <w:sz w:val="18"/>
                <w:szCs w:val="18"/>
              </w:rPr>
              <w:t>优先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一号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2,600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2015-9-23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2015-9-28</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2,600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1.21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台州银行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财运通</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300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2015-3-3</w:t>
            </w:r>
          </w:p>
        </w:tc>
        <w:tc>
          <w:tcPr>
            <w:tcW w:w="11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浦发银行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利多多对公结构性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通知存款</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2,000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2015-3-4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2015-9-4</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2,000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47.00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浦发银行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利多多财富班车进</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取</w:t>
            </w:r>
            <w:r>
              <w:rPr>
                <w:rFonts w:ascii="宋体" w:hAnsi="宋体" w:cs="宋体" w:eastAsia="宋体" w:hint="default"/>
                <w:sz w:val="18"/>
                <w:szCs w:val="18"/>
              </w:rPr>
              <w:t>4</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2015-9-8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2016-3-12</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民生银行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民生加银资管汇赢</w:t>
            </w:r>
          </w:p>
          <w:p>
            <w:pPr>
              <w:pStyle w:val="TableParagraph"/>
              <w:spacing w:line="240" w:lineRule="auto"/>
              <w:ind w:left="103" w:right="23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号专项资产管理 计划</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3,000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2015-3-20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2015-6-24</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3,000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48.41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民生银行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民生加银资管汇赢</w:t>
            </w:r>
          </w:p>
          <w:p>
            <w:pPr>
              <w:pStyle w:val="TableParagraph"/>
              <w:spacing w:line="240" w:lineRule="auto"/>
              <w:ind w:left="103" w:right="237"/>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号专项资产管理 计划</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5,000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2015-4-10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2015-10-13</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158.33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民生银行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民生加银资管·民</w:t>
            </w:r>
          </w:p>
          <w:p>
            <w:pPr>
              <w:pStyle w:val="TableParagraph"/>
              <w:spacing w:line="240" w:lineRule="auto"/>
              <w:ind w:left="103" w:right="149"/>
              <w:jc w:val="left"/>
              <w:rPr>
                <w:rFonts w:ascii="宋体" w:hAnsi="宋体" w:cs="宋体" w:eastAsia="宋体" w:hint="default"/>
                <w:sz w:val="18"/>
                <w:szCs w:val="18"/>
              </w:rPr>
            </w:pPr>
            <w:r>
              <w:rPr>
                <w:rFonts w:ascii="宋体" w:hAnsi="宋体" w:cs="宋体" w:eastAsia="宋体" w:hint="default"/>
                <w:sz w:val="18"/>
                <w:szCs w:val="18"/>
              </w:rPr>
              <w:t>生保腾专项资产管 理计划</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3,000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2015-11-20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2016-2-23</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2015-3-2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2015-6-26</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25.24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z w:val="18"/>
              </w:rPr>
              <w:t>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2015-3-31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2015-5-14</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2.66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2015-4-27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2015-5-13</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1.89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6"/>
              <w:jc w:val="right"/>
              <w:rPr>
                <w:rFonts w:ascii="宋体" w:hAnsi="宋体" w:cs="宋体" w:eastAsia="宋体" w:hint="default"/>
                <w:sz w:val="18"/>
                <w:szCs w:val="18"/>
              </w:rPr>
            </w:pPr>
            <w:r>
              <w:rPr>
                <w:rFonts w:ascii="宋体"/>
                <w:sz w:val="18"/>
              </w:rPr>
              <w:t>600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2015-5-6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2015-5-13</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z w:val="18"/>
              </w:rPr>
              <w:t>600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0.48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z w:val="18"/>
              </w:rPr>
              <w:t>700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2015-6-3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2015-6-26</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700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1.99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2015-6-17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2015-6-26</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0.52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600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2015-6-15</w:t>
            </w:r>
          </w:p>
        </w:tc>
        <w:tc>
          <w:tcPr>
            <w:tcW w:w="11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300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2015-6-15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2015-8-26</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2.58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100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2015-6-15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2015-9-29</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1.26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2015-7-1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2015-7-16</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3.37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2015-7-27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2015-10-14</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8.70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20" w:right="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419"/>
        <w:gridCol w:w="1704"/>
        <w:gridCol w:w="845"/>
        <w:gridCol w:w="1118"/>
        <w:gridCol w:w="1152"/>
        <w:gridCol w:w="425"/>
        <w:gridCol w:w="883"/>
        <w:gridCol w:w="1022"/>
        <w:gridCol w:w="709"/>
        <w:gridCol w:w="430"/>
        <w:gridCol w:w="696"/>
        <w:gridCol w:w="566"/>
        <w:gridCol w:w="466"/>
      </w:tblGrid>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2015-7-27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2015-10-22</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9.53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2015-7-27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2015-7-29</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0.08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2015-7-27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2015-9-18</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5.84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3,600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2015-8-17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2015-9-18</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3,600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12.59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2015-12-14</w:t>
            </w:r>
          </w:p>
        </w:tc>
        <w:tc>
          <w:tcPr>
            <w:tcW w:w="11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2015-12-18</w:t>
            </w:r>
          </w:p>
        </w:tc>
        <w:tc>
          <w:tcPr>
            <w:tcW w:w="11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招商银行鼎鼎成金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68485</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z w:val="18"/>
              </w:rPr>
              <w:t>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2015-4-7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2015-5-18</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2.98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6"/>
              <w:jc w:val="right"/>
              <w:rPr>
                <w:rFonts w:ascii="宋体" w:hAnsi="宋体" w:cs="宋体" w:eastAsia="宋体" w:hint="default"/>
                <w:sz w:val="18"/>
                <w:szCs w:val="18"/>
              </w:rPr>
            </w:pPr>
            <w:r>
              <w:rPr>
                <w:rFonts w:ascii="宋体"/>
                <w:sz w:val="18"/>
              </w:rPr>
              <w:t>280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2015-1-20</w:t>
            </w:r>
          </w:p>
        </w:tc>
        <w:tc>
          <w:tcPr>
            <w:tcW w:w="11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120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2015-1-20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2015-5-25</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1.97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z w:val="18"/>
              </w:rPr>
              <w:t>300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2015-11-4</w:t>
            </w:r>
          </w:p>
        </w:tc>
        <w:tc>
          <w:tcPr>
            <w:tcW w:w="11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2015-11-24</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0.83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600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2015-11-27</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1.23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400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2015-12-7</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1.26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200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2015-12-16</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0.81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2015-12-17</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1,100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4.56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900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2015-12-23</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4.26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3,500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2015-11-12</w:t>
            </w:r>
          </w:p>
        </w:tc>
        <w:tc>
          <w:tcPr>
            <w:tcW w:w="11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招商银行步步生金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8699</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300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2015-12-15</w:t>
            </w:r>
          </w:p>
        </w:tc>
        <w:tc>
          <w:tcPr>
            <w:tcW w:w="11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招商银行鼎鼎成金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68527</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2015-5-20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2015-8-24</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6.71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招商银行鼎鼎成金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68531</w:t>
            </w:r>
            <w:r>
              <w:rPr>
                <w:rFonts w:ascii="宋体" w:hAnsi="宋体" w:cs="宋体" w:eastAsia="宋体" w:hint="default"/>
                <w:sz w:val="18"/>
                <w:szCs w:val="18"/>
              </w:rPr>
              <w:t>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z w:val="18"/>
              </w:rPr>
              <w:t>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2015-5-27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2015-8-25</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6.16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z w:val="18"/>
                <w:szCs w:val="18"/>
              </w:rPr>
              <w:t>90060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600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2015-8-13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2015-10-12</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600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4.44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z w:val="18"/>
                <w:szCs w:val="18"/>
              </w:rPr>
              <w:t>90030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2,000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2015-8-5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2015-9-6</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2,000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8.05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z w:val="18"/>
                <w:szCs w:val="18"/>
              </w:rPr>
              <w:t>90030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3,000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2015-8-7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2015-9-6</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3,000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11.27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z w:val="18"/>
                <w:szCs w:val="18"/>
              </w:rPr>
              <w:t>90030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6,000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2015-11-3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2015-12-3</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6,000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21.06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z w:val="18"/>
                <w:szCs w:val="18"/>
              </w:rPr>
              <w:t>90030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2,000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2015-11-7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2015-11-9</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2,000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0.41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z w:val="18"/>
                <w:szCs w:val="18"/>
              </w:rPr>
              <w:t>90030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400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2015-10-14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2015-11-13</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400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1.39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z w:val="18"/>
                <w:szCs w:val="18"/>
              </w:rPr>
              <w:t>90030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3,500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2015-12-17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2016-1-16</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z w:val="18"/>
                <w:szCs w:val="18"/>
              </w:rPr>
              <w:t>90030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8,200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2015-12-30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2016-1-29</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z w:val="18"/>
                <w:szCs w:val="18"/>
              </w:rPr>
              <w:t>90030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3,000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2015-12-14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2016-1-14</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z w:val="18"/>
                <w:szCs w:val="18"/>
              </w:rPr>
              <w:t>90030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200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2015-11-17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2015-12-17</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200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0.71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z w:val="18"/>
                <w:szCs w:val="18"/>
              </w:rPr>
              <w:t>90060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2,000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sz w:val="18"/>
              </w:rPr>
              <w:t>2015-11-24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sz w:val="18"/>
              </w:rPr>
              <w:t>2016-1-23</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z w:val="18"/>
                <w:szCs w:val="18"/>
              </w:rPr>
              <w:t>90060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2,000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2015-12-11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2016-2-9</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z w:val="18"/>
                <w:szCs w:val="18"/>
              </w:rPr>
              <w:t>90060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3,500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2015-12-16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2016-2-14</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z w:val="18"/>
                <w:szCs w:val="18"/>
              </w:rPr>
              <w:t>90060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5,000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2015-12-24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2016-2-22</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20" w:right="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419"/>
        <w:gridCol w:w="1704"/>
        <w:gridCol w:w="845"/>
        <w:gridCol w:w="1118"/>
        <w:gridCol w:w="1152"/>
        <w:gridCol w:w="425"/>
        <w:gridCol w:w="883"/>
        <w:gridCol w:w="1022"/>
        <w:gridCol w:w="709"/>
        <w:gridCol w:w="430"/>
        <w:gridCol w:w="696"/>
        <w:gridCol w:w="566"/>
        <w:gridCol w:w="466"/>
      </w:tblGrid>
      <w:tr>
        <w:trPr>
          <w:trHeight w:val="29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z w:val="18"/>
                <w:szCs w:val="18"/>
              </w:rPr>
              <w:t>90060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4,000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2015-12-25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2016-2-23</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z w:val="18"/>
                <w:szCs w:val="18"/>
              </w:rPr>
              <w:t>90060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5,000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2015-12-28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2016-2-26</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“金钥匙·安心快</w:t>
            </w:r>
          </w:p>
          <w:p>
            <w:pPr>
              <w:pStyle w:val="TableParagraph"/>
              <w:spacing w:line="232" w:lineRule="exact" w:before="24"/>
              <w:ind w:left="103" w:right="146"/>
              <w:jc w:val="left"/>
              <w:rPr>
                <w:rFonts w:ascii="宋体" w:hAnsi="宋体" w:cs="宋体" w:eastAsia="宋体" w:hint="default"/>
                <w:sz w:val="18"/>
                <w:szCs w:val="18"/>
              </w:rPr>
            </w:pPr>
            <w:r>
              <w:rPr>
                <w:rFonts w:ascii="宋体" w:hAnsi="宋体" w:cs="宋体" w:eastAsia="宋体" w:hint="default"/>
                <w:sz w:val="18"/>
                <w:szCs w:val="18"/>
              </w:rPr>
              <w:t>线步步高”</w:t>
            </w:r>
            <w:r>
              <w:rPr>
                <w:rFonts w:ascii="宋体" w:hAnsi="宋体" w:cs="宋体" w:eastAsia="宋体" w:hint="default"/>
                <w:sz w:val="18"/>
                <w:szCs w:val="18"/>
              </w:rPr>
              <w:t>2014</w:t>
            </w:r>
            <w:r>
              <w:rPr>
                <w:rFonts w:ascii="宋体" w:hAnsi="宋体" w:cs="宋体" w:eastAsia="宋体" w:hint="default"/>
                <w:sz w:val="18"/>
                <w:szCs w:val="18"/>
              </w:rPr>
              <w:t>年 第</w:t>
            </w:r>
            <w:r>
              <w:rPr>
                <w:rFonts w:ascii="宋体" w:hAnsi="宋体" w:cs="宋体" w:eastAsia="宋体" w:hint="default"/>
                <w:sz w:val="18"/>
                <w:szCs w:val="18"/>
              </w:rPr>
              <w:t>1</w:t>
            </w:r>
            <w:r>
              <w:rPr>
                <w:rFonts w:ascii="宋体" w:hAnsi="宋体" w:cs="宋体" w:eastAsia="宋体" w:hint="default"/>
                <w:sz w:val="18"/>
                <w:szCs w:val="18"/>
              </w:rPr>
              <w:t>期人民币理财 产品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6"/>
              <w:jc w:val="right"/>
              <w:rPr>
                <w:rFonts w:ascii="宋体" w:hAnsi="宋体" w:cs="宋体" w:eastAsia="宋体" w:hint="default"/>
                <w:sz w:val="18"/>
                <w:szCs w:val="18"/>
              </w:rPr>
            </w:pPr>
            <w:r>
              <w:rPr>
                <w:rFonts w:ascii="宋体"/>
                <w:sz w:val="18"/>
              </w:rPr>
              <w:t>100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sz w:val="18"/>
              </w:rPr>
              <w:t>2015-1-30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sz w:val="18"/>
              </w:rPr>
              <w:t>2015-6-30</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100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z w:val="18"/>
              </w:rPr>
              <w:t>1.63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“金钥匙·安心得</w:t>
            </w:r>
          </w:p>
          <w:p>
            <w:pPr>
              <w:pStyle w:val="TableParagraph"/>
              <w:spacing w:line="232" w:lineRule="exact" w:before="23"/>
              <w:ind w:left="103" w:right="146"/>
              <w:jc w:val="both"/>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2015</w:t>
            </w:r>
            <w:r>
              <w:rPr>
                <w:rFonts w:ascii="宋体" w:hAnsi="宋体" w:cs="宋体" w:eastAsia="宋体" w:hint="default"/>
                <w:sz w:val="18"/>
                <w:szCs w:val="18"/>
              </w:rPr>
              <w:t>年第</w:t>
            </w:r>
            <w:r>
              <w:rPr>
                <w:rFonts w:ascii="宋体" w:hAnsi="宋体" w:cs="宋体" w:eastAsia="宋体" w:hint="default"/>
                <w:sz w:val="18"/>
                <w:szCs w:val="18"/>
              </w:rPr>
              <w:t>28</w:t>
            </w:r>
            <w:r>
              <w:rPr>
                <w:rFonts w:ascii="宋体" w:hAnsi="宋体" w:cs="宋体" w:eastAsia="宋体" w:hint="default"/>
                <w:sz w:val="18"/>
                <w:szCs w:val="18"/>
              </w:rPr>
              <w:t>期 贵宾专享人民币理 财产品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96"/>
              <w:jc w:val="right"/>
              <w:rPr>
                <w:rFonts w:ascii="宋体" w:hAnsi="宋体" w:cs="宋体" w:eastAsia="宋体" w:hint="default"/>
                <w:sz w:val="18"/>
                <w:szCs w:val="18"/>
              </w:rPr>
            </w:pPr>
            <w:r>
              <w:rPr>
                <w:rFonts w:ascii="宋体"/>
                <w:sz w:val="18"/>
              </w:rPr>
              <w:t>150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sz w:val="18"/>
              </w:rPr>
              <w:t>2015-2-2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sz w:val="18"/>
              </w:rPr>
              <w:t>2015-4-1</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98"/>
              <w:jc w:val="right"/>
              <w:rPr>
                <w:rFonts w:ascii="宋体" w:hAnsi="宋体" w:cs="宋体" w:eastAsia="宋体" w:hint="default"/>
                <w:sz w:val="18"/>
                <w:szCs w:val="18"/>
              </w:rPr>
            </w:pPr>
            <w:r>
              <w:rPr>
                <w:rFonts w:ascii="宋体"/>
                <w:sz w:val="18"/>
              </w:rPr>
              <w:t>150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0"/>
              <w:jc w:val="right"/>
              <w:rPr>
                <w:rFonts w:ascii="宋体" w:hAnsi="宋体" w:cs="宋体" w:eastAsia="宋体" w:hint="default"/>
                <w:sz w:val="18"/>
                <w:szCs w:val="18"/>
              </w:rPr>
            </w:pPr>
            <w:r>
              <w:rPr>
                <w:rFonts w:ascii="宋体"/>
                <w:sz w:val="18"/>
              </w:rPr>
              <w:t>1.19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“金钥匙·安心得</w:t>
            </w:r>
          </w:p>
          <w:p>
            <w:pPr>
              <w:pStyle w:val="TableParagraph"/>
              <w:spacing w:line="232" w:lineRule="exact" w:before="23"/>
              <w:ind w:left="103" w:right="146"/>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2015</w:t>
            </w:r>
            <w:r>
              <w:rPr>
                <w:rFonts w:ascii="宋体" w:hAnsi="宋体" w:cs="宋体" w:eastAsia="宋体" w:hint="default"/>
                <w:sz w:val="18"/>
                <w:szCs w:val="18"/>
              </w:rPr>
              <w:t>年第</w:t>
            </w:r>
            <w:r>
              <w:rPr>
                <w:rFonts w:ascii="宋体" w:hAnsi="宋体" w:cs="宋体" w:eastAsia="宋体" w:hint="default"/>
                <w:sz w:val="18"/>
                <w:szCs w:val="18"/>
              </w:rPr>
              <w:t>71</w:t>
            </w:r>
            <w:r>
              <w:rPr>
                <w:rFonts w:ascii="宋体" w:hAnsi="宋体" w:cs="宋体" w:eastAsia="宋体" w:hint="default"/>
                <w:sz w:val="18"/>
                <w:szCs w:val="18"/>
              </w:rPr>
              <w:t>期 人民币理财产品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z w:val="18"/>
              </w:rPr>
              <w:t>300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2015-3-6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2015-4-24</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300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2.05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“金钥匙·安心快</w:t>
            </w:r>
          </w:p>
          <w:p>
            <w:pPr>
              <w:pStyle w:val="TableParagraph"/>
              <w:spacing w:line="237" w:lineRule="auto"/>
              <w:ind w:left="103" w:right="146"/>
              <w:jc w:val="left"/>
              <w:rPr>
                <w:rFonts w:ascii="宋体" w:hAnsi="宋体" w:cs="宋体" w:eastAsia="宋体" w:hint="default"/>
                <w:sz w:val="18"/>
                <w:szCs w:val="18"/>
              </w:rPr>
            </w:pPr>
            <w:r>
              <w:rPr>
                <w:rFonts w:ascii="宋体" w:hAnsi="宋体" w:cs="宋体" w:eastAsia="宋体" w:hint="default"/>
                <w:sz w:val="18"/>
                <w:szCs w:val="18"/>
              </w:rPr>
              <w:t>线步步高”</w:t>
            </w:r>
            <w:r>
              <w:rPr>
                <w:rFonts w:ascii="宋体" w:hAnsi="宋体" w:cs="宋体" w:eastAsia="宋体" w:hint="default"/>
                <w:sz w:val="18"/>
                <w:szCs w:val="18"/>
              </w:rPr>
              <w:t>2014</w:t>
            </w:r>
            <w:r>
              <w:rPr>
                <w:rFonts w:ascii="宋体" w:hAnsi="宋体" w:cs="宋体" w:eastAsia="宋体" w:hint="default"/>
                <w:sz w:val="18"/>
                <w:szCs w:val="18"/>
              </w:rPr>
              <w:t>年 第</w:t>
            </w:r>
            <w:r>
              <w:rPr>
                <w:rFonts w:ascii="宋体" w:hAnsi="宋体" w:cs="宋体" w:eastAsia="宋体" w:hint="default"/>
                <w:sz w:val="18"/>
                <w:szCs w:val="18"/>
              </w:rPr>
              <w:t>1</w:t>
            </w:r>
            <w:r>
              <w:rPr>
                <w:rFonts w:ascii="宋体" w:hAnsi="宋体" w:cs="宋体" w:eastAsia="宋体" w:hint="default"/>
                <w:sz w:val="18"/>
                <w:szCs w:val="18"/>
              </w:rPr>
              <w:t>期人民币理财 产品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1,200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sz w:val="18"/>
              </w:rPr>
              <w:t>2015-3-10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sz w:val="18"/>
              </w:rPr>
              <w:t>2015-3-11</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z w:val="18"/>
              </w:rPr>
              <w:t>1,200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z w:val="18"/>
              </w:rPr>
              <w:t>0.08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“金钥匙·安心得</w:t>
            </w: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pacing w:val="-4"/>
                <w:sz w:val="18"/>
                <w:szCs w:val="18"/>
              </w:rPr>
              <w:t>利”</w:t>
            </w:r>
            <w:r>
              <w:rPr>
                <w:rFonts w:ascii="宋体" w:hAnsi="宋体" w:cs="宋体" w:eastAsia="宋体" w:hint="default"/>
                <w:spacing w:val="-4"/>
                <w:sz w:val="18"/>
                <w:szCs w:val="18"/>
              </w:rPr>
              <w:t>2015</w:t>
            </w:r>
            <w:r>
              <w:rPr>
                <w:rFonts w:ascii="宋体" w:hAnsi="宋体" w:cs="宋体" w:eastAsia="宋体" w:hint="default"/>
                <w:spacing w:val="-4"/>
                <w:sz w:val="18"/>
                <w:szCs w:val="18"/>
              </w:rPr>
              <w:t>年第</w:t>
            </w:r>
            <w:r>
              <w:rPr>
                <w:rFonts w:ascii="宋体" w:hAnsi="宋体" w:cs="宋体" w:eastAsia="宋体" w:hint="default"/>
                <w:spacing w:val="-4"/>
                <w:sz w:val="18"/>
                <w:szCs w:val="18"/>
              </w:rPr>
              <w:t>113</w:t>
            </w:r>
            <w:r>
              <w:rPr>
                <w:rFonts w:ascii="宋体" w:hAnsi="宋体" w:cs="宋体" w:eastAsia="宋体" w:hint="default"/>
                <w:spacing w:val="-4"/>
                <w:sz w:val="18"/>
                <w:szCs w:val="18"/>
              </w:rPr>
              <w:t>期</w:t>
            </w:r>
            <w:r>
              <w:rPr>
                <w:rFonts w:ascii="宋体" w:hAnsi="宋体" w:cs="宋体" w:eastAsia="宋体" w:hint="default"/>
                <w:spacing w:val="-85"/>
                <w:sz w:val="18"/>
                <w:szCs w:val="18"/>
              </w:rPr>
              <w:t> </w:t>
            </w:r>
            <w:r>
              <w:rPr>
                <w:rFonts w:ascii="宋体" w:hAnsi="宋体" w:cs="宋体" w:eastAsia="宋体" w:hint="default"/>
                <w:sz w:val="18"/>
                <w:szCs w:val="18"/>
              </w:rPr>
              <w:t>网银专享人民币理 财产品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6"/>
              <w:jc w:val="right"/>
              <w:rPr>
                <w:rFonts w:ascii="宋体" w:hAnsi="宋体" w:cs="宋体" w:eastAsia="宋体" w:hint="default"/>
                <w:sz w:val="18"/>
                <w:szCs w:val="18"/>
              </w:rPr>
            </w:pPr>
            <w:r>
              <w:rPr>
                <w:rFonts w:ascii="宋体"/>
                <w:sz w:val="18"/>
              </w:rPr>
              <w:t>150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sz w:val="18"/>
              </w:rPr>
              <w:t>2015-4-3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sz w:val="18"/>
              </w:rPr>
              <w:t>2015-7-1</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150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z w:val="18"/>
              </w:rPr>
              <w:t>1.94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“金钥匙·安心得</w:t>
            </w:r>
          </w:p>
          <w:p>
            <w:pPr>
              <w:pStyle w:val="TableParagraph"/>
              <w:spacing w:line="232" w:lineRule="exact" w:before="24"/>
              <w:ind w:left="103" w:right="98"/>
              <w:jc w:val="both"/>
              <w:rPr>
                <w:rFonts w:ascii="宋体" w:hAnsi="宋体" w:cs="宋体" w:eastAsia="宋体" w:hint="default"/>
                <w:sz w:val="18"/>
                <w:szCs w:val="18"/>
              </w:rPr>
            </w:pPr>
            <w:r>
              <w:rPr>
                <w:rFonts w:ascii="宋体" w:hAnsi="宋体" w:cs="宋体" w:eastAsia="宋体" w:hint="default"/>
                <w:spacing w:val="-4"/>
                <w:sz w:val="18"/>
                <w:szCs w:val="18"/>
              </w:rPr>
              <w:t>利”</w:t>
            </w:r>
            <w:r>
              <w:rPr>
                <w:rFonts w:ascii="宋体" w:hAnsi="宋体" w:cs="宋体" w:eastAsia="宋体" w:hint="default"/>
                <w:spacing w:val="-4"/>
                <w:sz w:val="18"/>
                <w:szCs w:val="18"/>
              </w:rPr>
              <w:t>2015</w:t>
            </w:r>
            <w:r>
              <w:rPr>
                <w:rFonts w:ascii="宋体" w:hAnsi="宋体" w:cs="宋体" w:eastAsia="宋体" w:hint="default"/>
                <w:spacing w:val="-4"/>
                <w:sz w:val="18"/>
                <w:szCs w:val="18"/>
              </w:rPr>
              <w:t>年第</w:t>
            </w:r>
            <w:r>
              <w:rPr>
                <w:rFonts w:ascii="宋体" w:hAnsi="宋体" w:cs="宋体" w:eastAsia="宋体" w:hint="default"/>
                <w:spacing w:val="-4"/>
                <w:sz w:val="18"/>
                <w:szCs w:val="18"/>
              </w:rPr>
              <w:t>149</w:t>
            </w:r>
            <w:r>
              <w:rPr>
                <w:rFonts w:ascii="宋体" w:hAnsi="宋体" w:cs="宋体" w:eastAsia="宋体" w:hint="default"/>
                <w:spacing w:val="-4"/>
                <w:sz w:val="18"/>
                <w:szCs w:val="18"/>
              </w:rPr>
              <w:t>期</w:t>
            </w:r>
            <w:r>
              <w:rPr>
                <w:rFonts w:ascii="宋体" w:hAnsi="宋体" w:cs="宋体" w:eastAsia="宋体" w:hint="default"/>
                <w:spacing w:val="-85"/>
                <w:sz w:val="18"/>
                <w:szCs w:val="18"/>
              </w:rPr>
              <w:t> </w:t>
            </w:r>
            <w:r>
              <w:rPr>
                <w:rFonts w:ascii="宋体" w:hAnsi="宋体" w:cs="宋体" w:eastAsia="宋体" w:hint="default"/>
                <w:sz w:val="18"/>
                <w:szCs w:val="18"/>
              </w:rPr>
              <w:t>网银专享人民币理 财产品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6"/>
              <w:jc w:val="right"/>
              <w:rPr>
                <w:rFonts w:ascii="宋体" w:hAnsi="宋体" w:cs="宋体" w:eastAsia="宋体" w:hint="default"/>
                <w:sz w:val="18"/>
                <w:szCs w:val="18"/>
              </w:rPr>
            </w:pPr>
            <w:r>
              <w:rPr>
                <w:rFonts w:ascii="宋体"/>
                <w:sz w:val="18"/>
              </w:rPr>
              <w:t>300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sz w:val="18"/>
              </w:rPr>
              <w:t>2015-4-29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sz w:val="18"/>
              </w:rPr>
              <w:t>2015-8-3</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300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z w:val="18"/>
              </w:rPr>
              <w:t>4.18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“金钥匙·安心得</w:t>
            </w:r>
          </w:p>
          <w:p>
            <w:pPr>
              <w:pStyle w:val="TableParagraph"/>
              <w:spacing w:line="234" w:lineRule="exact" w:before="21"/>
              <w:ind w:left="103" w:right="146"/>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90</w:t>
            </w:r>
            <w:r>
              <w:rPr>
                <w:rFonts w:ascii="宋体" w:hAnsi="宋体" w:cs="宋体" w:eastAsia="宋体" w:hint="default"/>
                <w:sz w:val="18"/>
                <w:szCs w:val="18"/>
              </w:rPr>
              <w:t>天”人民币 理财产品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z w:val="18"/>
              </w:rPr>
              <w:t>200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2015-7-9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2015-10-8</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200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2.34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“安心快线步步</w:t>
            </w:r>
          </w:p>
          <w:p>
            <w:pPr>
              <w:pStyle w:val="TableParagraph"/>
              <w:spacing w:line="232" w:lineRule="exact" w:before="24"/>
              <w:ind w:left="103" w:right="149"/>
              <w:jc w:val="left"/>
              <w:rPr>
                <w:rFonts w:ascii="宋体" w:hAnsi="宋体" w:cs="宋体" w:eastAsia="宋体" w:hint="default"/>
                <w:sz w:val="18"/>
                <w:szCs w:val="18"/>
              </w:rPr>
            </w:pPr>
            <w:r>
              <w:rPr>
                <w:rFonts w:ascii="宋体" w:hAnsi="宋体" w:cs="宋体" w:eastAsia="宋体" w:hint="default"/>
                <w:sz w:val="18"/>
                <w:szCs w:val="18"/>
              </w:rPr>
              <w:t>高”法人专属开放 式理财产品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z w:val="18"/>
              </w:rPr>
              <w:t>90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2015-7-9</w:t>
            </w:r>
          </w:p>
        </w:tc>
        <w:tc>
          <w:tcPr>
            <w:tcW w:w="11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农行“安心·灵</w:t>
            </w:r>
          </w:p>
          <w:p>
            <w:pPr>
              <w:pStyle w:val="TableParagraph"/>
              <w:spacing w:line="232" w:lineRule="exact" w:before="24"/>
              <w:ind w:left="103" w:right="146"/>
              <w:jc w:val="left"/>
              <w:rPr>
                <w:rFonts w:ascii="宋体" w:hAnsi="宋体" w:cs="宋体" w:eastAsia="宋体" w:hint="default"/>
                <w:sz w:val="18"/>
                <w:szCs w:val="18"/>
              </w:rPr>
            </w:pPr>
            <w:r>
              <w:rPr>
                <w:rFonts w:ascii="宋体" w:hAnsi="宋体" w:cs="宋体" w:eastAsia="宋体" w:hint="default"/>
                <w:sz w:val="18"/>
                <w:szCs w:val="18"/>
              </w:rPr>
              <w:t>动·</w:t>
            </w:r>
            <w:r>
              <w:rPr>
                <w:rFonts w:ascii="宋体" w:hAnsi="宋体" w:cs="宋体" w:eastAsia="宋体" w:hint="default"/>
                <w:sz w:val="18"/>
                <w:szCs w:val="18"/>
              </w:rPr>
              <w:t>45</w:t>
            </w:r>
            <w:r>
              <w:rPr>
                <w:rFonts w:ascii="宋体" w:hAnsi="宋体" w:cs="宋体" w:eastAsia="宋体" w:hint="default"/>
                <w:sz w:val="18"/>
                <w:szCs w:val="18"/>
              </w:rPr>
              <w:t>天”人民币 理财产品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z w:val="18"/>
              </w:rPr>
              <w:t>300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2015-8-4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2015-9-18</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300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1.76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农行“本利丰步步</w:t>
            </w:r>
          </w:p>
          <w:p>
            <w:pPr>
              <w:pStyle w:val="TableParagraph"/>
              <w:spacing w:line="232" w:lineRule="exact" w:before="24"/>
              <w:ind w:left="103" w:right="98"/>
              <w:jc w:val="both"/>
              <w:rPr>
                <w:rFonts w:ascii="宋体" w:hAnsi="宋体" w:cs="宋体" w:eastAsia="宋体" w:hint="default"/>
                <w:sz w:val="18"/>
                <w:szCs w:val="18"/>
              </w:rPr>
            </w:pPr>
            <w:r>
              <w:rPr>
                <w:rFonts w:ascii="宋体" w:hAnsi="宋体" w:cs="宋体" w:eastAsia="宋体" w:hint="default"/>
                <w:spacing w:val="-4"/>
                <w:sz w:val="18"/>
                <w:szCs w:val="18"/>
              </w:rPr>
              <w:t>高”</w:t>
            </w:r>
            <w:r>
              <w:rPr>
                <w:rFonts w:ascii="宋体" w:hAnsi="宋体" w:cs="宋体" w:eastAsia="宋体" w:hint="default"/>
                <w:spacing w:val="-4"/>
                <w:sz w:val="18"/>
                <w:szCs w:val="18"/>
              </w:rPr>
              <w:t>2014</w:t>
            </w:r>
            <w:r>
              <w:rPr>
                <w:rFonts w:ascii="宋体" w:hAnsi="宋体" w:cs="宋体" w:eastAsia="宋体" w:hint="default"/>
                <w:spacing w:val="-4"/>
                <w:sz w:val="18"/>
                <w:szCs w:val="18"/>
              </w:rPr>
              <w:t>年第</w:t>
            </w:r>
            <w:r>
              <w:rPr>
                <w:rFonts w:ascii="宋体" w:hAnsi="宋体" w:cs="宋体" w:eastAsia="宋体" w:hint="default"/>
                <w:spacing w:val="-4"/>
                <w:sz w:val="18"/>
                <w:szCs w:val="18"/>
              </w:rPr>
              <w:t>1</w:t>
            </w:r>
            <w:r>
              <w:rPr>
                <w:rFonts w:ascii="宋体" w:hAnsi="宋体" w:cs="宋体" w:eastAsia="宋体" w:hint="default"/>
                <w:spacing w:val="-4"/>
                <w:sz w:val="18"/>
                <w:szCs w:val="18"/>
              </w:rPr>
              <w:t>期开</w:t>
            </w:r>
            <w:r>
              <w:rPr>
                <w:rFonts w:ascii="宋体" w:hAnsi="宋体" w:cs="宋体" w:eastAsia="宋体" w:hint="default"/>
                <w:spacing w:val="-88"/>
                <w:sz w:val="18"/>
                <w:szCs w:val="18"/>
              </w:rPr>
              <w:t> </w:t>
            </w:r>
            <w:r>
              <w:rPr>
                <w:rFonts w:ascii="宋体" w:hAnsi="宋体" w:cs="宋体" w:eastAsia="宋体" w:hint="default"/>
                <w:sz w:val="18"/>
                <w:szCs w:val="18"/>
              </w:rPr>
              <w:t>放式人民币理财产 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1,200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sz w:val="18"/>
              </w:rPr>
              <w:t>2015-8-4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sz w:val="18"/>
              </w:rPr>
              <w:t>2015-8-24</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z w:val="18"/>
              </w:rPr>
              <w:t>1,200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z w:val="18"/>
              </w:rPr>
              <w:t>1.64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农行“安心·灵</w:t>
            </w:r>
          </w:p>
          <w:p>
            <w:pPr>
              <w:pStyle w:val="TableParagraph"/>
              <w:spacing w:line="232" w:lineRule="exact" w:before="23"/>
              <w:ind w:left="103" w:right="146"/>
              <w:jc w:val="left"/>
              <w:rPr>
                <w:rFonts w:ascii="宋体" w:hAnsi="宋体" w:cs="宋体" w:eastAsia="宋体" w:hint="default"/>
                <w:sz w:val="18"/>
                <w:szCs w:val="18"/>
              </w:rPr>
            </w:pPr>
            <w:r>
              <w:rPr>
                <w:rFonts w:ascii="宋体" w:hAnsi="宋体" w:cs="宋体" w:eastAsia="宋体" w:hint="default"/>
                <w:sz w:val="18"/>
                <w:szCs w:val="18"/>
              </w:rPr>
              <w:t>动·</w:t>
            </w:r>
            <w:r>
              <w:rPr>
                <w:rFonts w:ascii="宋体" w:hAnsi="宋体" w:cs="宋体" w:eastAsia="宋体" w:hint="default"/>
                <w:sz w:val="18"/>
                <w:szCs w:val="18"/>
              </w:rPr>
              <w:t>75</w:t>
            </w:r>
            <w:r>
              <w:rPr>
                <w:rFonts w:ascii="宋体" w:hAnsi="宋体" w:cs="宋体" w:eastAsia="宋体" w:hint="default"/>
                <w:sz w:val="18"/>
                <w:szCs w:val="18"/>
              </w:rPr>
              <w:t>天”人民币 理财产品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5,000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2015-8-5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2015-10-19</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49.32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农行“安心·灵</w:t>
            </w:r>
          </w:p>
          <w:p>
            <w:pPr>
              <w:pStyle w:val="TableParagraph"/>
              <w:spacing w:line="232" w:lineRule="exact" w:before="23"/>
              <w:ind w:left="103" w:right="146"/>
              <w:jc w:val="left"/>
              <w:rPr>
                <w:rFonts w:ascii="宋体" w:hAnsi="宋体" w:cs="宋体" w:eastAsia="宋体" w:hint="default"/>
                <w:sz w:val="18"/>
                <w:szCs w:val="18"/>
              </w:rPr>
            </w:pPr>
            <w:r>
              <w:rPr>
                <w:rFonts w:ascii="宋体" w:hAnsi="宋体" w:cs="宋体" w:eastAsia="宋体" w:hint="default"/>
                <w:sz w:val="18"/>
                <w:szCs w:val="18"/>
              </w:rPr>
              <w:t>动·</w:t>
            </w:r>
            <w:r>
              <w:rPr>
                <w:rFonts w:ascii="宋体" w:hAnsi="宋体" w:cs="宋体" w:eastAsia="宋体" w:hint="default"/>
                <w:sz w:val="18"/>
                <w:szCs w:val="18"/>
              </w:rPr>
              <w:t>75</w:t>
            </w:r>
            <w:r>
              <w:rPr>
                <w:rFonts w:ascii="宋体" w:hAnsi="宋体" w:cs="宋体" w:eastAsia="宋体" w:hint="default"/>
                <w:sz w:val="18"/>
                <w:szCs w:val="18"/>
              </w:rPr>
              <w:t>天”人民币 理财产品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3,000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2015-12-10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2016-2-23</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农行“安心·灵</w:t>
            </w:r>
          </w:p>
          <w:p>
            <w:pPr>
              <w:pStyle w:val="TableParagraph"/>
              <w:spacing w:line="232" w:lineRule="exact" w:before="23"/>
              <w:ind w:left="103" w:right="146"/>
              <w:jc w:val="left"/>
              <w:rPr>
                <w:rFonts w:ascii="宋体" w:hAnsi="宋体" w:cs="宋体" w:eastAsia="宋体" w:hint="default"/>
                <w:sz w:val="18"/>
                <w:szCs w:val="18"/>
              </w:rPr>
            </w:pPr>
            <w:r>
              <w:rPr>
                <w:rFonts w:ascii="宋体" w:hAnsi="宋体" w:cs="宋体" w:eastAsia="宋体" w:hint="default"/>
                <w:sz w:val="18"/>
                <w:szCs w:val="18"/>
              </w:rPr>
              <w:t>动·</w:t>
            </w:r>
            <w:r>
              <w:rPr>
                <w:rFonts w:ascii="宋体" w:hAnsi="宋体" w:cs="宋体" w:eastAsia="宋体" w:hint="default"/>
                <w:sz w:val="18"/>
                <w:szCs w:val="18"/>
              </w:rPr>
              <w:t>75</w:t>
            </w:r>
            <w:r>
              <w:rPr>
                <w:rFonts w:ascii="宋体" w:hAnsi="宋体" w:cs="宋体" w:eastAsia="宋体" w:hint="default"/>
                <w:sz w:val="18"/>
                <w:szCs w:val="18"/>
              </w:rPr>
              <w:t>天”人民币 理财产品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1,000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2015-12-31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2016-3-15</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农行“金钥匙·安</w:t>
            </w:r>
          </w:p>
          <w:p>
            <w:pPr>
              <w:pStyle w:val="TableParagraph"/>
              <w:spacing w:line="232" w:lineRule="exact" w:before="23"/>
              <w:ind w:left="103" w:right="146"/>
              <w:jc w:val="left"/>
              <w:rPr>
                <w:rFonts w:ascii="宋体" w:hAnsi="宋体" w:cs="宋体" w:eastAsia="宋体" w:hint="default"/>
                <w:sz w:val="18"/>
                <w:szCs w:val="18"/>
              </w:rPr>
            </w:pPr>
            <w:r>
              <w:rPr>
                <w:rFonts w:ascii="宋体" w:hAnsi="宋体" w:cs="宋体" w:eastAsia="宋体" w:hint="default"/>
                <w:sz w:val="18"/>
                <w:szCs w:val="18"/>
              </w:rPr>
              <w:t>心得利·</w:t>
            </w:r>
            <w:r>
              <w:rPr>
                <w:rFonts w:ascii="宋体" w:hAnsi="宋体" w:cs="宋体" w:eastAsia="宋体" w:hint="default"/>
                <w:sz w:val="18"/>
                <w:szCs w:val="18"/>
              </w:rPr>
              <w:t>34</w:t>
            </w:r>
            <w:r>
              <w:rPr>
                <w:rFonts w:ascii="宋体" w:hAnsi="宋体" w:cs="宋体" w:eastAsia="宋体" w:hint="default"/>
                <w:sz w:val="18"/>
                <w:szCs w:val="18"/>
              </w:rPr>
              <w:t>天”人 民币理财产品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z w:val="18"/>
              </w:rPr>
              <w:t>600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2015-12-30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2016-2-3</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农行安心快线天天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利滚利第</w:t>
            </w:r>
            <w:r>
              <w:rPr>
                <w:rFonts w:ascii="宋体" w:hAnsi="宋体" w:cs="宋体" w:eastAsia="宋体" w:hint="default"/>
                <w:sz w:val="18"/>
                <w:szCs w:val="18"/>
              </w:rPr>
              <w:t>2</w:t>
            </w:r>
            <w:r>
              <w:rPr>
                <w:rFonts w:ascii="宋体" w:hAnsi="宋体" w:cs="宋体" w:eastAsia="宋体" w:hint="default"/>
                <w:sz w:val="18"/>
                <w:szCs w:val="18"/>
              </w:rPr>
              <w:t>期</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200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2015-12-30</w:t>
            </w:r>
          </w:p>
        </w:tc>
        <w:tc>
          <w:tcPr>
            <w:tcW w:w="11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农行“安心·灵</w:t>
            </w:r>
          </w:p>
          <w:p>
            <w:pPr>
              <w:pStyle w:val="TableParagraph"/>
              <w:spacing w:line="240" w:lineRule="auto"/>
              <w:ind w:left="103" w:right="146"/>
              <w:jc w:val="left"/>
              <w:rPr>
                <w:rFonts w:ascii="宋体" w:hAnsi="宋体" w:cs="宋体" w:eastAsia="宋体" w:hint="default"/>
                <w:sz w:val="18"/>
                <w:szCs w:val="18"/>
              </w:rPr>
            </w:pPr>
            <w:r>
              <w:rPr>
                <w:rFonts w:ascii="宋体" w:hAnsi="宋体" w:cs="宋体" w:eastAsia="宋体" w:hint="default"/>
                <w:sz w:val="18"/>
                <w:szCs w:val="18"/>
              </w:rPr>
              <w:t>动·</w:t>
            </w:r>
            <w:r>
              <w:rPr>
                <w:rFonts w:ascii="宋体" w:hAnsi="宋体" w:cs="宋体" w:eastAsia="宋体" w:hint="default"/>
                <w:sz w:val="18"/>
                <w:szCs w:val="18"/>
              </w:rPr>
              <w:t>75</w:t>
            </w:r>
            <w:r>
              <w:rPr>
                <w:rFonts w:ascii="宋体" w:hAnsi="宋体" w:cs="宋体" w:eastAsia="宋体" w:hint="default"/>
                <w:sz w:val="18"/>
                <w:szCs w:val="18"/>
              </w:rPr>
              <w:t>天”人民币 理财产品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z w:val="18"/>
              </w:rPr>
              <w:t>200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2015-10-9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2015-12-24</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200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1.89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农行“安心·灵</w:t>
            </w:r>
          </w:p>
          <w:p>
            <w:pPr>
              <w:pStyle w:val="TableParagraph"/>
              <w:spacing w:line="240" w:lineRule="auto"/>
              <w:ind w:left="103" w:right="146"/>
              <w:jc w:val="left"/>
              <w:rPr>
                <w:rFonts w:ascii="宋体" w:hAnsi="宋体" w:cs="宋体" w:eastAsia="宋体" w:hint="default"/>
                <w:sz w:val="18"/>
                <w:szCs w:val="18"/>
              </w:rPr>
            </w:pPr>
            <w:r>
              <w:rPr>
                <w:rFonts w:ascii="宋体" w:hAnsi="宋体" w:cs="宋体" w:eastAsia="宋体" w:hint="default"/>
                <w:sz w:val="18"/>
                <w:szCs w:val="18"/>
              </w:rPr>
              <w:t>动·</w:t>
            </w:r>
            <w:r>
              <w:rPr>
                <w:rFonts w:ascii="宋体" w:hAnsi="宋体" w:cs="宋体" w:eastAsia="宋体" w:hint="default"/>
                <w:sz w:val="18"/>
                <w:szCs w:val="18"/>
              </w:rPr>
              <w:t>75</w:t>
            </w:r>
            <w:r>
              <w:rPr>
                <w:rFonts w:ascii="宋体" w:hAnsi="宋体" w:cs="宋体" w:eastAsia="宋体" w:hint="default"/>
                <w:sz w:val="18"/>
                <w:szCs w:val="18"/>
              </w:rPr>
              <w:t>天”人民币 理财产品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z w:val="18"/>
              </w:rPr>
              <w:t>300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2015-10-10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2015-12-25</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300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2.84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20" w:right="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419"/>
        <w:gridCol w:w="1704"/>
        <w:gridCol w:w="845"/>
        <w:gridCol w:w="1118"/>
        <w:gridCol w:w="1152"/>
        <w:gridCol w:w="425"/>
        <w:gridCol w:w="883"/>
        <w:gridCol w:w="1022"/>
        <w:gridCol w:w="709"/>
        <w:gridCol w:w="430"/>
        <w:gridCol w:w="696"/>
        <w:gridCol w:w="566"/>
        <w:gridCol w:w="466"/>
      </w:tblGrid>
      <w:tr>
        <w:trPr>
          <w:trHeight w:val="7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0"/>
              <w:jc w:val="center"/>
              <w:rPr>
                <w:rFonts w:ascii="宋体" w:hAnsi="宋体" w:cs="宋体" w:eastAsia="宋体" w:hint="default"/>
                <w:sz w:val="18"/>
                <w:szCs w:val="18"/>
              </w:rPr>
            </w:pPr>
            <w:r>
              <w:rPr>
                <w:rFonts w:ascii="宋体" w:hAnsi="宋体" w:cs="宋体" w:eastAsia="宋体" w:hint="default"/>
                <w:sz w:val="18"/>
                <w:szCs w:val="18"/>
              </w:rPr>
              <w:t>中国农业银行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农行“安心·灵</w:t>
            </w:r>
          </w:p>
          <w:p>
            <w:pPr>
              <w:pStyle w:val="TableParagraph"/>
              <w:spacing w:line="232" w:lineRule="exact" w:before="23"/>
              <w:ind w:left="103" w:right="146"/>
              <w:jc w:val="left"/>
              <w:rPr>
                <w:rFonts w:ascii="宋体" w:hAnsi="宋体" w:cs="宋体" w:eastAsia="宋体" w:hint="default"/>
                <w:sz w:val="18"/>
                <w:szCs w:val="18"/>
              </w:rPr>
            </w:pPr>
            <w:r>
              <w:rPr>
                <w:rFonts w:ascii="宋体" w:hAnsi="宋体" w:cs="宋体" w:eastAsia="宋体" w:hint="default"/>
                <w:sz w:val="18"/>
                <w:szCs w:val="18"/>
              </w:rPr>
              <w:t>动·</w:t>
            </w:r>
            <w:r>
              <w:rPr>
                <w:rFonts w:ascii="宋体" w:hAnsi="宋体" w:cs="宋体" w:eastAsia="宋体" w:hint="default"/>
                <w:sz w:val="18"/>
                <w:szCs w:val="18"/>
              </w:rPr>
              <w:t>75</w:t>
            </w:r>
            <w:r>
              <w:rPr>
                <w:rFonts w:ascii="宋体" w:hAnsi="宋体" w:cs="宋体" w:eastAsia="宋体" w:hint="default"/>
                <w:sz w:val="18"/>
                <w:szCs w:val="18"/>
              </w:rPr>
              <w:t>天”人民币 理财产品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1,200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2015-10-10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2016-4-10</w:t>
            </w:r>
          </w:p>
        </w:tc>
        <w:tc>
          <w:tcPr>
            <w:tcW w:w="42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宋体" w:hAnsi="宋体" w:cs="宋体" w:eastAsia="宋体" w:hint="default"/>
                <w:sz w:val="18"/>
                <w:szCs w:val="18"/>
              </w:rPr>
            </w:pPr>
            <w:r>
              <w:rPr>
                <w:rFonts w:ascii="宋体"/>
                <w:sz w:val="18"/>
              </w:rPr>
              <w:t>342,290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9" w:right="0"/>
              <w:jc w:val="left"/>
              <w:rPr>
                <w:rFonts w:ascii="宋体" w:hAnsi="宋体" w:cs="宋体" w:eastAsia="宋体" w:hint="default"/>
                <w:sz w:val="18"/>
                <w:szCs w:val="18"/>
              </w:rPr>
            </w:pPr>
            <w:r>
              <w:rPr>
                <w:rFonts w:ascii="宋体"/>
                <w:sz w:val="18"/>
              </w:rPr>
              <w:t>312,380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46" w:right="0"/>
              <w:jc w:val="left"/>
              <w:rPr>
                <w:rFonts w:ascii="宋体" w:hAnsi="宋体" w:cs="宋体" w:eastAsia="宋体" w:hint="default"/>
                <w:sz w:val="18"/>
                <w:szCs w:val="18"/>
              </w:rPr>
            </w:pPr>
            <w:r>
              <w:rPr>
                <w:rFonts w:ascii="宋体"/>
                <w:sz w:val="18"/>
              </w:rPr>
              <w:t>3,861.12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02" w:right="0"/>
              <w:jc w:val="left"/>
              <w:rPr>
                <w:rFonts w:ascii="宋体" w:hAnsi="宋体" w:cs="宋体" w:eastAsia="宋体" w:hint="default"/>
                <w:sz w:val="18"/>
                <w:szCs w:val="18"/>
              </w:rPr>
            </w:pPr>
            <w:r>
              <w:rPr>
                <w:rFonts w:ascii="宋体"/>
                <w:sz w:val="18"/>
              </w:rPr>
              <w:t>/</w:t>
            </w:r>
          </w:p>
        </w:tc>
        <w:tc>
          <w:tcPr>
            <w:tcW w:w="4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2" w:right="0"/>
              <w:jc w:val="left"/>
              <w:rPr>
                <w:rFonts w:ascii="宋体" w:hAnsi="宋体" w:cs="宋体" w:eastAsia="宋体" w:hint="default"/>
                <w:sz w:val="18"/>
                <w:szCs w:val="18"/>
              </w:rPr>
            </w:pPr>
            <w:r>
              <w:rPr>
                <w:rFonts w:ascii="宋体"/>
                <w:sz w:val="18"/>
              </w:rPr>
              <w:t>/</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center"/>
              <w:rPr>
                <w:rFonts w:ascii="宋体" w:hAnsi="宋体" w:cs="宋体" w:eastAsia="宋体" w:hint="default"/>
                <w:sz w:val="18"/>
                <w:szCs w:val="18"/>
              </w:rPr>
            </w:pPr>
            <w:r>
              <w:rPr>
                <w:rFonts w:ascii="宋体"/>
                <w:sz w:val="18"/>
              </w:rPr>
              <w:t>/</w:t>
            </w:r>
          </w:p>
        </w:tc>
      </w:tr>
      <w:tr>
        <w:trPr>
          <w:trHeight w:val="408" w:hRule="exact"/>
        </w:trPr>
        <w:tc>
          <w:tcPr>
            <w:tcW w:w="66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逾期未收回的本金和收益累计金额（元）</w:t>
            </w:r>
          </w:p>
        </w:tc>
        <w:tc>
          <w:tcPr>
            <w:tcW w:w="4772" w:type="dxa"/>
            <w:gridSpan w:val="7"/>
            <w:tcBorders>
              <w:top w:val="single" w:sz="4" w:space="0" w:color="000000"/>
              <w:left w:val="single" w:sz="4" w:space="0" w:color="000000"/>
              <w:bottom w:val="single" w:sz="4" w:space="0" w:color="000000"/>
              <w:right w:val="single" w:sz="4" w:space="0" w:color="000000"/>
            </w:tcBorders>
          </w:tcPr>
          <w:p>
            <w:pPr/>
          </w:p>
        </w:tc>
      </w:tr>
      <w:tr>
        <w:trPr>
          <w:trHeight w:val="838" w:hRule="exact"/>
        </w:trPr>
        <w:tc>
          <w:tcPr>
            <w:tcW w:w="66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委托理财的情况说明</w:t>
            </w:r>
          </w:p>
        </w:tc>
        <w:tc>
          <w:tcPr>
            <w:tcW w:w="4772" w:type="dxa"/>
            <w:gridSpan w:val="7"/>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4"/>
        <w:spacing w:line="240" w:lineRule="auto"/>
        <w:ind w:left="1678" w:right="4492"/>
        <w:jc w:val="left"/>
        <w:rPr>
          <w:b w:val="0"/>
          <w:bCs w:val="0"/>
        </w:rPr>
      </w:pPr>
      <w:r>
        <w:rPr>
          <w:rFonts w:ascii="宋体" w:hAnsi="宋体" w:cs="宋体" w:eastAsia="宋体" w:hint="default"/>
        </w:rPr>
        <w:t>2</w:t>
      </w:r>
      <w:r>
        <w:rPr/>
        <w:t>、</w:t>
      </w:r>
      <w:r>
        <w:rPr>
          <w:spacing w:val="-1"/>
        </w:rPr>
        <w:t> </w:t>
      </w:r>
      <w:r>
        <w:rPr/>
        <w:t>委托贷款情况</w:t>
      </w:r>
      <w:r>
        <w:rPr>
          <w:b w:val="0"/>
          <w:bCs w:val="0"/>
        </w:rPr>
      </w:r>
    </w:p>
    <w:p>
      <w:pPr>
        <w:pStyle w:val="BodyText"/>
        <w:spacing w:line="240" w:lineRule="auto" w:before="59"/>
        <w:ind w:left="1678" w:right="449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1678" w:right="4492"/>
        <w:jc w:val="left"/>
        <w:rPr>
          <w:b w:val="0"/>
          <w:bCs w:val="0"/>
        </w:rPr>
      </w:pPr>
      <w:r>
        <w:rPr>
          <w:rFonts w:ascii="宋体" w:hAnsi="宋体" w:cs="宋体" w:eastAsia="宋体" w:hint="default"/>
        </w:rPr>
        <w:t>3</w:t>
      </w:r>
      <w:r>
        <w:rPr/>
        <w:t>、</w:t>
      </w:r>
      <w:r>
        <w:rPr>
          <w:spacing w:val="-4"/>
        </w:rPr>
        <w:t> </w:t>
      </w:r>
      <w:r>
        <w:rPr/>
        <w:t>其他投资理财及衍生品投资情况</w:t>
      </w:r>
      <w:r>
        <w:rPr>
          <w:b w:val="0"/>
          <w:bCs w:val="0"/>
        </w:rPr>
      </w:r>
    </w:p>
    <w:p>
      <w:pPr>
        <w:pStyle w:val="BodyText"/>
        <w:spacing w:line="240" w:lineRule="auto" w:before="58"/>
        <w:ind w:left="1678" w:right="449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tabs>
          <w:tab w:pos="2517" w:val="left" w:leader="none"/>
        </w:tabs>
        <w:spacing w:line="240" w:lineRule="auto" w:before="0"/>
        <w:ind w:left="1678" w:right="4492"/>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spacing w:line="240" w:lineRule="auto" w:before="6"/>
        <w:rPr>
          <w:rFonts w:ascii="宋体" w:hAnsi="宋体" w:cs="宋体" w:eastAsia="宋体" w:hint="default"/>
          <w:b/>
          <w:bCs/>
          <w:sz w:val="25"/>
          <w:szCs w:val="25"/>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0"/>
          <w:szCs w:val="20"/>
        </w:rPr>
      </w:pPr>
    </w:p>
    <w:p>
      <w:pPr>
        <w:pStyle w:val="Heading4"/>
        <w:spacing w:line="240" w:lineRule="auto"/>
        <w:ind w:left="1678" w:right="4492"/>
        <w:jc w:val="left"/>
        <w:rPr>
          <w:b w:val="0"/>
          <w:bCs w:val="0"/>
        </w:rPr>
      </w:pPr>
      <w:r>
        <w:rPr/>
        <w:t>十四、其他重大事项的说明</w:t>
      </w:r>
      <w:r>
        <w:rPr>
          <w:b w:val="0"/>
          <w:bCs w:val="0"/>
        </w:rPr>
      </w:r>
    </w:p>
    <w:p>
      <w:pPr>
        <w:tabs>
          <w:tab w:pos="2992" w:val="left" w:leader="none"/>
        </w:tabs>
        <w:spacing w:line="523" w:lineRule="auto" w:before="59"/>
        <w:ind w:left="1678" w:right="8409"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十五、</w:t>
      </w: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w w:val="100"/>
          <w:sz w:val="21"/>
          <w:szCs w:val="21"/>
          <w:u w:val="single" w:color="000000"/>
        </w:rPr>
        <w:t> </w:t>
      </w:r>
      <w:r>
        <w:rPr>
          <w:rFonts w:ascii="Times New Roman" w:hAnsi="Times New Roman" w:cs="Times New Roman" w:eastAsia="Times New Roman" w:hint="default"/>
          <w:b/>
          <w:bCs/>
          <w:sz w:val="21"/>
          <w:szCs w:val="21"/>
          <w:u w:val="single" w:color="000000"/>
        </w:rPr>
        <w:tab/>
      </w:r>
      <w:r>
        <w:rPr>
          <w:rFonts w:ascii="Times New Roman" w:hAnsi="Times New Roman" w:cs="Times New Roman" w:eastAsia="Times New Roman" w:hint="default"/>
          <w:b/>
          <w:bCs/>
          <w:sz w:val="21"/>
          <w:szCs w:val="21"/>
        </w:rPr>
      </w:r>
      <w:r>
        <w:rPr>
          <w:rFonts w:ascii="Times New Roman" w:hAnsi="Times New Roman" w:cs="Times New Roman" w:eastAsia="Times New Roman" w:hint="default"/>
          <w:sz w:val="21"/>
          <w:szCs w:val="21"/>
        </w:rPr>
      </w:r>
    </w:p>
    <w:p>
      <w:pPr>
        <w:pStyle w:val="Heading4"/>
        <w:spacing w:line="240" w:lineRule="auto" w:before="130"/>
        <w:ind w:left="1678" w:right="4492"/>
        <w:jc w:val="left"/>
        <w:rPr>
          <w:b w:val="0"/>
          <w:bCs w:val="0"/>
        </w:rPr>
      </w:pPr>
      <w:r>
        <w:rPr/>
        <w:t>十六、可转换公司债券情况</w:t>
      </w:r>
      <w:r>
        <w:rPr>
          <w:b w:val="0"/>
          <w:bCs w:val="0"/>
        </w:rPr>
      </w:r>
    </w:p>
    <w:p>
      <w:pPr>
        <w:pStyle w:val="BodyText"/>
        <w:spacing w:line="240" w:lineRule="auto" w:before="58"/>
        <w:ind w:left="1678" w:right="4492"/>
        <w:jc w:val="left"/>
      </w:pPr>
      <w:r>
        <w:rPr/>
        <w:t>□适用</w:t>
      </w:r>
      <w:r>
        <w:rPr>
          <w:spacing w:val="-1"/>
        </w:rPr>
        <w:t> </w:t>
      </w:r>
      <w:r>
        <w:rPr/>
        <w:t>√不适用</w:t>
      </w:r>
    </w:p>
    <w:p>
      <w:pPr>
        <w:spacing w:after="0" w:line="240" w:lineRule="auto"/>
        <w:jc w:val="left"/>
        <w:sectPr>
          <w:pgSz w:w="11910" w:h="16840"/>
          <w:pgMar w:header="880" w:footer="1195" w:top="1120" w:bottom="1380" w:left="120" w:right="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3576" w:val="left" w:leader="none"/>
        </w:tabs>
        <w:spacing w:line="240" w:lineRule="auto" w:before="162"/>
        <w:ind w:left="2316" w:right="227"/>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4"/>
        <w:tabs>
          <w:tab w:pos="784" w:val="left" w:leader="none"/>
        </w:tabs>
        <w:spacing w:line="278" w:lineRule="auto" w:before="0"/>
        <w:ind w:right="63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Cambria" w:hAnsi="Cambria" w:cs="Cambria" w:eastAsia="Cambria" w:hint="default"/>
        </w:rPr>
        <w:t>1</w:t>
      </w:r>
      <w:r>
        <w:rPr/>
        <w:t>、</w:t>
      </w:r>
      <w:r>
        <w:rPr>
          <w:spacing w:val="-22"/>
        </w:rPr>
        <w:t> </w:t>
      </w:r>
      <w:r>
        <w:rPr/>
        <w:t>普通股股份变动情况表</w:t>
      </w:r>
      <w:r>
        <w:rPr>
          <w:b w:val="0"/>
          <w:bCs w:val="0"/>
        </w:rPr>
      </w:r>
    </w:p>
    <w:p>
      <w:pPr>
        <w:pStyle w:val="BodyText"/>
        <w:spacing w:line="240" w:lineRule="auto"/>
        <w:ind w:right="2940"/>
        <w:jc w:val="left"/>
      </w:pPr>
      <w:r>
        <w:rPr/>
        <w:t>报告期内，公司普通股股份总数及股本结构未发生变化。</w:t>
      </w:r>
    </w:p>
    <w:p>
      <w:pPr>
        <w:spacing w:line="240" w:lineRule="auto" w:before="3"/>
        <w:rPr>
          <w:rFonts w:ascii="宋体" w:hAnsi="宋体" w:cs="宋体" w:eastAsia="宋体" w:hint="default"/>
          <w:sz w:val="25"/>
          <w:szCs w:val="25"/>
        </w:rPr>
      </w:pPr>
    </w:p>
    <w:p>
      <w:pPr>
        <w:pStyle w:val="Heading4"/>
        <w:spacing w:line="273" w:lineRule="auto" w:before="0"/>
        <w:ind w:right="6309"/>
        <w:jc w:val="left"/>
        <w:rPr>
          <w:rFonts w:ascii="宋体" w:hAnsi="宋体" w:cs="宋体" w:eastAsia="宋体" w:hint="default"/>
          <w:b w:val="0"/>
          <w:bCs w:val="0"/>
        </w:rPr>
      </w:pPr>
      <w:r>
        <w:rPr>
          <w:rFonts w:ascii="Cambria" w:hAnsi="Cambria" w:cs="Cambria" w:eastAsia="Cambria" w:hint="default"/>
        </w:rPr>
        <w:t>2</w:t>
      </w:r>
      <w:r>
        <w:rPr/>
        <w:t>、</w:t>
      </w:r>
      <w:r>
        <w:rPr>
          <w:spacing w:val="-21"/>
        </w:rPr>
        <w:t> </w:t>
      </w:r>
      <w:r>
        <w:rPr/>
        <w:t>普通股股份变动情况说明</w:t>
      </w:r>
      <w:r>
        <w:rPr>
          <w:w w:val="100"/>
        </w:rPr>
        <w:t> </w:t>
      </w:r>
      <w:r>
        <w:rPr>
          <w:rFonts w:ascii="宋体" w:hAnsi="宋体" w:cs="宋体" w:eastAsia="宋体" w:hint="default"/>
          <w:b w:val="0"/>
          <w:bCs w:val="0"/>
        </w:rPr>
        <w:t>无</w:t>
      </w:r>
    </w:p>
    <w:p>
      <w:pPr>
        <w:pStyle w:val="Heading4"/>
        <w:spacing w:line="273" w:lineRule="auto" w:before="27"/>
        <w:ind w:right="410"/>
        <w:jc w:val="left"/>
        <w:rPr>
          <w:rFonts w:ascii="宋体" w:hAnsi="宋体" w:cs="宋体" w:eastAsia="宋体" w:hint="default"/>
          <w:b w:val="0"/>
          <w:bCs w:val="0"/>
        </w:rPr>
      </w:pPr>
      <w:r>
        <w:rPr>
          <w:rFonts w:ascii="Cambria" w:hAnsi="Cambria" w:cs="Cambria" w:eastAsia="Cambria" w:hint="default"/>
        </w:rPr>
        <w:t>3</w:t>
      </w:r>
      <w:r>
        <w:rPr/>
        <w:t>、</w:t>
      </w:r>
      <w:r>
        <w:rPr>
          <w:spacing w:val="-25"/>
        </w:rPr>
        <w:t> </w:t>
      </w:r>
      <w:r>
        <w:rPr/>
        <w:t>普通股股份变动对最近一年和最近一期每股收益、每股净资产等财务指标的影响（如有）</w:t>
      </w:r>
      <w:r>
        <w:rPr>
          <w:w w:val="100"/>
        </w:rPr>
        <w:t> </w:t>
      </w:r>
      <w:r>
        <w:rPr>
          <w:rFonts w:ascii="宋体" w:hAnsi="宋体" w:cs="宋体" w:eastAsia="宋体" w:hint="default"/>
          <w:b w:val="0"/>
          <w:bCs w:val="0"/>
        </w:rPr>
        <w:t>无</w:t>
      </w:r>
    </w:p>
    <w:p>
      <w:pPr>
        <w:pStyle w:val="Heading4"/>
        <w:spacing w:line="240" w:lineRule="auto" w:before="27"/>
        <w:ind w:right="2940"/>
        <w:jc w:val="left"/>
        <w:rPr>
          <w:b w:val="0"/>
          <w:bCs w:val="0"/>
        </w:rPr>
      </w:pPr>
      <w:r>
        <w:rPr>
          <w:rFonts w:ascii="Cambria" w:hAnsi="Cambria" w:cs="Cambria" w:eastAsia="Cambria" w:hint="default"/>
        </w:rPr>
        <w:t>4</w:t>
      </w:r>
      <w:r>
        <w:rPr/>
        <w:t>、</w:t>
      </w:r>
      <w:r>
        <w:rPr>
          <w:spacing w:val="-23"/>
        </w:rPr>
        <w:t> </w:t>
      </w:r>
      <w:r>
        <w:rPr/>
        <w:t>公司认为必要或证券监管机构要求披露的其他内容</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8"/>
          <w:szCs w:val="28"/>
        </w:rPr>
      </w:pPr>
    </w:p>
    <w:p>
      <w:pPr>
        <w:spacing w:line="20" w:lineRule="exact"/>
        <w:ind w:left="636" w:right="0" w:firstLine="0"/>
        <w:rPr>
          <w:rFonts w:ascii="宋体" w:hAnsi="宋体" w:cs="宋体" w:eastAsia="宋体" w:hint="default"/>
          <w:sz w:val="2"/>
          <w:szCs w:val="2"/>
        </w:rPr>
      </w:pPr>
      <w:r>
        <w:rPr>
          <w:rFonts w:ascii="宋体" w:hAnsi="宋体" w:cs="宋体" w:eastAsia="宋体" w:hint="default"/>
          <w:sz w:val="2"/>
          <w:szCs w:val="2"/>
        </w:rPr>
        <w:pict>
          <v:group style="width:32.3pt;height:.6pt;mso-position-horizontal-relative:char;mso-position-vertical-relative:line" coordorigin="0,0" coordsize="646,12">
            <v:group style="position:absolute;left:6;top:6;width:634;height:2" coordorigin="6,6" coordsize="634,2">
              <v:shape style="position:absolute;left:6;top:6;width:634;height:2" coordorigin="6,6" coordsize="634,0" path="m6,6l640,6e" filled="false" stroked="true" strokeweight=".600010pt" strokecolor="#000000">
                <v:path arrowok="t"/>
              </v:shape>
            </v:group>
          </v:group>
        </w:pict>
      </w:r>
      <w:r>
        <w:rPr>
          <w:rFonts w:ascii="宋体" w:hAnsi="宋体" w:cs="宋体" w:eastAsia="宋体" w:hint="default"/>
          <w:sz w:val="2"/>
          <w:szCs w:val="2"/>
        </w:rPr>
      </w:r>
    </w:p>
    <w:p>
      <w:pPr>
        <w:pStyle w:val="Heading4"/>
        <w:spacing w:line="240" w:lineRule="auto" w:before="37"/>
        <w:ind w:right="2940"/>
        <w:jc w:val="left"/>
        <w:rPr>
          <w:b w:val="0"/>
          <w:bCs w:val="0"/>
        </w:rPr>
      </w:pPr>
      <w:r>
        <w:rPr/>
        <w:t>二、</w:t>
      </w:r>
      <w:r>
        <w:rPr>
          <w:spacing w:val="-80"/>
        </w:rPr>
        <w:t> </w:t>
      </w:r>
      <w:r>
        <w:rPr/>
        <w:t>股东和实际控制人情况</w:t>
      </w:r>
      <w:r>
        <w:rPr>
          <w:b w:val="0"/>
          <w:bCs w:val="0"/>
        </w:rPr>
      </w:r>
    </w:p>
    <w:p>
      <w:pPr>
        <w:pStyle w:val="Heading4"/>
        <w:spacing w:line="240" w:lineRule="auto" w:before="56"/>
        <w:ind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100,461</w:t>
            </w: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106,289</w:t>
            </w:r>
          </w:p>
        </w:tc>
      </w:tr>
    </w:tbl>
    <w:p>
      <w:pPr>
        <w:spacing w:line="240" w:lineRule="auto" w:before="13"/>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80" w:footer="1195" w:top="1120" w:bottom="1380" w:left="1580" w:right="1040"/>
        </w:sectPr>
      </w:pPr>
    </w:p>
    <w:p>
      <w:pPr>
        <w:pStyle w:val="Heading4"/>
        <w:spacing w:line="240" w:lineRule="auto"/>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BodyText"/>
        <w:spacing w:line="240" w:lineRule="auto"/>
        <w:ind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1040"/>
          <w:cols w:num="2" w:equalWidth="0">
            <w:col w:w="7813" w:space="287"/>
            <w:col w:w="119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5"/>
        <w:gridCol w:w="1265"/>
        <w:gridCol w:w="1376"/>
        <w:gridCol w:w="749"/>
        <w:gridCol w:w="497"/>
        <w:gridCol w:w="471"/>
        <w:gridCol w:w="535"/>
        <w:gridCol w:w="1073"/>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826" w:hRule="exact"/>
        </w:trPr>
        <w:tc>
          <w:tcPr>
            <w:tcW w:w="30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exact" w:before="145"/>
              <w:ind w:right="0"/>
              <w:jc w:val="center"/>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520" w:right="98"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3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576" w:right="154" w:hanging="421"/>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7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211" w:right="15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497" w:type="dxa"/>
            <w:vMerge w:val="restart"/>
            <w:tcBorders>
              <w:top w:val="single" w:sz="4" w:space="0" w:color="000000"/>
              <w:left w:val="single" w:sz="4" w:space="0" w:color="000000"/>
              <w:right w:val="single" w:sz="4" w:space="0" w:color="000000"/>
            </w:tcBorders>
          </w:tcPr>
          <w:p>
            <w:pPr>
              <w:pStyle w:val="TableParagraph"/>
              <w:spacing w:line="239" w:lineRule="exact"/>
              <w:ind w:left="136" w:right="0"/>
              <w:jc w:val="both"/>
              <w:rPr>
                <w:rFonts w:ascii="宋体" w:hAnsi="宋体" w:cs="宋体" w:eastAsia="宋体" w:hint="default"/>
                <w:sz w:val="21"/>
                <w:szCs w:val="21"/>
              </w:rPr>
            </w:pPr>
            <w:r>
              <w:rPr>
                <w:rFonts w:ascii="宋体" w:hAnsi="宋体" w:cs="宋体" w:eastAsia="宋体" w:hint="default"/>
                <w:w w:val="100"/>
                <w:sz w:val="21"/>
                <w:szCs w:val="21"/>
              </w:rPr>
              <w:t>持</w:t>
            </w:r>
          </w:p>
          <w:p>
            <w:pPr>
              <w:pStyle w:val="TableParagraph"/>
              <w:spacing w:line="237" w:lineRule="auto"/>
              <w:ind w:left="136" w:right="13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w w:val="100"/>
                <w:sz w:val="21"/>
                <w:szCs w:val="21"/>
              </w:rPr>
              <w:t> </w:t>
            </w:r>
            <w:r>
              <w:rPr>
                <w:rFonts w:ascii="宋体" w:hAnsi="宋体" w:cs="宋体" w:eastAsia="宋体" w:hint="default"/>
                <w:sz w:val="21"/>
                <w:szCs w:val="21"/>
              </w:rPr>
              <w:t>条</w:t>
            </w:r>
            <w:r>
              <w:rPr>
                <w:rFonts w:ascii="宋体" w:hAnsi="宋体" w:cs="宋体" w:eastAsia="宋体" w:hint="default"/>
                <w:w w:val="100"/>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0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9" w:right="0"/>
              <w:jc w:val="left"/>
              <w:rPr>
                <w:rFonts w:ascii="宋体" w:hAnsi="宋体" w:cs="宋体" w:eastAsia="宋体" w:hint="default"/>
                <w:sz w:val="21"/>
                <w:szCs w:val="21"/>
              </w:rPr>
            </w:pPr>
            <w:r>
              <w:rPr>
                <w:rFonts w:ascii="宋体" w:hAnsi="宋体" w:cs="宋体" w:eastAsia="宋体" w:hint="default"/>
                <w:sz w:val="21"/>
                <w:szCs w:val="21"/>
              </w:rPr>
              <w:t>质押或</w:t>
            </w:r>
          </w:p>
          <w:p>
            <w:pPr>
              <w:pStyle w:val="TableParagraph"/>
              <w:spacing w:line="240" w:lineRule="auto"/>
              <w:ind w:left="391" w:right="182" w:hanging="212"/>
              <w:jc w:val="left"/>
              <w:rPr>
                <w:rFonts w:ascii="宋体" w:hAnsi="宋体" w:cs="宋体" w:eastAsia="宋体" w:hint="default"/>
                <w:sz w:val="21"/>
                <w:szCs w:val="21"/>
              </w:rPr>
            </w:pPr>
            <w:r>
              <w:rPr>
                <w:rFonts w:ascii="宋体" w:hAnsi="宋体" w:cs="宋体" w:eastAsia="宋体" w:hint="default"/>
                <w:sz w:val="21"/>
                <w:szCs w:val="21"/>
              </w:rPr>
              <w:t>冻结情</w:t>
            </w:r>
            <w:r>
              <w:rPr>
                <w:rFonts w:ascii="宋体" w:hAnsi="宋体" w:cs="宋体" w:eastAsia="宋体" w:hint="default"/>
                <w:spacing w:val="-102"/>
                <w:sz w:val="21"/>
                <w:szCs w:val="21"/>
              </w:rPr>
              <w:t> </w:t>
            </w:r>
            <w:r>
              <w:rPr>
                <w:rFonts w:ascii="宋体" w:hAnsi="宋体" w:cs="宋体" w:eastAsia="宋体" w:hint="default"/>
                <w:sz w:val="21"/>
                <w:szCs w:val="21"/>
              </w:rPr>
              <w:t>况</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319" w:right="319"/>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2180" w:hRule="exact"/>
        </w:trPr>
        <w:tc>
          <w:tcPr>
            <w:tcW w:w="3085"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376" w:type="dxa"/>
            <w:vMerge/>
            <w:tcBorders>
              <w:left w:val="single" w:sz="4" w:space="0" w:color="000000"/>
              <w:bottom w:val="single" w:sz="4" w:space="0" w:color="000000"/>
              <w:right w:val="single" w:sz="4" w:space="0" w:color="000000"/>
            </w:tcBorders>
          </w:tcPr>
          <w:p>
            <w:pPr/>
          </w:p>
        </w:tc>
        <w:tc>
          <w:tcPr>
            <w:tcW w:w="749" w:type="dxa"/>
            <w:vMerge/>
            <w:tcBorders>
              <w:left w:val="single" w:sz="4" w:space="0" w:color="000000"/>
              <w:bottom w:val="single" w:sz="4" w:space="0" w:color="000000"/>
              <w:right w:val="single" w:sz="4" w:space="0" w:color="000000"/>
            </w:tcBorders>
          </w:tcPr>
          <w:p>
            <w:pPr/>
          </w:p>
        </w:tc>
        <w:tc>
          <w:tcPr>
            <w:tcW w:w="497" w:type="dxa"/>
            <w:vMerge/>
            <w:tcBorders>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37" w:lineRule="auto"/>
              <w:ind w:left="122" w:right="125"/>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r>
              <w:rPr>
                <w:rFonts w:ascii="宋体" w:hAnsi="宋体" w:cs="宋体" w:eastAsia="宋体" w:hint="default"/>
                <w:w w:val="100"/>
                <w:sz w:val="21"/>
                <w:szCs w:val="21"/>
              </w:rPr>
              <w:t> </w:t>
            </w:r>
            <w:r>
              <w:rPr>
                <w:rFonts w:ascii="宋体" w:hAnsi="宋体" w:cs="宋体" w:eastAsia="宋体" w:hint="default"/>
                <w:sz w:val="21"/>
                <w:szCs w:val="21"/>
              </w:rPr>
              <w:t>态</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2" w:lineRule="exact"/>
              <w:ind w:left="153" w:right="158"/>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073" w:type="dxa"/>
            <w:vMerge/>
            <w:tcBorders>
              <w:left w:val="single" w:sz="4" w:space="0" w:color="000000"/>
              <w:bottom w:val="single" w:sz="4" w:space="0" w:color="000000"/>
              <w:right w:val="single" w:sz="4" w:space="0" w:color="000000"/>
            </w:tcBorders>
          </w:tcPr>
          <w:p>
            <w:pP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614,300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128,013,228</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20.72</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55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周林根</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13,902,455</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2.25</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知</w:t>
            </w:r>
          </w:p>
        </w:tc>
        <w:tc>
          <w:tcPr>
            <w:tcW w:w="53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11,864,974</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1.92</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10,875,900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10,875,900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1.76</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知</w:t>
            </w:r>
          </w:p>
        </w:tc>
        <w:tc>
          <w:tcPr>
            <w:tcW w:w="53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9,847,100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1.59</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知</w:t>
            </w:r>
          </w:p>
        </w:tc>
        <w:tc>
          <w:tcPr>
            <w:tcW w:w="53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85"/>
        <w:gridCol w:w="1265"/>
        <w:gridCol w:w="1376"/>
        <w:gridCol w:w="749"/>
        <w:gridCol w:w="497"/>
        <w:gridCol w:w="471"/>
        <w:gridCol w:w="216"/>
        <w:gridCol w:w="319"/>
        <w:gridCol w:w="1073"/>
      </w:tblGrid>
      <w:tr>
        <w:trPr>
          <w:trHeight w:val="55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9,278,737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9,278,737</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1.50</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知</w:t>
            </w:r>
          </w:p>
        </w:tc>
        <w:tc>
          <w:tcPr>
            <w:tcW w:w="535" w:type="dxa"/>
            <w:gridSpan w:val="2"/>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陈世辉</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8,298,200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知</w:t>
            </w:r>
          </w:p>
        </w:tc>
        <w:tc>
          <w:tcPr>
            <w:tcW w:w="535" w:type="dxa"/>
            <w:gridSpan w:val="2"/>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-1,126,945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7,593,055</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1.23</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知</w:t>
            </w:r>
          </w:p>
        </w:tc>
        <w:tc>
          <w:tcPr>
            <w:tcW w:w="535" w:type="dxa"/>
            <w:gridSpan w:val="2"/>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7,100,000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1.15</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35" w:type="dxa"/>
            <w:gridSpan w:val="2"/>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全国社保基金一零九组合</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5,908,382</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0.96</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知</w:t>
            </w:r>
          </w:p>
        </w:tc>
        <w:tc>
          <w:tcPr>
            <w:tcW w:w="535" w:type="dxa"/>
            <w:gridSpan w:val="2"/>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3"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1" w:hRule="exact"/>
        </w:trPr>
        <w:tc>
          <w:tcPr>
            <w:tcW w:w="4349" w:type="dxa"/>
            <w:gridSpan w:val="2"/>
            <w:vMerge w:val="restart"/>
            <w:tcBorders>
              <w:top w:val="single" w:sz="4" w:space="0" w:color="000000"/>
              <w:left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124" w:type="dxa"/>
            <w:gridSpan w:val="2"/>
            <w:vMerge w:val="restart"/>
            <w:tcBorders>
              <w:top w:val="single" w:sz="4" w:space="0" w:color="000000"/>
              <w:left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持有无限售条件流通</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股的数量</w:t>
            </w:r>
          </w:p>
        </w:tc>
        <w:tc>
          <w:tcPr>
            <w:tcW w:w="25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4" w:hRule="exact"/>
        </w:trPr>
        <w:tc>
          <w:tcPr>
            <w:tcW w:w="4349" w:type="dxa"/>
            <w:gridSpan w:val="2"/>
            <w:vMerge/>
            <w:tcBorders>
              <w:left w:val="single" w:sz="4" w:space="0" w:color="000000"/>
              <w:bottom w:val="single" w:sz="4" w:space="0" w:color="000000"/>
              <w:right w:val="single" w:sz="4" w:space="0" w:color="000000"/>
            </w:tcBorders>
          </w:tcPr>
          <w:p>
            <w:pPr/>
          </w:p>
        </w:tc>
        <w:tc>
          <w:tcPr>
            <w:tcW w:w="2124" w:type="dxa"/>
            <w:gridSpan w:val="2"/>
            <w:vMerge/>
            <w:tcBorders>
              <w:left w:val="single" w:sz="4" w:space="0" w:color="000000"/>
              <w:bottom w:val="single" w:sz="4" w:space="0" w:color="000000"/>
              <w:right w:val="single" w:sz="4" w:space="0" w:color="000000"/>
            </w:tcBorders>
          </w:tcPr>
          <w:p>
            <w:pPr/>
          </w:p>
        </w:tc>
        <w:tc>
          <w:tcPr>
            <w:tcW w:w="11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54" w:hRule="exact"/>
        </w:trPr>
        <w:tc>
          <w:tcPr>
            <w:tcW w:w="4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7" w:right="0"/>
              <w:jc w:val="left"/>
              <w:rPr>
                <w:rFonts w:ascii="宋体" w:hAnsi="宋体" w:cs="宋体" w:eastAsia="宋体" w:hint="default"/>
                <w:sz w:val="21"/>
                <w:szCs w:val="21"/>
              </w:rPr>
            </w:pPr>
            <w:r>
              <w:rPr>
                <w:rFonts w:ascii="宋体"/>
                <w:sz w:val="21"/>
              </w:rPr>
              <w:t>128,013,228</w:t>
            </w:r>
          </w:p>
        </w:tc>
        <w:tc>
          <w:tcPr>
            <w:tcW w:w="11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sz w:val="21"/>
              </w:rPr>
              <w:t>128,013,228</w:t>
            </w:r>
          </w:p>
        </w:tc>
      </w:tr>
      <w:tr>
        <w:trPr>
          <w:trHeight w:val="554" w:hRule="exact"/>
        </w:trPr>
        <w:tc>
          <w:tcPr>
            <w:tcW w:w="4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周林根</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0" w:right="0"/>
              <w:jc w:val="left"/>
              <w:rPr>
                <w:rFonts w:ascii="宋体" w:hAnsi="宋体" w:cs="宋体" w:eastAsia="宋体" w:hint="default"/>
                <w:sz w:val="21"/>
                <w:szCs w:val="21"/>
              </w:rPr>
            </w:pPr>
            <w:r>
              <w:rPr>
                <w:rFonts w:ascii="宋体"/>
                <w:sz w:val="21"/>
              </w:rPr>
              <w:t>13,902,455</w:t>
            </w:r>
          </w:p>
        </w:tc>
        <w:tc>
          <w:tcPr>
            <w:tcW w:w="11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sz w:val="21"/>
              </w:rPr>
              <w:t>13,902,455</w:t>
            </w:r>
          </w:p>
        </w:tc>
      </w:tr>
      <w:tr>
        <w:trPr>
          <w:trHeight w:val="554" w:hRule="exact"/>
        </w:trPr>
        <w:tc>
          <w:tcPr>
            <w:tcW w:w="4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0" w:right="0"/>
              <w:jc w:val="left"/>
              <w:rPr>
                <w:rFonts w:ascii="宋体" w:hAnsi="宋体" w:cs="宋体" w:eastAsia="宋体" w:hint="default"/>
                <w:sz w:val="21"/>
                <w:szCs w:val="21"/>
              </w:rPr>
            </w:pPr>
            <w:r>
              <w:rPr>
                <w:rFonts w:ascii="宋体"/>
                <w:sz w:val="21"/>
              </w:rPr>
              <w:t>11,864,974</w:t>
            </w:r>
          </w:p>
        </w:tc>
        <w:tc>
          <w:tcPr>
            <w:tcW w:w="11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sz w:val="21"/>
              </w:rPr>
              <w:t>11,864,974</w:t>
            </w:r>
          </w:p>
        </w:tc>
      </w:tr>
      <w:tr>
        <w:trPr>
          <w:trHeight w:val="554" w:hRule="exact"/>
        </w:trPr>
        <w:tc>
          <w:tcPr>
            <w:tcW w:w="4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0" w:right="0"/>
              <w:jc w:val="left"/>
              <w:rPr>
                <w:rFonts w:ascii="宋体" w:hAnsi="宋体" w:cs="宋体" w:eastAsia="宋体" w:hint="default"/>
                <w:sz w:val="21"/>
                <w:szCs w:val="21"/>
              </w:rPr>
            </w:pPr>
            <w:r>
              <w:rPr>
                <w:rFonts w:ascii="宋体"/>
                <w:sz w:val="21"/>
              </w:rPr>
              <w:t>10,875,900</w:t>
            </w:r>
          </w:p>
        </w:tc>
        <w:tc>
          <w:tcPr>
            <w:tcW w:w="11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sz w:val="21"/>
              </w:rPr>
              <w:t>10,875,900</w:t>
            </w:r>
          </w:p>
        </w:tc>
      </w:tr>
      <w:tr>
        <w:trPr>
          <w:trHeight w:val="557" w:hRule="exact"/>
        </w:trPr>
        <w:tc>
          <w:tcPr>
            <w:tcW w:w="4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5" w:right="0"/>
              <w:jc w:val="left"/>
              <w:rPr>
                <w:rFonts w:ascii="宋体" w:hAnsi="宋体" w:cs="宋体" w:eastAsia="宋体" w:hint="default"/>
                <w:sz w:val="21"/>
                <w:szCs w:val="21"/>
              </w:rPr>
            </w:pPr>
            <w:r>
              <w:rPr>
                <w:rFonts w:ascii="宋体"/>
                <w:sz w:val="21"/>
              </w:rPr>
              <w:t>9,847,100</w:t>
            </w:r>
          </w:p>
        </w:tc>
        <w:tc>
          <w:tcPr>
            <w:tcW w:w="11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3" w:right="0"/>
              <w:jc w:val="left"/>
              <w:rPr>
                <w:rFonts w:ascii="宋体" w:hAnsi="宋体" w:cs="宋体" w:eastAsia="宋体" w:hint="default"/>
                <w:sz w:val="21"/>
                <w:szCs w:val="21"/>
              </w:rPr>
            </w:pPr>
            <w:r>
              <w:rPr>
                <w:rFonts w:ascii="宋体"/>
                <w:sz w:val="21"/>
              </w:rPr>
              <w:t>9,847,100</w:t>
            </w:r>
          </w:p>
        </w:tc>
      </w:tr>
      <w:tr>
        <w:trPr>
          <w:trHeight w:val="555" w:hRule="exact"/>
        </w:trPr>
        <w:tc>
          <w:tcPr>
            <w:tcW w:w="4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5" w:right="0"/>
              <w:jc w:val="left"/>
              <w:rPr>
                <w:rFonts w:ascii="宋体" w:hAnsi="宋体" w:cs="宋体" w:eastAsia="宋体" w:hint="default"/>
                <w:sz w:val="21"/>
                <w:szCs w:val="21"/>
              </w:rPr>
            </w:pPr>
            <w:r>
              <w:rPr>
                <w:rFonts w:ascii="宋体"/>
                <w:sz w:val="21"/>
              </w:rPr>
              <w:t>9,278,737</w:t>
            </w:r>
          </w:p>
        </w:tc>
        <w:tc>
          <w:tcPr>
            <w:tcW w:w="11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sz w:val="21"/>
              </w:rPr>
              <w:t>9,278,737</w:t>
            </w:r>
          </w:p>
        </w:tc>
      </w:tr>
      <w:tr>
        <w:trPr>
          <w:trHeight w:val="554" w:hRule="exact"/>
        </w:trPr>
        <w:tc>
          <w:tcPr>
            <w:tcW w:w="4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陈世辉</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5" w:right="0"/>
              <w:jc w:val="left"/>
              <w:rPr>
                <w:rFonts w:ascii="宋体" w:hAnsi="宋体" w:cs="宋体" w:eastAsia="宋体" w:hint="default"/>
                <w:sz w:val="21"/>
                <w:szCs w:val="21"/>
              </w:rPr>
            </w:pPr>
            <w:r>
              <w:rPr>
                <w:rFonts w:ascii="宋体"/>
                <w:sz w:val="21"/>
              </w:rPr>
              <w:t>8,298,200</w:t>
            </w:r>
          </w:p>
        </w:tc>
        <w:tc>
          <w:tcPr>
            <w:tcW w:w="11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sz w:val="21"/>
              </w:rPr>
              <w:t>8,298,200</w:t>
            </w:r>
          </w:p>
        </w:tc>
      </w:tr>
      <w:tr>
        <w:trPr>
          <w:trHeight w:val="554" w:hRule="exact"/>
        </w:trPr>
        <w:tc>
          <w:tcPr>
            <w:tcW w:w="4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5" w:right="0"/>
              <w:jc w:val="left"/>
              <w:rPr>
                <w:rFonts w:ascii="宋体" w:hAnsi="宋体" w:cs="宋体" w:eastAsia="宋体" w:hint="default"/>
                <w:sz w:val="21"/>
                <w:szCs w:val="21"/>
              </w:rPr>
            </w:pPr>
            <w:r>
              <w:rPr>
                <w:rFonts w:ascii="宋体"/>
                <w:sz w:val="21"/>
              </w:rPr>
              <w:t>7,593,055</w:t>
            </w:r>
          </w:p>
        </w:tc>
        <w:tc>
          <w:tcPr>
            <w:tcW w:w="11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sz w:val="21"/>
              </w:rPr>
              <w:t>7,593,055</w:t>
            </w:r>
          </w:p>
        </w:tc>
      </w:tr>
      <w:tr>
        <w:trPr>
          <w:trHeight w:val="554" w:hRule="exact"/>
        </w:trPr>
        <w:tc>
          <w:tcPr>
            <w:tcW w:w="4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5" w:right="0"/>
              <w:jc w:val="left"/>
              <w:rPr>
                <w:rFonts w:ascii="宋体" w:hAnsi="宋体" w:cs="宋体" w:eastAsia="宋体" w:hint="default"/>
                <w:sz w:val="21"/>
                <w:szCs w:val="21"/>
              </w:rPr>
            </w:pPr>
            <w:r>
              <w:rPr>
                <w:rFonts w:ascii="宋体"/>
                <w:sz w:val="21"/>
              </w:rPr>
              <w:t>7,100,000</w:t>
            </w:r>
          </w:p>
        </w:tc>
        <w:tc>
          <w:tcPr>
            <w:tcW w:w="11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sz w:val="21"/>
              </w:rPr>
              <w:t>7,100,000</w:t>
            </w:r>
          </w:p>
        </w:tc>
      </w:tr>
      <w:tr>
        <w:trPr>
          <w:trHeight w:val="554" w:hRule="exact"/>
        </w:trPr>
        <w:tc>
          <w:tcPr>
            <w:tcW w:w="4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全国社保基金一零九组合</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5" w:right="0"/>
              <w:jc w:val="left"/>
              <w:rPr>
                <w:rFonts w:ascii="宋体" w:hAnsi="宋体" w:cs="宋体" w:eastAsia="宋体" w:hint="default"/>
                <w:sz w:val="21"/>
                <w:szCs w:val="21"/>
              </w:rPr>
            </w:pPr>
            <w:r>
              <w:rPr>
                <w:rFonts w:ascii="宋体"/>
                <w:sz w:val="21"/>
              </w:rPr>
              <w:t>5,908,382</w:t>
            </w:r>
          </w:p>
        </w:tc>
        <w:tc>
          <w:tcPr>
            <w:tcW w:w="11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sz w:val="21"/>
              </w:rPr>
              <w:t>5,908,382</w:t>
            </w:r>
          </w:p>
        </w:tc>
      </w:tr>
      <w:tr>
        <w:trPr>
          <w:trHeight w:val="554" w:hRule="exact"/>
        </w:trPr>
        <w:tc>
          <w:tcPr>
            <w:tcW w:w="4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47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公司未知前十大股东之间是否存在关联关系或属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于一致行动人。</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7245"/>
        <w:gridCol w:w="223"/>
        <w:gridCol w:w="221"/>
        <w:gridCol w:w="223"/>
        <w:gridCol w:w="221"/>
        <w:gridCol w:w="223"/>
        <w:gridCol w:w="221"/>
      </w:tblGrid>
      <w:tr>
        <w:trPr>
          <w:trHeight w:val="283" w:hRule="exact"/>
        </w:trPr>
        <w:tc>
          <w:tcPr>
            <w:tcW w:w="7245"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4"/>
        <w:spacing w:line="240" w:lineRule="auto"/>
        <w:ind w:right="2940"/>
        <w:jc w:val="left"/>
        <w:rPr>
          <w:b w:val="0"/>
          <w:bCs w:val="0"/>
        </w:rPr>
      </w:pPr>
      <w:r>
        <w:rPr/>
        <w:t>三、</w:t>
      </w:r>
      <w:r>
        <w:rPr>
          <w:spacing w:val="-79"/>
        </w:rPr>
        <w:t> </w:t>
      </w:r>
      <w:r>
        <w:rPr/>
        <w:t>控股股东及实际控制人情况</w:t>
      </w:r>
      <w:r>
        <w:rPr>
          <w:b w:val="0"/>
          <w:bCs w:val="0"/>
        </w:rPr>
      </w:r>
    </w:p>
    <w:p>
      <w:pPr>
        <w:pStyle w:val="Heading4"/>
        <w:tabs>
          <w:tab w:pos="637" w:val="left" w:leader="none"/>
        </w:tabs>
        <w:spacing w:line="266" w:lineRule="auto" w:before="56"/>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spacing w:line="240" w:lineRule="auto" w:before="2"/>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胡晓明</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服务：非金融性技术项目投资，企业财务管理咨询，集成电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路、通信设备的技术开发、技术咨询、成果转让；批发、零</w:t>
            </w:r>
          </w:p>
        </w:tc>
      </w:tr>
    </w:tbl>
    <w:p>
      <w:pPr>
        <w:spacing w:after="0" w:line="274"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828" w:hRule="exact"/>
        </w:trPr>
        <w:tc>
          <w:tcPr>
            <w:tcW w:w="3370" w:type="dxa"/>
            <w:tcBorders>
              <w:top w:val="single" w:sz="4" w:space="0" w:color="000000"/>
              <w:left w:val="single" w:sz="4" w:space="0" w:color="000000"/>
              <w:bottom w:val="single" w:sz="4" w:space="0" w:color="000000"/>
              <w:right w:val="single" w:sz="4" w:space="0" w:color="000000"/>
            </w:tcBorders>
          </w:tcPr>
          <w:p>
            <w:pP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售：通信设备，百货；货物进出口（法律、行政法规禁止经</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营的项目除外，法律、行政法规限制经营的项目取得许可证</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后方可经营</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pStyle w:val="Heading4"/>
        <w:tabs>
          <w:tab w:pos="637" w:val="left" w:leader="none"/>
          <w:tab w:pos="1367" w:val="left" w:leader="none"/>
        </w:tabs>
        <w:spacing w:line="240" w:lineRule="auto"/>
        <w:ind w:right="2940"/>
        <w:jc w:val="left"/>
        <w:rPr>
          <w:rFonts w:ascii="宋体" w:hAnsi="宋体" w:cs="宋体" w:eastAsia="宋体" w:hint="default"/>
          <w:b w:val="0"/>
          <w:bCs w:val="0"/>
        </w:rPr>
      </w:pPr>
      <w:r>
        <w:rPr>
          <w:rFonts w:ascii="宋体"/>
        </w:rPr>
        <w:t>2</w:t>
        <w:tab/>
      </w:r>
      <w:r>
        <w:rPr>
          <w:rFonts w:ascii="宋体"/>
          <w:w w:val="99"/>
        </w:rPr>
      </w:r>
      <w:r>
        <w:rPr>
          <w:rFonts w:ascii="宋体"/>
          <w:w w:val="99"/>
          <w:u w:val="single" w:color="000000"/>
        </w:rPr>
        <w:t> </w:t>
      </w:r>
      <w:r>
        <w:rPr>
          <w:rFonts w:ascii="宋体"/>
          <w:u w:val="single" w:color="000000"/>
        </w:rPr>
        <w:tab/>
      </w:r>
      <w:r>
        <w:rPr>
          <w:rFonts w:ascii="宋体"/>
        </w:rPr>
      </w:r>
      <w:r>
        <w:rPr>
          <w:rFonts w:ascii="宋体"/>
          <w:b w:val="0"/>
        </w:rPr>
      </w:r>
    </w:p>
    <w:p>
      <w:pPr>
        <w:pStyle w:val="Heading4"/>
        <w:tabs>
          <w:tab w:pos="637" w:val="left" w:leader="none"/>
          <w:tab w:pos="1367" w:val="left" w:leader="none"/>
        </w:tabs>
        <w:spacing w:line="240" w:lineRule="auto" w:before="44"/>
        <w:ind w:right="2940"/>
        <w:jc w:val="left"/>
        <w:rPr>
          <w:rFonts w:ascii="宋体" w:hAnsi="宋体" w:cs="宋体" w:eastAsia="宋体" w:hint="default"/>
          <w:b w:val="0"/>
          <w:bCs w:val="0"/>
        </w:rPr>
      </w:pPr>
      <w:r>
        <w:rPr>
          <w:rFonts w:ascii="宋体"/>
        </w:rPr>
        <w:t>3</w:t>
        <w:tab/>
      </w:r>
      <w:r>
        <w:rPr>
          <w:rFonts w:ascii="宋体"/>
          <w:w w:val="99"/>
        </w:rPr>
      </w:r>
      <w:r>
        <w:rPr>
          <w:rFonts w:ascii="宋体"/>
          <w:w w:val="99"/>
          <w:u w:val="single" w:color="000000"/>
        </w:rPr>
        <w:t> </w:t>
      </w:r>
      <w:r>
        <w:rPr>
          <w:rFonts w:ascii="宋体"/>
          <w:u w:val="single" w:color="000000"/>
        </w:rPr>
        <w:tab/>
      </w:r>
      <w:r>
        <w:rPr>
          <w:rFonts w:ascii="宋体"/>
        </w:rPr>
      </w:r>
      <w:r>
        <w:rPr>
          <w:rFonts w:ascii="宋体"/>
          <w:b w:val="0"/>
        </w:rPr>
      </w:r>
    </w:p>
    <w:p>
      <w:pPr>
        <w:spacing w:line="240" w:lineRule="auto" w:before="2"/>
        <w:rPr>
          <w:rFonts w:ascii="宋体" w:hAnsi="宋体" w:cs="宋体" w:eastAsia="宋体" w:hint="default"/>
          <w:b/>
          <w:bCs/>
          <w:sz w:val="26"/>
          <w:szCs w:val="26"/>
        </w:rPr>
      </w:pPr>
    </w:p>
    <w:p>
      <w:pPr>
        <w:pStyle w:val="Heading4"/>
        <w:tabs>
          <w:tab w:pos="642" w:val="left" w:leader="none"/>
          <w:tab w:pos="1371" w:val="left" w:leader="none"/>
        </w:tabs>
        <w:spacing w:line="261" w:lineRule="auto"/>
        <w:ind w:right="71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rPr>
        <w:t>1</w:t>
        <w:tab/>
      </w:r>
      <w:r>
        <w:rPr>
          <w:rFonts w:ascii="宋体" w:hAnsi="宋体" w:cs="宋体" w:eastAsia="宋体" w:hint="default"/>
          <w:w w:val="99"/>
        </w:rPr>
      </w:r>
      <w:r>
        <w:rPr>
          <w:rFonts w:ascii="宋体" w:hAnsi="宋体" w:cs="宋体" w:eastAsia="宋体" w:hint="default"/>
          <w:w w:val="99"/>
          <w:u w:val="single" w:color="000000"/>
        </w:rPr>
        <w:t> </w:t>
      </w:r>
      <w:r>
        <w:rPr>
          <w:rFonts w:ascii="宋体" w:hAnsi="宋体" w:cs="宋体" w:eastAsia="宋体" w:hint="default"/>
          <w:u w:val="single" w:color="000000"/>
        </w:rPr>
        <w:tab/>
      </w:r>
      <w:r>
        <w:rPr>
          <w:rFonts w:ascii="宋体" w:hAnsi="宋体" w:cs="宋体" w:eastAsia="宋体" w:hint="default"/>
        </w:rPr>
      </w:r>
      <w:r>
        <w:rPr>
          <w:rFonts w:ascii="宋体" w:hAnsi="宋体" w:cs="宋体" w:eastAsia="宋体" w:hint="default"/>
          <w:b w:val="0"/>
          <w:bCs w:val="0"/>
        </w:rPr>
      </w:r>
    </w:p>
    <w:p>
      <w:pPr>
        <w:pStyle w:val="Heading4"/>
        <w:tabs>
          <w:tab w:pos="642" w:val="left" w:leader="none"/>
        </w:tabs>
        <w:spacing w:line="240" w:lineRule="auto" w:before="28"/>
        <w:ind w:right="2940"/>
        <w:jc w:val="left"/>
        <w:rPr>
          <w:b w:val="0"/>
          <w:bCs w:val="0"/>
        </w:rPr>
      </w:pPr>
      <w:r>
        <w:rPr>
          <w:rFonts w:ascii="宋体" w:hAnsi="宋体" w:cs="宋体" w:eastAsia="宋体" w:hint="default"/>
          <w:w w:val="95"/>
        </w:rPr>
        <w:t>2</w:t>
        <w:tab/>
      </w:r>
      <w:r>
        <w:rPr/>
        <w:t>自然人</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马云</w:t>
            </w:r>
          </w:p>
        </w:tc>
      </w:tr>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阿里巴巴集团董事局主席</w:t>
            </w:r>
          </w:p>
        </w:tc>
      </w:tr>
      <w:tr>
        <w:trPr>
          <w:trHeight w:val="557"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2"/>
                <w:sz w:val="21"/>
                <w:szCs w:val="21"/>
              </w:rPr>
              <w:t> </w:t>
            </w:r>
            <w:r>
              <w:rPr>
                <w:rFonts w:ascii="宋体" w:hAnsi="宋体" w:cs="宋体" w:eastAsia="宋体" w:hint="default"/>
                <w:sz w:val="21"/>
                <w:szCs w:val="21"/>
              </w:rPr>
              <w:t>年曾控股的境内外上市公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0"/>
        <w:rPr>
          <w:rFonts w:ascii="宋体" w:hAnsi="宋体" w:cs="宋体" w:eastAsia="宋体" w:hint="default"/>
          <w:b/>
          <w:bCs/>
          <w:sz w:val="19"/>
          <w:szCs w:val="19"/>
        </w:rPr>
      </w:pPr>
    </w:p>
    <w:p>
      <w:pPr>
        <w:pStyle w:val="Heading4"/>
        <w:tabs>
          <w:tab w:pos="642" w:val="left" w:leader="none"/>
          <w:tab w:pos="1371" w:val="left" w:leader="none"/>
        </w:tabs>
        <w:spacing w:line="240" w:lineRule="auto"/>
        <w:ind w:right="2940"/>
        <w:jc w:val="left"/>
        <w:rPr>
          <w:rFonts w:ascii="宋体" w:hAnsi="宋体" w:cs="宋体" w:eastAsia="宋体" w:hint="default"/>
          <w:b w:val="0"/>
          <w:bCs w:val="0"/>
        </w:rPr>
      </w:pPr>
      <w:r>
        <w:rPr>
          <w:rFonts w:ascii="宋体"/>
        </w:rPr>
        <w:t>3</w:t>
        <w:tab/>
      </w:r>
      <w:r>
        <w:rPr>
          <w:rFonts w:ascii="宋体"/>
          <w:w w:val="99"/>
        </w:rPr>
      </w:r>
      <w:r>
        <w:rPr>
          <w:rFonts w:ascii="宋体"/>
          <w:w w:val="99"/>
          <w:u w:val="single" w:color="000000"/>
        </w:rPr>
        <w:t> </w:t>
      </w:r>
      <w:r>
        <w:rPr>
          <w:rFonts w:ascii="宋体"/>
          <w:u w:val="single" w:color="000000"/>
        </w:rPr>
        <w:tab/>
      </w:r>
      <w:r>
        <w:rPr>
          <w:rFonts w:ascii="宋体"/>
        </w:rPr>
      </w:r>
      <w:r>
        <w:rPr>
          <w:rFonts w:ascii="宋体"/>
          <w:b w:val="0"/>
        </w:rPr>
      </w:r>
    </w:p>
    <w:p>
      <w:pPr>
        <w:pStyle w:val="Heading4"/>
        <w:tabs>
          <w:tab w:pos="642" w:val="left" w:leader="none"/>
        </w:tabs>
        <w:spacing w:line="240" w:lineRule="auto" w:before="47"/>
        <w:ind w:right="2940"/>
        <w:jc w:val="left"/>
        <w:rPr>
          <w:b w:val="0"/>
          <w:bCs w:val="0"/>
        </w:rPr>
      </w:pPr>
      <w:r>
        <w:rPr>
          <w:rFonts w:ascii="宋体" w:hAnsi="宋体" w:cs="宋体" w:eastAsia="宋体" w:hint="default"/>
          <w:w w:val="95"/>
        </w:rPr>
        <w:t>4</w:t>
        <w:tab/>
      </w:r>
      <w:r>
        <w:rPr/>
        <w:t>报告期内实际控制人变更情况索引及日期</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0" w:footer="1195" w:top="1120" w:bottom="1380" w:left="1580" w:right="1040"/>
        </w:sectPr>
      </w:pPr>
    </w:p>
    <w:p>
      <w:pPr>
        <w:spacing w:line="240" w:lineRule="auto" w:before="4"/>
        <w:rPr>
          <w:rFonts w:ascii="宋体" w:hAnsi="宋体" w:cs="宋体" w:eastAsia="宋体" w:hint="default"/>
          <w:b/>
          <w:bCs/>
          <w:sz w:val="25"/>
          <w:szCs w:val="25"/>
        </w:rPr>
      </w:pPr>
    </w:p>
    <w:p>
      <w:pPr>
        <w:pStyle w:val="Heading4"/>
        <w:tabs>
          <w:tab w:pos="562" w:val="left" w:leader="none"/>
        </w:tabs>
        <w:spacing w:line="240" w:lineRule="auto"/>
        <w:ind w:left="138" w:right="3467"/>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spacing w:line="240" w:lineRule="auto" w:before="1"/>
        <w:rPr>
          <w:rFonts w:ascii="宋体" w:hAnsi="宋体" w:cs="宋体" w:eastAsia="宋体" w:hint="default"/>
          <w:b/>
          <w:bCs/>
          <w:sz w:val="7"/>
          <w:szCs w:val="7"/>
        </w:rPr>
      </w:pPr>
    </w:p>
    <w:p>
      <w:pPr>
        <w:spacing w:line="8189" w:lineRule="exact"/>
        <w:ind w:left="143" w:right="0" w:firstLine="0"/>
        <w:rPr>
          <w:rFonts w:ascii="宋体" w:hAnsi="宋体" w:cs="宋体" w:eastAsia="宋体" w:hint="default"/>
          <w:sz w:val="20"/>
          <w:szCs w:val="20"/>
        </w:rPr>
      </w:pPr>
      <w:r>
        <w:rPr>
          <w:rFonts w:ascii="宋体" w:hAnsi="宋体" w:cs="宋体" w:eastAsia="宋体" w:hint="default"/>
          <w:position w:val="-163"/>
          <w:sz w:val="20"/>
          <w:szCs w:val="20"/>
        </w:rPr>
        <w:drawing>
          <wp:inline distT="0" distB="0" distL="0" distR="0">
            <wp:extent cx="5583441" cy="520007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7" cstate="print"/>
                    <a:stretch>
                      <a:fillRect/>
                    </a:stretch>
                  </pic:blipFill>
                  <pic:spPr>
                    <a:xfrm>
                      <a:off x="0" y="0"/>
                      <a:ext cx="5583441" cy="5200078"/>
                    </a:xfrm>
                    <a:prstGeom prst="rect">
                      <a:avLst/>
                    </a:prstGeom>
                  </pic:spPr>
                </pic:pic>
              </a:graphicData>
            </a:graphic>
          </wp:inline>
        </w:drawing>
      </w:r>
      <w:r>
        <w:rPr>
          <w:rFonts w:ascii="宋体" w:hAnsi="宋体" w:cs="宋体" w:eastAsia="宋体" w:hint="default"/>
          <w:position w:val="-163"/>
          <w:sz w:val="20"/>
          <w:szCs w:val="20"/>
        </w:rPr>
      </w:r>
    </w:p>
    <w:p>
      <w:pPr>
        <w:spacing w:line="240" w:lineRule="auto" w:before="2"/>
        <w:rPr>
          <w:rFonts w:ascii="宋体" w:hAnsi="宋体" w:cs="宋体" w:eastAsia="宋体" w:hint="default"/>
          <w:b/>
          <w:bCs/>
          <w:sz w:val="25"/>
          <w:szCs w:val="25"/>
        </w:rPr>
      </w:pPr>
    </w:p>
    <w:p>
      <w:pPr>
        <w:pStyle w:val="Heading4"/>
        <w:tabs>
          <w:tab w:pos="562" w:val="left" w:leader="none"/>
        </w:tabs>
        <w:spacing w:line="290" w:lineRule="auto" w:before="0"/>
        <w:ind w:left="138" w:right="3902"/>
        <w:jc w:val="left"/>
        <w:rPr>
          <w:rFonts w:ascii="宋体" w:hAnsi="宋体" w:cs="宋体" w:eastAsia="宋体" w:hint="default"/>
          <w:b w:val="0"/>
          <w:bCs w:val="0"/>
        </w:rPr>
      </w:pPr>
      <w:r>
        <w:rPr>
          <w:rFonts w:ascii="宋体" w:hAnsi="宋体" w:cs="宋体" w:eastAsia="宋体" w:hint="default"/>
          <w:w w:val="95"/>
        </w:rPr>
        <w:t>6</w:t>
        <w:tab/>
      </w:r>
      <w:r>
        <w:rPr>
          <w:spacing w:val="-1"/>
        </w:rPr>
        <w:t>实际控制人通过信托或其他资产管理方式控制公司</w:t>
      </w:r>
      <w:r>
        <w:rPr>
          <w:spacing w:val="-85"/>
        </w:rPr>
        <w:t> </w:t>
      </w:r>
      <w:r>
        <w:rPr>
          <w:spacing w:val="-85"/>
        </w:rPr>
      </w:r>
      <w:r>
        <w:rPr>
          <w:rFonts w:ascii="宋体" w:hAnsi="宋体" w:cs="宋体" w:eastAsia="宋体" w:hint="default"/>
          <w:b w:val="0"/>
          <w:bCs w:val="0"/>
        </w:rPr>
        <w:t>无</w:t>
      </w:r>
    </w:p>
    <w:p>
      <w:pPr>
        <w:spacing w:line="240" w:lineRule="auto" w:before="12"/>
        <w:rPr>
          <w:rFonts w:ascii="宋体" w:hAnsi="宋体" w:cs="宋体" w:eastAsia="宋体" w:hint="default"/>
          <w:sz w:val="21"/>
          <w:szCs w:val="21"/>
        </w:rPr>
      </w:pPr>
    </w:p>
    <w:p>
      <w:pPr>
        <w:pStyle w:val="Heading4"/>
        <w:spacing w:line="240" w:lineRule="auto" w:before="0"/>
        <w:ind w:left="138" w:right="346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spacing w:line="240" w:lineRule="auto" w:before="3"/>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0"/>
          <w:szCs w:val="20"/>
        </w:rPr>
      </w:pPr>
    </w:p>
    <w:p>
      <w:pPr>
        <w:pStyle w:val="Heading4"/>
        <w:spacing w:line="240" w:lineRule="auto"/>
        <w:ind w:left="138" w:right="3467"/>
        <w:jc w:val="left"/>
        <w:rPr>
          <w:b w:val="0"/>
          <w:bCs w:val="0"/>
        </w:rPr>
      </w:pPr>
      <w:r>
        <w:rPr/>
        <w:t>四、</w:t>
      </w:r>
      <w:r>
        <w:rPr>
          <w:b w:val="0"/>
          <w:bCs w:val="0"/>
        </w:rPr>
      </w:r>
    </w:p>
    <w:p>
      <w:pPr>
        <w:spacing w:line="20" w:lineRule="exact"/>
        <w:ind w:left="583" w:right="0" w:firstLine="0"/>
        <w:rPr>
          <w:rFonts w:ascii="宋体" w:hAnsi="宋体" w:cs="宋体" w:eastAsia="宋体" w:hint="default"/>
          <w:sz w:val="2"/>
          <w:szCs w:val="2"/>
        </w:rPr>
      </w:pPr>
      <w:r>
        <w:rPr>
          <w:rFonts w:ascii="宋体" w:hAnsi="宋体" w:cs="宋体" w:eastAsia="宋体" w:hint="default"/>
          <w:sz w:val="2"/>
          <w:szCs w:val="2"/>
        </w:rPr>
        <w:pict>
          <v:group style="width:32.3pt;height:.6pt;mso-position-horizontal-relative:char;mso-position-vertical-relative:line" coordorigin="0,0" coordsize="646,12">
            <v:group style="position:absolute;left:6;top:6;width:634;height:2" coordorigin="6,6" coordsize="634,2">
              <v:shape style="position:absolute;left:6;top:6;width:634;height:2" coordorigin="6,6" coordsize="634,0" path="m6,6l640,6e" filled="false" stroked="true" strokeweight=".60004pt" strokecolor="#000000">
                <v:path arrowok="t"/>
              </v:shape>
            </v:group>
          </v:group>
        </w:pict>
      </w:r>
      <w:r>
        <w:rPr>
          <w:rFonts w:ascii="宋体" w:hAnsi="宋体" w:cs="宋体" w:eastAsia="宋体" w:hint="default"/>
          <w:sz w:val="2"/>
          <w:szCs w:val="2"/>
        </w:rPr>
      </w:r>
    </w:p>
    <w:p>
      <w:pPr>
        <w:pStyle w:val="Heading4"/>
        <w:spacing w:line="240" w:lineRule="auto" w:before="27"/>
        <w:ind w:left="138" w:right="3467"/>
        <w:jc w:val="left"/>
        <w:rPr>
          <w:b w:val="0"/>
          <w:bCs w:val="0"/>
        </w:rPr>
      </w:pPr>
      <w:r>
        <w:rPr/>
        <w:t>五、</w:t>
      </w:r>
      <w:r>
        <w:rPr>
          <w:spacing w:val="-77"/>
        </w:rPr>
        <w:t> </w:t>
      </w:r>
      <w:r>
        <w:rPr/>
        <w:t>股份限制减持情况说明</w:t>
      </w:r>
      <w:r>
        <w:rPr>
          <w:b w:val="0"/>
          <w:bCs w:val="0"/>
        </w:rPr>
      </w:r>
    </w:p>
    <w:p>
      <w:pPr>
        <w:pStyle w:val="BodyText"/>
        <w:spacing w:line="240" w:lineRule="auto" w:before="56"/>
        <w:ind w:left="138" w:right="3467"/>
        <w:jc w:val="left"/>
      </w:pPr>
      <w:r>
        <w:rPr/>
        <w:t>□适用√不适用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1"/>
        <w:tabs>
          <w:tab w:pos="4830" w:val="left" w:leader="none"/>
        </w:tabs>
        <w:spacing w:line="240" w:lineRule="auto"/>
        <w:ind w:left="372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8"/>
        <w:rPr>
          <w:rFonts w:ascii="黑体" w:hAnsi="黑体" w:cs="黑体" w:eastAsia="黑体" w:hint="default"/>
          <w:b/>
          <w:bCs/>
          <w:sz w:val="16"/>
          <w:szCs w:val="16"/>
        </w:rPr>
      </w:pPr>
    </w:p>
    <w:p>
      <w:pPr>
        <w:pStyle w:val="BodyText"/>
        <w:spacing w:line="240" w:lineRule="auto" w:before="36"/>
        <w:ind w:left="138" w:right="3467"/>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pStyle w:val="Heading1"/>
        <w:tabs>
          <w:tab w:pos="6030" w:val="left" w:leader="none"/>
        </w:tabs>
        <w:spacing w:line="240" w:lineRule="auto" w:before="105"/>
        <w:ind w:left="4929"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18"/>
          <w:footerReference w:type="default" r:id="rId19"/>
          <w:pgSz w:w="16840" w:h="11910" w:orient="landscape"/>
          <w:pgMar w:header="880" w:footer="1195" w:top="1120" w:bottom="1380" w:left="1300" w:right="1200"/>
          <w:pgNumType w:start="40"/>
        </w:sectPr>
      </w:pPr>
    </w:p>
    <w:p>
      <w:pPr>
        <w:pStyle w:val="Heading4"/>
        <w:spacing w:line="240" w:lineRule="auto"/>
        <w:ind w:left="224" w:right="-15"/>
        <w:jc w:val="left"/>
        <w:rPr>
          <w:b w:val="0"/>
          <w:bCs w:val="0"/>
        </w:rPr>
      </w:pPr>
      <w:r>
        <w:rPr/>
        <w:t>一、持股变动情况及报酬情况</w:t>
      </w:r>
      <w:r>
        <w:rPr>
          <w:b w:val="0"/>
          <w:bCs w:val="0"/>
        </w:rPr>
      </w:r>
    </w:p>
    <w:p>
      <w:pPr>
        <w:pStyle w:val="Heading4"/>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16"/>
        <w:gridCol w:w="1128"/>
        <w:gridCol w:w="823"/>
        <w:gridCol w:w="826"/>
        <w:gridCol w:w="1178"/>
        <w:gridCol w:w="1176"/>
        <w:gridCol w:w="1268"/>
        <w:gridCol w:w="1265"/>
        <w:gridCol w:w="1340"/>
        <w:gridCol w:w="1123"/>
        <w:gridCol w:w="1582"/>
        <w:gridCol w:w="1373"/>
      </w:tblGrid>
      <w:tr>
        <w:trPr>
          <w:trHeight w:val="1100"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9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4" w:right="161" w:hanging="212"/>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1" w:right="158"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年初持股数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1" w:right="132"/>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8" w:right="129"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报告期内从公</w:t>
            </w:r>
          </w:p>
          <w:p>
            <w:pPr>
              <w:pStyle w:val="TableParagraph"/>
              <w:spacing w:line="237" w:lineRule="auto"/>
              <w:ind w:left="155" w:right="151" w:hanging="3"/>
              <w:jc w:val="center"/>
              <w:rPr>
                <w:rFonts w:ascii="宋体" w:hAnsi="宋体" w:cs="宋体" w:eastAsia="宋体" w:hint="default"/>
                <w:sz w:val="21"/>
                <w:szCs w:val="21"/>
              </w:rPr>
            </w:pPr>
            <w:r>
              <w:rPr>
                <w:rFonts w:ascii="宋体" w:hAnsi="宋体" w:cs="宋体" w:eastAsia="宋体" w:hint="default"/>
                <w:spacing w:val="-2"/>
                <w:sz w:val="21"/>
                <w:szCs w:val="21"/>
              </w:rPr>
              <w:t>司获得的税前</w:t>
            </w:r>
            <w:r>
              <w:rPr>
                <w:rFonts w:ascii="宋体" w:hAnsi="宋体" w:cs="宋体" w:eastAsia="宋体" w:hint="default"/>
                <w:spacing w:val="-3"/>
                <w:w w:val="100"/>
                <w:sz w:val="21"/>
                <w:szCs w:val="21"/>
              </w:rPr>
              <w:t> </w:t>
            </w:r>
            <w:r>
              <w:rPr>
                <w:rFonts w:ascii="宋体" w:hAnsi="宋体" w:cs="宋体" w:eastAsia="宋体" w:hint="default"/>
                <w:spacing w:val="-1"/>
                <w:sz w:val="21"/>
                <w:szCs w:val="21"/>
              </w:rPr>
              <w:t>报酬总额（万</w:t>
            </w:r>
            <w:r>
              <w:rPr>
                <w:rFonts w:ascii="宋体" w:hAnsi="宋体" w:cs="宋体" w:eastAsia="宋体" w:hint="default"/>
                <w:w w:val="100"/>
                <w:sz w:val="21"/>
                <w:szCs w:val="21"/>
              </w:rPr>
              <w:t> </w:t>
            </w:r>
            <w:r>
              <w:rPr>
                <w:rFonts w:ascii="宋体" w:hAnsi="宋体" w:cs="宋体" w:eastAsia="宋体" w:hint="default"/>
                <w:sz w:val="21"/>
                <w:szCs w:val="21"/>
              </w:rPr>
              <w:t>元）</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6"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470" w:right="151" w:hanging="315"/>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55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47</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18"/>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center"/>
              <w:rPr>
                <w:rFonts w:ascii="宋体" w:hAnsi="宋体" w:cs="宋体" w:eastAsia="宋体" w:hint="default"/>
                <w:sz w:val="21"/>
                <w:szCs w:val="21"/>
              </w:rPr>
            </w:pPr>
            <w:r>
              <w:rPr>
                <w:rFonts w:ascii="宋体"/>
                <w:sz w:val="21"/>
              </w:rPr>
              <w:t>6,838,000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7,100,000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262,000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二级市场</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2,807,259.00</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4"/>
                <w:sz w:val="21"/>
                <w:szCs w:val="21"/>
              </w:rPr>
              <w:t>董事、</w:t>
            </w:r>
            <w:r>
              <w:rPr>
                <w:rFonts w:ascii="宋体" w:hAnsi="宋体" w:cs="宋体" w:eastAsia="宋体" w:hint="default"/>
                <w:spacing w:val="-78"/>
                <w:sz w:val="21"/>
                <w:szCs w:val="21"/>
              </w:rPr>
              <w:t> </w:t>
            </w:r>
            <w:r>
              <w:rPr>
                <w:rFonts w:ascii="宋体" w:hAnsi="宋体" w:cs="宋体" w:eastAsia="宋体" w:hint="default"/>
                <w:sz w:val="21"/>
                <w:szCs w:val="21"/>
              </w:rPr>
              <w:t>总</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46</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18"/>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center"/>
              <w:rPr>
                <w:rFonts w:ascii="宋体" w:hAnsi="宋体" w:cs="宋体" w:eastAsia="宋体" w:hint="default"/>
                <w:sz w:val="21"/>
                <w:szCs w:val="21"/>
              </w:rPr>
            </w:pPr>
            <w:r>
              <w:rPr>
                <w:rFonts w:ascii="宋体"/>
                <w:sz w:val="21"/>
              </w:rPr>
              <w:t>4,926,660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5,128,660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202,000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二级市场</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2,493,150.60</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18"/>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11,864,974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11,864,974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2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2,007,255.30</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胡晓明</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46</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44</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42</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张东晖</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49</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汪祥耀</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59</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18"/>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150,000</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张天富</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69</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18"/>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125,000</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丁玮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56</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150,000</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郭田勇</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48</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2</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150,000</w:t>
            </w:r>
          </w:p>
        </w:tc>
        <w:tc>
          <w:tcPr>
            <w:tcW w:w="137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16"/>
        <w:gridCol w:w="1128"/>
        <w:gridCol w:w="823"/>
        <w:gridCol w:w="826"/>
        <w:gridCol w:w="1178"/>
        <w:gridCol w:w="1176"/>
        <w:gridCol w:w="1268"/>
        <w:gridCol w:w="1265"/>
        <w:gridCol w:w="1340"/>
        <w:gridCol w:w="1123"/>
        <w:gridCol w:w="1582"/>
        <w:gridCol w:w="1373"/>
      </w:tblGrid>
      <w:tr>
        <w:trPr>
          <w:trHeight w:val="281" w:hRule="exact"/>
        </w:trPr>
        <w:tc>
          <w:tcPr>
            <w:tcW w:w="101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7"/>
              <w:jc w:val="right"/>
              <w:rPr>
                <w:rFonts w:ascii="宋体" w:hAnsi="宋体" w:cs="宋体" w:eastAsia="宋体" w:hint="default"/>
                <w:sz w:val="21"/>
                <w:szCs w:val="21"/>
              </w:rPr>
            </w:pPr>
            <w:r>
              <w:rPr>
                <w:rFonts w:ascii="宋体" w:hAnsi="宋体" w:cs="宋体" w:eastAsia="宋体" w:hint="default"/>
                <w:sz w:val="21"/>
                <w:szCs w:val="21"/>
              </w:rPr>
              <w:t>韩歆毅</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监事长</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39</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7"/>
              <w:jc w:val="right"/>
              <w:rPr>
                <w:rFonts w:ascii="宋体" w:hAnsi="宋体" w:cs="宋体" w:eastAsia="宋体" w:hint="default"/>
                <w:sz w:val="21"/>
                <w:szCs w:val="21"/>
              </w:rPr>
            </w:pPr>
            <w:r>
              <w:rPr>
                <w:rFonts w:ascii="宋体" w:hAnsi="宋体" w:cs="宋体" w:eastAsia="宋体" w:hint="default"/>
                <w:sz w:val="21"/>
                <w:szCs w:val="21"/>
              </w:rPr>
              <w:t>黄辰立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36</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7"/>
              <w:jc w:val="right"/>
              <w:rPr>
                <w:rFonts w:ascii="宋体" w:hAnsi="宋体" w:cs="宋体" w:eastAsia="宋体" w:hint="default"/>
                <w:sz w:val="21"/>
                <w:szCs w:val="21"/>
              </w:rPr>
            </w:pPr>
            <w:r>
              <w:rPr>
                <w:rFonts w:ascii="宋体" w:hAnsi="宋体" w:cs="宋体" w:eastAsia="宋体" w:hint="default"/>
                <w:sz w:val="21"/>
                <w:szCs w:val="21"/>
              </w:rPr>
              <w:t>陈淑芬</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38</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18"/>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230,880.03</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7"/>
              <w:jc w:val="right"/>
              <w:rPr>
                <w:rFonts w:ascii="宋体" w:hAnsi="宋体" w:cs="宋体" w:eastAsia="宋体" w:hint="default"/>
                <w:sz w:val="21"/>
                <w:szCs w:val="21"/>
              </w:rPr>
            </w:pPr>
            <w:r>
              <w:rPr>
                <w:rFonts w:ascii="宋体" w:hAnsi="宋体" w:cs="宋体" w:eastAsia="宋体" w:hint="default"/>
                <w:sz w:val="21"/>
                <w:szCs w:val="21"/>
              </w:rPr>
              <w:t>范径武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18"/>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537,650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537,650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2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1,714,753.40</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7"/>
              <w:jc w:val="right"/>
              <w:rPr>
                <w:rFonts w:ascii="宋体" w:hAnsi="宋体" w:cs="宋体" w:eastAsia="宋体" w:hint="default"/>
                <w:sz w:val="21"/>
                <w:szCs w:val="21"/>
              </w:rPr>
            </w:pPr>
            <w:r>
              <w:rPr>
                <w:rFonts w:ascii="宋体" w:hAnsi="宋体" w:cs="宋体" w:eastAsia="宋体" w:hint="default"/>
                <w:sz w:val="21"/>
                <w:szCs w:val="21"/>
              </w:rPr>
              <w:t>方汉林</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42</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18"/>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3,894,788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3,631,788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-263,000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二级市场</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1,232,256.70</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7"/>
              <w:jc w:val="right"/>
              <w:rPr>
                <w:rFonts w:ascii="宋体" w:hAnsi="宋体" w:cs="宋体" w:eastAsia="宋体" w:hint="default"/>
                <w:sz w:val="21"/>
                <w:szCs w:val="21"/>
              </w:rPr>
            </w:pPr>
            <w:r>
              <w:rPr>
                <w:rFonts w:ascii="宋体" w:hAnsi="宋体" w:cs="宋体" w:eastAsia="宋体" w:hint="default"/>
                <w:sz w:val="21"/>
                <w:szCs w:val="21"/>
              </w:rPr>
              <w:t>官晓岚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18"/>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1,057,001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1,032,701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-24,300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二级市场</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1,671,256.70</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7"/>
              <w:jc w:val="right"/>
              <w:rPr>
                <w:rFonts w:ascii="宋体" w:hAnsi="宋体" w:cs="宋体" w:eastAsia="宋体" w:hint="default"/>
                <w:sz w:val="21"/>
                <w:szCs w:val="21"/>
              </w:rPr>
            </w:pPr>
            <w:r>
              <w:rPr>
                <w:rFonts w:ascii="宋体" w:hAnsi="宋体" w:cs="宋体" w:eastAsia="宋体" w:hint="default"/>
                <w:sz w:val="21"/>
                <w:szCs w:val="21"/>
              </w:rPr>
              <w:t>倪守奇</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42</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18"/>
                <w:sz w:val="21"/>
                <w:szCs w:val="21"/>
              </w:rPr>
              <w:t> </w:t>
            </w:r>
            <w:r>
              <w:rPr>
                <w:rFonts w:ascii="宋体" w:hAnsi="宋体" w:cs="宋体" w:eastAsia="宋体" w:hint="default"/>
                <w:sz w:val="21"/>
                <w:szCs w:val="21"/>
              </w:rPr>
              <w:t>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1,229,756.00</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7"/>
              <w:jc w:val="right"/>
              <w:rPr>
                <w:rFonts w:ascii="宋体" w:hAnsi="宋体" w:cs="宋体" w:eastAsia="宋体" w:hint="default"/>
                <w:sz w:val="21"/>
                <w:szCs w:val="21"/>
              </w:rPr>
            </w:pPr>
            <w:r>
              <w:rPr>
                <w:rFonts w:ascii="宋体" w:hAnsi="宋体" w:cs="宋体" w:eastAsia="宋体" w:hint="default"/>
                <w:sz w:val="21"/>
                <w:szCs w:val="21"/>
              </w:rPr>
              <w:t>廖章勇</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18"/>
                <w:sz w:val="21"/>
                <w:szCs w:val="21"/>
              </w:rPr>
              <w:t> </w:t>
            </w:r>
            <w:r>
              <w:rPr>
                <w:rFonts w:ascii="宋体" w:hAnsi="宋体" w:cs="宋体" w:eastAsia="宋体" w:hint="default"/>
                <w:sz w:val="21"/>
                <w:szCs w:val="21"/>
              </w:rPr>
              <w:t>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1,229,756.00</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7"/>
              <w:jc w:val="right"/>
              <w:rPr>
                <w:rFonts w:ascii="宋体" w:hAnsi="宋体" w:cs="宋体" w:eastAsia="宋体" w:hint="default"/>
                <w:sz w:val="21"/>
                <w:szCs w:val="21"/>
              </w:rPr>
            </w:pPr>
            <w:r>
              <w:rPr>
                <w:rFonts w:ascii="宋体" w:hAnsi="宋体" w:cs="宋体" w:eastAsia="宋体" w:hint="default"/>
                <w:sz w:val="21"/>
                <w:szCs w:val="21"/>
              </w:rPr>
              <w:t>童晨晖</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副 总</w:t>
            </w:r>
            <w:r>
              <w:rPr>
                <w:rFonts w:ascii="宋体" w:hAnsi="宋体" w:cs="宋体" w:eastAsia="宋体" w:hint="default"/>
                <w:spacing w:val="71"/>
                <w:sz w:val="21"/>
                <w:szCs w:val="21"/>
              </w:rPr>
              <w:t> </w:t>
            </w:r>
            <w:r>
              <w:rPr>
                <w:rFonts w:ascii="宋体" w:hAnsi="宋体" w:cs="宋体" w:eastAsia="宋体" w:hint="default"/>
                <w:sz w:val="21"/>
                <w:szCs w:val="21"/>
              </w:rPr>
              <w:t>经</w:t>
            </w:r>
          </w:p>
          <w:p>
            <w:pPr>
              <w:pStyle w:val="TableParagraph"/>
              <w:spacing w:line="272" w:lineRule="exact" w:before="27"/>
              <w:ind w:left="105" w:right="99"/>
              <w:jc w:val="left"/>
              <w:rPr>
                <w:rFonts w:ascii="宋体" w:hAnsi="宋体" w:cs="宋体" w:eastAsia="宋体" w:hint="default"/>
                <w:sz w:val="21"/>
                <w:szCs w:val="21"/>
              </w:rPr>
            </w:pPr>
            <w:r>
              <w:rPr>
                <w:rFonts w:ascii="宋体" w:hAnsi="宋体" w:cs="宋体" w:eastAsia="宋体" w:hint="default"/>
                <w:spacing w:val="10"/>
                <w:sz w:val="21"/>
                <w:szCs w:val="21"/>
              </w:rPr>
              <w:t>理、</w:t>
            </w:r>
            <w:r>
              <w:rPr>
                <w:rFonts w:ascii="宋体" w:hAnsi="宋体" w:cs="宋体" w:eastAsia="宋体" w:hint="default"/>
                <w:spacing w:val="-78"/>
                <w:sz w:val="21"/>
                <w:szCs w:val="21"/>
              </w:rPr>
              <w:t> </w:t>
            </w:r>
            <w:r>
              <w:rPr>
                <w:rFonts w:ascii="宋体" w:hAnsi="宋体" w:cs="宋体" w:eastAsia="宋体" w:hint="default"/>
                <w:spacing w:val="10"/>
                <w:sz w:val="21"/>
                <w:szCs w:val="21"/>
              </w:rPr>
              <w:t>董事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会秘书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18"/>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1,402,736.00</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7"/>
              <w:jc w:val="right"/>
              <w:rPr>
                <w:rFonts w:ascii="宋体" w:hAnsi="宋体" w:cs="宋体" w:eastAsia="宋体" w:hint="default"/>
                <w:sz w:val="21"/>
                <w:szCs w:val="21"/>
              </w:rPr>
            </w:pPr>
            <w:r>
              <w:rPr>
                <w:rFonts w:ascii="宋体" w:hAnsi="宋体" w:cs="宋体" w:eastAsia="宋体" w:hint="default"/>
                <w:sz w:val="21"/>
                <w:szCs w:val="21"/>
              </w:rPr>
              <w:t>傅美英</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副 总</w:t>
            </w:r>
            <w:r>
              <w:rPr>
                <w:rFonts w:ascii="宋体" w:hAnsi="宋体" w:cs="宋体" w:eastAsia="宋体" w:hint="default"/>
                <w:spacing w:val="71"/>
                <w:sz w:val="21"/>
                <w:szCs w:val="21"/>
              </w:rPr>
              <w:t> </w:t>
            </w:r>
            <w:r>
              <w:rPr>
                <w:rFonts w:ascii="宋体" w:hAnsi="宋体" w:cs="宋体" w:eastAsia="宋体" w:hint="default"/>
                <w:sz w:val="21"/>
                <w:szCs w:val="21"/>
              </w:rPr>
              <w:t>经</w:t>
            </w:r>
          </w:p>
          <w:p>
            <w:pPr>
              <w:pStyle w:val="TableParagraph"/>
              <w:spacing w:line="272" w:lineRule="exact" w:before="27"/>
              <w:ind w:left="105" w:right="99"/>
              <w:jc w:val="left"/>
              <w:rPr>
                <w:rFonts w:ascii="宋体" w:hAnsi="宋体" w:cs="宋体" w:eastAsia="宋体" w:hint="default"/>
                <w:sz w:val="21"/>
                <w:szCs w:val="21"/>
              </w:rPr>
            </w:pPr>
            <w:r>
              <w:rPr>
                <w:rFonts w:ascii="宋体" w:hAnsi="宋体" w:cs="宋体" w:eastAsia="宋体" w:hint="default"/>
                <w:spacing w:val="10"/>
                <w:sz w:val="21"/>
                <w:szCs w:val="21"/>
              </w:rPr>
              <w:t>理、</w:t>
            </w:r>
            <w:r>
              <w:rPr>
                <w:rFonts w:ascii="宋体" w:hAnsi="宋体" w:cs="宋体" w:eastAsia="宋体" w:hint="default"/>
                <w:spacing w:val="-78"/>
                <w:sz w:val="21"/>
                <w:szCs w:val="21"/>
              </w:rPr>
              <w:t> </w:t>
            </w:r>
            <w:r>
              <w:rPr>
                <w:rFonts w:ascii="宋体" w:hAnsi="宋体" w:cs="宋体" w:eastAsia="宋体" w:hint="default"/>
                <w:spacing w:val="10"/>
                <w:sz w:val="21"/>
                <w:szCs w:val="21"/>
              </w:rPr>
              <w:t>财务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总监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61</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18"/>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878,816.00</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88"/>
              <w:jc w:val="right"/>
              <w:rPr>
                <w:rFonts w:ascii="宋体" w:hAnsi="宋体" w:cs="宋体" w:eastAsia="宋体" w:hint="default"/>
                <w:sz w:val="21"/>
                <w:szCs w:val="21"/>
              </w:rPr>
            </w:pPr>
            <w:r>
              <w:rPr>
                <w:rFonts w:ascii="宋体" w:hAnsi="宋体" w:cs="宋体" w:eastAsia="宋体" w:hint="default"/>
                <w:sz w:val="21"/>
                <w:szCs w:val="21"/>
              </w:rPr>
              <w:t>合计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w w:val="100"/>
                <w:sz w:val="21"/>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29,119,073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29,295,773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176,700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17,472,875.73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年至今，任公司董事长。</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月任公司董事。</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月任公司董事、总经理。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年至今，任公司执行董事。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胡晓明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任众安在线财产保险股份有限公司董事。</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任浙江蚂蚁小微金融服务集团有限公司董事、总裁。</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程立</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任浙江蚂蚁小微金融服务集团有限公司首席技术官。</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张东晖</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任阿里云资深总监。</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汪祥耀</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月至今，在浙江财经大学从事教育工作，任副教授、教授。</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张天富</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7"/>
                <w:sz w:val="21"/>
                <w:szCs w:val="21"/>
              </w:rPr>
              <w:t> </w:t>
            </w:r>
            <w:r>
              <w:rPr>
                <w:rFonts w:ascii="宋体" w:hAnsi="宋体" w:cs="宋体" w:eastAsia="宋体" w:hint="default"/>
                <w:sz w:val="21"/>
                <w:szCs w:val="21"/>
              </w:rPr>
              <w:t>年退休。</w:t>
            </w: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年至今，中欧国际工商学院校友会副会长兼浙江分会会长。</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丁玮</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2</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z w:val="21"/>
                <w:szCs w:val="21"/>
              </w:rPr>
              <w:t>2013</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12</w:t>
            </w:r>
            <w:r>
              <w:rPr>
                <w:rFonts w:ascii="宋体" w:hAnsi="宋体" w:cs="宋体" w:eastAsia="宋体" w:hint="default"/>
                <w:spacing w:val="-39"/>
                <w:sz w:val="21"/>
                <w:szCs w:val="21"/>
              </w:rPr>
              <w:t> </w:t>
            </w:r>
            <w:r>
              <w:rPr>
                <w:rFonts w:ascii="宋体" w:hAnsi="宋体" w:cs="宋体" w:eastAsia="宋体" w:hint="default"/>
                <w:sz w:val="21"/>
                <w:szCs w:val="21"/>
              </w:rPr>
              <w:t>月，丁先生在淡马锡投资控股工作，任高级董事总经理兼中国区总裁。此外，丁先生还曾担任中国招商银行独</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立董事、兰亭资本投资公司（淡马锡控股）董事、华宝投资（华宝信托，华宝证券，华宝基金）董事、神州租车</w:t>
            </w:r>
          </w:p>
          <w:p>
            <w:pPr>
              <w:pStyle w:val="TableParagraph"/>
              <w:spacing w:line="273" w:lineRule="exact"/>
              <w:ind w:left="5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H</w:t>
            </w:r>
            <w:r>
              <w:rPr>
                <w:rFonts w:ascii="宋体" w:hAnsi="宋体" w:cs="宋体" w:eastAsia="宋体" w:hint="default"/>
                <w:spacing w:val="-54"/>
                <w:sz w:val="21"/>
                <w:szCs w:val="21"/>
              </w:rPr>
              <w:t> </w:t>
            </w:r>
            <w:r>
              <w:rPr>
                <w:rFonts w:ascii="宋体" w:hAnsi="宋体" w:cs="宋体" w:eastAsia="宋体" w:hint="default"/>
                <w:sz w:val="21"/>
                <w:szCs w:val="21"/>
              </w:rPr>
              <w:t>股）独立董事、海康威视独立董事、深圳零七股份</w:t>
            </w:r>
            <w:r>
              <w:rPr>
                <w:rFonts w:ascii="宋体" w:hAnsi="宋体" w:cs="宋体" w:eastAsia="宋体" w:hint="default"/>
                <w:spacing w:val="-4"/>
                <w:sz w:val="21"/>
                <w:szCs w:val="21"/>
              </w:rPr>
              <w:t> </w:t>
            </w:r>
            <w:r>
              <w:rPr>
                <w:rFonts w:ascii="宋体" w:hAnsi="宋体" w:cs="宋体" w:eastAsia="宋体" w:hint="default"/>
                <w:sz w:val="21"/>
                <w:szCs w:val="21"/>
              </w:rPr>
              <w:t>（</w:t>
            </w:r>
            <w:r>
              <w:rPr>
                <w:rFonts w:ascii="宋体" w:hAnsi="宋体" w:cs="宋体" w:eastAsia="宋体" w:hint="default"/>
                <w:sz w:val="21"/>
                <w:szCs w:val="21"/>
              </w:rPr>
              <w:t>A</w:t>
            </w:r>
            <w:r>
              <w:rPr>
                <w:rFonts w:ascii="宋体" w:hAnsi="宋体" w:cs="宋体" w:eastAsia="宋体" w:hint="default"/>
                <w:spacing w:val="-56"/>
                <w:sz w:val="21"/>
                <w:szCs w:val="21"/>
              </w:rPr>
              <w:t> </w:t>
            </w:r>
            <w:r>
              <w:rPr>
                <w:rFonts w:ascii="宋体" w:hAnsi="宋体" w:cs="宋体" w:eastAsia="宋体" w:hint="default"/>
                <w:sz w:val="21"/>
                <w:szCs w:val="21"/>
              </w:rPr>
              <w:t>股）董事长等职务。</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郭田勇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97"/>
                <w:sz w:val="21"/>
                <w:szCs w:val="21"/>
              </w:rPr>
              <w:t> </w:t>
            </w:r>
            <w:r>
              <w:rPr>
                <w:rFonts w:ascii="宋体" w:hAnsi="宋体" w:cs="宋体" w:eastAsia="宋体" w:hint="default"/>
                <w:spacing w:val="-2"/>
                <w:sz w:val="21"/>
                <w:szCs w:val="21"/>
              </w:rPr>
              <w:t>年至今任职于中央财经大学。兼任亚洲开发银行高级顾问、民建北京市金融委员会副主任等。现为中央财经大学中国银行业研究中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心主任，金融学院教授、博士生导师。</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任浙江融信网络技术有限公司董事兼总经理。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黄辰立</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任浙江融信网络技术有限公司投资总监。</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陈淑芬</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2"/>
                <w:sz w:val="21"/>
                <w:szCs w:val="21"/>
              </w:rPr>
              <w:t> </w:t>
            </w:r>
            <w:r>
              <w:rPr>
                <w:rFonts w:ascii="宋体" w:hAnsi="宋体" w:cs="宋体" w:eastAsia="宋体" w:hint="default"/>
                <w:spacing w:val="-2"/>
                <w:sz w:val="21"/>
                <w:szCs w:val="21"/>
              </w:rPr>
              <w:t>年大学毕业后进入公司工作，现任银行事业部综合管理部主管。</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范径武</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年至今，担任公司技术总监等。现任公司副总经理。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方汉林</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月起任公司副总经理。</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月任公司总经理。</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月任公司副总经理。</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
                <w:sz w:val="21"/>
                <w:szCs w:val="21"/>
              </w:rPr>
              <w:t> </w:t>
            </w:r>
            <w:r>
              <w:rPr>
                <w:rFonts w:ascii="宋体" w:hAnsi="宋体" w:cs="宋体" w:eastAsia="宋体" w:hint="default"/>
                <w:spacing w:val="-2"/>
                <w:sz w:val="21"/>
                <w:szCs w:val="21"/>
              </w:rPr>
              <w:t>年至今，任证券事业部总经理。现任公司副总经理、恒生网络总经理。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倪守奇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6"/>
                <w:sz w:val="21"/>
                <w:szCs w:val="21"/>
              </w:rPr>
              <w:t> </w:t>
            </w:r>
            <w:r>
              <w:rPr>
                <w:rFonts w:ascii="宋体" w:hAnsi="宋体" w:cs="宋体" w:eastAsia="宋体" w:hint="default"/>
                <w:sz w:val="21"/>
                <w:szCs w:val="21"/>
              </w:rPr>
              <w:t>年进入恒生电子公司工作。</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月任公司副总经理。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廖章勇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6"/>
                <w:sz w:val="21"/>
                <w:szCs w:val="21"/>
              </w:rPr>
              <w:t> </w:t>
            </w:r>
            <w:r>
              <w:rPr>
                <w:rFonts w:ascii="宋体" w:hAnsi="宋体" w:cs="宋体" w:eastAsia="宋体" w:hint="default"/>
                <w:sz w:val="21"/>
                <w:szCs w:val="21"/>
              </w:rPr>
              <w:t>年进入恒生电子公司工作。</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月任公司副总经理。</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傅美英</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年至今任公司财务总监。</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6"/>
                <w:sz w:val="21"/>
                <w:szCs w:val="21"/>
              </w:rPr>
              <w:t> </w:t>
            </w:r>
            <w:r>
              <w:rPr>
                <w:rFonts w:ascii="宋体" w:hAnsi="宋体" w:cs="宋体" w:eastAsia="宋体" w:hint="default"/>
                <w:spacing w:val="-2"/>
                <w:sz w:val="21"/>
                <w:szCs w:val="21"/>
              </w:rPr>
              <w:t>年加入公司。现任公司副总经理、董事会秘书、投资总监。</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left="224" w:right="7897"/>
        <w:jc w:val="left"/>
      </w:pPr>
      <w:r>
        <w:rPr/>
        <w:t>其它情况说明</w:t>
      </w:r>
    </w:p>
    <w:p>
      <w:pPr>
        <w:spacing w:line="240" w:lineRule="auto" w:before="9"/>
        <w:rPr>
          <w:rFonts w:ascii="宋体" w:hAnsi="宋体" w:cs="宋体" w:eastAsia="宋体" w:hint="default"/>
          <w:sz w:val="20"/>
          <w:szCs w:val="20"/>
        </w:rPr>
      </w:pPr>
    </w:p>
    <w:p>
      <w:pPr>
        <w:spacing w:line="20" w:lineRule="exact"/>
        <w:ind w:left="21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left="224" w:right="78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董事、监事、高级管理人员报告期内被授予的股权激励情况</w:t>
      </w:r>
      <w:r>
        <w:rPr>
          <w:b w:val="0"/>
          <w:bCs w:val="0"/>
        </w:rPr>
      </w:r>
    </w:p>
    <w:p>
      <w:pPr>
        <w:pStyle w:val="Heading4"/>
        <w:spacing w:line="290" w:lineRule="auto" w:before="32"/>
        <w:ind w:left="224" w:right="7897"/>
        <w:jc w:val="left"/>
        <w:rPr>
          <w:b w:val="0"/>
          <w:bCs w:val="0"/>
        </w:rPr>
      </w:pPr>
      <w:r>
        <w:rPr>
          <w:rFonts w:ascii="宋体" w:hAnsi="宋体" w:cs="宋体" w:eastAsia="宋体" w:hint="default"/>
          <w:b w:val="0"/>
          <w:bCs w:val="0"/>
        </w:rPr>
        <w:t>□适用√不适用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1" w:lineRule="exact"/>
        <w:ind w:left="224" w:right="7897"/>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bl>
    <w:p>
      <w:pPr>
        <w:spacing w:after="0" w:line="243"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胡晓明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4"/>
        <w:spacing w:line="240" w:lineRule="auto"/>
        <w:ind w:left="224" w:right="78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24" w:right="7897"/>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杭州恒生云投资控股有限公司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无锡恒华科技发展有限公司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杭州数米基金销售有限公司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杭州恒生鼎汇科技有限公司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杭州恒生百川科技有限公司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常州恒生科技园有限公司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无锡恒生科技园有限公司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天津恒生科技园投资发展有限公司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洛阳恒生科技园置业有限公司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杭州恒生世纪实业有限公司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杭州恒生数字设备科技有限公司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杭州虞宁电子科技有限公司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九江恒盛置业有限责任公司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北京恒生视讯数字设备科技有限公司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杭州路神贸易有限公司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浙江维尔生物识别技术股份有限公司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宋都基业投资股份有限公司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杭州恒生数据安全技术有限公司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杭州恒生世纪实业有限公司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北京钱塘恒生科技有限公司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杭州恒生网络技术服务有限公司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杭州禹廷投资管理有限公司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杭州银行股份有限公司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浙江蚂蚁小微金融服务集团有限公司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支付宝（中国）网络技术有限公司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支付宝（杭州）信息技术有限公司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董事兼总经理</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集分宝南京企业管理有限公司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执行董事（法定代表人）兼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蚂蚁财富（上海）金融信息服务有限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董事长（法定代表人）</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浙江融信网络技术有限公司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董事长（法定代表人）</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浙江网商银行股份有限公司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董事长（法定代表人）</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天弘基金管理有限公司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董事长（法定代表人）</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浙江蚂蚁小微金融服务集团有限公司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首席技术官</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浙江蚂蚁小微金融服务集团有限公司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浙江融信网络技术有限公司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董事兼总经理</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浙江网商银行股份有限公司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天津金融资产交易所有限责任公司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胡晓明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众安在线财产保险股份有限公司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黄辰立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浙江融信网络技术有限公司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投资总监</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张东晖</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阿里云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资深总监</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方汉林</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日本恒生软件株式会社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方汉林</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上海力铭科技有限公司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方汉林</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方汉林</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杭州数米基金销售有限公司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方汉林</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上海易锐管理咨询有限公司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杭州恒生网络技术服务有限公司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日本恒生软件株式会社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傅美英</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杭州恒生云投资控股有限公司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无锡恒华科技发展有限公司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杭州恒生数字设备科技有限公司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北京恒生视讯数字设备科技有限公司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杭州路神贸易有限公司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4"/>
        <w:spacing w:line="240" w:lineRule="auto"/>
        <w:ind w:left="224" w:right="7897"/>
        <w:jc w:val="left"/>
        <w:rPr>
          <w:b w:val="0"/>
          <w:bCs w:val="0"/>
        </w:rPr>
      </w:pPr>
      <w:r>
        <w:rPr/>
        <w:t>三、董事、监事、高级管理人员报酬情况</w:t>
      </w:r>
      <w:r>
        <w:rPr>
          <w:b w:val="0"/>
          <w:bCs w:val="0"/>
        </w:rPr>
      </w:r>
    </w:p>
    <w:p>
      <w:pPr>
        <w:spacing w:line="240" w:lineRule="auto" w:before="12"/>
        <w:rPr>
          <w:rFonts w:ascii="宋体" w:hAnsi="宋体" w:cs="宋体" w:eastAsia="宋体" w:hint="default"/>
          <w:b/>
          <w:bCs/>
          <w:sz w:val="6"/>
          <w:szCs w:val="6"/>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报告期内，在公司领取薪酬的董事、监事和高级管理人员的报酬均根据公司制订的有关薪酬考核的规定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根据董事会确定的基数和考核原则，根据年度绩效考核结果发放年度薪酬。</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17472875.73</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17472875.73</w:t>
            </w:r>
            <w:r>
              <w:rPr>
                <w:rFonts w:ascii="宋体" w:hAnsi="宋体" w:cs="宋体" w:eastAsia="宋体" w:hint="default"/>
                <w:spacing w:val="-52"/>
                <w:sz w:val="21"/>
                <w:szCs w:val="21"/>
              </w:rPr>
              <w:t> </w:t>
            </w:r>
            <w:r>
              <w:rPr>
                <w:rFonts w:ascii="宋体" w:hAnsi="宋体" w:cs="宋体" w:eastAsia="宋体" w:hint="default"/>
                <w:sz w:val="21"/>
                <w:szCs w:val="21"/>
              </w:rPr>
              <w:t>元</w:t>
            </w:r>
          </w:p>
        </w:tc>
      </w:tr>
    </w:tbl>
    <w:p>
      <w:pPr>
        <w:spacing w:line="240" w:lineRule="auto" w:before="12"/>
        <w:rPr>
          <w:rFonts w:ascii="宋体" w:hAnsi="宋体" w:cs="宋体" w:eastAsia="宋体" w:hint="default"/>
          <w:b/>
          <w:bCs/>
          <w:sz w:val="19"/>
          <w:szCs w:val="19"/>
        </w:rPr>
      </w:pPr>
    </w:p>
    <w:p>
      <w:pPr>
        <w:pStyle w:val="Heading4"/>
        <w:spacing w:line="240" w:lineRule="auto"/>
        <w:ind w:left="224" w:right="7897"/>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张天富</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因自身原因辞职</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3521" w:type="dxa"/>
            <w:tcBorders>
              <w:top w:val="single" w:sz="4" w:space="0" w:color="000000"/>
              <w:left w:val="single" w:sz="4" w:space="0" w:color="000000"/>
              <w:bottom w:val="single" w:sz="4" w:space="0" w:color="000000"/>
              <w:right w:val="single" w:sz="4" w:space="0" w:color="000000"/>
            </w:tcBorders>
          </w:tcPr>
          <w:p>
            <w:pPr/>
          </w:p>
        </w:tc>
        <w:tc>
          <w:tcPr>
            <w:tcW w:w="3524" w:type="dxa"/>
            <w:tcBorders>
              <w:top w:val="single" w:sz="4" w:space="0" w:color="000000"/>
              <w:left w:val="single" w:sz="4" w:space="0" w:color="000000"/>
              <w:bottom w:val="single" w:sz="4" w:space="0" w:color="000000"/>
              <w:right w:val="single" w:sz="4" w:space="0" w:color="000000"/>
            </w:tcBorders>
          </w:tcPr>
          <w:p>
            <w:pPr/>
          </w:p>
        </w:tc>
        <w:tc>
          <w:tcPr>
            <w:tcW w:w="35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b/>
          <w:bCs/>
          <w:sz w:val="19"/>
          <w:szCs w:val="19"/>
        </w:rPr>
      </w:pPr>
    </w:p>
    <w:p>
      <w:pPr>
        <w:pStyle w:val="Heading4"/>
        <w:spacing w:line="240" w:lineRule="auto"/>
        <w:ind w:left="224" w:right="7897"/>
        <w:jc w:val="left"/>
        <w:rPr>
          <w:b w:val="0"/>
          <w:bCs w:val="0"/>
        </w:rPr>
      </w:pPr>
      <w:r>
        <w:rPr/>
        <w:t>五、近三年受证券监管机构处罚的情况说明</w:t>
      </w:r>
      <w:r>
        <w:rPr>
          <w:b w:val="0"/>
          <w:bCs w:val="0"/>
        </w:rPr>
      </w:r>
    </w:p>
    <w:p>
      <w:pPr>
        <w:pStyle w:val="BodyText"/>
        <w:spacing w:line="273" w:lineRule="exact" w:before="58"/>
        <w:ind w:left="224" w:right="7897"/>
        <w:jc w:val="left"/>
      </w:pPr>
      <w:r>
        <w:rPr/>
        <w:t>√适用 □不适用</w:t>
      </w:r>
    </w:p>
    <w:p>
      <w:pPr>
        <w:pStyle w:val="BodyText"/>
        <w:spacing w:line="273" w:lineRule="exact"/>
        <w:ind w:left="644" w:right="0"/>
        <w:jc w:val="left"/>
      </w:pPr>
      <w:r>
        <w:rPr>
          <w:rFonts w:ascii="宋体" w:hAnsi="宋体" w:cs="宋体" w:eastAsia="宋体" w:hint="default"/>
        </w:rPr>
        <w:t>2015</w:t>
      </w:r>
      <w:r>
        <w:rPr>
          <w:rFonts w:ascii="宋体" w:hAnsi="宋体" w:cs="宋体" w:eastAsia="宋体" w:hint="default"/>
          <w:spacing w:val="-38"/>
        </w:rPr>
        <w:t> </w:t>
      </w:r>
      <w:r>
        <w:rPr/>
        <w:t>年</w:t>
      </w:r>
      <w:r>
        <w:rPr>
          <w:spacing w:val="-35"/>
        </w:rPr>
        <w:t> </w:t>
      </w:r>
      <w:r>
        <w:rPr>
          <w:rFonts w:ascii="宋体" w:hAnsi="宋体" w:cs="宋体" w:eastAsia="宋体" w:hint="default"/>
        </w:rPr>
        <w:t>9</w:t>
      </w:r>
      <w:r>
        <w:rPr>
          <w:rFonts w:ascii="宋体" w:hAnsi="宋体" w:cs="宋体" w:eastAsia="宋体" w:hint="default"/>
          <w:spacing w:val="-38"/>
        </w:rPr>
        <w:t> </w:t>
      </w:r>
      <w:r>
        <w:rPr/>
        <w:t>月</w:t>
      </w:r>
      <w:r>
        <w:rPr>
          <w:spacing w:val="-35"/>
        </w:rPr>
        <w:t> </w:t>
      </w:r>
      <w:r>
        <w:rPr>
          <w:rFonts w:ascii="宋体" w:hAnsi="宋体" w:cs="宋体" w:eastAsia="宋体" w:hint="default"/>
        </w:rPr>
        <w:t>7</w:t>
      </w:r>
      <w:r>
        <w:rPr>
          <w:rFonts w:ascii="宋体" w:hAnsi="宋体" w:cs="宋体" w:eastAsia="宋体" w:hint="default"/>
          <w:spacing w:val="-38"/>
        </w:rPr>
        <w:t> </w:t>
      </w:r>
      <w:r>
        <w:rPr>
          <w:spacing w:val="-6"/>
        </w:rPr>
        <w:t>日，恒生电子股份有限公司（以下称“恒生电子”、“公司”或“本公司”）收到公司控股子公司杭州恒生网络技术服务有限公司（以</w:t>
      </w:r>
    </w:p>
    <w:p>
      <w:pPr>
        <w:pStyle w:val="BodyText"/>
        <w:spacing w:line="357" w:lineRule="auto" w:before="133"/>
        <w:ind w:left="224" w:right="0"/>
        <w:jc w:val="left"/>
      </w:pPr>
      <w:r>
        <w:rPr/>
        <w:t>下简称“恒生网络”）的通知，恒生网络并刘曙峰先生、官晓岚先生于</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w:t>
      </w:r>
      <w:r>
        <w:rPr>
          <w:spacing w:val="-54"/>
        </w:rPr>
        <w:t> </w:t>
      </w:r>
      <w:r>
        <w:rPr>
          <w:rFonts w:ascii="宋体" w:hAnsi="宋体" w:cs="宋体" w:eastAsia="宋体" w:hint="default"/>
        </w:rPr>
        <w:t>7</w:t>
      </w:r>
      <w:r>
        <w:rPr>
          <w:rFonts w:ascii="宋体" w:hAnsi="宋体" w:cs="宋体" w:eastAsia="宋体" w:hint="default"/>
          <w:spacing w:val="-54"/>
        </w:rPr>
        <w:t> </w:t>
      </w:r>
      <w:r>
        <w:rPr/>
        <w:t>日收到中国证券监督管理委员会</w:t>
      </w:r>
      <w:r>
        <w:rPr>
          <w:rFonts w:ascii="宋体" w:hAnsi="宋体" w:cs="宋体" w:eastAsia="宋体" w:hint="default"/>
        </w:rPr>
        <w:t>(</w:t>
      </w:r>
      <w:r>
        <w:rPr/>
        <w:t>以下简称“证监会”</w:t>
      </w:r>
      <w:r>
        <w:rPr>
          <w:rFonts w:ascii="宋体" w:hAnsi="宋体" w:cs="宋体" w:eastAsia="宋体" w:hint="default"/>
        </w:rPr>
        <w:t>)</w:t>
      </w:r>
      <w:r>
        <w:rPr>
          <w:rFonts w:ascii="宋体" w:hAnsi="宋体" w:cs="宋体" w:eastAsia="宋体" w:hint="default"/>
          <w:spacing w:val="-2"/>
        </w:rPr>
        <w:t> </w:t>
      </w:r>
      <w:r>
        <w:rPr/>
        <w:t>行政处罚</w:t>
      </w:r>
      <w:r>
        <w:rPr>
          <w:w w:val="100"/>
        </w:rPr>
        <w:t> </w:t>
      </w:r>
      <w:r>
        <w:rPr/>
        <w:t>事先告知书（处罚字</w:t>
      </w:r>
      <w:r>
        <w:rPr>
          <w:rFonts w:ascii="宋体" w:hAnsi="宋体" w:cs="宋体" w:eastAsia="宋体" w:hint="default"/>
        </w:rPr>
        <w:t>[2015]68</w:t>
      </w:r>
      <w:r>
        <w:rPr>
          <w:rFonts w:ascii="宋体" w:hAnsi="宋体" w:cs="宋体" w:eastAsia="宋体" w:hint="default"/>
          <w:spacing w:val="-17"/>
        </w:rPr>
        <w:t> </w:t>
      </w:r>
      <w:r>
        <w:rPr/>
        <w:t>号），时任恒生网络董事长刘曙峰（现任恒生电子总裁）为直接负责的主管人员，总经理官晓岚（现任恒生电子副总裁）</w:t>
      </w:r>
      <w:r>
        <w:rPr>
          <w:spacing w:val="-92"/>
        </w:rPr>
        <w:t> </w:t>
      </w:r>
      <w:r>
        <w:rPr>
          <w:spacing w:val="-92"/>
        </w:rPr>
      </w:r>
      <w:r>
        <w:rPr/>
        <w:t>为其他直接责任人员。</w:t>
      </w:r>
    </w:p>
    <w:p>
      <w:pPr>
        <w:spacing w:after="0" w:line="357" w:lineRule="auto"/>
        <w:jc w:val="left"/>
        <w:sectPr>
          <w:pgSz w:w="16840" w:h="11910" w:orient="landscape"/>
          <w:pgMar w:header="880" w:footer="1195" w:top="1120" w:bottom="1380" w:left="1300" w:right="1220"/>
        </w:sectPr>
      </w:pPr>
    </w:p>
    <w:p>
      <w:pPr>
        <w:pStyle w:val="BodyText"/>
        <w:spacing w:line="355" w:lineRule="auto" w:before="120"/>
        <w:ind w:left="144" w:right="0" w:firstLine="420"/>
        <w:jc w:val="left"/>
      </w:pPr>
      <w:r>
        <w:rPr>
          <w:spacing w:val="-2"/>
        </w:rPr>
        <w:t>杭州恒生网络技术服务有限公司涉嫌违反证券法律法规一案，根据当事人违法行为的事实、性质、情节与社会危害程度，依据《证券法》第一百九</w:t>
      </w:r>
      <w:r>
        <w:rPr>
          <w:w w:val="100"/>
        </w:rPr>
        <w:t> </w:t>
      </w:r>
      <w:r>
        <w:rPr/>
        <w:t>十七条的规定，中国证监会拟决定：</w:t>
      </w:r>
    </w:p>
    <w:p>
      <w:pPr>
        <w:pStyle w:val="BodyText"/>
        <w:tabs>
          <w:tab w:pos="1404" w:val="left" w:leader="none"/>
        </w:tabs>
        <w:spacing w:line="355" w:lineRule="auto" w:before="32"/>
        <w:ind w:left="564" w:right="5590"/>
        <w:jc w:val="left"/>
      </w:pPr>
      <w:r>
        <w:rPr/>
        <w:t>一、</w:t>
        <w:tab/>
        <w:t>没收恒生网络违法所得</w:t>
      </w:r>
      <w:r>
        <w:rPr>
          <w:spacing w:val="-54"/>
        </w:rPr>
        <w:t> </w:t>
      </w:r>
      <w:r>
        <w:rPr>
          <w:rFonts w:ascii="宋体" w:hAnsi="宋体" w:cs="宋体" w:eastAsia="宋体" w:hint="default"/>
        </w:rPr>
        <w:t>132,852,384.06</w:t>
      </w:r>
      <w:r>
        <w:rPr>
          <w:rFonts w:ascii="宋体" w:hAnsi="宋体" w:cs="宋体" w:eastAsia="宋体" w:hint="default"/>
          <w:spacing w:val="-57"/>
        </w:rPr>
        <w:t> </w:t>
      </w:r>
      <w:r>
        <w:rPr/>
        <w:t>元，并处以</w:t>
      </w:r>
      <w:r>
        <w:rPr>
          <w:spacing w:val="-57"/>
        </w:rPr>
        <w:t> </w:t>
      </w:r>
      <w:r>
        <w:rPr>
          <w:rFonts w:ascii="宋体" w:hAnsi="宋体" w:cs="宋体" w:eastAsia="宋体" w:hint="default"/>
        </w:rPr>
        <w:t>398,557,152.18</w:t>
      </w:r>
      <w:r>
        <w:rPr>
          <w:rFonts w:ascii="宋体" w:hAnsi="宋体" w:cs="宋体" w:eastAsia="宋体" w:hint="default"/>
          <w:spacing w:val="-55"/>
        </w:rPr>
        <w:t> </w:t>
      </w:r>
      <w:r>
        <w:rPr/>
        <w:t>元罚款；</w:t>
      </w:r>
      <w:r>
        <w:rPr>
          <w:w w:val="100"/>
        </w:rPr>
        <w:t> </w:t>
      </w:r>
      <w:r>
        <w:rPr/>
        <w:t>二、</w:t>
        <w:tab/>
        <w:t>对刘曙峰给予警告，并处以</w:t>
      </w:r>
      <w:r>
        <w:rPr>
          <w:spacing w:val="-52"/>
        </w:rPr>
        <w:t> </w:t>
      </w:r>
      <w:r>
        <w:rPr>
          <w:rFonts w:ascii="宋体" w:hAnsi="宋体" w:cs="宋体" w:eastAsia="宋体" w:hint="default"/>
        </w:rPr>
        <w:t>30</w:t>
      </w:r>
      <w:r>
        <w:rPr>
          <w:rFonts w:ascii="宋体" w:hAnsi="宋体" w:cs="宋体" w:eastAsia="宋体" w:hint="default"/>
          <w:spacing w:val="-55"/>
        </w:rPr>
        <w:t> </w:t>
      </w:r>
      <w:r>
        <w:rPr/>
        <w:t>万元罚款；</w:t>
      </w:r>
    </w:p>
    <w:p>
      <w:pPr>
        <w:pStyle w:val="BodyText"/>
        <w:tabs>
          <w:tab w:pos="1404" w:val="left" w:leader="none"/>
        </w:tabs>
        <w:spacing w:line="240" w:lineRule="auto" w:before="34"/>
        <w:ind w:left="564" w:right="0"/>
        <w:jc w:val="left"/>
      </w:pPr>
      <w:r>
        <w:rPr/>
        <w:t>三、</w:t>
        <w:tab/>
        <w:t>对官晓岚给予警告，并处以</w:t>
      </w:r>
      <w:r>
        <w:rPr>
          <w:spacing w:val="-52"/>
        </w:rPr>
        <w:t> </w:t>
      </w:r>
      <w:r>
        <w:rPr>
          <w:rFonts w:ascii="宋体" w:hAnsi="宋体" w:cs="宋体" w:eastAsia="宋体" w:hint="default"/>
        </w:rPr>
        <w:t>30</w:t>
      </w:r>
      <w:r>
        <w:rPr>
          <w:rFonts w:ascii="宋体" w:hAnsi="宋体" w:cs="宋体" w:eastAsia="宋体" w:hint="default"/>
          <w:spacing w:val="-55"/>
        </w:rPr>
        <w:t> </w:t>
      </w:r>
      <w:r>
        <w:rPr/>
        <w:t>万元罚款；</w:t>
      </w:r>
    </w:p>
    <w:p>
      <w:pPr>
        <w:pStyle w:val="BodyText"/>
        <w:spacing w:line="240" w:lineRule="auto" w:before="133"/>
        <w:ind w:left="564" w:right="0"/>
        <w:jc w:val="left"/>
      </w:pPr>
      <w:r>
        <w:rPr/>
        <w:t>以上内容详见公司</w:t>
      </w:r>
      <w:r>
        <w:rPr>
          <w:spacing w:val="-55"/>
        </w:rPr>
        <w:t> </w:t>
      </w:r>
      <w:r>
        <w:rPr>
          <w:rFonts w:ascii="宋体" w:hAnsi="宋体" w:cs="宋体" w:eastAsia="宋体" w:hint="default"/>
        </w:rPr>
        <w:t>2015</w:t>
      </w:r>
      <w:r>
        <w:rPr>
          <w:rFonts w:ascii="宋体" w:hAnsi="宋体" w:cs="宋体" w:eastAsia="宋体" w:hint="default"/>
          <w:spacing w:val="-57"/>
        </w:rPr>
        <w:t> </w:t>
      </w:r>
      <w:r>
        <w:rPr/>
        <w:t>年</w:t>
      </w:r>
      <w:r>
        <w:rPr>
          <w:spacing w:val="-55"/>
        </w:rPr>
        <w:t> </w:t>
      </w:r>
      <w:r>
        <w:rPr>
          <w:rFonts w:ascii="宋体" w:hAnsi="宋体" w:cs="宋体" w:eastAsia="宋体" w:hint="default"/>
        </w:rPr>
        <w:t>9</w:t>
      </w:r>
      <w:r>
        <w:rPr>
          <w:rFonts w:ascii="宋体" w:hAnsi="宋体" w:cs="宋体" w:eastAsia="宋体" w:hint="default"/>
          <w:spacing w:val="-57"/>
        </w:rPr>
        <w:t> </w:t>
      </w:r>
      <w:r>
        <w:rPr/>
        <w:t>月</w:t>
      </w:r>
      <w:r>
        <w:rPr>
          <w:spacing w:val="-55"/>
        </w:rPr>
        <w:t> </w:t>
      </w:r>
      <w:r>
        <w:rPr>
          <w:rFonts w:ascii="宋体" w:hAnsi="宋体" w:cs="宋体" w:eastAsia="宋体" w:hint="default"/>
        </w:rPr>
        <w:t>8</w:t>
      </w:r>
      <w:r>
        <w:rPr>
          <w:rFonts w:ascii="宋体" w:hAnsi="宋体" w:cs="宋体" w:eastAsia="宋体" w:hint="default"/>
          <w:spacing w:val="-54"/>
        </w:rPr>
        <w:t> </w:t>
      </w:r>
      <w:r>
        <w:rPr/>
        <w:t>日发布的</w:t>
      </w:r>
      <w:r>
        <w:rPr>
          <w:spacing w:val="-55"/>
        </w:rPr>
        <w:t> </w:t>
      </w:r>
      <w:r>
        <w:rPr>
          <w:rFonts w:ascii="宋体" w:hAnsi="宋体" w:cs="宋体" w:eastAsia="宋体" w:hint="default"/>
        </w:rPr>
        <w:t>2015-061</w:t>
      </w:r>
      <w:r>
        <w:rPr>
          <w:rFonts w:ascii="宋体" w:hAnsi="宋体" w:cs="宋体" w:eastAsia="宋体" w:hint="default"/>
          <w:spacing w:val="-55"/>
        </w:rPr>
        <w:t> </w:t>
      </w:r>
      <w:r>
        <w:rPr/>
        <w:t>号公告。截至本报告披露日，公司未收到有关以上处罚的进一步通知书。</w:t>
      </w:r>
    </w:p>
    <w:p>
      <w:pPr>
        <w:pStyle w:val="BodyText"/>
        <w:spacing w:line="240" w:lineRule="auto" w:before="133"/>
        <w:ind w:left="564" w:right="0"/>
        <w:jc w:val="left"/>
      </w:pPr>
      <w:r>
        <w:rPr/>
        <w:t>恒生网络关于</w:t>
      </w:r>
      <w:r>
        <w:rPr>
          <w:spacing w:val="-53"/>
        </w:rPr>
        <w:t> </w:t>
      </w:r>
      <w:r>
        <w:rPr>
          <w:rFonts w:ascii="宋体" w:hAnsi="宋体" w:cs="宋体" w:eastAsia="宋体" w:hint="default"/>
        </w:rPr>
        <w:t>HOMS</w:t>
      </w:r>
      <w:r>
        <w:rPr>
          <w:rFonts w:ascii="宋体" w:hAnsi="宋体" w:cs="宋体" w:eastAsia="宋体" w:hint="default"/>
          <w:spacing w:val="-55"/>
        </w:rPr>
        <w:t> </w:t>
      </w:r>
      <w:r>
        <w:rPr/>
        <w:t>事项的整改措施详见公司</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16</w:t>
      </w:r>
      <w:r>
        <w:rPr>
          <w:rFonts w:ascii="宋体" w:hAnsi="宋体" w:cs="宋体" w:eastAsia="宋体" w:hint="default"/>
          <w:spacing w:val="-55"/>
        </w:rPr>
        <w:t> </w:t>
      </w:r>
      <w:r>
        <w:rPr/>
        <w:t>日发布的公告</w:t>
      </w:r>
      <w:r>
        <w:rPr>
          <w:spacing w:val="-55"/>
        </w:rPr>
        <w:t> </w:t>
      </w:r>
      <w:r>
        <w:rPr>
          <w:rFonts w:ascii="宋体" w:hAnsi="宋体" w:cs="宋体" w:eastAsia="宋体" w:hint="default"/>
        </w:rPr>
        <w:t>2015-048</w:t>
      </w:r>
      <w:r>
        <w:rPr>
          <w:rFonts w:ascii="宋体" w:hAnsi="宋体" w:cs="宋体" w:eastAsia="宋体" w:hint="default"/>
          <w:spacing w:val="-53"/>
        </w:rPr>
        <w:t> </w:t>
      </w:r>
      <w:r>
        <w:rPr>
          <w:spacing w:val="-3"/>
        </w:rPr>
        <w:t>号。</w:t>
      </w:r>
      <w:r>
        <w:rPr/>
      </w:r>
    </w:p>
    <w:p>
      <w:pPr>
        <w:spacing w:after="0" w:line="240" w:lineRule="auto"/>
        <w:jc w:val="left"/>
        <w:sectPr>
          <w:pgSz w:w="16840" w:h="11910" w:orient="landscape"/>
          <w:pgMar w:header="880" w:footer="1195" w:top="1120" w:bottom="1380" w:left="1380" w:right="1320"/>
        </w:sectPr>
      </w:pPr>
    </w:p>
    <w:p>
      <w:pPr>
        <w:spacing w:line="240" w:lineRule="auto" w:before="0"/>
        <w:rPr>
          <w:rFonts w:ascii="宋体" w:hAnsi="宋体" w:cs="宋体" w:eastAsia="宋体" w:hint="default"/>
          <w:sz w:val="20"/>
          <w:szCs w:val="20"/>
        </w:rPr>
      </w:pPr>
      <w:r>
        <w:rPr/>
        <w:pict>
          <v:shape style="position:absolute;margin-left:89.849998pt;margin-top:408.47998pt;width:325.614723pt;height:196.0875pt;mso-position-horizontal-relative:page;mso-position-vertical-relative:page;z-index:-1078432" type="#_x0000_t75" stroked="false">
            <v:imagedata r:id="rId22" o:title=""/>
          </v:shape>
        </w:pic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240" w:lineRule="auto" w:before="0"/>
        <w:ind w:right="2940"/>
        <w:jc w:val="left"/>
        <w:rPr>
          <w:b w:val="0"/>
          <w:bCs w:val="0"/>
        </w:rPr>
      </w:pPr>
      <w:r>
        <w:rPr/>
        <w:t>六、母公司和主要子公司的员工情况</w:t>
      </w:r>
      <w:r>
        <w:rPr>
          <w:b w:val="0"/>
          <w:bCs w:val="0"/>
        </w:rPr>
      </w:r>
    </w:p>
    <w:p>
      <w:pPr>
        <w:pStyle w:val="Heading4"/>
        <w:spacing w:line="240" w:lineRule="auto" w:before="56"/>
        <w:ind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4,541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1,282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5,823</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产品技术</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3,483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客户服务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1,598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市场销售</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285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职能管理</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5,823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4,795</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5,823</w:t>
            </w:r>
          </w:p>
        </w:tc>
      </w:tr>
    </w:tbl>
    <w:p>
      <w:pPr>
        <w:spacing w:after="0" w:line="241" w:lineRule="exact"/>
        <w:jc w:val="right"/>
        <w:rPr>
          <w:rFonts w:ascii="宋体" w:hAnsi="宋体" w:cs="宋体" w:eastAsia="宋体" w:hint="default"/>
          <w:sz w:val="21"/>
          <w:szCs w:val="21"/>
        </w:rPr>
        <w:sectPr>
          <w:headerReference w:type="default" r:id="rId20"/>
          <w:footerReference w:type="default" r:id="rId21"/>
          <w:pgSz w:w="11910" w:h="16840"/>
          <w:pgMar w:header="877" w:footer="1195" w:top="1100" w:bottom="1380" w:left="1580" w:right="1040"/>
          <w:pgNumType w:start="47"/>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1"/>
          <w:szCs w:val="11"/>
        </w:rPr>
      </w:pPr>
    </w:p>
    <w:p>
      <w:pPr>
        <w:spacing w:line="4022" w:lineRule="exact"/>
        <w:ind w:left="217" w:right="0" w:firstLine="0"/>
        <w:rPr>
          <w:rFonts w:ascii="宋体" w:hAnsi="宋体" w:cs="宋体" w:eastAsia="宋体" w:hint="default"/>
          <w:sz w:val="20"/>
          <w:szCs w:val="20"/>
        </w:rPr>
      </w:pPr>
      <w:r>
        <w:rPr>
          <w:rFonts w:ascii="宋体" w:hAnsi="宋体" w:cs="宋体" w:eastAsia="宋体" w:hint="default"/>
          <w:position w:val="-79"/>
          <w:sz w:val="20"/>
          <w:szCs w:val="20"/>
        </w:rPr>
        <w:drawing>
          <wp:inline distT="0" distB="0" distL="0" distR="0">
            <wp:extent cx="4108676" cy="2554224"/>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3" cstate="print"/>
                    <a:stretch>
                      <a:fillRect/>
                    </a:stretch>
                  </pic:blipFill>
                  <pic:spPr>
                    <a:xfrm>
                      <a:off x="0" y="0"/>
                      <a:ext cx="4108676" cy="2554224"/>
                    </a:xfrm>
                    <a:prstGeom prst="rect">
                      <a:avLst/>
                    </a:prstGeom>
                  </pic:spPr>
                </pic:pic>
              </a:graphicData>
            </a:graphic>
          </wp:inline>
        </w:drawing>
      </w:r>
      <w:r>
        <w:rPr>
          <w:rFonts w:ascii="宋体" w:hAnsi="宋体" w:cs="宋体" w:eastAsia="宋体" w:hint="default"/>
          <w:position w:val="-79"/>
          <w:sz w:val="20"/>
          <w:szCs w:val="20"/>
        </w:rPr>
      </w:r>
    </w:p>
    <w:p>
      <w:pPr>
        <w:pStyle w:val="BodyText"/>
        <w:spacing w:line="252" w:lineRule="auto" w:before="28"/>
        <w:ind w:right="227"/>
        <w:jc w:val="left"/>
      </w:pPr>
      <w:r>
        <w:rPr>
          <w:rFonts w:ascii="Calibri" w:hAnsi="Calibri" w:cs="Calibri" w:eastAsia="Calibri" w:hint="default"/>
          <w:b/>
          <w:bCs/>
        </w:rPr>
        <w:t>(</w:t>
      </w:r>
      <w:r>
        <w:rPr>
          <w:rFonts w:ascii="宋体" w:hAnsi="宋体" w:cs="宋体" w:eastAsia="宋体" w:hint="default"/>
          <w:b/>
          <w:bCs/>
        </w:rPr>
        <w:t>二</w:t>
      </w:r>
      <w:r>
        <w:rPr>
          <w:rFonts w:ascii="Calibri" w:hAnsi="Calibri" w:cs="Calibri" w:eastAsia="Calibri" w:hint="default"/>
          <w:b/>
          <w:bCs/>
        </w:rPr>
        <w:t>)</w:t>
      </w:r>
      <w:r>
        <w:rPr>
          <w:rFonts w:ascii="Calibri" w:hAnsi="Calibri" w:cs="Calibri" w:eastAsia="Calibri" w:hint="default"/>
          <w:b/>
          <w:bCs/>
          <w:spacing w:val="32"/>
        </w:rPr>
        <w:t> </w:t>
      </w:r>
      <w:r>
        <w:rPr>
          <w:rFonts w:ascii="宋体" w:hAnsi="宋体" w:cs="宋体" w:eastAsia="宋体" w:hint="default"/>
          <w:b/>
          <w:bCs/>
        </w:rPr>
        <w:t>薪酬政策</w:t>
      </w:r>
      <w:r>
        <w:rPr>
          <w:rFonts w:ascii="宋体" w:hAnsi="宋体" w:cs="宋体" w:eastAsia="宋体" w:hint="default"/>
          <w:b/>
          <w:bCs/>
          <w:spacing w:val="-103"/>
        </w:rPr>
        <w:t> </w:t>
      </w:r>
      <w:r>
        <w:rPr>
          <w:spacing w:val="-2"/>
        </w:rPr>
        <w:t>本公司员工的薪酬包括工资、奖金及其他福利计划。本公司遵循中国有关法律及法规的情况下，</w:t>
      </w:r>
      <w:r>
        <w:rPr>
          <w:spacing w:val="-25"/>
        </w:rPr>
        <w:t> </w:t>
      </w:r>
      <w:r>
        <w:rPr>
          <w:spacing w:val="-25"/>
        </w:rPr>
      </w:r>
      <w:r>
        <w:rPr/>
        <w:t>根据员工的岗位、能力、业绩等因素，对不同员工执行不同的薪酬标准。</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52" w:lineRule="auto"/>
        <w:ind w:right="227"/>
        <w:jc w:val="left"/>
      </w:pPr>
      <w:r>
        <w:rPr>
          <w:rFonts w:ascii="Calibri" w:hAnsi="Calibri" w:cs="Calibri" w:eastAsia="Calibri" w:hint="default"/>
          <w:b/>
          <w:bCs/>
        </w:rPr>
        <w:t>(</w:t>
      </w:r>
      <w:r>
        <w:rPr>
          <w:rFonts w:ascii="宋体" w:hAnsi="宋体" w:cs="宋体" w:eastAsia="宋体" w:hint="default"/>
          <w:b/>
          <w:bCs/>
        </w:rPr>
        <w:t>三</w:t>
      </w:r>
      <w:r>
        <w:rPr>
          <w:rFonts w:ascii="Calibri" w:hAnsi="Calibri" w:cs="Calibri" w:eastAsia="Calibri" w:hint="default"/>
          <w:b/>
          <w:bCs/>
        </w:rPr>
        <w:t>)</w:t>
      </w:r>
      <w:r>
        <w:rPr>
          <w:rFonts w:ascii="Calibri" w:hAnsi="Calibri" w:cs="Calibri" w:eastAsia="Calibri" w:hint="default"/>
          <w:b/>
          <w:bCs/>
          <w:spacing w:val="32"/>
        </w:rPr>
        <w:t> </w:t>
      </w:r>
      <w:r>
        <w:rPr>
          <w:rFonts w:ascii="宋体" w:hAnsi="宋体" w:cs="宋体" w:eastAsia="宋体" w:hint="default"/>
          <w:b/>
          <w:bCs/>
        </w:rPr>
        <w:t>培训计划</w:t>
      </w:r>
      <w:r>
        <w:rPr>
          <w:rFonts w:ascii="宋体" w:hAnsi="宋体" w:cs="宋体" w:eastAsia="宋体" w:hint="default"/>
          <w:b/>
          <w:bCs/>
          <w:spacing w:val="-103"/>
        </w:rPr>
        <w:t> </w:t>
      </w:r>
      <w:r>
        <w:rPr>
          <w:spacing w:val="-2"/>
        </w:rPr>
        <w:t>公司注重提升员工队伍的整体素质，根据各类人才的发展需求制定人才培训计划，使公司的管理</w:t>
      </w:r>
      <w:r>
        <w:rPr>
          <w:spacing w:val="-25"/>
        </w:rPr>
        <w:t> </w:t>
      </w:r>
      <w:r>
        <w:rPr>
          <w:spacing w:val="-25"/>
        </w:rPr>
      </w:r>
      <w:r>
        <w:rPr/>
        <w:t>水平和人力资源得以不断提升。</w:t>
      </w:r>
    </w:p>
    <w:p>
      <w:pPr>
        <w:spacing w:line="240" w:lineRule="auto" w:before="6"/>
        <w:rPr>
          <w:rFonts w:ascii="宋体" w:hAnsi="宋体" w:cs="宋体" w:eastAsia="宋体" w:hint="default"/>
          <w:sz w:val="24"/>
          <w:szCs w:val="24"/>
        </w:rPr>
      </w:pPr>
    </w:p>
    <w:p>
      <w:pPr>
        <w:pStyle w:val="Heading4"/>
        <w:spacing w:line="240" w:lineRule="auto" w:before="0"/>
        <w:ind w:right="294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4021</w:t>
            </w:r>
            <w:r>
              <w:rPr>
                <w:rFonts w:ascii="宋体" w:hAnsi="宋体" w:cs="宋体" w:eastAsia="宋体" w:hint="default"/>
                <w:spacing w:val="-51"/>
                <w:sz w:val="21"/>
                <w:szCs w:val="21"/>
              </w:rPr>
              <w:t> </w:t>
            </w:r>
            <w:r>
              <w:rPr>
                <w:rFonts w:ascii="宋体" w:hAnsi="宋体" w:cs="宋体" w:eastAsia="宋体" w:hint="default"/>
                <w:sz w:val="21"/>
                <w:szCs w:val="21"/>
              </w:rPr>
              <w:t>人月</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4793</w:t>
            </w:r>
            <w:r>
              <w:rPr>
                <w:rFonts w:ascii="宋体" w:hAnsi="宋体" w:cs="宋体" w:eastAsia="宋体" w:hint="default"/>
                <w:spacing w:val="-51"/>
                <w:sz w:val="21"/>
                <w:szCs w:val="21"/>
              </w:rPr>
              <w:t> </w:t>
            </w:r>
            <w:r>
              <w:rPr>
                <w:rFonts w:ascii="宋体" w:hAnsi="宋体" w:cs="宋体" w:eastAsia="宋体" w:hint="default"/>
                <w:sz w:val="21"/>
                <w:szCs w:val="21"/>
              </w:rPr>
              <w:t>万元</w:t>
            </w:r>
          </w:p>
        </w:tc>
      </w:tr>
    </w:tbl>
    <w:p>
      <w:pPr>
        <w:spacing w:line="240" w:lineRule="auto" w:before="12"/>
        <w:rPr>
          <w:rFonts w:ascii="宋体" w:hAnsi="宋体" w:cs="宋体" w:eastAsia="宋体" w:hint="default"/>
          <w:b/>
          <w:bCs/>
          <w:sz w:val="19"/>
          <w:szCs w:val="19"/>
        </w:rPr>
      </w:pPr>
    </w:p>
    <w:p>
      <w:pPr>
        <w:pStyle w:val="Heading4"/>
        <w:spacing w:line="240" w:lineRule="auto"/>
        <w:ind w:right="2940"/>
        <w:jc w:val="left"/>
        <w:rPr>
          <w:b w:val="0"/>
          <w:bCs w:val="0"/>
        </w:rPr>
      </w:pPr>
      <w:r>
        <w:rPr/>
        <w:t>七、其他</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16"/>
          <w:szCs w:val="16"/>
        </w:rPr>
      </w:pPr>
    </w:p>
    <w:p>
      <w:pPr>
        <w:pStyle w:val="Heading1"/>
        <w:tabs>
          <w:tab w:pos="5330" w:val="left" w:leader="none"/>
        </w:tabs>
        <w:spacing w:line="240" w:lineRule="auto"/>
        <w:ind w:left="4229" w:right="227"/>
        <w:jc w:val="left"/>
        <w:rPr>
          <w:b w:val="0"/>
          <w:bCs w:val="0"/>
        </w:rPr>
      </w:pPr>
      <w:bookmarkStart w:name="_TOC_250003" w:id="9"/>
      <w:r>
        <w:rPr>
          <w:w w:val="95"/>
        </w:rPr>
        <w:t>第九节</w:t>
        <w:tab/>
      </w:r>
      <w:r>
        <w:rPr/>
        <w:t>公司治理</w:t>
      </w:r>
      <w:bookmarkEnd w:id="9"/>
      <w:r>
        <w:rPr>
          <w:b w:val="0"/>
          <w:bCs w:val="0"/>
        </w:rPr>
      </w:r>
    </w:p>
    <w:p>
      <w:pPr>
        <w:spacing w:line="240" w:lineRule="auto" w:before="7"/>
        <w:rPr>
          <w:rFonts w:ascii="黑体" w:hAnsi="黑体" w:cs="黑体" w:eastAsia="黑体" w:hint="default"/>
          <w:b/>
          <w:bCs/>
          <w:sz w:val="16"/>
          <w:szCs w:val="16"/>
        </w:rPr>
      </w:pPr>
    </w:p>
    <w:p>
      <w:pPr>
        <w:pStyle w:val="Heading4"/>
        <w:spacing w:line="240" w:lineRule="auto"/>
        <w:ind w:right="2940"/>
        <w:jc w:val="left"/>
        <w:rPr>
          <w:b w:val="0"/>
          <w:bCs w:val="0"/>
        </w:rPr>
      </w:pPr>
      <w:r>
        <w:rPr/>
        <w:t>一、公司治理相关情况说明</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5"/>
          <w:szCs w:val="25"/>
        </w:rPr>
      </w:pPr>
    </w:p>
    <w:p>
      <w:pPr>
        <w:pStyle w:val="BodyText"/>
        <w:spacing w:line="240" w:lineRule="auto"/>
        <w:ind w:right="766"/>
        <w:jc w:val="left"/>
      </w:pPr>
      <w:r>
        <w:rPr>
          <w:spacing w:val="-2"/>
        </w:rPr>
        <w:t>公司治理与中国证监会相关规定的要求是否存在重大差异；如有重大差异，应当说明原因</w:t>
      </w:r>
      <w:r>
        <w:rPr>
          <w:spacing w:val="-33"/>
        </w:rPr>
        <w:t> </w:t>
      </w:r>
      <w:r>
        <w:rPr>
          <w:spacing w:val="-33"/>
        </w:rPr>
      </w:r>
      <w:r>
        <w:rPr/>
        <w:t>无</w:t>
      </w:r>
    </w:p>
    <w:p>
      <w:pPr>
        <w:spacing w:line="240" w:lineRule="auto" w:before="0"/>
        <w:rPr>
          <w:rFonts w:ascii="宋体" w:hAnsi="宋体" w:cs="宋体" w:eastAsia="宋体" w:hint="default"/>
          <w:sz w:val="25"/>
          <w:szCs w:val="25"/>
        </w:rPr>
      </w:pPr>
    </w:p>
    <w:p>
      <w:pPr>
        <w:pStyle w:val="Heading4"/>
        <w:spacing w:line="240" w:lineRule="auto" w:before="0"/>
        <w:ind w:right="2940"/>
        <w:jc w:val="left"/>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33"/>
                <w:sz w:val="21"/>
                <w:szCs w:val="21"/>
              </w:rPr>
              <w:t> </w:t>
            </w:r>
            <w:r>
              <w:rPr>
                <w:rFonts w:ascii="宋体" w:hAnsi="宋体" w:cs="宋体" w:eastAsia="宋体" w:hint="default"/>
                <w:spacing w:val="9"/>
                <w:sz w:val="21"/>
                <w:szCs w:val="21"/>
              </w:rPr>
              <w:t>年第一次临时股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9">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3"/>
                <w:sz w:val="21"/>
                <w:szCs w:val="21"/>
              </w:rPr>
              <w:t> </w:t>
            </w:r>
            <w:r>
              <w:rPr>
                <w:rFonts w:ascii="宋体" w:hAnsi="宋体" w:cs="宋体" w:eastAsia="宋体" w:hint="default"/>
                <w:sz w:val="21"/>
                <w:szCs w:val="21"/>
              </w:rPr>
              <w:t>年年度股东大会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9">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7"/>
        <w:rPr>
          <w:rFonts w:ascii="宋体" w:hAnsi="宋体" w:cs="宋体" w:eastAsia="宋体" w:hint="default"/>
          <w:b/>
          <w:bCs/>
          <w:sz w:val="15"/>
          <w:szCs w:val="15"/>
        </w:rPr>
      </w:pPr>
    </w:p>
    <w:p>
      <w:pPr>
        <w:pStyle w:val="BodyText"/>
        <w:spacing w:line="240" w:lineRule="auto" w:before="36"/>
        <w:ind w:right="2940"/>
        <w:jc w:val="left"/>
      </w:pPr>
      <w:r>
        <w:rPr/>
        <w:t>股东大会情况说明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240" w:lineRule="auto" w:before="0"/>
        <w:ind w:right="2940"/>
        <w:jc w:val="left"/>
        <w:rPr>
          <w:b w:val="0"/>
          <w:bCs w:val="0"/>
        </w:rPr>
      </w:pPr>
      <w:r>
        <w:rPr/>
        <w:t>三、董事履行职责情况</w:t>
      </w:r>
      <w:r>
        <w:rPr>
          <w:b w:val="0"/>
          <w:bCs w:val="0"/>
        </w:rPr>
      </w:r>
    </w:p>
    <w:p>
      <w:pPr>
        <w:pStyle w:val="Heading4"/>
        <w:spacing w:line="240" w:lineRule="auto" w:before="56"/>
        <w:ind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胡晓明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张东晖</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汪祥耀</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张天富</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丁玮</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郭田勇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bl>
    <w:p>
      <w:pPr>
        <w:pStyle w:val="BodyText"/>
        <w:spacing w:line="239" w:lineRule="exact"/>
        <w:ind w:right="2940"/>
        <w:jc w:val="left"/>
      </w:pPr>
      <w:r>
        <w:rPr/>
        <w:t>注：通讯方式参加视同亲自出席。</w:t>
      </w:r>
    </w:p>
    <w:p>
      <w:pPr>
        <w:pStyle w:val="BodyText"/>
        <w:spacing w:line="273" w:lineRule="exact"/>
        <w:ind w:right="2940"/>
        <w:jc w:val="left"/>
      </w:pPr>
      <w:r>
        <w:rPr/>
        <w:t>连续两次未亲自出席董事会会议的说明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3</w:t>
            </w:r>
          </w:p>
        </w:tc>
      </w:tr>
    </w:tbl>
    <w:p>
      <w:pPr>
        <w:spacing w:line="240" w:lineRule="auto" w:before="2"/>
        <w:rPr>
          <w:rFonts w:ascii="宋体" w:hAnsi="宋体" w:cs="宋体" w:eastAsia="宋体" w:hint="default"/>
          <w:sz w:val="20"/>
          <w:szCs w:val="20"/>
        </w:rPr>
      </w:pPr>
    </w:p>
    <w:p>
      <w:pPr>
        <w:pStyle w:val="Heading4"/>
        <w:spacing w:line="240" w:lineRule="auto"/>
        <w:ind w:right="294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1668"/>
        <w:gridCol w:w="2269"/>
        <w:gridCol w:w="1844"/>
        <w:gridCol w:w="1561"/>
        <w:gridCol w:w="1709"/>
      </w:tblGrid>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9"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独立董事提出异议的</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有关事项内容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异议的内容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hAnsi="宋体" w:cs="宋体" w:eastAsia="宋体" w:hint="default"/>
                <w:sz w:val="21"/>
                <w:szCs w:val="21"/>
              </w:rPr>
              <w:t>是否被采纳</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2940"/>
        <w:jc w:val="left"/>
      </w:pPr>
      <w:r>
        <w:rPr/>
        <w:t>独立董事对公司有关事项提出异议的说明</w:t>
      </w:r>
    </w:p>
    <w:p>
      <w:pPr>
        <w:pStyle w:val="BodyText"/>
        <w:spacing w:line="273" w:lineRule="exact"/>
        <w:ind w:right="2940"/>
        <w:jc w:val="left"/>
      </w:pPr>
      <w:r>
        <w:rPr>
          <w:w w:val="100"/>
        </w:rPr>
        <w:t>无</w:t>
      </w:r>
    </w:p>
    <w:p>
      <w:pPr>
        <w:spacing w:line="240" w:lineRule="auto" w:before="3"/>
        <w:rPr>
          <w:rFonts w:ascii="宋体" w:hAnsi="宋体" w:cs="宋体" w:eastAsia="宋体" w:hint="default"/>
          <w:sz w:val="25"/>
          <w:szCs w:val="25"/>
        </w:rPr>
      </w:pPr>
    </w:p>
    <w:p>
      <w:pPr>
        <w:pStyle w:val="Heading4"/>
        <w:spacing w:line="240" w:lineRule="auto" w:before="0"/>
        <w:ind w:right="294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spacing w:line="240" w:lineRule="auto" w:before="5"/>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72" w:lineRule="exact" w:before="64"/>
        <w:ind w:left="638" w:right="98" w:hanging="420"/>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237" w:lineRule="auto" w:before="36"/>
        <w:ind w:right="228" w:firstLine="419"/>
        <w:jc w:val="both"/>
      </w:pPr>
      <w:r>
        <w:rPr>
          <w:spacing w:val="-2"/>
        </w:rPr>
        <w:t>报告期内，公司董事会各专门委员会按照各自工作细则的规定，以认真负责、勤勉诚信的态</w:t>
      </w:r>
      <w:r>
        <w:rPr>
          <w:w w:val="100"/>
        </w:rPr>
        <w:t> </w:t>
      </w:r>
      <w:r>
        <w:rPr>
          <w:spacing w:val="-2"/>
        </w:rPr>
        <w:t>度忠实履行各自职责，为完善公司治理结构、促进公司发展起到了积极的作用。董事会战略投资</w:t>
      </w:r>
      <w:r>
        <w:rPr>
          <w:spacing w:val="-25"/>
        </w:rPr>
        <w:t> </w:t>
      </w:r>
      <w:r>
        <w:rPr>
          <w:spacing w:val="-25"/>
        </w:rPr>
      </w:r>
      <w:r>
        <w:rPr/>
        <w:t>委员会对公司战略做出了非常重要的解读，</w:t>
      </w:r>
      <w:r>
        <w:rPr>
          <w:spacing w:val="-19"/>
        </w:rPr>
        <w:t> </w:t>
      </w:r>
      <w:r>
        <w:rPr>
          <w:spacing w:val="-4"/>
        </w:rPr>
        <w:t>“连接百万亿，让金融变简单”的愿景和使命已全员</w:t>
      </w:r>
      <w:r>
        <w:rPr>
          <w:spacing w:val="-95"/>
        </w:rPr>
        <w:t> </w:t>
      </w:r>
      <w:r>
        <w:rPr>
          <w:spacing w:val="-95"/>
        </w:rPr>
      </w:r>
      <w:r>
        <w:rPr>
          <w:spacing w:val="-2"/>
        </w:rPr>
        <w:t>宣讲深入人心，确保公司战略传达到位；董事会审计委员会在公司聘任审计机构、编制半年度报</w:t>
      </w:r>
      <w:r>
        <w:rPr>
          <w:spacing w:val="-25"/>
        </w:rPr>
        <w:t> </w:t>
      </w:r>
      <w:r>
        <w:rPr>
          <w:spacing w:val="-25"/>
        </w:rPr>
      </w:r>
      <w:r>
        <w:rPr>
          <w:spacing w:val="-2"/>
        </w:rPr>
        <w:t>告和年度报告、重大关联交易过程中，实施了有效监督，并保持与外部审计机构的有效沟通；董</w:t>
      </w:r>
      <w:r>
        <w:rPr>
          <w:spacing w:val="-25"/>
        </w:rPr>
        <w:t> </w:t>
      </w:r>
      <w:r>
        <w:rPr>
          <w:spacing w:val="-25"/>
        </w:rPr>
      </w:r>
      <w:r>
        <w:rPr>
          <w:spacing w:val="-2"/>
        </w:rPr>
        <w:t>事会提名委员会在董事会、监事会换届更替之际，对董事会新任候选人员进行了审核并提交至公</w:t>
      </w:r>
    </w:p>
    <w:p>
      <w:pPr>
        <w:spacing w:after="0" w:line="237" w:lineRule="auto"/>
        <w:jc w:val="both"/>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BodyText"/>
        <w:spacing w:line="240" w:lineRule="auto" w:before="36"/>
        <w:ind w:left="138" w:right="0"/>
        <w:jc w:val="left"/>
      </w:pPr>
      <w:r>
        <w:rPr>
          <w:spacing w:val="-2"/>
        </w:rPr>
        <w:t>司董事董事会；薪酬委员会每年对公司的管理层进行考核并提出下一年度的考核计划，发挥了重</w:t>
      </w:r>
      <w:r>
        <w:rPr>
          <w:spacing w:val="-25"/>
        </w:rPr>
        <w:t> </w:t>
      </w:r>
      <w:r>
        <w:rPr>
          <w:spacing w:val="-25"/>
        </w:rPr>
      </w:r>
      <w:r>
        <w:rPr/>
        <w:t>要的作用。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line="290"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监事会依据有关法律法规，对公司的财务状况进行了监督和检查，列席了各次董事会和股东</w:t>
      </w:r>
    </w:p>
    <w:p>
      <w:pPr>
        <w:pStyle w:val="BodyText"/>
        <w:spacing w:line="226" w:lineRule="exact"/>
        <w:ind w:left="138" w:right="0"/>
        <w:jc w:val="left"/>
      </w:pPr>
      <w:r>
        <w:rPr/>
        <w:t>大会，认为公司董事会决策程序合法，建立了符合公司现状的内部控制制度，公司董事、经理能</w:t>
      </w:r>
    </w:p>
    <w:p>
      <w:pPr>
        <w:pStyle w:val="BodyText"/>
        <w:spacing w:line="272" w:lineRule="exact" w:before="27"/>
        <w:ind w:left="138" w:right="0"/>
        <w:jc w:val="left"/>
      </w:pPr>
      <w:r>
        <w:rPr>
          <w:spacing w:val="-2"/>
        </w:rPr>
        <w:t>够勤勉、尽责地履行各自职责，在执行职务时能够严格按照法律、法规、公司章程的规定进行，</w:t>
      </w:r>
      <w:r>
        <w:rPr>
          <w:spacing w:val="-25"/>
        </w:rPr>
        <w:t> </w:t>
      </w:r>
      <w:r>
        <w:rPr>
          <w:spacing w:val="-25"/>
        </w:rPr>
      </w:r>
      <w:r>
        <w:rPr/>
        <w:t>没有发现损害公司利益和广大投资者利益的行为。</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4"/>
        <w:spacing w:line="272" w:lineRule="exact" w:before="0"/>
        <w:ind w:left="562" w:right="0"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spacing w:line="240" w:lineRule="auto" w:before="12"/>
        <w:rPr>
          <w:rFonts w:ascii="宋体" w:hAnsi="宋体" w:cs="宋体" w:eastAsia="宋体" w:hint="default"/>
          <w:b/>
          <w:bCs/>
          <w:sz w:val="25"/>
          <w:szCs w:val="25"/>
        </w:rPr>
      </w:pPr>
    </w:p>
    <w:tbl>
      <w:tblPr>
        <w:tblW w:w="0" w:type="auto"/>
        <w:jc w:val="left"/>
        <w:tblInd w:w="123" w:type="dxa"/>
        <w:tblLayout w:type="fixed"/>
        <w:tblCellMar>
          <w:top w:w="0" w:type="dxa"/>
          <w:left w:w="0" w:type="dxa"/>
          <w:bottom w:w="0" w:type="dxa"/>
          <w:right w:w="0" w:type="dxa"/>
        </w:tblCellMar>
        <w:tblLook w:val="01E0"/>
      </w:tblPr>
      <w:tblGrid>
        <w:gridCol w:w="2348"/>
        <w:gridCol w:w="6954"/>
      </w:tblGrid>
      <w:tr>
        <w:trPr>
          <w:trHeight w:val="2194"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6"/>
              <w:ind w:right="324"/>
              <w:jc w:val="right"/>
              <w:rPr>
                <w:rFonts w:ascii="宋体" w:hAnsi="宋体" w:cs="宋体" w:eastAsia="宋体" w:hint="default"/>
                <w:sz w:val="21"/>
                <w:szCs w:val="21"/>
              </w:rPr>
            </w:pPr>
            <w:r>
              <w:rPr>
                <w:rFonts w:ascii="宋体" w:hAnsi="宋体" w:cs="宋体" w:eastAsia="宋体" w:hint="default"/>
                <w:spacing w:val="-2"/>
                <w:sz w:val="21"/>
                <w:szCs w:val="21"/>
              </w:rPr>
              <w:t>业务方面独立情况</w:t>
            </w:r>
          </w:p>
        </w:tc>
        <w:tc>
          <w:tcPr>
            <w:tcW w:w="6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公司独立从事业务经营，对控股股东及其关联企业不存在依赖关系。公司</w:t>
            </w:r>
          </w:p>
          <w:p>
            <w:pPr>
              <w:pStyle w:val="TableParagraph"/>
              <w:spacing w:line="237" w:lineRule="auto" w:before="2"/>
              <w:ind w:left="100" w:right="-8"/>
              <w:jc w:val="left"/>
              <w:rPr>
                <w:rFonts w:ascii="宋体" w:hAnsi="宋体" w:cs="宋体" w:eastAsia="宋体" w:hint="default"/>
                <w:sz w:val="21"/>
                <w:szCs w:val="21"/>
              </w:rPr>
            </w:pPr>
            <w:r>
              <w:rPr>
                <w:rFonts w:ascii="宋体" w:hAnsi="宋体" w:cs="宋体" w:eastAsia="宋体" w:hint="default"/>
                <w:sz w:val="21"/>
                <w:szCs w:val="21"/>
              </w:rPr>
              <w:t>拥有独立的采购和产品的开发生产、销售和服务系统，产品的生产、销售</w:t>
            </w:r>
            <w:r>
              <w:rPr>
                <w:rFonts w:ascii="宋体" w:hAnsi="宋体" w:cs="宋体" w:eastAsia="宋体" w:hint="default"/>
                <w:w w:val="100"/>
                <w:sz w:val="21"/>
                <w:szCs w:val="21"/>
              </w:rPr>
              <w:t> </w:t>
            </w:r>
            <w:r>
              <w:rPr>
                <w:rFonts w:ascii="宋体" w:hAnsi="宋体" w:cs="宋体" w:eastAsia="宋体" w:hint="default"/>
                <w:spacing w:val="-4"/>
                <w:sz w:val="21"/>
                <w:szCs w:val="21"/>
              </w:rPr>
              <w:t>和服务不依赖于控股股东及其关联企业。公司拥有独立的商标权、专利权、</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著作权等知识产权和独立的技术开发队伍，业务发展不依赖和受制于控股</w:t>
            </w:r>
            <w:r>
              <w:rPr>
                <w:rFonts w:ascii="宋体" w:hAnsi="宋体" w:cs="宋体" w:eastAsia="宋体" w:hint="default"/>
                <w:w w:val="100"/>
                <w:sz w:val="21"/>
                <w:szCs w:val="21"/>
              </w:rPr>
              <w:t> </w:t>
            </w:r>
            <w:r>
              <w:rPr>
                <w:rFonts w:ascii="宋体" w:hAnsi="宋体" w:cs="宋体" w:eastAsia="宋体" w:hint="default"/>
                <w:sz w:val="21"/>
                <w:szCs w:val="21"/>
              </w:rPr>
              <w:t>股东和任何其他关联企业。本公司主营金融、交通、电子政务等行业应用</w:t>
            </w:r>
            <w:r>
              <w:rPr>
                <w:rFonts w:ascii="宋体" w:hAnsi="宋体" w:cs="宋体" w:eastAsia="宋体" w:hint="default"/>
                <w:w w:val="100"/>
                <w:sz w:val="21"/>
                <w:szCs w:val="21"/>
              </w:rPr>
              <w:t> </w:t>
            </w:r>
            <w:r>
              <w:rPr>
                <w:rFonts w:ascii="宋体" w:hAnsi="宋体" w:cs="宋体" w:eastAsia="宋体" w:hint="default"/>
                <w:sz w:val="21"/>
                <w:szCs w:val="21"/>
              </w:rPr>
              <w:t>软件，及系统集成项目等。公司各项业务活动由本公司业务部门完成，由</w:t>
            </w:r>
            <w:r>
              <w:rPr>
                <w:rFonts w:ascii="宋体" w:hAnsi="宋体" w:cs="宋体" w:eastAsia="宋体" w:hint="default"/>
                <w:w w:val="100"/>
                <w:sz w:val="21"/>
                <w:szCs w:val="21"/>
              </w:rPr>
              <w:t> </w:t>
            </w:r>
            <w:r>
              <w:rPr>
                <w:rFonts w:ascii="宋体" w:hAnsi="宋体" w:cs="宋体" w:eastAsia="宋体" w:hint="default"/>
                <w:sz w:val="21"/>
                <w:szCs w:val="21"/>
              </w:rPr>
              <w:t>本公司经营层下达计划、进行考核，完全独立于控股股东。控股股东与公</w:t>
            </w:r>
            <w:r>
              <w:rPr>
                <w:rFonts w:ascii="宋体" w:hAnsi="宋体" w:cs="宋体" w:eastAsia="宋体" w:hint="default"/>
                <w:w w:val="100"/>
                <w:sz w:val="21"/>
                <w:szCs w:val="21"/>
              </w:rPr>
              <w:t> </w:t>
            </w:r>
            <w:r>
              <w:rPr>
                <w:rFonts w:ascii="宋体" w:hAnsi="宋体" w:cs="宋体" w:eastAsia="宋体" w:hint="default"/>
                <w:sz w:val="21"/>
                <w:szCs w:val="21"/>
              </w:rPr>
              <w:t>司不存在同业竞争。</w:t>
            </w:r>
          </w:p>
        </w:tc>
      </w:tr>
      <w:tr>
        <w:trPr>
          <w:trHeight w:val="833"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24"/>
              <w:jc w:val="right"/>
              <w:rPr>
                <w:rFonts w:ascii="宋体" w:hAnsi="宋体" w:cs="宋体" w:eastAsia="宋体" w:hint="default"/>
                <w:sz w:val="21"/>
                <w:szCs w:val="21"/>
              </w:rPr>
            </w:pPr>
            <w:r>
              <w:rPr>
                <w:rFonts w:ascii="宋体" w:hAnsi="宋体" w:cs="宋体" w:eastAsia="宋体" w:hint="default"/>
                <w:spacing w:val="-2"/>
                <w:sz w:val="21"/>
                <w:szCs w:val="21"/>
              </w:rPr>
              <w:t>人员方面独立情况</w:t>
            </w:r>
          </w:p>
        </w:tc>
        <w:tc>
          <w:tcPr>
            <w:tcW w:w="6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8"/>
              <w:jc w:val="left"/>
              <w:rPr>
                <w:rFonts w:ascii="宋体" w:hAnsi="宋体" w:cs="宋体" w:eastAsia="宋体" w:hint="default"/>
                <w:sz w:val="21"/>
                <w:szCs w:val="21"/>
              </w:rPr>
            </w:pPr>
            <w:r>
              <w:rPr>
                <w:rFonts w:ascii="宋体" w:hAnsi="宋体" w:cs="宋体" w:eastAsia="宋体" w:hint="default"/>
                <w:sz w:val="21"/>
                <w:szCs w:val="21"/>
              </w:rPr>
              <w:t>公司的高级管理人员均专职在本公司工作并领薪，不在控股股东及其关联</w:t>
            </w:r>
          </w:p>
          <w:p>
            <w:pPr>
              <w:pStyle w:val="TableParagraph"/>
              <w:spacing w:line="272" w:lineRule="exact" w:before="27"/>
              <w:ind w:left="100" w:right="-8"/>
              <w:jc w:val="left"/>
              <w:rPr>
                <w:rFonts w:ascii="宋体" w:hAnsi="宋体" w:cs="宋体" w:eastAsia="宋体" w:hint="default"/>
                <w:sz w:val="21"/>
                <w:szCs w:val="21"/>
              </w:rPr>
            </w:pPr>
            <w:r>
              <w:rPr>
                <w:rFonts w:ascii="宋体" w:hAnsi="宋体" w:cs="宋体" w:eastAsia="宋体" w:hint="default"/>
                <w:spacing w:val="-5"/>
                <w:sz w:val="21"/>
                <w:szCs w:val="21"/>
              </w:rPr>
              <w:t>企业兼任除董事之外的其他职务。公司的劳动、人事及工资管理完全独立。</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控股股东推荐董事和经理人员均通过法定程序进行。</w:t>
            </w:r>
          </w:p>
        </w:tc>
      </w:tr>
      <w:tr>
        <w:trPr>
          <w:trHeight w:val="833"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24"/>
              <w:jc w:val="right"/>
              <w:rPr>
                <w:rFonts w:ascii="宋体" w:hAnsi="宋体" w:cs="宋体" w:eastAsia="宋体" w:hint="default"/>
                <w:sz w:val="21"/>
                <w:szCs w:val="21"/>
              </w:rPr>
            </w:pPr>
            <w:r>
              <w:rPr>
                <w:rFonts w:ascii="宋体" w:hAnsi="宋体" w:cs="宋体" w:eastAsia="宋体" w:hint="default"/>
                <w:spacing w:val="-2"/>
                <w:sz w:val="21"/>
                <w:szCs w:val="21"/>
              </w:rPr>
              <w:t>资产方面独立情况</w:t>
            </w:r>
          </w:p>
        </w:tc>
        <w:tc>
          <w:tcPr>
            <w:tcW w:w="6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公司拥有独立的研发、销售、工程、维护服务等方面的体系；拥有自己的</w:t>
            </w:r>
          </w:p>
          <w:p>
            <w:pPr>
              <w:pStyle w:val="TableParagraph"/>
              <w:spacing w:line="272" w:lineRule="exact" w:before="27"/>
              <w:ind w:left="100" w:right="110"/>
              <w:jc w:val="left"/>
              <w:rPr>
                <w:rFonts w:ascii="宋体" w:hAnsi="宋体" w:cs="宋体" w:eastAsia="宋体" w:hint="default"/>
                <w:sz w:val="21"/>
                <w:szCs w:val="21"/>
              </w:rPr>
            </w:pPr>
            <w:r>
              <w:rPr>
                <w:rFonts w:ascii="宋体" w:hAnsi="宋体" w:cs="宋体" w:eastAsia="宋体" w:hint="default"/>
                <w:spacing w:val="-2"/>
                <w:sz w:val="21"/>
                <w:szCs w:val="21"/>
              </w:rPr>
              <w:t>软件专利，及商标、知识产权等无形资产；拥有自营进出口权；资产方面</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完全独立</w:t>
            </w:r>
          </w:p>
        </w:tc>
      </w:tr>
      <w:tr>
        <w:trPr>
          <w:trHeight w:val="83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24"/>
              <w:jc w:val="right"/>
              <w:rPr>
                <w:rFonts w:ascii="宋体" w:hAnsi="宋体" w:cs="宋体" w:eastAsia="宋体" w:hint="default"/>
                <w:sz w:val="21"/>
                <w:szCs w:val="21"/>
              </w:rPr>
            </w:pPr>
            <w:r>
              <w:rPr>
                <w:rFonts w:ascii="宋体" w:hAnsi="宋体" w:cs="宋体" w:eastAsia="宋体" w:hint="default"/>
                <w:spacing w:val="-2"/>
                <w:sz w:val="21"/>
                <w:szCs w:val="21"/>
              </w:rPr>
              <w:t>机构方面独立情况</w:t>
            </w:r>
          </w:p>
        </w:tc>
        <w:tc>
          <w:tcPr>
            <w:tcW w:w="69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公司建立有功能健全、独立于控股集团公司的董事会、经营层及相应的管</w:t>
            </w:r>
          </w:p>
          <w:p>
            <w:pPr>
              <w:pStyle w:val="TableParagraph"/>
              <w:spacing w:line="240" w:lineRule="auto"/>
              <w:ind w:left="100" w:right="110"/>
              <w:jc w:val="left"/>
              <w:rPr>
                <w:rFonts w:ascii="宋体" w:hAnsi="宋体" w:cs="宋体" w:eastAsia="宋体" w:hint="default"/>
                <w:sz w:val="21"/>
                <w:szCs w:val="21"/>
              </w:rPr>
            </w:pPr>
            <w:r>
              <w:rPr>
                <w:rFonts w:ascii="宋体" w:hAnsi="宋体" w:cs="宋体" w:eastAsia="宋体" w:hint="default"/>
                <w:spacing w:val="-2"/>
                <w:sz w:val="21"/>
                <w:szCs w:val="21"/>
              </w:rPr>
              <w:t>理机构，各职能部门依据公司经营层决策运作，不存在与控股股东的上下</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级关系，不受控股股东的影响。</w:t>
            </w:r>
          </w:p>
        </w:tc>
      </w:tr>
      <w:tr>
        <w:trPr>
          <w:trHeight w:val="833"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24"/>
              <w:jc w:val="right"/>
              <w:rPr>
                <w:rFonts w:ascii="宋体" w:hAnsi="宋体" w:cs="宋体" w:eastAsia="宋体" w:hint="default"/>
                <w:sz w:val="21"/>
                <w:szCs w:val="21"/>
              </w:rPr>
            </w:pPr>
            <w:r>
              <w:rPr>
                <w:rFonts w:ascii="宋体" w:hAnsi="宋体" w:cs="宋体" w:eastAsia="宋体" w:hint="default"/>
                <w:spacing w:val="-2"/>
                <w:sz w:val="21"/>
                <w:szCs w:val="21"/>
              </w:rPr>
              <w:t>财务方面独立情况</w:t>
            </w:r>
          </w:p>
        </w:tc>
        <w:tc>
          <w:tcPr>
            <w:tcW w:w="6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公司设置了独立的财务会计部门，并建立了独立的会计核算体系和财务管</w:t>
            </w:r>
          </w:p>
          <w:p>
            <w:pPr>
              <w:pStyle w:val="TableParagraph"/>
              <w:spacing w:line="272" w:lineRule="exact" w:before="27"/>
              <w:ind w:left="100" w:right="110"/>
              <w:jc w:val="left"/>
              <w:rPr>
                <w:rFonts w:ascii="宋体" w:hAnsi="宋体" w:cs="宋体" w:eastAsia="宋体" w:hint="default"/>
                <w:sz w:val="21"/>
                <w:szCs w:val="21"/>
              </w:rPr>
            </w:pPr>
            <w:r>
              <w:rPr>
                <w:rFonts w:ascii="宋体" w:hAnsi="宋体" w:cs="宋体" w:eastAsia="宋体" w:hint="default"/>
                <w:spacing w:val="-2"/>
                <w:sz w:val="21"/>
                <w:szCs w:val="21"/>
              </w:rPr>
              <w:t>理制度。公司独立作出财务决策，不存在控股股东干预公司资金使用的情</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况。公司在银行独立开户，依法独立纳税。</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BodyText"/>
        <w:spacing w:line="240" w:lineRule="auto" w:before="36"/>
        <w:ind w:left="138" w:right="0"/>
        <w:jc w:val="left"/>
      </w:pPr>
      <w:r>
        <w:rPr/>
        <w:t>存在同业竞争的，公司相应的解决措施、工作进度及后续工作计划</w:t>
      </w:r>
    </w:p>
    <w:p>
      <w:pPr>
        <w:spacing w:line="240" w:lineRule="auto" w:before="11"/>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line="290" w:lineRule="auto" w:before="36"/>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七、报告期内对高级管理人员的考评机制，以及激励机制的建立、实施情况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薪酬与考核委员会根据公司的行业发展背景和实际情况，经与经营层探讨并充分交流后共同</w:t>
      </w:r>
    </w:p>
    <w:p>
      <w:pPr>
        <w:pStyle w:val="BodyText"/>
        <w:spacing w:line="227" w:lineRule="exact"/>
        <w:ind w:left="138" w:right="0"/>
        <w:jc w:val="left"/>
      </w:pPr>
      <w:r>
        <w:rPr/>
        <w:t>制定年度经营责任书及考核目标，递交董事会审议后执行。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4"/>
        <w:spacing w:line="240" w:lineRule="auto" w:before="0"/>
        <w:ind w:left="138" w:right="0"/>
        <w:jc w:val="left"/>
        <w:rPr>
          <w:b w:val="0"/>
          <w:bCs w:val="0"/>
        </w:rPr>
      </w:pPr>
      <w:r>
        <w:rPr/>
        <w:t>八、是否披露内部控制自我评价报告</w:t>
      </w:r>
      <w:r>
        <w:rPr>
          <w:b w:val="0"/>
          <w:bCs w:val="0"/>
        </w:rPr>
      </w:r>
    </w:p>
    <w:p>
      <w:pPr>
        <w:pStyle w:val="BodyText"/>
        <w:spacing w:line="240" w:lineRule="auto" w:before="59"/>
        <w:ind w:left="138" w:right="0"/>
        <w:jc w:val="left"/>
      </w:pPr>
      <w:r>
        <w:rPr/>
        <w:t>√适用</w:t>
      </w:r>
      <w:r>
        <w:rPr>
          <w:spacing w:val="-1"/>
        </w:rPr>
        <w:t> </w:t>
      </w:r>
      <w:r>
        <w:rPr/>
        <w:t>□不适用</w:t>
      </w:r>
    </w:p>
    <w:p>
      <w:pPr>
        <w:spacing w:line="240" w:lineRule="auto" w:before="9"/>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24"/>
          <w:pgSz w:w="11910" w:h="16840"/>
          <w:pgMar w:footer="1195" w:header="877" w:top="1100" w:bottom="1380" w:left="1660" w:right="6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73" w:lineRule="exact" w:before="36"/>
        <w:ind w:left="138" w:right="0"/>
        <w:jc w:val="both"/>
      </w:pPr>
      <w:r>
        <w:rPr/>
        <w:t>报告期内部控制存在重大缺陷情况的说明</w:t>
      </w:r>
    </w:p>
    <w:p>
      <w:pPr>
        <w:pStyle w:val="BodyText"/>
        <w:spacing w:line="273" w:lineRule="exact"/>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138" w:right="5364" w:firstLine="0"/>
        <w:jc w:val="left"/>
        <w:rPr>
          <w:rFonts w:ascii="宋体" w:hAnsi="宋体" w:cs="宋体" w:eastAsia="宋体" w:hint="default"/>
          <w:sz w:val="21"/>
          <w:szCs w:val="21"/>
        </w:rPr>
      </w:pPr>
      <w:r>
        <w:rPr>
          <w:rFonts w:ascii="宋体" w:hAnsi="宋体" w:cs="宋体" w:eastAsia="宋体" w:hint="default"/>
          <w:b/>
          <w:bCs/>
          <w:sz w:val="21"/>
          <w:szCs w:val="21"/>
        </w:rPr>
        <w:t>九、内部控制审计报告的相关情况说明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1</w:t>
      </w:r>
      <w:r>
        <w:rPr>
          <w:rFonts w:ascii="宋体" w:hAnsi="宋体" w:cs="宋体" w:eastAsia="宋体" w:hint="default"/>
          <w:sz w:val="21"/>
          <w:szCs w:val="21"/>
        </w:rPr>
        <w:t>、内部控制责任声明：</w:t>
      </w:r>
    </w:p>
    <w:p>
      <w:pPr>
        <w:pStyle w:val="BodyText"/>
        <w:spacing w:line="226" w:lineRule="exact"/>
        <w:ind w:left="138" w:right="0" w:firstLine="419"/>
        <w:jc w:val="both"/>
      </w:pPr>
      <w:r>
        <w:rPr/>
        <w:t>按照企业内部控制规范体系的规定，建立健全和有效实施内部控制，评价其有效性，并如实</w:t>
      </w:r>
    </w:p>
    <w:p>
      <w:pPr>
        <w:pStyle w:val="BodyText"/>
        <w:spacing w:line="237" w:lineRule="auto" w:before="2"/>
        <w:ind w:left="138" w:right="137"/>
        <w:jc w:val="both"/>
      </w:pPr>
      <w:r>
        <w:rPr>
          <w:spacing w:val="-2"/>
        </w:rPr>
        <w:t>披露内部控制评价报告是公司董事会的责任。监事会对董事会建立和实施内部控制进行监督。经</w:t>
      </w:r>
      <w:r>
        <w:rPr>
          <w:spacing w:val="-25"/>
        </w:rPr>
        <w:t> </w:t>
      </w:r>
      <w:r>
        <w:rPr>
          <w:spacing w:val="-25"/>
        </w:rPr>
      </w:r>
      <w:r>
        <w:rPr>
          <w:spacing w:val="-2"/>
        </w:rPr>
        <w:t>理层负责组织领导企业内部控制的日常运行。公司董事会、监事会及董事、监事、高级管理人员</w:t>
      </w:r>
      <w:r>
        <w:rPr>
          <w:spacing w:val="-25"/>
        </w:rPr>
        <w:t> </w:t>
      </w:r>
      <w:r>
        <w:rPr>
          <w:spacing w:val="-25"/>
        </w:rPr>
      </w:r>
      <w:r>
        <w:rPr>
          <w:spacing w:val="-2"/>
        </w:rPr>
        <w:t>保证本报告内容不存在任何虚假记载、误导性陈述或重大遗漏，并对报告内容的真实性、准确性</w:t>
      </w:r>
      <w:r>
        <w:rPr>
          <w:spacing w:val="-25"/>
        </w:rPr>
        <w:t> </w:t>
      </w:r>
      <w:r>
        <w:rPr>
          <w:spacing w:val="-25"/>
        </w:rPr>
      </w:r>
      <w:r>
        <w:rPr/>
        <w:t>和完整性承担个别及连带法律责任。</w:t>
      </w:r>
    </w:p>
    <w:p>
      <w:pPr>
        <w:pStyle w:val="BodyText"/>
        <w:spacing w:line="237" w:lineRule="auto" w:before="1"/>
        <w:ind w:left="138" w:right="137" w:firstLine="419"/>
        <w:jc w:val="both"/>
      </w:pPr>
      <w:r>
        <w:rPr>
          <w:spacing w:val="-2"/>
        </w:rPr>
        <w:t>公司内部控制的目标是合理保证经营管理合法合规、资产安全、财务报告及相关信息真实完</w:t>
      </w:r>
      <w:r>
        <w:rPr>
          <w:w w:val="100"/>
        </w:rPr>
        <w:t> </w:t>
      </w:r>
      <w:r>
        <w:rPr>
          <w:spacing w:val="-2"/>
        </w:rPr>
        <w:t>整，提高经营效率和效果，促进实现发展战略。由于内部控制存在的固有局限性，故仅能为实现</w:t>
      </w:r>
      <w:r>
        <w:rPr>
          <w:spacing w:val="-25"/>
        </w:rPr>
        <w:t> </w:t>
      </w:r>
      <w:r>
        <w:rPr>
          <w:spacing w:val="-25"/>
        </w:rPr>
      </w:r>
      <w:r>
        <w:rPr>
          <w:spacing w:val="-2"/>
        </w:rPr>
        <w:t>上述目标提供合理保证。此外，由于情况的变化可能导致内部控制变得不恰当，或对控制政策和</w:t>
      </w:r>
      <w:r>
        <w:rPr>
          <w:spacing w:val="-25"/>
        </w:rPr>
        <w:t> </w:t>
      </w:r>
      <w:r>
        <w:rPr>
          <w:spacing w:val="-25"/>
        </w:rPr>
      </w:r>
      <w:r>
        <w:rPr/>
        <w:t>程序遵循的程度降低，根据内部控制评价结果推测未来内部控制的有效性具有一定的风险。</w:t>
      </w:r>
    </w:p>
    <w:p>
      <w:pPr>
        <w:spacing w:line="240" w:lineRule="auto" w:before="9"/>
        <w:rPr>
          <w:rFonts w:ascii="宋体" w:hAnsi="宋体" w:cs="宋体" w:eastAsia="宋体" w:hint="default"/>
          <w:sz w:val="20"/>
          <w:szCs w:val="20"/>
        </w:rPr>
      </w:pPr>
    </w:p>
    <w:p>
      <w:pPr>
        <w:pStyle w:val="BodyText"/>
        <w:spacing w:line="240" w:lineRule="auto"/>
        <w:ind w:left="558" w:right="0" w:hanging="420"/>
        <w:jc w:val="left"/>
      </w:pPr>
      <w:r>
        <w:rPr>
          <w:rFonts w:ascii="宋体" w:hAnsi="宋体" w:cs="宋体" w:eastAsia="宋体" w:hint="default"/>
        </w:rPr>
        <w:t>2</w:t>
      </w:r>
      <w:r>
        <w:rPr/>
        <w:t>、建立财务报告内部控制的依据</w:t>
      </w:r>
      <w:r>
        <w:rPr>
          <w:w w:val="100"/>
        </w:rPr>
        <w:t> </w:t>
      </w:r>
      <w:r>
        <w:rPr>
          <w:spacing w:val="-2"/>
        </w:rPr>
        <w:t>为加强公司的财务报告内部控制，确保财务报告信息真实可靠，提升企业治理和经营管理水</w:t>
      </w:r>
    </w:p>
    <w:p>
      <w:pPr>
        <w:pStyle w:val="BodyText"/>
        <w:spacing w:line="237" w:lineRule="auto"/>
        <w:ind w:left="138" w:right="137"/>
        <w:jc w:val="both"/>
      </w:pPr>
      <w:r>
        <w:rPr>
          <w:spacing w:val="-2"/>
        </w:rPr>
        <w:t>平，规范公司的财务行为，维护股东的权益，根据《公司法》、《企业会计准则》、《企业内部</w:t>
      </w:r>
      <w:r>
        <w:rPr>
          <w:spacing w:val="-25"/>
        </w:rPr>
        <w:t> </w:t>
      </w:r>
      <w:r>
        <w:rPr>
          <w:spacing w:val="-25"/>
        </w:rPr>
      </w:r>
      <w:r>
        <w:rPr>
          <w:spacing w:val="-2"/>
        </w:rPr>
        <w:t>控制基本规范》、《企业内部控制应用指引》、上海证券交易所相关规定等相关法律法规，公司</w:t>
      </w:r>
      <w:r>
        <w:rPr>
          <w:spacing w:val="-25"/>
        </w:rPr>
        <w:t> </w:t>
      </w:r>
      <w:r>
        <w:rPr>
          <w:spacing w:val="-25"/>
        </w:rPr>
      </w:r>
      <w:r>
        <w:rPr>
          <w:spacing w:val="-2"/>
        </w:rPr>
        <w:t>制定了财务报告内部控制制度，要求严格执行会计法律法规和国家统一的会计准则制度，加强对</w:t>
      </w:r>
      <w:r>
        <w:rPr>
          <w:spacing w:val="-25"/>
        </w:rPr>
        <w:t> </w:t>
      </w:r>
      <w:r>
        <w:rPr>
          <w:spacing w:val="-25"/>
        </w:rPr>
      </w:r>
      <w:r>
        <w:rPr>
          <w:spacing w:val="-2"/>
        </w:rPr>
        <w:t>财务报告编制、对外提供和分析利用全过程的管理，明确相关工作流程和要求，落实责任制，确</w:t>
      </w:r>
      <w:r>
        <w:rPr>
          <w:spacing w:val="-25"/>
        </w:rPr>
        <w:t> </w:t>
      </w:r>
      <w:r>
        <w:rPr>
          <w:spacing w:val="-25"/>
        </w:rPr>
      </w:r>
      <w:r>
        <w:rPr/>
        <w:t>保财务报告合法合规、真实完整和有效利用。</w:t>
      </w:r>
    </w:p>
    <w:p>
      <w:pPr>
        <w:spacing w:line="240" w:lineRule="auto" w:before="10"/>
        <w:rPr>
          <w:rFonts w:ascii="宋体" w:hAnsi="宋体" w:cs="宋体" w:eastAsia="宋体" w:hint="default"/>
          <w:sz w:val="22"/>
          <w:szCs w:val="22"/>
        </w:rPr>
      </w:pPr>
    </w:p>
    <w:p>
      <w:pPr>
        <w:pStyle w:val="BodyText"/>
        <w:spacing w:line="272" w:lineRule="exact"/>
        <w:ind w:left="558" w:right="0" w:hanging="420"/>
        <w:jc w:val="left"/>
      </w:pPr>
      <w:r>
        <w:rPr>
          <w:rFonts w:ascii="宋体" w:hAnsi="宋体" w:cs="宋体" w:eastAsia="宋体" w:hint="default"/>
        </w:rPr>
        <w:t>3</w:t>
      </w:r>
      <w:r>
        <w:rPr/>
        <w:t>、内部控制制度建设情况</w:t>
      </w:r>
      <w:r>
        <w:rPr>
          <w:w w:val="100"/>
        </w:rPr>
        <w:t> </w:t>
      </w:r>
      <w:r>
        <w:rPr>
          <w:spacing w:val="-2"/>
        </w:rPr>
        <w:t>报告期内，公司按照计划切实地推进了内控制度建设，对部分制度和流程进行了修改、补充</w:t>
      </w:r>
    </w:p>
    <w:p>
      <w:pPr>
        <w:pStyle w:val="BodyText"/>
        <w:spacing w:line="272" w:lineRule="exact" w:before="1"/>
        <w:ind w:left="558" w:right="3467" w:hanging="420"/>
        <w:jc w:val="left"/>
      </w:pPr>
      <w:r>
        <w:rPr>
          <w:spacing w:val="-2"/>
        </w:rPr>
        <w:t>或完善，并对公司内部控制情况进行了自我评价。</w:t>
      </w:r>
      <w:r>
        <w:rPr>
          <w:spacing w:val="-62"/>
        </w:rPr>
        <w:t> </w:t>
      </w:r>
      <w:r>
        <w:rPr>
          <w:spacing w:val="-62"/>
        </w:rPr>
      </w:r>
      <w:r>
        <w:rPr/>
        <w:t>内部控制评价报告详见附件。</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line="528" w:lineRule="auto" w:before="0"/>
        <w:ind w:left="138" w:right="5364" w:firstLine="0"/>
        <w:jc w:val="left"/>
        <w:rPr>
          <w:rFonts w:ascii="宋体" w:hAnsi="宋体" w:cs="宋体" w:eastAsia="宋体" w:hint="default"/>
          <w:sz w:val="21"/>
          <w:szCs w:val="21"/>
        </w:rPr>
      </w:pPr>
      <w:r>
        <w:rPr>
          <w:rFonts w:ascii="宋体" w:hAnsi="宋体" w:cs="宋体" w:eastAsia="宋体" w:hint="default"/>
          <w:spacing w:val="-2"/>
          <w:sz w:val="21"/>
          <w:szCs w:val="21"/>
        </w:rPr>
        <w:t>是否披露内部控制审计报告：是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b/>
          <w:bCs/>
          <w:sz w:val="21"/>
          <w:szCs w:val="21"/>
        </w:rPr>
        <w:t>十、其他</w:t>
      </w:r>
      <w:r>
        <w:rPr>
          <w:rFonts w:ascii="宋体" w:hAnsi="宋体" w:cs="宋体" w:eastAsia="宋体" w:hint="default"/>
          <w:sz w:val="21"/>
          <w:szCs w:val="21"/>
        </w:rPr>
      </w:r>
    </w:p>
    <w:p>
      <w:pPr>
        <w:spacing w:line="240" w:lineRule="auto" w:before="13"/>
        <w:rPr>
          <w:rFonts w:ascii="宋体" w:hAnsi="宋体" w:cs="宋体" w:eastAsia="宋体" w:hint="default"/>
          <w:b/>
          <w:bCs/>
          <w:sz w:val="5"/>
          <w:szCs w:val="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1"/>
          <w:szCs w:val="21"/>
        </w:rPr>
      </w:pPr>
    </w:p>
    <w:p>
      <w:pPr>
        <w:pStyle w:val="Heading1"/>
        <w:tabs>
          <w:tab w:pos="4689" w:val="left" w:leader="none"/>
        </w:tabs>
        <w:spacing w:line="240" w:lineRule="auto"/>
        <w:ind w:left="3587"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138" w:right="3467"/>
        <w:jc w:val="left"/>
      </w:pPr>
      <w:r>
        <w:rPr/>
        <w:t>□适用</w:t>
      </w:r>
      <w:r>
        <w:rPr>
          <w:spacing w:val="-1"/>
        </w:rPr>
        <w:t> </w:t>
      </w:r>
      <w:r>
        <w:rPr/>
        <w:t>√不适用</w:t>
      </w:r>
    </w:p>
    <w:p>
      <w:pPr>
        <w:spacing w:after="0" w:line="240" w:lineRule="auto"/>
        <w:jc w:val="left"/>
        <w:sectPr>
          <w:footerReference w:type="default" r:id="rId25"/>
          <w:pgSz w:w="11910" w:h="16840"/>
          <w:pgMar w:footer="1195" w:header="877" w:top="1100" w:bottom="1380" w:left="1660" w:right="1140"/>
          <w:pgNumType w:start="5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tabs>
          <w:tab w:pos="5462" w:val="left" w:leader="none"/>
        </w:tabs>
        <w:spacing w:line="240" w:lineRule="auto"/>
        <w:ind w:left="3940" w:right="0"/>
        <w:jc w:val="left"/>
        <w:rPr>
          <w:rFonts w:ascii="宋体" w:hAnsi="宋体" w:cs="宋体" w:eastAsia="宋体" w:hint="default"/>
          <w:b w:val="0"/>
          <w:bCs w:val="0"/>
        </w:rPr>
      </w:pPr>
      <w:bookmarkStart w:name="_TOC_250001" w:id="11"/>
      <w:r>
        <w:rPr>
          <w:rFonts w:ascii="宋体" w:hAnsi="宋体" w:cs="宋体" w:eastAsia="宋体" w:hint="default"/>
        </w:rPr>
        <w:t>第十一节</w:t>
        <w:tab/>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pStyle w:val="Heading4"/>
        <w:spacing w:line="240" w:lineRule="auto"/>
        <w:ind w:left="138" w:right="0"/>
        <w:jc w:val="left"/>
        <w:rPr>
          <w:b w:val="0"/>
          <w:bCs w:val="0"/>
        </w:rPr>
      </w:pPr>
      <w:r>
        <w:rPr/>
        <w:t>一、审计报告</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tabs>
          <w:tab w:pos="724" w:val="left" w:leader="none"/>
          <w:tab w:pos="1447" w:val="left" w:leader="none"/>
          <w:tab w:pos="2169" w:val="left" w:leader="none"/>
        </w:tabs>
        <w:spacing w:line="460" w:lineRule="exact" w:before="0"/>
        <w:ind w:left="0" w:right="99"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57"/>
        <w:ind w:left="0" w:right="94"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2016</w:t>
      </w:r>
      <w:r>
        <w:rPr>
          <w:rFonts w:ascii="黑体" w:hAnsi="黑体" w:cs="黑体" w:eastAsia="黑体" w:hint="default"/>
          <w:sz w:val="18"/>
          <w:szCs w:val="18"/>
        </w:rPr>
        <w:t>〕</w:t>
      </w:r>
      <w:r>
        <w:rPr>
          <w:rFonts w:ascii="黑体" w:hAnsi="黑体" w:cs="黑体" w:eastAsia="黑体" w:hint="default"/>
          <w:sz w:val="18"/>
          <w:szCs w:val="18"/>
        </w:rPr>
        <w:t>1378</w:t>
      </w:r>
      <w:r>
        <w:rPr>
          <w:rFonts w:ascii="黑体" w:hAnsi="黑体" w:cs="黑体" w:eastAsia="黑体" w:hint="default"/>
          <w:spacing w:val="-45"/>
          <w:sz w:val="18"/>
          <w:szCs w:val="18"/>
        </w:rPr>
        <w:t> </w:t>
      </w:r>
      <w:r>
        <w:rPr>
          <w:rFonts w:ascii="黑体" w:hAnsi="黑体" w:cs="黑体" w:eastAsia="黑体" w:hint="default"/>
          <w:sz w:val="18"/>
          <w:szCs w:val="18"/>
        </w:rPr>
        <w:t>号</w:t>
      </w:r>
    </w:p>
    <w:p>
      <w:pPr>
        <w:spacing w:line="240" w:lineRule="auto" w:before="0"/>
        <w:rPr>
          <w:rFonts w:ascii="黑体" w:hAnsi="黑体" w:cs="黑体" w:eastAsia="黑体" w:hint="default"/>
          <w:sz w:val="18"/>
          <w:szCs w:val="18"/>
        </w:rPr>
      </w:pPr>
    </w:p>
    <w:p>
      <w:pPr>
        <w:spacing w:line="240" w:lineRule="auto" w:before="13"/>
        <w:rPr>
          <w:rFonts w:ascii="黑体" w:hAnsi="黑体" w:cs="黑体" w:eastAsia="黑体" w:hint="default"/>
          <w:sz w:val="16"/>
          <w:szCs w:val="16"/>
        </w:rPr>
      </w:pPr>
    </w:p>
    <w:p>
      <w:pPr>
        <w:pStyle w:val="Heading3"/>
        <w:spacing w:line="240" w:lineRule="auto" w:before="0"/>
        <w:ind w:right="0" w:firstLine="0"/>
        <w:jc w:val="left"/>
      </w:pPr>
      <w:r>
        <w:rPr/>
        <w:t>恒生电子股份有限公司全体股东：</w:t>
      </w:r>
    </w:p>
    <w:p>
      <w:pPr>
        <w:pStyle w:val="Heading3"/>
        <w:spacing w:line="357" w:lineRule="auto" w:before="151"/>
        <w:ind w:right="0"/>
        <w:jc w:val="left"/>
      </w:pPr>
      <w:r>
        <w:rPr/>
        <w:t>我们审计了后附的恒生电子股份有限公司（以下简称恒生电子公司）财务报表，</w:t>
      </w:r>
      <w:r>
        <w:rPr>
          <w:spacing w:val="2"/>
        </w:rPr>
        <w:t> </w:t>
      </w:r>
      <w:r>
        <w:rPr/>
        <w:t>包括</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日的合并及母公司资产负债表，</w:t>
      </w:r>
      <w:r>
        <w:rPr>
          <w:rFonts w:ascii="宋体" w:hAnsi="宋体" w:cs="宋体" w:eastAsia="宋体" w:hint="default"/>
        </w:rPr>
        <w:t>2015</w:t>
      </w:r>
      <w:r>
        <w:rPr>
          <w:rFonts w:ascii="宋体" w:hAnsi="宋体" w:cs="宋体" w:eastAsia="宋体" w:hint="default"/>
          <w:spacing w:val="-60"/>
        </w:rPr>
        <w:t> </w:t>
      </w:r>
      <w:r>
        <w:rPr/>
        <w:t>年度的合并及母公司利润 </w:t>
      </w:r>
      <w:r>
        <w:rPr>
          <w:spacing w:val="-8"/>
        </w:rPr>
        <w:t>表、合并及母公司现金流量表、合并及母公司所有者权益变动表，以及财务报表附注。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一、管理层对财务报表的责任</w:t>
      </w:r>
      <w:r>
        <w:rPr>
          <w:b w:val="0"/>
          <w:bCs w:val="0"/>
        </w:rPr>
      </w:r>
    </w:p>
    <w:p>
      <w:pPr>
        <w:pStyle w:val="Heading3"/>
        <w:spacing w:line="357" w:lineRule="auto"/>
        <w:ind w:right="304"/>
        <w:jc w:val="both"/>
      </w:pPr>
      <w:r>
        <w:rPr/>
        <w:t>编制和公允列报财务报表是恒生电子公司管理层的责任，这种责任包括：（</w:t>
      </w:r>
      <w:r>
        <w:rPr>
          <w:rFonts w:ascii="宋体" w:hAnsi="宋体" w:cs="宋体" w:eastAsia="宋体" w:hint="default"/>
        </w:rPr>
        <w:t>1</w:t>
      </w:r>
      <w:r>
        <w:rPr/>
        <w:t>） 按照企业会计准则的规定编制财务报表，并使其实现公允反映；（</w:t>
      </w:r>
      <w:r>
        <w:rPr>
          <w:rFonts w:ascii="宋体" w:hAnsi="宋体" w:cs="宋体" w:eastAsia="宋体" w:hint="default"/>
        </w:rPr>
        <w:t>2</w:t>
      </w:r>
      <w:r>
        <w:rPr/>
        <w:t>）设计、执行和 维护必要的内部控制，以使财务报表不存在由于舞弊或错误导致的重大错报。</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二、注册会计师的责任</w:t>
      </w:r>
      <w:r>
        <w:rPr>
          <w:b w:val="0"/>
          <w:bCs w:val="0"/>
        </w:rPr>
      </w:r>
    </w:p>
    <w:p>
      <w:pPr>
        <w:pStyle w:val="Heading3"/>
        <w:spacing w:line="357" w:lineRule="auto"/>
        <w:ind w:right="234"/>
        <w:jc w:val="both"/>
      </w:pPr>
      <w:r>
        <w:rPr>
          <w:spacing w:val="-2"/>
        </w:rPr>
        <w:t>我们的责任是在执行审计工作的基础上对财务报表发表审计意见。我们按照中国</w:t>
      </w:r>
      <w:r>
        <w:rPr/>
        <w:t> </w:t>
      </w:r>
      <w:r>
        <w:rPr>
          <w:spacing w:val="-2"/>
        </w:rPr>
        <w:t>注册会计师审计准则的规定执行了审计工作。中国注册会计师审计准则要求我们遵守</w:t>
      </w:r>
      <w:r>
        <w:rPr>
          <w:spacing w:val="-94"/>
        </w:rPr>
        <w:t> </w:t>
      </w:r>
      <w:r>
        <w:rPr>
          <w:spacing w:val="-94"/>
        </w:rPr>
      </w:r>
      <w:r>
        <w:rPr>
          <w:spacing w:val="-2"/>
        </w:rPr>
        <w:t>中国注册会计师职业道德守则，计划和执行审计工作以对财务报表是否不存在重大错</w:t>
      </w:r>
      <w:r>
        <w:rPr>
          <w:spacing w:val="-94"/>
        </w:rPr>
        <w:t> </w:t>
      </w:r>
      <w:r>
        <w:rPr>
          <w:spacing w:val="-94"/>
        </w:rPr>
      </w:r>
      <w:r>
        <w:rPr/>
        <w:t>报获取合理保证。</w:t>
      </w:r>
    </w:p>
    <w:p>
      <w:pPr>
        <w:pStyle w:val="Heading3"/>
        <w:spacing w:line="357" w:lineRule="auto" w:before="36"/>
        <w:ind w:right="234"/>
        <w:jc w:val="both"/>
      </w:pPr>
      <w:r>
        <w:rPr>
          <w:spacing w:val="-2"/>
        </w:rPr>
        <w:t>审计工作涉及实施审计程序，以获取有关财务报表金额和披露的审计证据。选择</w:t>
      </w:r>
      <w:r>
        <w:rPr/>
        <w:t> </w:t>
      </w:r>
      <w:r>
        <w:rPr>
          <w:spacing w:val="-2"/>
        </w:rPr>
        <w:t>的审计程序取决于注册会计师的判断，包括对由于舞弊或错误导致的财务报表重大错</w:t>
      </w:r>
      <w:r>
        <w:rPr>
          <w:spacing w:val="-94"/>
        </w:rPr>
        <w:t> </w:t>
      </w:r>
      <w:r>
        <w:rPr>
          <w:spacing w:val="-94"/>
        </w:rPr>
      </w:r>
      <w:r>
        <w:rPr>
          <w:spacing w:val="-2"/>
        </w:rPr>
        <w:t>报风险的评估。在进行风险评估时，注册会计师考虑与财务报表编制和公允列报相关</w:t>
      </w:r>
    </w:p>
    <w:p>
      <w:pPr>
        <w:spacing w:after="0" w:line="357" w:lineRule="auto"/>
        <w:jc w:val="both"/>
        <w:sectPr>
          <w:pgSz w:w="11910" w:h="16840"/>
          <w:pgMar w:header="877" w:footer="1195" w:top="1100" w:bottom="1380" w:left="1660" w:right="1040"/>
        </w:sectPr>
      </w:pPr>
    </w:p>
    <w:p>
      <w:pPr>
        <w:spacing w:line="240" w:lineRule="auto" w:before="13"/>
        <w:rPr>
          <w:rFonts w:ascii="宋体" w:hAnsi="宋体" w:cs="宋体" w:eastAsia="宋体" w:hint="default"/>
          <w:sz w:val="25"/>
          <w:szCs w:val="25"/>
        </w:rPr>
      </w:pPr>
    </w:p>
    <w:p>
      <w:pPr>
        <w:pStyle w:val="Heading3"/>
        <w:spacing w:line="357" w:lineRule="auto" w:before="26"/>
        <w:ind w:left="218" w:right="0" w:firstLine="0"/>
        <w:jc w:val="left"/>
      </w:pPr>
      <w:r>
        <w:rPr>
          <w:spacing w:val="-2"/>
        </w:rPr>
        <w:t>的内部控制，以设计恰当的审计程序。审计工作还包括评价管理层选用会计政策的恰</w:t>
      </w:r>
      <w:r>
        <w:rPr>
          <w:spacing w:val="-94"/>
        </w:rPr>
        <w:t> </w:t>
      </w:r>
      <w:r>
        <w:rPr>
          <w:spacing w:val="-94"/>
        </w:rPr>
      </w:r>
      <w:r>
        <w:rPr/>
        <w:t>当性和作出会计估计的合理性，以及评价财务报表的总体列报。</w:t>
      </w:r>
    </w:p>
    <w:p>
      <w:pPr>
        <w:pStyle w:val="Heading3"/>
        <w:spacing w:line="240" w:lineRule="auto" w:before="34"/>
        <w:ind w:left="698" w:right="0" w:firstLine="0"/>
        <w:jc w:val="left"/>
      </w:pPr>
      <w:r>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2"/>
        <w:spacing w:line="240" w:lineRule="auto" w:before="0"/>
        <w:ind w:left="700" w:right="0"/>
        <w:jc w:val="left"/>
        <w:rPr>
          <w:b w:val="0"/>
          <w:bCs w:val="0"/>
        </w:rPr>
      </w:pPr>
      <w:r>
        <w:rPr/>
        <w:t>三、审计意见</w:t>
      </w:r>
      <w:r>
        <w:rPr>
          <w:b w:val="0"/>
          <w:bCs w:val="0"/>
        </w:rPr>
      </w:r>
    </w:p>
    <w:p>
      <w:pPr>
        <w:pStyle w:val="Heading3"/>
        <w:spacing w:line="357" w:lineRule="auto" w:before="151"/>
        <w:ind w:left="218" w:right="0"/>
        <w:jc w:val="left"/>
      </w:pPr>
      <w:r>
        <w:rPr>
          <w:spacing w:val="-2"/>
        </w:rPr>
        <w:t>我们认为，恒生电子公司财务报表在所有重大方面按照企业会计准则的规定编制，</w:t>
      </w:r>
      <w:r>
        <w:rPr/>
        <w:t> 公允反映了恒生电子公司</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4"/>
        </w:rPr>
        <w:t>日的合并及母公司财务状况，以及</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117"/>
        </w:rPr>
        <w:t> </w:t>
      </w:r>
      <w:r>
        <w:rPr/>
        <w:t>度的合并及母公司经营成果和现金流量。</w:t>
      </w:r>
    </w:p>
    <w:p>
      <w:pPr>
        <w:spacing w:line="240" w:lineRule="auto" w:before="0"/>
        <w:rPr>
          <w:rFonts w:ascii="宋体" w:hAnsi="宋体" w:cs="宋体" w:eastAsia="宋体" w:hint="default"/>
          <w:sz w:val="24"/>
          <w:szCs w:val="24"/>
        </w:rPr>
      </w:pPr>
    </w:p>
    <w:p>
      <w:pPr>
        <w:pStyle w:val="Heading2"/>
        <w:spacing w:line="240" w:lineRule="auto"/>
        <w:ind w:left="700" w:right="0"/>
        <w:jc w:val="left"/>
        <w:rPr>
          <w:b w:val="0"/>
          <w:bCs w:val="0"/>
        </w:rPr>
      </w:pPr>
      <w:r>
        <w:rPr/>
        <w:t>四、强调事项</w:t>
      </w:r>
      <w:r>
        <w:rPr>
          <w:b w:val="0"/>
          <w:bCs w:val="0"/>
        </w:rPr>
      </w:r>
    </w:p>
    <w:p>
      <w:pPr>
        <w:pStyle w:val="Heading3"/>
        <w:spacing w:line="357" w:lineRule="auto"/>
        <w:ind w:left="218" w:right="353"/>
        <w:jc w:val="both"/>
      </w:pPr>
      <w:r>
        <w:rPr/>
        <w:t>我们提醒财务报表使用者关注，如财务报表附注十三其他重要事项</w:t>
      </w:r>
      <w:r>
        <w:rPr>
          <w:rFonts w:ascii="宋体" w:hAnsi="宋体" w:cs="宋体" w:eastAsia="宋体" w:hint="default"/>
        </w:rPr>
        <w:t>(</w:t>
      </w:r>
      <w:r>
        <w:rPr/>
        <w:t>二</w:t>
      </w:r>
      <w:r>
        <w:rPr>
          <w:rFonts w:ascii="宋体" w:hAnsi="宋体" w:cs="宋体" w:eastAsia="宋体" w:hint="default"/>
        </w:rPr>
        <w:t>)1</w:t>
      </w:r>
      <w:r>
        <w:rPr>
          <w:rFonts w:ascii="宋体" w:hAnsi="宋体" w:cs="宋体" w:eastAsia="宋体" w:hint="default"/>
          <w:spacing w:val="-60"/>
        </w:rPr>
        <w:t> </w:t>
      </w:r>
      <w:r>
        <w:rPr/>
        <w:t>所述， </w:t>
      </w:r>
      <w:r>
        <w:rPr>
          <w:spacing w:val="-2"/>
        </w:rPr>
        <w:t>截至财务报表批准日，中国证券监督管理委员会对公司子公司杭州恒生网络技术服务</w:t>
      </w:r>
      <w:r>
        <w:rPr>
          <w:spacing w:val="-94"/>
        </w:rPr>
        <w:t> </w:t>
      </w:r>
      <w:r>
        <w:rPr>
          <w:spacing w:val="-94"/>
        </w:rPr>
      </w:r>
      <w:r>
        <w:rPr>
          <w:spacing w:val="-2"/>
        </w:rPr>
        <w:t>有限公司提起的行政处罚尚处于听证阶段，其结果具有不确定性。本段内容不影响已</w:t>
      </w:r>
      <w:r>
        <w:rPr>
          <w:spacing w:val="-94"/>
        </w:rPr>
        <w:t> </w:t>
      </w:r>
      <w:r>
        <w:rPr>
          <w:spacing w:val="-94"/>
        </w:rPr>
      </w:r>
      <w:r>
        <w:rPr/>
        <w:t>发表的审计意见。</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5"/>
          <w:szCs w:val="25"/>
        </w:rPr>
      </w:pPr>
    </w:p>
    <w:p>
      <w:pPr>
        <w:pStyle w:val="Heading3"/>
        <w:tabs>
          <w:tab w:pos="4418" w:val="left" w:leader="none"/>
        </w:tabs>
        <w:spacing w:line="712" w:lineRule="auto" w:before="0"/>
        <w:ind w:left="1478" w:right="2345" w:hanging="1260"/>
        <w:jc w:val="right"/>
      </w:pPr>
      <w:r>
        <w:rPr/>
        <w:t>天健会计师事务所（特殊普通合伙）</w:t>
        <w:tab/>
        <w:t>中国注册会计师：沃巍勇 中国·杭州</w:t>
        <w:tab/>
        <w:t>中国注册会计师：陈彩琴</w:t>
      </w:r>
    </w:p>
    <w:p>
      <w:pPr>
        <w:pStyle w:val="Heading3"/>
        <w:spacing w:line="240" w:lineRule="auto" w:before="147"/>
        <w:ind w:left="0" w:right="2345" w:firstLine="0"/>
        <w:jc w:val="right"/>
      </w:pPr>
      <w:r>
        <w:rPr/>
        <w:t>二〇一六年三月二十五日</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5" w:top="1100" w:bottom="1380" w:left="1580" w:right="920"/>
        </w:sectPr>
      </w:pPr>
    </w:p>
    <w:p>
      <w:pPr>
        <w:pStyle w:val="Heading4"/>
        <w:spacing w:line="240" w:lineRule="auto"/>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40" w:lineRule="auto"/>
        <w:ind w:right="-16"/>
        <w:jc w:val="left"/>
      </w:pPr>
      <w:r>
        <w:rPr/>
        <w:t>编制单位</w:t>
      </w:r>
      <w:r>
        <w:rPr>
          <w:rFonts w:ascii="宋体" w:hAnsi="宋体" w:cs="宋体" w:eastAsia="宋体" w:hint="default"/>
        </w:rPr>
        <w:t>:</w:t>
      </w:r>
      <w:r>
        <w:rPr>
          <w:rFonts w:ascii="宋体" w:hAnsi="宋体" w:cs="宋体" w:eastAsia="宋体" w:hint="default"/>
          <w:spacing w:val="-1"/>
        </w:rPr>
        <w:t> </w:t>
      </w:r>
      <w:r>
        <w:rPr/>
        <w:t>恒生电子股份有限公司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5"/>
        <w:ind w:left="218" w:right="-16"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4" w:val="left" w:leader="none"/>
        </w:tabs>
        <w:spacing w:line="240" w:lineRule="auto" w:before="139"/>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920"/>
          <w:cols w:num="3" w:equalWidth="0">
            <w:col w:w="3372" w:space="178"/>
            <w:col w:w="1954" w:space="1229"/>
            <w:col w:w="267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sz w:val="21"/>
              </w:rPr>
              <w:t>302,552,931.69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sz w:val="21"/>
              </w:rPr>
              <w:t>522,325,564.63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9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73,378,646.78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146,515,387.47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3,199,000.00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220,991,365.93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165,118,086.72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11,071,037.49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6,508,876.33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19,657,149.80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41,383,566.96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58,656,916.98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57,361,999.19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1,248,688,722.54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918,619,376.49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1,934,996,771.21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1,861,031,857.79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852,801,976.64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423,863,248.05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620,206,079.24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321,866,784.05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37,321,878.71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17,400,291.28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315,493,125.93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89,428,785.86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155,807,049.87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28,600,272.49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36,045,759.31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11,071,887.53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351,752.70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568,226.30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21,382,925.48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9,010,029.55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164,125,565.10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104,695,232.00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2,040,283,576.29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1,169,757,293.80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3,975,280,347.50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3,030,789,151.59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63,233,888.90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37,231,500.31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782,361,095.41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464,946,059.45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271,551,789.56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130,953,271.74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82,061,520.31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41,544,543.38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50,883.25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84,996,521.69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245,676,109.85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1,284,204,815.87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920,402,367.98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30,199,000.00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64,113,784.19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4,665,564.71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49,028,641.17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34,480,264.37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25,624,752.14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5,235,935.17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138,767,177.50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74,580,764.25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1,422,971,993.37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994,983,132.23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617,805,180.00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617,805,180.00</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108,601,122.55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35,986,668.17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144,842,345.51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43,958,375.15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265,479,321.55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215,287,371.03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1,295,337,976.19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1,003,001,346.45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2,432,065,945.80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1,916,038,940.80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120,242,408.33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119,767,078.56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2,552,308,354.13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2,035,806,019.36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3,975,280,347.50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3,030,789,151.59</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2"/>
        <w:rPr>
          <w:rFonts w:ascii="Times New Roman" w:hAnsi="Times New Roman" w:cs="Times New Roman" w:eastAsia="Times New Roman" w:hint="default"/>
          <w:sz w:val="29"/>
          <w:szCs w:val="29"/>
        </w:rPr>
      </w:pPr>
    </w:p>
    <w:p>
      <w:pPr>
        <w:pStyle w:val="BodyText"/>
        <w:tabs>
          <w:tab w:pos="2738" w:val="left" w:leader="none"/>
          <w:tab w:pos="5993" w:val="left" w:leader="none"/>
        </w:tabs>
        <w:spacing w:line="240" w:lineRule="auto" w:before="36"/>
        <w:ind w:right="227"/>
        <w:jc w:val="left"/>
      </w:pPr>
      <w:r>
        <w:rPr>
          <w:spacing w:val="-1"/>
        </w:rPr>
        <w:t>法定代表人：彭政纲</w:t>
        <w:tab/>
      </w:r>
      <w:r>
        <w:rPr>
          <w:spacing w:val="-2"/>
        </w:rPr>
        <w:t>主管会计工作负责人：傅美英</w:t>
        <w:tab/>
        <w:t>会计机构负责人：曾玉梅</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恒生电子股份有限公司</w:t>
      </w:r>
    </w:p>
    <w:p>
      <w:pPr>
        <w:spacing w:line="272" w:lineRule="exact" w:before="64"/>
        <w:ind w:left="218" w:right="-16"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267" w:space="283"/>
            <w:col w:w="1954" w:space="1229"/>
            <w:col w:w="255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217,987,231.66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361,740,694.41</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73,378,646.78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146,488,005.47</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194,121,382.65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133,589,213.05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5,757,366.02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4,273,989.22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36,821,963.56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36,893,783.41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13,854,332.88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7,734,941.52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1,071,499,306.25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820,300,000.00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1,613,420,229.80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1,511,120,627.08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901,152,296.26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422,963,248.05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746,754,974.54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538,186,448.09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37,321,878.71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17,400,291.28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286,322,188.27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66,705,587.03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155,392,272.09</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8,373,172.85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10,663,290.33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351,752.70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559,934.31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42,378,198.34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8,054,471.58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163,847,499.98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2,186,501,961.65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1,306,925,542.76</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3,799,922,191.45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2,818,046,169.84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58,022,879.16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24,403,510.09</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708,325,389.60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412,772,000.20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226,067,100.97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107,224,385.00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78,499,676.54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39,336,916.01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50,883.25</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50,141,126.58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117,895,006.43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1,121,056,172.85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701,682,700.98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30,199,000.00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6,005,225.70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4,562,775.93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49,028,641.17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34,480,264.37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25,624,752.14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5,235,935.17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80,658,619.01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74,477,975.47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1,201,714,791.86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776,160,676.45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617,805,180.00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617,805,180.00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139,221,300.54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70,747,814.92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144,431,088.79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44,307,450.57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266,847,512.87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216,655,562.35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1,429,902,317.39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1,092,369,485.55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2,598,207,399.59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2,041,885,493.39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3,799,922,191.45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2,818,046,169.84</w:t>
            </w:r>
          </w:p>
        </w:tc>
      </w:tr>
    </w:tbl>
    <w:p>
      <w:pPr>
        <w:pStyle w:val="BodyText"/>
        <w:tabs>
          <w:tab w:pos="2738" w:val="left" w:leader="none"/>
          <w:tab w:pos="5993" w:val="left" w:leader="none"/>
        </w:tabs>
        <w:spacing w:line="241" w:lineRule="exact"/>
        <w:ind w:right="227"/>
        <w:jc w:val="left"/>
      </w:pPr>
      <w:r>
        <w:rPr>
          <w:spacing w:val="-1"/>
        </w:rPr>
        <w:t>法定代表人：彭政纲</w:t>
        <w:tab/>
      </w:r>
      <w:r>
        <w:rPr>
          <w:spacing w:val="-2"/>
        </w:rPr>
        <w:t>主管会计工作负责人：傅美英</w:t>
        <w:tab/>
        <w:t>会计机构负责人：曾玉梅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5" w:top="1100" w:bottom="1380" w:left="1580" w:right="1040"/>
        </w:sectPr>
      </w:pPr>
    </w:p>
    <w:p>
      <w:pPr>
        <w:spacing w:line="272" w:lineRule="exact" w:before="64"/>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2,225,532,407.47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1,421,839,135.12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2,225,532,407.47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1,421,839,135.12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1,959,388,423.82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1,264,561,364.03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162,774,072.05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89,823,564.61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36,777,247.01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20,073,057.78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581,819,206.22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357,418,494.08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1,057,604,547.97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801,092,966.64</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-3,580,257.15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-9,042,750.96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123,993,607.72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5,196,031.88</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-1,824,177.73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12,482,267.18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164,007,889.38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122,563,741.47</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24,293,039.19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3"/>
              <w:jc w:val="right"/>
              <w:rPr>
                <w:rFonts w:ascii="宋体" w:hAnsi="宋体" w:cs="宋体" w:eastAsia="宋体" w:hint="default"/>
                <w:sz w:val="21"/>
                <w:szCs w:val="21"/>
              </w:rPr>
            </w:pPr>
            <w:r>
              <w:rPr>
                <w:rFonts w:ascii="宋体"/>
                <w:spacing w:val="-1"/>
                <w:sz w:val="21"/>
              </w:rPr>
              <w:t>33,235,878.59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428,327,695.30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292,323,779.74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147,867,131.72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96,084,215.12</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410,196.01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117,017.11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61,014,509.92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2,284,118.00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471,577.60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211,873.77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515,180,317.10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386,123,876.86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66,388,456.88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31,103,018.77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448,791,860.22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355,020,858.09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453,733,512.62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360,520,485.09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-4,941,652.40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-5,499,627.00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101,367,893.42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11,883,210.22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100,883,970.36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12,551,363.75</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100,883,970.36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12,551,363.75</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1,446,624.40</w:t>
            </w:r>
          </w:p>
        </w:tc>
      </w:tr>
    </w:tbl>
    <w:p>
      <w:pPr>
        <w:spacing w:after="0" w:line="240" w:lineRule="auto"/>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100,123,638.22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3"/>
              <w:jc w:val="right"/>
              <w:rPr>
                <w:rFonts w:ascii="宋体" w:hAnsi="宋体" w:cs="宋体" w:eastAsia="宋体" w:hint="default"/>
                <w:sz w:val="21"/>
                <w:szCs w:val="21"/>
              </w:rPr>
            </w:pPr>
            <w:r>
              <w:rPr>
                <w:rFonts w:ascii="宋体"/>
                <w:spacing w:val="-1"/>
                <w:sz w:val="21"/>
              </w:rPr>
              <w:t>11,535,508.44</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760,332.14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-430,769.09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483,923.06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-668,153.53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550,159,753.64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366,904,068.31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554,617,482.98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373,071,848.84</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-4,457,729.34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-6,167,780.53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0.58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0.58</w:t>
            </w:r>
          </w:p>
        </w:tc>
      </w:tr>
    </w:tbl>
    <w:p>
      <w:pPr>
        <w:pStyle w:val="BodyText"/>
        <w:tabs>
          <w:tab w:pos="7412" w:val="left" w:leader="none"/>
        </w:tabs>
        <w:spacing w:line="239" w:lineRule="exact"/>
        <w:ind w:right="227"/>
        <w:jc w:val="left"/>
      </w:pPr>
      <w:r>
        <w:rPr>
          <w:spacing w:val="-2"/>
        </w:rPr>
        <w:t>本期发生同一控制下企业合并的，被合并方在合并前实现的净利润为：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spacing w:val="-2"/>
        </w:rPr>
        <w:t>元</w:t>
      </w:r>
      <w:r>
        <w:rPr>
          <w:rFonts w:ascii="宋体" w:hAnsi="宋体" w:cs="宋体" w:eastAsia="宋体" w:hint="default"/>
          <w:spacing w:val="-2"/>
        </w:rPr>
        <w:t>,</w:t>
      </w:r>
      <w:r>
        <w:rPr>
          <w:spacing w:val="-2"/>
        </w:rPr>
        <w:t>上期被合并方</w:t>
      </w:r>
    </w:p>
    <w:p>
      <w:pPr>
        <w:pStyle w:val="BodyText"/>
        <w:tabs>
          <w:tab w:pos="2577" w:val="left" w:leader="none"/>
        </w:tabs>
        <w:spacing w:line="272" w:lineRule="exact"/>
        <w:ind w:right="2940"/>
        <w:jc w:val="left"/>
      </w:pPr>
      <w:r>
        <w:rPr>
          <w:spacing w:val="-2"/>
        </w:rPr>
        <w:t>实现的净利润为：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t>元。</w:t>
      </w:r>
    </w:p>
    <w:p>
      <w:pPr>
        <w:pStyle w:val="BodyText"/>
        <w:tabs>
          <w:tab w:pos="2844" w:val="left" w:leader="none"/>
          <w:tab w:pos="6206" w:val="left" w:leader="none"/>
        </w:tabs>
        <w:spacing w:line="274" w:lineRule="exact"/>
        <w:ind w:right="227"/>
        <w:jc w:val="left"/>
      </w:pPr>
      <w:r>
        <w:rPr>
          <w:spacing w:val="-1"/>
        </w:rPr>
        <w:t>法定代表人：彭政纲</w:t>
        <w:tab/>
      </w:r>
      <w:r>
        <w:rPr>
          <w:spacing w:val="-2"/>
        </w:rPr>
        <w:t>主管会计工作负责人：傅美英</w:t>
        <w:tab/>
        <w:t>会计机构负责人：曾玉梅</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1,916,728,370.34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1,292,008,501.41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93,019,777.73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43,102,775.69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27,675,834.18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20,077,814.50</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474,401,244.99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310,409,051.89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891,875,886.61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681,935,455.63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-2,311,592.77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-8,902,030.63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172,047,579.72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1,576,153.19</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-1,830,985.73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12,232,121.31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142,056,157.25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112,536,519.87</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12,202,647.53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3"/>
              <w:jc w:val="right"/>
              <w:rPr>
                <w:rFonts w:ascii="宋体" w:hAnsi="宋体" w:cs="宋体" w:eastAsia="宋体" w:hint="default"/>
                <w:sz w:val="21"/>
                <w:szCs w:val="21"/>
              </w:rPr>
            </w:pPr>
            <w:r>
              <w:rPr>
                <w:rFonts w:ascii="宋体"/>
                <w:spacing w:val="-1"/>
                <w:sz w:val="21"/>
              </w:rPr>
              <w:t>4,672,266.51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400,244,811.40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368,577,922.32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146,588,814.93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93,331,362.61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405,532.46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117,017.11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2,538,331.14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2,165,602.34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353,428.31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201,981.57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544,295,295.19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459,743,682.59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42,375,789.98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27,240,099.76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501,919,505.21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432,503,582.83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100,123,638.22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12,982,132.84</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100,123,638.22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12,982,132.84</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1,446,624.40</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100,123,638.22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11,535,508.44</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602,043,143.43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445,485,715.67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pStyle w:val="BodyText"/>
        <w:tabs>
          <w:tab w:pos="2738" w:val="left" w:leader="none"/>
          <w:tab w:pos="6098" w:val="left" w:leader="none"/>
        </w:tabs>
        <w:spacing w:line="241" w:lineRule="exact"/>
        <w:ind w:right="227"/>
        <w:jc w:val="left"/>
      </w:pPr>
      <w:r>
        <w:rPr>
          <w:spacing w:val="-1"/>
        </w:rPr>
        <w:t>法定代表人：彭政纲</w:t>
        <w:tab/>
      </w:r>
      <w:r>
        <w:rPr>
          <w:spacing w:val="-2"/>
        </w:rPr>
        <w:t>主管会计工作负责人：傅美英</w:t>
        <w:tab/>
        <w:t>会计机构负责人：曾玉梅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26"/>
          <w:pgSz w:w="11910" w:h="16840"/>
          <w:pgMar w:footer="1195" w:header="877" w:top="1100" w:bottom="1380" w:left="1580" w:right="1040"/>
        </w:sectPr>
      </w:pPr>
    </w:p>
    <w:p>
      <w:pPr>
        <w:spacing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2,594,112,180.29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1,764,708,778.77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143,495,070.26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85,117,187.62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71</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293,452,171.53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192,683,153.19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3,031,059,422.08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2,042,509,119.58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172,029,514.49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70,795,035.27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896,072,339.06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647,105,772.06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309,754,675.90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210,832,683.88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71</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661,539,479.98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500,240,883.90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2,039,396,009.43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1,428,974,375.11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991,663,412.65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613,534,744.47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3,944,345,853.03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2,597,846,021.29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76,610,576.37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77,137,580.48</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916,757.67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22,888.99</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4,606,857.82</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71</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5,001,917.00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4,031,481,961.89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2,677,406,490.76</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111,978,718.99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96,603,916.29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4,734,323,396.62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2,943,522,372.22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71</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588,282,836.21</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5,434,584,951.82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3,040,126,288.51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-1,403,102,989.93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-362,719,797.75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332,886,200.00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26,655,000.00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332,886,200.00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26,655,000.00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30,130,000.00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71</w:t>
            </w: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332,886,200.00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57,075,000.00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30,199,000.00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16,261,000.00</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111,643,447.01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111,826,687.14</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11,128,787.88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71</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142,132,447.01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128,087,687.14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190,753,752.99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-71,012,687.14</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1,233,541.35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-607,147.32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-219,452,282.94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179,195,112.26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519,931,614.63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340,736,502.37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300,479,331.69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519,931,614.63</w:t>
            </w:r>
          </w:p>
        </w:tc>
      </w:tr>
    </w:tbl>
    <w:p>
      <w:pPr>
        <w:pStyle w:val="BodyText"/>
        <w:tabs>
          <w:tab w:pos="2632" w:val="left" w:leader="none"/>
          <w:tab w:pos="5995" w:val="left" w:leader="none"/>
        </w:tabs>
        <w:spacing w:line="241" w:lineRule="exact"/>
        <w:ind w:right="227"/>
        <w:jc w:val="left"/>
      </w:pPr>
      <w:r>
        <w:rPr>
          <w:spacing w:val="-1"/>
        </w:rPr>
        <w:t>法定代表人：彭政纲</w:t>
        <w:tab/>
      </w:r>
      <w:r>
        <w:rPr>
          <w:spacing w:val="-2"/>
        </w:rPr>
        <w:t>主管会计工作负责人：傅美英</w:t>
        <w:tab/>
        <w:t>会计机构负责人：曾玉梅</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4"/>
        <w:spacing w:line="240" w:lineRule="auto" w:before="0"/>
        <w:ind w:left="0" w:right="15"/>
        <w:jc w:val="center"/>
        <w:rPr>
          <w:b w:val="0"/>
          <w:bCs w:val="0"/>
        </w:rPr>
      </w:pPr>
      <w:r>
        <w:rPr/>
        <w:t>母公司现金流量表</w:t>
      </w:r>
      <w:r>
        <w:rPr>
          <w:b w:val="0"/>
          <w:bCs w:val="0"/>
        </w:rPr>
      </w:r>
    </w:p>
    <w:p>
      <w:pPr>
        <w:spacing w:after="0" w:line="240" w:lineRule="auto"/>
        <w:jc w:val="center"/>
        <w:sectPr>
          <w:footerReference w:type="default" r:id="rId27"/>
          <w:pgSz w:w="11910" w:h="16840"/>
          <w:pgMar w:footer="1195" w:header="877" w:top="1100" w:bottom="1380" w:left="1580" w:right="1040"/>
          <w:pgNumType w:start="61"/>
        </w:sectPr>
      </w:pPr>
    </w:p>
    <w:p>
      <w:pPr>
        <w:spacing w:line="240" w:lineRule="auto" w:before="9"/>
        <w:rPr>
          <w:rFonts w:ascii="宋体" w:hAnsi="宋体" w:cs="宋体" w:eastAsia="宋体" w:hint="default"/>
          <w:b/>
          <w:bCs/>
          <w:sz w:val="25"/>
          <w:szCs w:val="25"/>
        </w:rPr>
      </w:pPr>
    </w:p>
    <w:p>
      <w:pPr>
        <w:pStyle w:val="BodyText"/>
        <w:spacing w:line="274" w:lineRule="exact" w:before="36"/>
        <w:ind w:left="3" w:right="15"/>
        <w:jc w:val="center"/>
      </w:pPr>
      <w:r>
        <w:rPr>
          <w:rFonts w:ascii="宋体" w:hAnsi="宋体" w:cs="宋体" w:eastAsia="宋体" w:hint="default"/>
        </w:rPr>
        <w:t>2015</w:t>
      </w:r>
      <w:r>
        <w:rPr>
          <w:rFonts w:ascii="宋体" w:hAnsi="宋体" w:cs="宋体" w:eastAsia="宋体" w:hint="default"/>
          <w:spacing w:val="-54"/>
        </w:rPr>
        <w:t> </w:t>
      </w:r>
      <w:r>
        <w:rPr/>
        <w:t>年</w:t>
      </w:r>
      <w:r>
        <w:rPr>
          <w:spacing w:val="-51"/>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4"/>
        </w:rPr>
        <w:t> </w:t>
      </w:r>
      <w:r>
        <w:rPr/>
        <w:t>月</w:t>
      </w:r>
    </w:p>
    <w:p>
      <w:pPr>
        <w:pStyle w:val="BodyText"/>
        <w:tabs>
          <w:tab w:pos="946" w:val="left" w:leader="none"/>
        </w:tabs>
        <w:spacing w:line="274"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2,333,184,370.16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1,636,828,043.45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142,816,436.22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84,153,750.07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71,424,722.27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118,919,287.66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2,547,425,528.65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1,839,901,081.18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174,067,451.05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72,202,758.81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686,857,910.59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557,098,913.35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283,512,887.38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188,382,605.37</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594,861,165.63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437,698,808.83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1,739,299,414.65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1,255,383,086.36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808,126,114.00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584,517,994.82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3,129,023,653.69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2,398,672,963.33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76,610,453.87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70,008,562.60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869,750.53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807,346.72</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4,606,857.82</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62,918,153.84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9,079,575.99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3,274,028,869.75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2,478,568,448.64</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96,671,094.92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3"/>
              <w:jc w:val="right"/>
              <w:rPr>
                <w:rFonts w:ascii="宋体" w:hAnsi="宋体" w:cs="宋体" w:eastAsia="宋体" w:hint="default"/>
                <w:sz w:val="21"/>
                <w:szCs w:val="21"/>
              </w:rPr>
            </w:pPr>
            <w:r>
              <w:rPr>
                <w:rFonts w:ascii="宋体"/>
                <w:spacing w:val="-1"/>
                <w:sz w:val="21"/>
              </w:rPr>
              <w:t>91,418,185.14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3,950,059,896.62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2,731,675,214.12</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30,590,000.00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4,083,730,991.54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2,853,683,399.26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-809,702,121.79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-375,114,950.62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30,130,000.00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30,130,000.00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30,199,000.00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16,261,000.00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111,643,447.01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100,697,899.26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141,842,447.01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116,958,899.26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-141,842,447.01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-86,828,899.26</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-14,657.95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-14,728.77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-143,433,112.75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122,559,416.17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359,346,744.41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236,787,328.24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215,913,631.66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359,346,744.41</w:t>
            </w:r>
          </w:p>
        </w:tc>
      </w:tr>
    </w:tbl>
    <w:p>
      <w:pPr>
        <w:pStyle w:val="BodyText"/>
        <w:tabs>
          <w:tab w:pos="2738" w:val="left" w:leader="none"/>
          <w:tab w:pos="6098" w:val="left" w:leader="none"/>
        </w:tabs>
        <w:spacing w:line="241" w:lineRule="exact"/>
        <w:ind w:right="227"/>
        <w:jc w:val="left"/>
      </w:pPr>
      <w:r>
        <w:rPr>
          <w:spacing w:val="-1"/>
        </w:rPr>
        <w:t>法定代表人：彭政纲</w:t>
        <w:tab/>
      </w:r>
      <w:r>
        <w:rPr>
          <w:spacing w:val="-2"/>
        </w:rPr>
        <w:t>主管会计工作负责人：傅美英</w:t>
        <w:tab/>
        <w:t>会计机构负责人：曾玉梅</w:t>
      </w:r>
    </w:p>
    <w:p>
      <w:pPr>
        <w:spacing w:after="0" w:line="241" w:lineRule="exact"/>
        <w:jc w:val="left"/>
        <w:sectPr>
          <w:pgSz w:w="11910" w:h="16840"/>
          <w:pgMar w:header="877" w:footer="1195" w:top="1100" w:bottom="1380" w:left="1580" w:right="104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877" w:footer="1195" w:top="1100" w:bottom="1380" w:left="1660" w:right="114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28"/>
          <w:footerReference w:type="default" r:id="rId29"/>
          <w:pgSz w:w="16840" w:h="11910" w:orient="landscape"/>
          <w:pgMar w:header="882" w:footer="1195" w:top="1120" w:bottom="1380" w:left="140" w:right="160"/>
          <w:pgNumType w:start="64"/>
        </w:sectPr>
      </w:pPr>
    </w:p>
    <w:p>
      <w:pPr>
        <w:spacing w:before="158"/>
        <w:ind w:left="754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40" w:right="160"/>
          <w:cols w:num="2" w:equalWidth="0">
            <w:col w:w="9366" w:space="40"/>
            <w:col w:w="713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844"/>
        <w:gridCol w:w="1560"/>
        <w:gridCol w:w="425"/>
        <w:gridCol w:w="425"/>
        <w:gridCol w:w="428"/>
        <w:gridCol w:w="1560"/>
        <w:gridCol w:w="425"/>
        <w:gridCol w:w="1558"/>
        <w:gridCol w:w="710"/>
        <w:gridCol w:w="1558"/>
        <w:gridCol w:w="711"/>
        <w:gridCol w:w="1699"/>
        <w:gridCol w:w="1702"/>
        <w:gridCol w:w="1699"/>
      </w:tblGrid>
      <w:tr>
        <w:trPr>
          <w:trHeight w:val="250" w:hRule="exact"/>
        </w:trPr>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46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1844" w:type="dxa"/>
            <w:vMerge/>
            <w:tcBorders>
              <w:left w:val="single" w:sz="4" w:space="0" w:color="000000"/>
              <w:right w:val="single" w:sz="4" w:space="0" w:color="000000"/>
            </w:tcBorders>
          </w:tcPr>
          <w:p>
            <w:pPr/>
          </w:p>
        </w:tc>
        <w:tc>
          <w:tcPr>
            <w:tcW w:w="1105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598"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844" w:type="dxa"/>
            <w:vMerge/>
            <w:tcBorders>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工具</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17" w:lineRule="exact"/>
              <w:ind w:left="11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17" w:right="11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70" w:right="16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70" w:right="170"/>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vMerge/>
            <w:tcBorders>
              <w:left w:val="single" w:sz="4" w:space="0" w:color="000000"/>
              <w:right w:val="single" w:sz="4" w:space="0" w:color="000000"/>
            </w:tcBorders>
          </w:tcPr>
          <w:p>
            <w:pPr/>
          </w:p>
        </w:tc>
        <w:tc>
          <w:tcPr>
            <w:tcW w:w="1699" w:type="dxa"/>
            <w:vMerge/>
            <w:tcBorders>
              <w:left w:val="single" w:sz="4" w:space="0" w:color="000000"/>
              <w:right w:val="single" w:sz="4" w:space="0" w:color="000000"/>
            </w:tcBorders>
          </w:tcPr>
          <w:p>
            <w:pPr/>
          </w:p>
        </w:tc>
      </w:tr>
      <w:tr>
        <w:trPr>
          <w:trHeight w:val="730" w:hRule="exact"/>
        </w:trPr>
        <w:tc>
          <w:tcPr>
            <w:tcW w:w="184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4" w:lineRule="auto" w:before="4"/>
              <w:ind w:left="117" w:right="115"/>
              <w:jc w:val="left"/>
              <w:rPr>
                <w:rFonts w:ascii="宋体" w:hAnsi="宋体" w:cs="宋体" w:eastAsia="宋体" w:hint="default"/>
                <w:sz w:val="18"/>
                <w:szCs w:val="18"/>
              </w:rPr>
            </w:pPr>
            <w:r>
              <w:rPr>
                <w:rFonts w:ascii="宋体" w:hAnsi="宋体" w:cs="宋体" w:eastAsia="宋体" w:hint="default"/>
                <w:sz w:val="18"/>
                <w:szCs w:val="18"/>
              </w:rPr>
              <w:t>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20"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4" w:lineRule="auto" w:before="4"/>
              <w:ind w:left="120" w:right="113"/>
              <w:jc w:val="left"/>
              <w:rPr>
                <w:rFonts w:ascii="宋体" w:hAnsi="宋体" w:cs="宋体" w:eastAsia="宋体" w:hint="default"/>
                <w:sz w:val="18"/>
                <w:szCs w:val="18"/>
              </w:rPr>
            </w:pPr>
            <w:r>
              <w:rPr>
                <w:rFonts w:ascii="宋体" w:hAnsi="宋体" w:cs="宋体" w:eastAsia="宋体" w:hint="default"/>
                <w:sz w:val="18"/>
                <w:szCs w:val="18"/>
              </w:rPr>
              <w:t>续 债</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19" w:right="116"/>
              <w:jc w:val="left"/>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617,805,180.00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35,986,668.17</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43,958,375.15</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215,287,371.03</w:t>
            </w: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1,003,001,346.45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119,767,078.56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2,035,806,019.36</w:t>
            </w: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5"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617,805,180.00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35,986,668.17</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43,958,375.15</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215,287,371.03</w:t>
            </w: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1,003,001,346.45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119,767,078.56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2,035,806,019.36</w:t>
            </w:r>
          </w:p>
        </w:tc>
      </w:tr>
      <w:tr>
        <w:trPr>
          <w:trHeight w:val="71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三、本期增减变动金</w:t>
            </w:r>
          </w:p>
          <w:p>
            <w:pPr>
              <w:pStyle w:val="TableParagraph"/>
              <w:spacing w:line="232" w:lineRule="exact" w:before="24"/>
              <w:ind w:left="105" w:right="105"/>
              <w:jc w:val="left"/>
              <w:rPr>
                <w:rFonts w:ascii="宋体" w:hAnsi="宋体" w:cs="宋体" w:eastAsia="宋体" w:hint="default"/>
                <w:sz w:val="18"/>
                <w:szCs w:val="18"/>
              </w:rPr>
            </w:pPr>
            <w:r>
              <w:rPr>
                <w:rFonts w:ascii="宋体" w:hAnsi="宋体" w:cs="宋体" w:eastAsia="宋体" w:hint="default"/>
                <w:sz w:val="18"/>
                <w:szCs w:val="18"/>
              </w:rPr>
              <w:t>额（减少以“－”号 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72,614,454.38</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100,883,970.36</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50,191,950.52</w:t>
            </w: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292,336,629.74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475,329.77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516,502,334.77</w:t>
            </w: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100,883,970.36</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453,733,512.62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-4,457,729.34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550,159,753.64</w:t>
            </w: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（二）所有者投入和</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72,614,454.38</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4,933,059.11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77,547,513.49</w:t>
            </w: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股东投入的普通股</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332,886,200.00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332,886,200.00</w:t>
            </w:r>
          </w:p>
        </w:tc>
      </w:tr>
      <w:tr>
        <w:trPr>
          <w:trHeight w:val="47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其他权益工具持有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5"/>
                <w:sz w:val="18"/>
                <w:szCs w:val="18"/>
              </w:rPr>
              <w:t>．</w:t>
            </w:r>
            <w:r>
              <w:rPr>
                <w:rFonts w:ascii="宋体" w:hAnsi="宋体" w:cs="宋体" w:eastAsia="宋体" w:hint="default"/>
                <w:sz w:val="18"/>
                <w:szCs w:val="18"/>
              </w:rPr>
              <w:t>股份支付计入所有</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72,614,454.38</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-327,953,140.89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-255,338,686.51</w:t>
            </w: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50,191,950.52</w:t>
            </w: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-161,396,882.88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-111,204,932.36</w:t>
            </w: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50,191,950.52</w:t>
            </w: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-50,191,950.52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提取一般风险准备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7"/>
                <w:sz w:val="18"/>
                <w:szCs w:val="18"/>
              </w:rPr>
              <w:t>．</w:t>
            </w:r>
            <w:r>
              <w:rPr>
                <w:rFonts w:ascii="宋体" w:hAnsi="宋体" w:cs="宋体" w:eastAsia="宋体" w:hint="default"/>
                <w:sz w:val="18"/>
                <w:szCs w:val="18"/>
              </w:rPr>
              <w:t>对所有</w:t>
            </w:r>
            <w:r>
              <w:rPr>
                <w:rFonts w:ascii="宋体" w:hAnsi="宋体" w:cs="宋体" w:eastAsia="宋体" w:hint="default"/>
                <w:spacing w:val="-87"/>
                <w:sz w:val="18"/>
                <w:szCs w:val="18"/>
              </w:rPr>
              <w:t>者</w:t>
            </w:r>
            <w:r>
              <w:rPr>
                <w:rFonts w:ascii="宋体" w:hAnsi="宋体" w:cs="宋体" w:eastAsia="宋体" w:hint="default"/>
                <w:sz w:val="18"/>
                <w:szCs w:val="18"/>
              </w:rPr>
              <w:t>（或股东）</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-111,204,932.36</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-111,204,932.36</w:t>
            </w:r>
          </w:p>
        </w:tc>
      </w:tr>
    </w:tbl>
    <w:p>
      <w:pPr>
        <w:spacing w:after="0" w:line="205" w:lineRule="exact"/>
        <w:jc w:val="right"/>
        <w:rPr>
          <w:rFonts w:ascii="宋体" w:hAnsi="宋体" w:cs="宋体" w:eastAsia="宋体" w:hint="default"/>
          <w:sz w:val="18"/>
          <w:szCs w:val="18"/>
        </w:rPr>
        <w:sectPr>
          <w:type w:val="continuous"/>
          <w:pgSz w:w="16840" w:h="11910" w:orient="landscape"/>
          <w:pgMar w:top="1120" w:bottom="1380" w:left="140" w:right="160"/>
        </w:sectPr>
      </w:pPr>
    </w:p>
    <w:p>
      <w:pPr>
        <w:spacing w:line="240" w:lineRule="auto" w:before="2"/>
        <w:rPr>
          <w:rFonts w:ascii="Times New Roman" w:hAnsi="Times New Roman" w:cs="Times New Roman" w:eastAsia="Times New Roman"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844"/>
        <w:gridCol w:w="1560"/>
        <w:gridCol w:w="425"/>
        <w:gridCol w:w="425"/>
        <w:gridCol w:w="428"/>
        <w:gridCol w:w="1560"/>
        <w:gridCol w:w="425"/>
        <w:gridCol w:w="1558"/>
        <w:gridCol w:w="710"/>
        <w:gridCol w:w="1558"/>
        <w:gridCol w:w="711"/>
        <w:gridCol w:w="1699"/>
        <w:gridCol w:w="1702"/>
        <w:gridCol w:w="1699"/>
      </w:tblGrid>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（四）所有者权益内</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资本公积转增资本</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盈余公积转增资本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5"/>
                <w:sz w:val="18"/>
                <w:szCs w:val="18"/>
              </w:rPr>
              <w:t>．</w:t>
            </w:r>
            <w:r>
              <w:rPr>
                <w:rFonts w:ascii="宋体" w:hAnsi="宋体" w:cs="宋体" w:eastAsia="宋体" w:hint="default"/>
                <w:sz w:val="18"/>
                <w:szCs w:val="18"/>
              </w:rPr>
              <w:t>盈余公积弥补亏损</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617,805,180.00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108,601,122.55</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144,842,345.51</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265,479,321.55</w:t>
            </w:r>
          </w:p>
        </w:tc>
        <w:tc>
          <w:tcPr>
            <w:tcW w:w="71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1,295,337,976.19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8" w:right="0"/>
              <w:jc w:val="left"/>
              <w:rPr>
                <w:rFonts w:ascii="宋体" w:hAnsi="宋体" w:cs="宋体" w:eastAsia="宋体" w:hint="default"/>
                <w:sz w:val="18"/>
                <w:szCs w:val="18"/>
              </w:rPr>
            </w:pPr>
            <w:r>
              <w:rPr>
                <w:rFonts w:ascii="宋体"/>
                <w:sz w:val="18"/>
              </w:rPr>
              <w:t>120,242,408.33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2,552,308,354.13</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1846"/>
        <w:gridCol w:w="1560"/>
        <w:gridCol w:w="425"/>
        <w:gridCol w:w="425"/>
        <w:gridCol w:w="428"/>
        <w:gridCol w:w="1416"/>
        <w:gridCol w:w="566"/>
        <w:gridCol w:w="1700"/>
        <w:gridCol w:w="706"/>
        <w:gridCol w:w="1560"/>
        <w:gridCol w:w="711"/>
        <w:gridCol w:w="1735"/>
        <w:gridCol w:w="1668"/>
        <w:gridCol w:w="1702"/>
      </w:tblGrid>
      <w:tr>
        <w:trPr>
          <w:trHeight w:val="250" w:hRule="exact"/>
        </w:trPr>
        <w:tc>
          <w:tcPr>
            <w:tcW w:w="18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01"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1846" w:type="dxa"/>
            <w:vMerge/>
            <w:tcBorders>
              <w:left w:val="single" w:sz="4" w:space="0" w:color="000000"/>
              <w:right w:val="single" w:sz="4" w:space="0" w:color="000000"/>
            </w:tcBorders>
          </w:tcPr>
          <w:p>
            <w:pPr/>
          </w:p>
        </w:tc>
        <w:tc>
          <w:tcPr>
            <w:tcW w:w="1123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93"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2" w:hRule="exact"/>
        </w:trPr>
        <w:tc>
          <w:tcPr>
            <w:tcW w:w="1846" w:type="dxa"/>
            <w:vMerge/>
            <w:tcBorders>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工具</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val="restart"/>
            <w:tcBorders>
              <w:top w:val="single" w:sz="4" w:space="0" w:color="000000"/>
              <w:left w:val="single" w:sz="4" w:space="0" w:color="000000"/>
              <w:right w:val="single" w:sz="4" w:space="0" w:color="000000"/>
            </w:tcBorders>
          </w:tcPr>
          <w:p>
            <w:pPr>
              <w:pStyle w:val="TableParagraph"/>
              <w:spacing w:line="244" w:lineRule="auto" w:before="95"/>
              <w:ind w:left="189" w:right="89" w:hanging="84"/>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8"/>
              <w:ind w:left="170" w:right="16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4" w:lineRule="auto"/>
              <w:ind w:left="170" w:right="170"/>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7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68"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708" w:hRule="exact"/>
        </w:trPr>
        <w:tc>
          <w:tcPr>
            <w:tcW w:w="1846"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3"/>
              <w:ind w:left="117" w:right="115"/>
              <w:jc w:val="left"/>
              <w:rPr>
                <w:rFonts w:ascii="宋体" w:hAnsi="宋体" w:cs="宋体" w:eastAsia="宋体" w:hint="default"/>
                <w:sz w:val="18"/>
                <w:szCs w:val="18"/>
              </w:rPr>
            </w:pPr>
            <w:r>
              <w:rPr>
                <w:rFonts w:ascii="宋体" w:hAnsi="宋体" w:cs="宋体" w:eastAsia="宋体" w:hint="default"/>
                <w:sz w:val="18"/>
                <w:szCs w:val="18"/>
              </w:rPr>
              <w:t>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3"/>
              <w:ind w:left="120" w:right="113"/>
              <w:jc w:val="left"/>
              <w:rPr>
                <w:rFonts w:ascii="宋体" w:hAnsi="宋体" w:cs="宋体" w:eastAsia="宋体" w:hint="default"/>
                <w:sz w:val="18"/>
                <w:szCs w:val="18"/>
              </w:rPr>
            </w:pPr>
            <w:r>
              <w:rPr>
                <w:rFonts w:ascii="宋体" w:hAnsi="宋体" w:cs="宋体" w:eastAsia="宋体" w:hint="default"/>
                <w:sz w:val="18"/>
                <w:szCs w:val="18"/>
              </w:rPr>
              <w:t>续 债</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0" w:right="116"/>
              <w:jc w:val="left"/>
              <w:rPr>
                <w:rFonts w:ascii="宋体" w:hAnsi="宋体" w:cs="宋体" w:eastAsia="宋体" w:hint="default"/>
                <w:sz w:val="18"/>
                <w:szCs w:val="18"/>
              </w:rPr>
            </w:pPr>
            <w:r>
              <w:rPr>
                <w:rFonts w:ascii="宋体" w:hAnsi="宋体" w:cs="宋体" w:eastAsia="宋体" w:hint="default"/>
                <w:sz w:val="18"/>
                <w:szCs w:val="18"/>
              </w:rPr>
              <w:t>其 他</w:t>
            </w:r>
          </w:p>
        </w:tc>
        <w:tc>
          <w:tcPr>
            <w:tcW w:w="141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1735" w:type="dxa"/>
            <w:vMerge/>
            <w:tcBorders>
              <w:left w:val="single" w:sz="4" w:space="0" w:color="000000"/>
              <w:bottom w:val="single" w:sz="4" w:space="0" w:color="000000"/>
              <w:right w:val="single" w:sz="4" w:space="0" w:color="000000"/>
            </w:tcBorders>
          </w:tcPr>
          <w:p>
            <w:pPr/>
          </w:p>
        </w:tc>
        <w:tc>
          <w:tcPr>
            <w:tcW w:w="1668"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24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617,805,180.00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 w:right="0"/>
              <w:jc w:val="center"/>
              <w:rPr>
                <w:rFonts w:ascii="宋体" w:hAnsi="宋体" w:cs="宋体" w:eastAsia="宋体" w:hint="default"/>
                <w:sz w:val="18"/>
                <w:szCs w:val="18"/>
              </w:rPr>
            </w:pPr>
            <w:r>
              <w:rPr>
                <w:rFonts w:ascii="宋体"/>
                <w:sz w:val="18"/>
              </w:rPr>
              <w:t>44,231,328.40</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31,407,011.40</w:t>
            </w: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172,037,012.75</w:t>
            </w: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784,580,048.44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113,143,986.74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1,763,204,567.73</w:t>
            </w:r>
          </w:p>
        </w:tc>
      </w:tr>
      <w:tr>
        <w:trPr>
          <w:trHeight w:val="24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5"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617,805,180.00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8" w:right="0"/>
              <w:jc w:val="center"/>
              <w:rPr>
                <w:rFonts w:ascii="宋体" w:hAnsi="宋体" w:cs="宋体" w:eastAsia="宋体" w:hint="default"/>
                <w:sz w:val="18"/>
                <w:szCs w:val="18"/>
              </w:rPr>
            </w:pPr>
            <w:r>
              <w:rPr>
                <w:rFonts w:ascii="宋体"/>
                <w:sz w:val="18"/>
              </w:rPr>
              <w:t>44,231,328.40</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31,407,011.40</w:t>
            </w: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172,037,012.75</w:t>
            </w: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784,580,048.44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113,143,986.74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1,763,204,567.73</w:t>
            </w:r>
          </w:p>
        </w:tc>
      </w:tr>
      <w:tr>
        <w:trPr>
          <w:trHeight w:val="710"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三、本期增减变动金</w:t>
            </w:r>
          </w:p>
          <w:p>
            <w:pPr>
              <w:pStyle w:val="TableParagraph"/>
              <w:spacing w:line="232" w:lineRule="exact" w:before="23"/>
              <w:ind w:left="105" w:right="108"/>
              <w:jc w:val="left"/>
              <w:rPr>
                <w:rFonts w:ascii="宋体" w:hAnsi="宋体" w:cs="宋体" w:eastAsia="宋体" w:hint="default"/>
                <w:sz w:val="18"/>
                <w:szCs w:val="18"/>
              </w:rPr>
            </w:pPr>
            <w:r>
              <w:rPr>
                <w:rFonts w:ascii="宋体" w:hAnsi="宋体" w:cs="宋体" w:eastAsia="宋体" w:hint="default"/>
                <w:sz w:val="18"/>
                <w:szCs w:val="18"/>
              </w:rPr>
              <w:t>额（减少以“－”号 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center"/>
              <w:rPr>
                <w:rFonts w:ascii="宋体" w:hAnsi="宋体" w:cs="宋体" w:eastAsia="宋体" w:hint="default"/>
                <w:sz w:val="18"/>
                <w:szCs w:val="18"/>
              </w:rPr>
            </w:pPr>
            <w:r>
              <w:rPr>
                <w:rFonts w:ascii="宋体"/>
                <w:sz w:val="18"/>
              </w:rPr>
              <w:t>-8,244,660.23</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12,551,363.75</w:t>
            </w: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43,250,358.28</w:t>
            </w: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218,421,298.01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6,623,091.82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272,601,451.63</w:t>
            </w:r>
          </w:p>
        </w:tc>
      </w:tr>
      <w:tr>
        <w:trPr>
          <w:trHeight w:val="24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12,551,363.75</w:t>
            </w: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360,520,485.09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-6,167,780.53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366,904,068.31</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40" w:right="20"/>
        </w:sectPr>
      </w:pPr>
    </w:p>
    <w:p>
      <w:pPr>
        <w:spacing w:line="240" w:lineRule="auto" w:before="2"/>
        <w:rPr>
          <w:rFonts w:ascii="Times New Roman" w:hAnsi="Times New Roman" w:cs="Times New Roman" w:eastAsia="Times New Roman"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846"/>
        <w:gridCol w:w="1560"/>
        <w:gridCol w:w="425"/>
        <w:gridCol w:w="425"/>
        <w:gridCol w:w="428"/>
        <w:gridCol w:w="1416"/>
        <w:gridCol w:w="566"/>
        <w:gridCol w:w="1700"/>
        <w:gridCol w:w="706"/>
        <w:gridCol w:w="1560"/>
        <w:gridCol w:w="711"/>
        <w:gridCol w:w="1735"/>
        <w:gridCol w:w="1668"/>
        <w:gridCol w:w="1702"/>
      </w:tblGrid>
      <w:tr>
        <w:trPr>
          <w:trHeight w:val="47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（二）所有者投入和</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8" w:right="0"/>
              <w:jc w:val="center"/>
              <w:rPr>
                <w:rFonts w:ascii="宋体" w:hAnsi="宋体" w:cs="宋体" w:eastAsia="宋体" w:hint="default"/>
                <w:sz w:val="18"/>
                <w:szCs w:val="18"/>
              </w:rPr>
            </w:pPr>
            <w:r>
              <w:rPr>
                <w:rFonts w:ascii="宋体"/>
                <w:sz w:val="18"/>
              </w:rPr>
              <w:t>-8,244,660.23</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22,919,660.23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14,675,000.00</w:t>
            </w:r>
          </w:p>
        </w:tc>
      </w:tr>
      <w:tr>
        <w:trPr>
          <w:trHeight w:val="24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股东投入的普通股</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26,655,000.00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26,655,000.00</w:t>
            </w:r>
          </w:p>
        </w:tc>
      </w:tr>
      <w:tr>
        <w:trPr>
          <w:trHeight w:val="47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其他权益工具持有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股份支付计入所有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-8,244,660.23</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-3,735,339.77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-11,980,000.00</w:t>
            </w:r>
          </w:p>
        </w:tc>
      </w:tr>
      <w:tr>
        <w:trPr>
          <w:trHeight w:val="24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43,250,358.28</w:t>
            </w: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-142,099,187.08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-10,128,787.88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-108,977,616.68</w:t>
            </w:r>
          </w:p>
        </w:tc>
      </w:tr>
      <w:tr>
        <w:trPr>
          <w:trHeight w:val="24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43,250,358.28</w:t>
            </w: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-43,250,358.28</w:t>
            </w:r>
          </w:p>
        </w:tc>
        <w:tc>
          <w:tcPr>
            <w:tcW w:w="16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提取一般风险准备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7"/>
                <w:sz w:val="18"/>
                <w:szCs w:val="18"/>
              </w:rPr>
              <w:t>．</w:t>
            </w:r>
            <w:r>
              <w:rPr>
                <w:rFonts w:ascii="宋体" w:hAnsi="宋体" w:cs="宋体" w:eastAsia="宋体" w:hint="default"/>
                <w:sz w:val="18"/>
                <w:szCs w:val="18"/>
              </w:rPr>
              <w:t>对所有</w:t>
            </w:r>
            <w:r>
              <w:rPr>
                <w:rFonts w:ascii="宋体" w:hAnsi="宋体" w:cs="宋体" w:eastAsia="宋体" w:hint="default"/>
                <w:spacing w:val="-87"/>
                <w:sz w:val="18"/>
                <w:szCs w:val="18"/>
              </w:rPr>
              <w:t>者</w:t>
            </w:r>
            <w:r>
              <w:rPr>
                <w:rFonts w:ascii="宋体" w:hAnsi="宋体" w:cs="宋体" w:eastAsia="宋体" w:hint="default"/>
                <w:sz w:val="18"/>
                <w:szCs w:val="18"/>
              </w:rPr>
              <w:t>（或股东）</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-98,848,828.80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-10,128,787.88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-108,977,616.68</w:t>
            </w:r>
          </w:p>
        </w:tc>
      </w:tr>
      <w:tr>
        <w:trPr>
          <w:trHeight w:val="24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（四）所有者权益内</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资本公积转增资本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盈余公积转增资本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盈余公积弥补亏损</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617,805,180.00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35,986,668.17</w:t>
            </w:r>
          </w:p>
        </w:tc>
        <w:tc>
          <w:tcPr>
            <w:tcW w:w="5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7" w:right="0"/>
              <w:jc w:val="left"/>
              <w:rPr>
                <w:rFonts w:ascii="宋体" w:hAnsi="宋体" w:cs="宋体" w:eastAsia="宋体" w:hint="default"/>
                <w:sz w:val="18"/>
                <w:szCs w:val="18"/>
              </w:rPr>
            </w:pPr>
            <w:r>
              <w:rPr>
                <w:rFonts w:ascii="宋体"/>
                <w:sz w:val="18"/>
              </w:rPr>
              <w:t>43,958,375.15</w:t>
            </w:r>
          </w:p>
        </w:tc>
        <w:tc>
          <w:tcPr>
            <w:tcW w:w="7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215,287,371.03</w:t>
            </w:r>
          </w:p>
        </w:tc>
        <w:tc>
          <w:tcPr>
            <w:tcW w:w="71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1,003,001,346.45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119,767,078.56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2,035,806,019.36</w:t>
            </w:r>
          </w:p>
        </w:tc>
      </w:tr>
    </w:tbl>
    <w:p>
      <w:pPr>
        <w:pStyle w:val="BodyText"/>
        <w:tabs>
          <w:tab w:pos="6530" w:val="left" w:leader="none"/>
          <w:tab w:pos="11569" w:val="left" w:leader="none"/>
        </w:tabs>
        <w:spacing w:line="241" w:lineRule="exact"/>
        <w:ind w:left="1384" w:right="0"/>
        <w:jc w:val="left"/>
      </w:pPr>
      <w:r>
        <w:rPr>
          <w:spacing w:val="-1"/>
        </w:rPr>
        <w:t>法定代表人：彭政纲</w:t>
        <w:tab/>
      </w:r>
      <w:r>
        <w:rPr>
          <w:spacing w:val="-2"/>
        </w:rPr>
        <w:t>主管会计工作负责人：傅美英</w:t>
        <w:tab/>
        <w:t>会计机构负责人：曾玉梅</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82" w:footer="1195" w:top="1120" w:bottom="1380" w:left="140" w:right="20"/>
        </w:sectPr>
      </w:pPr>
    </w:p>
    <w:p>
      <w:pPr>
        <w:spacing w:line="272" w:lineRule="exact" w:before="64"/>
        <w:ind w:left="754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40" w:right="20"/>
          <w:cols w:num="2" w:equalWidth="0">
            <w:col w:w="9471" w:space="40"/>
            <w:col w:w="716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554"/>
        <w:gridCol w:w="1558"/>
        <w:gridCol w:w="2127"/>
        <w:gridCol w:w="1560"/>
        <w:gridCol w:w="1064"/>
        <w:gridCol w:w="1488"/>
        <w:gridCol w:w="992"/>
        <w:gridCol w:w="1560"/>
        <w:gridCol w:w="1702"/>
        <w:gridCol w:w="1699"/>
      </w:tblGrid>
      <w:tr>
        <w:trPr>
          <w:trHeight w:val="250" w:hRule="exact"/>
        </w:trPr>
        <w:tc>
          <w:tcPr>
            <w:tcW w:w="2554" w:type="dxa"/>
            <w:vMerge w:val="restart"/>
            <w:tcBorders>
              <w:top w:val="single" w:sz="6" w:space="0" w:color="000000"/>
              <w:left w:val="single" w:sz="6" w:space="0" w:color="000000"/>
              <w:right w:val="single" w:sz="6"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49" w:type="dxa"/>
            <w:gridSpan w:val="9"/>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9" w:hRule="exact"/>
        </w:trPr>
        <w:tc>
          <w:tcPr>
            <w:tcW w:w="2554" w:type="dxa"/>
            <w:vMerge/>
            <w:tcBorders>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27"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51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9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bl>
    <w:p>
      <w:pPr>
        <w:spacing w:after="0" w:line="240" w:lineRule="auto"/>
        <w:jc w:val="left"/>
        <w:rPr>
          <w:rFonts w:ascii="宋体" w:hAnsi="宋体" w:cs="宋体" w:eastAsia="宋体" w:hint="default"/>
          <w:sz w:val="18"/>
          <w:szCs w:val="18"/>
        </w:rPr>
        <w:sectPr>
          <w:type w:val="continuous"/>
          <w:pgSz w:w="16840" w:h="11910" w:orient="landscape"/>
          <w:pgMar w:top="1120" w:bottom="1380" w:left="140" w:right="20"/>
        </w:sect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554"/>
        <w:gridCol w:w="1558"/>
        <w:gridCol w:w="569"/>
        <w:gridCol w:w="708"/>
        <w:gridCol w:w="850"/>
        <w:gridCol w:w="1560"/>
        <w:gridCol w:w="1064"/>
        <w:gridCol w:w="1488"/>
        <w:gridCol w:w="992"/>
        <w:gridCol w:w="1560"/>
        <w:gridCol w:w="1702"/>
        <w:gridCol w:w="1699"/>
      </w:tblGrid>
      <w:tr>
        <w:trPr>
          <w:trHeight w:val="715" w:hRule="exact"/>
        </w:trPr>
        <w:tc>
          <w:tcPr>
            <w:tcW w:w="255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4" w:space="0" w:color="000000"/>
              <w:left w:val="single" w:sz="4" w:space="0" w:color="000000"/>
              <w:bottom w:val="single" w:sz="6"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3"/>
              <w:ind w:left="189" w:right="188"/>
              <w:jc w:val="center"/>
              <w:rPr>
                <w:rFonts w:ascii="宋体" w:hAnsi="宋体" w:cs="宋体" w:eastAsia="宋体" w:hint="default"/>
                <w:sz w:val="18"/>
                <w:szCs w:val="18"/>
              </w:rPr>
            </w:pPr>
            <w:r>
              <w:rPr>
                <w:rFonts w:ascii="宋体" w:hAnsi="宋体" w:cs="宋体" w:eastAsia="宋体" w:hint="default"/>
                <w:sz w:val="18"/>
                <w:szCs w:val="18"/>
              </w:rPr>
              <w:t>先 股</w:t>
            </w: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14"/>
              <w:ind w:left="259" w:right="16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85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617,805,180.00</w:t>
            </w: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75" w:right="0"/>
              <w:jc w:val="center"/>
              <w:rPr>
                <w:rFonts w:ascii="宋体" w:hAnsi="宋体" w:cs="宋体" w:eastAsia="宋体" w:hint="default"/>
                <w:sz w:val="18"/>
                <w:szCs w:val="18"/>
              </w:rPr>
            </w:pPr>
            <w:r>
              <w:rPr>
                <w:rFonts w:ascii="宋体"/>
                <w:sz w:val="18"/>
              </w:rPr>
              <w:t>70,747,814.92</w:t>
            </w: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center"/>
              <w:rPr>
                <w:rFonts w:ascii="宋体" w:hAnsi="宋体" w:cs="宋体" w:eastAsia="宋体" w:hint="default"/>
                <w:sz w:val="18"/>
                <w:szCs w:val="18"/>
              </w:rPr>
            </w:pPr>
            <w:r>
              <w:rPr>
                <w:rFonts w:ascii="宋体"/>
                <w:sz w:val="18"/>
              </w:rPr>
              <w:t>44,307,450.57</w:t>
            </w: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216,655,562.35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1,092,369,485.55</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2,041,885,493.39</w:t>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617,805,180.00</w:t>
            </w: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75" w:right="0"/>
              <w:jc w:val="center"/>
              <w:rPr>
                <w:rFonts w:ascii="宋体" w:hAnsi="宋体" w:cs="宋体" w:eastAsia="宋体" w:hint="default"/>
                <w:sz w:val="18"/>
                <w:szCs w:val="18"/>
              </w:rPr>
            </w:pPr>
            <w:r>
              <w:rPr>
                <w:rFonts w:ascii="宋体"/>
                <w:sz w:val="18"/>
              </w:rPr>
              <w:t>70,747,814.92</w:t>
            </w: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center"/>
              <w:rPr>
                <w:rFonts w:ascii="宋体" w:hAnsi="宋体" w:cs="宋体" w:eastAsia="宋体" w:hint="default"/>
                <w:sz w:val="18"/>
                <w:szCs w:val="18"/>
              </w:rPr>
            </w:pPr>
            <w:r>
              <w:rPr>
                <w:rFonts w:ascii="宋体"/>
                <w:sz w:val="18"/>
              </w:rPr>
              <w:t>44,307,450.57</w:t>
            </w: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216,655,562.35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1,092,369,485.55</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2,041,885,493.39</w:t>
            </w:r>
          </w:p>
        </w:tc>
      </w:tr>
      <w:tr>
        <w:trPr>
          <w:trHeight w:val="482"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以“－”号填列）</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72" w:right="0"/>
              <w:jc w:val="center"/>
              <w:rPr>
                <w:rFonts w:ascii="宋体" w:hAnsi="宋体" w:cs="宋体" w:eastAsia="宋体" w:hint="default"/>
                <w:sz w:val="18"/>
                <w:szCs w:val="18"/>
              </w:rPr>
            </w:pPr>
            <w:r>
              <w:rPr>
                <w:rFonts w:ascii="宋体"/>
                <w:sz w:val="18"/>
              </w:rPr>
              <w:t>68,473,485.62</w:t>
            </w: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sz w:val="18"/>
              </w:rPr>
              <w:t>100,123,638.22</w:t>
            </w: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50,191,950.52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337,532,831.84</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556,321,906.20</w:t>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2" w:right="0"/>
              <w:jc w:val="center"/>
              <w:rPr>
                <w:rFonts w:ascii="宋体" w:hAnsi="宋体" w:cs="宋体" w:eastAsia="宋体" w:hint="default"/>
                <w:sz w:val="18"/>
                <w:szCs w:val="18"/>
              </w:rPr>
            </w:pPr>
            <w:r>
              <w:rPr>
                <w:rFonts w:ascii="宋体"/>
                <w:sz w:val="18"/>
              </w:rPr>
              <w:t>100,123,638.22</w:t>
            </w: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501,919,505.21</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602,043,143.43</w:t>
            </w:r>
          </w:p>
        </w:tc>
      </w:tr>
      <w:tr>
        <w:trPr>
          <w:trHeight w:val="247"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center"/>
              <w:rPr>
                <w:rFonts w:ascii="宋体" w:hAnsi="宋体" w:cs="宋体" w:eastAsia="宋体" w:hint="default"/>
                <w:sz w:val="18"/>
                <w:szCs w:val="18"/>
              </w:rPr>
            </w:pPr>
            <w:r>
              <w:rPr>
                <w:rFonts w:ascii="宋体"/>
                <w:sz w:val="18"/>
              </w:rPr>
              <w:t>68,473,485.62</w:t>
            </w: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68,473,485.62</w:t>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center"/>
              <w:rPr>
                <w:rFonts w:ascii="宋体" w:hAnsi="宋体" w:cs="宋体" w:eastAsia="宋体" w:hint="default"/>
                <w:sz w:val="18"/>
                <w:szCs w:val="18"/>
              </w:rPr>
            </w:pPr>
            <w:r>
              <w:rPr>
                <w:rFonts w:ascii="宋体"/>
                <w:sz w:val="18"/>
              </w:rPr>
              <w:t>68,473,485.62</w:t>
            </w: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68,473,485.62</w:t>
            </w:r>
          </w:p>
        </w:tc>
      </w:tr>
      <w:tr>
        <w:trPr>
          <w:trHeight w:val="247"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50,191,950.52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-161,396,882.88</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-111,204,932.36</w:t>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50,191,950.52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-50,191,950.52</w:t>
            </w: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-111,204,932.36</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-111,204,932.36</w:t>
            </w:r>
          </w:p>
        </w:tc>
      </w:tr>
      <w:tr>
        <w:trPr>
          <w:trHeight w:val="247"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-2,989,790.49</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-2,989,790.49</w:t>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617,805,180.00</w:t>
            </w:r>
          </w:p>
        </w:tc>
        <w:tc>
          <w:tcPr>
            <w:tcW w:w="56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139,221,300.54</w:t>
            </w:r>
          </w:p>
        </w:tc>
        <w:tc>
          <w:tcPr>
            <w:tcW w:w="1064"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 w:right="0"/>
              <w:jc w:val="center"/>
              <w:rPr>
                <w:rFonts w:ascii="宋体" w:hAnsi="宋体" w:cs="宋体" w:eastAsia="宋体" w:hint="default"/>
                <w:sz w:val="18"/>
                <w:szCs w:val="18"/>
              </w:rPr>
            </w:pPr>
            <w:r>
              <w:rPr>
                <w:rFonts w:ascii="宋体"/>
                <w:sz w:val="18"/>
              </w:rPr>
              <w:t>144,431,088.79</w:t>
            </w:r>
          </w:p>
        </w:tc>
        <w:tc>
          <w:tcPr>
            <w:tcW w:w="99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266,847,512.87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1,429,902,317.39</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2,598,207,399.59</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40" w:right="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2129"/>
        <w:gridCol w:w="1574"/>
        <w:gridCol w:w="850"/>
        <w:gridCol w:w="853"/>
        <w:gridCol w:w="833"/>
        <w:gridCol w:w="1560"/>
        <w:gridCol w:w="1064"/>
        <w:gridCol w:w="1447"/>
        <w:gridCol w:w="977"/>
        <w:gridCol w:w="1514"/>
        <w:gridCol w:w="1707"/>
        <w:gridCol w:w="1740"/>
      </w:tblGrid>
      <w:tr>
        <w:trPr>
          <w:trHeight w:val="247" w:hRule="exact"/>
        </w:trPr>
        <w:tc>
          <w:tcPr>
            <w:tcW w:w="2129"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19"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9" w:hRule="exact"/>
        </w:trPr>
        <w:tc>
          <w:tcPr>
            <w:tcW w:w="2129" w:type="dxa"/>
            <w:vMerge/>
            <w:tcBorders>
              <w:left w:val="single" w:sz="6" w:space="0" w:color="000000"/>
              <w:right w:val="single" w:sz="6" w:space="0" w:color="000000"/>
            </w:tcBorders>
          </w:tcPr>
          <w:p>
            <w:pPr/>
          </w:p>
        </w:tc>
        <w:tc>
          <w:tcPr>
            <w:tcW w:w="1574"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535"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72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44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7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14"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40"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10" w:hRule="exact"/>
        </w:trPr>
        <w:tc>
          <w:tcPr>
            <w:tcW w:w="2129" w:type="dxa"/>
            <w:vMerge/>
            <w:tcBorders>
              <w:left w:val="single" w:sz="6" w:space="0" w:color="000000"/>
              <w:bottom w:val="single" w:sz="6" w:space="0" w:color="000000"/>
              <w:right w:val="single" w:sz="6" w:space="0" w:color="000000"/>
            </w:tcBorders>
          </w:tcPr>
          <w:p>
            <w:pPr/>
          </w:p>
        </w:tc>
        <w:tc>
          <w:tcPr>
            <w:tcW w:w="1574" w:type="dxa"/>
            <w:vMerge/>
            <w:tcBorders>
              <w:left w:val="single" w:sz="6" w:space="0" w:color="000000"/>
              <w:bottom w:val="single" w:sz="6" w:space="0" w:color="000000"/>
              <w:right w:val="single" w:sz="4" w:space="0" w:color="000000"/>
            </w:tcBorders>
          </w:tcPr>
          <w:p>
            <w:pP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15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3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2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447" w:type="dxa"/>
            <w:vMerge/>
            <w:tcBorders>
              <w:left w:val="single" w:sz="6" w:space="0" w:color="000000"/>
              <w:bottom w:val="single" w:sz="6" w:space="0" w:color="000000"/>
              <w:right w:val="single" w:sz="6" w:space="0" w:color="000000"/>
            </w:tcBorders>
          </w:tcPr>
          <w:p>
            <w:pPr/>
          </w:p>
        </w:tc>
        <w:tc>
          <w:tcPr>
            <w:tcW w:w="977" w:type="dxa"/>
            <w:vMerge/>
            <w:tcBorders>
              <w:left w:val="single" w:sz="6" w:space="0" w:color="000000"/>
              <w:bottom w:val="single" w:sz="6" w:space="0" w:color="000000"/>
              <w:right w:val="single" w:sz="6" w:space="0" w:color="000000"/>
            </w:tcBorders>
          </w:tcPr>
          <w:p>
            <w:pPr/>
          </w:p>
        </w:tc>
        <w:tc>
          <w:tcPr>
            <w:tcW w:w="1514" w:type="dxa"/>
            <w:vMerge/>
            <w:tcBorders>
              <w:left w:val="single" w:sz="6" w:space="0" w:color="000000"/>
              <w:bottom w:val="single" w:sz="6" w:space="0" w:color="000000"/>
              <w:right w:val="single" w:sz="6" w:space="0" w:color="000000"/>
            </w:tcBorders>
          </w:tcPr>
          <w:p>
            <w:pPr/>
          </w:p>
        </w:tc>
        <w:tc>
          <w:tcPr>
            <w:tcW w:w="1707" w:type="dxa"/>
            <w:vMerge/>
            <w:tcBorders>
              <w:left w:val="single" w:sz="6" w:space="0" w:color="000000"/>
              <w:bottom w:val="single" w:sz="6" w:space="0" w:color="000000"/>
              <w:right w:val="single" w:sz="6" w:space="0" w:color="000000"/>
            </w:tcBorders>
          </w:tcPr>
          <w:p>
            <w:pPr/>
          </w:p>
        </w:tc>
        <w:tc>
          <w:tcPr>
            <w:tcW w:w="1740" w:type="dxa"/>
            <w:vMerge/>
            <w:tcBorders>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74"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617,805,180.00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70,747,814.92</w:t>
            </w: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31,325,317.73</w:t>
            </w: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173,405,204.07</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801,965,089.80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1,695,248,606.52</w:t>
            </w: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7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7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74"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617,805,180.00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70,747,814.92</w:t>
            </w: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31,325,317.73</w:t>
            </w: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173,405,204.07</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801,965,089.80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1,695,248,606.52</w:t>
            </w:r>
          </w:p>
        </w:tc>
      </w:tr>
      <w:tr>
        <w:trPr>
          <w:trHeight w:val="482"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（减少以“－”号填列）</w:t>
            </w:r>
          </w:p>
        </w:tc>
        <w:tc>
          <w:tcPr>
            <w:tcW w:w="157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12,982,132.84</w:t>
            </w: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43,250,358.28</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290,404,395.75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346,636,886.87</w:t>
            </w: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7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12,982,132.84</w:t>
            </w: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432,503,582.83</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445,485,715.67</w:t>
            </w:r>
          </w:p>
        </w:tc>
      </w:tr>
      <w:tr>
        <w:trPr>
          <w:trHeight w:val="482"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7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7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57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57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7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7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43,250,358.28</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-142,099,187.08</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-98,848,828.80</w:t>
            </w: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7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43,250,358.28</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-43,250,358.28</w:t>
            </w: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7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-98,848,828.80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-98,848,828.80</w:t>
            </w: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7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57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资本公积转增资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7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盈余公积转增资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7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7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7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9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7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40" w:right="220"/>
        </w:sect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129"/>
        <w:gridCol w:w="1574"/>
        <w:gridCol w:w="850"/>
        <w:gridCol w:w="853"/>
        <w:gridCol w:w="833"/>
        <w:gridCol w:w="1560"/>
        <w:gridCol w:w="1064"/>
        <w:gridCol w:w="1447"/>
        <w:gridCol w:w="977"/>
        <w:gridCol w:w="1514"/>
        <w:gridCol w:w="1707"/>
        <w:gridCol w:w="1740"/>
      </w:tblGrid>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7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7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7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74"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201" w:right="0"/>
              <w:jc w:val="left"/>
              <w:rPr>
                <w:rFonts w:ascii="宋体" w:hAnsi="宋体" w:cs="宋体" w:eastAsia="宋体" w:hint="default"/>
                <w:sz w:val="18"/>
                <w:szCs w:val="18"/>
              </w:rPr>
            </w:pPr>
            <w:r>
              <w:rPr>
                <w:rFonts w:ascii="宋体"/>
                <w:sz w:val="18"/>
              </w:rPr>
              <w:t>617,805,180.00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3" w:type="dxa"/>
            <w:tcBorders>
              <w:top w:val="single" w:sz="6" w:space="0" w:color="000000"/>
              <w:left w:val="single" w:sz="4" w:space="0" w:color="000000"/>
              <w:bottom w:val="single" w:sz="6" w:space="0" w:color="000000"/>
              <w:right w:val="single" w:sz="4" w:space="0" w:color="000000"/>
            </w:tcBorders>
          </w:tcPr>
          <w:p>
            <w:pPr/>
          </w:p>
        </w:tc>
        <w:tc>
          <w:tcPr>
            <w:tcW w:w="833"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5" w:right="0"/>
              <w:jc w:val="left"/>
              <w:rPr>
                <w:rFonts w:ascii="宋体" w:hAnsi="宋体" w:cs="宋体" w:eastAsia="宋体" w:hint="default"/>
                <w:sz w:val="18"/>
                <w:szCs w:val="18"/>
              </w:rPr>
            </w:pPr>
            <w:r>
              <w:rPr>
                <w:rFonts w:ascii="宋体"/>
                <w:sz w:val="18"/>
              </w:rPr>
              <w:t>70,747,814.92</w:t>
            </w:r>
          </w:p>
        </w:tc>
        <w:tc>
          <w:tcPr>
            <w:tcW w:w="106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sz w:val="18"/>
              </w:rPr>
              <w:t>44,307,450.57</w:t>
            </w:r>
          </w:p>
        </w:tc>
        <w:tc>
          <w:tcPr>
            <w:tcW w:w="977" w:type="dxa"/>
            <w:tcBorders>
              <w:top w:val="single" w:sz="6" w:space="0" w:color="000000"/>
              <w:left w:val="single" w:sz="6" w:space="0" w:color="000000"/>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sz w:val="18"/>
              </w:rPr>
              <w:t>216,655,562.35</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1,092,369,485.55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2,041,885,493.39</w:t>
            </w:r>
          </w:p>
        </w:tc>
      </w:tr>
    </w:tbl>
    <w:p>
      <w:pPr>
        <w:pStyle w:val="BodyText"/>
        <w:tabs>
          <w:tab w:pos="5690" w:val="left" w:leader="none"/>
          <w:tab w:pos="11257" w:val="left" w:leader="none"/>
        </w:tabs>
        <w:spacing w:line="241" w:lineRule="exact"/>
        <w:ind w:left="1384" w:right="0"/>
        <w:jc w:val="left"/>
      </w:pPr>
      <w:r>
        <w:rPr>
          <w:spacing w:val="-1"/>
        </w:rPr>
        <w:t>法定代表人：彭政纲</w:t>
        <w:tab/>
      </w:r>
      <w:r>
        <w:rPr>
          <w:spacing w:val="-2"/>
        </w:rPr>
        <w:t>主管会计工作负责人：傅美英</w:t>
        <w:tab/>
        <w:t>会计机构负责人：曾玉梅</w:t>
      </w:r>
      <w:r>
        <w:rPr/>
      </w:r>
    </w:p>
    <w:p>
      <w:pPr>
        <w:spacing w:after="0" w:line="241" w:lineRule="exact"/>
        <w:jc w:val="left"/>
        <w:sectPr>
          <w:pgSz w:w="16840" w:h="11910" w:orient="landscape"/>
          <w:pgMar w:header="882" w:footer="1195" w:top="1120" w:bottom="1380" w:left="140" w:right="220"/>
        </w:sectPr>
      </w:pPr>
    </w:p>
    <w:p>
      <w:pPr>
        <w:spacing w:line="240" w:lineRule="auto" w:before="9"/>
        <w:rPr>
          <w:rFonts w:ascii="宋体" w:hAnsi="宋体" w:cs="宋体" w:eastAsia="宋体" w:hint="default"/>
          <w:sz w:val="29"/>
          <w:szCs w:val="29"/>
        </w:rPr>
      </w:pPr>
    </w:p>
    <w:p>
      <w:pPr>
        <w:pStyle w:val="Heading4"/>
        <w:spacing w:line="240" w:lineRule="auto"/>
        <w:ind w:left="238" w:right="2940"/>
        <w:jc w:val="left"/>
        <w:rPr>
          <w:b w:val="0"/>
          <w:bCs w:val="0"/>
        </w:rPr>
      </w:pPr>
      <w:r>
        <w:rPr/>
        <w:t>三、公司基本情况</w:t>
      </w:r>
      <w:r>
        <w:rPr>
          <w:b w:val="0"/>
          <w:bCs w:val="0"/>
        </w:rPr>
      </w:r>
    </w:p>
    <w:p>
      <w:pPr>
        <w:pStyle w:val="BodyText"/>
        <w:tabs>
          <w:tab w:pos="657" w:val="left" w:leader="none"/>
        </w:tabs>
        <w:spacing w:line="264" w:lineRule="auto" w:before="58"/>
        <w:ind w:left="658" w:right="227" w:hanging="420"/>
        <w:jc w:val="left"/>
      </w:pPr>
      <w:r>
        <w:rPr>
          <w:rFonts w:ascii="Calibri" w:hAnsi="Calibri" w:cs="Calibri" w:eastAsia="Calibri" w:hint="default"/>
          <w:b/>
          <w:bCs/>
        </w:rPr>
        <w:t>1.</w:t>
        <w:tab/>
      </w:r>
      <w:r>
        <w:rPr>
          <w:rFonts w:ascii="宋体" w:hAnsi="宋体" w:cs="宋体" w:eastAsia="宋体" w:hint="default"/>
          <w:b/>
          <w:bCs/>
        </w:rPr>
        <w:t>公司概况</w:t>
      </w:r>
      <w:r>
        <w:rPr>
          <w:rFonts w:ascii="宋体" w:hAnsi="宋体" w:cs="宋体" w:eastAsia="宋体" w:hint="default"/>
          <w:b/>
          <w:bCs/>
          <w:w w:val="100"/>
        </w:rPr>
        <w:t> </w:t>
      </w:r>
      <w:r>
        <w:rPr>
          <w:spacing w:val="-2"/>
        </w:rPr>
        <w:t>恒生电子股份有限公司</w:t>
      </w:r>
      <w:r>
        <w:rPr>
          <w:rFonts w:ascii="宋体" w:hAnsi="宋体" w:cs="宋体" w:eastAsia="宋体" w:hint="default"/>
          <w:spacing w:val="-2"/>
        </w:rPr>
        <w:t>(</w:t>
      </w:r>
      <w:r>
        <w:rPr>
          <w:spacing w:val="-2"/>
        </w:rPr>
        <w:t>以下简称公司或本公司</w:t>
      </w:r>
      <w:r>
        <w:rPr>
          <w:rFonts w:ascii="宋体" w:hAnsi="宋体" w:cs="宋体" w:eastAsia="宋体" w:hint="default"/>
          <w:spacing w:val="-2"/>
        </w:rPr>
        <w:t>)</w:t>
      </w:r>
      <w:r>
        <w:rPr>
          <w:spacing w:val="-2"/>
        </w:rPr>
        <w:t>系经浙江省人民政府企业上市工作领导小组</w:t>
      </w:r>
    </w:p>
    <w:p>
      <w:pPr>
        <w:pStyle w:val="BodyText"/>
        <w:spacing w:line="355" w:lineRule="auto" w:before="114"/>
        <w:ind w:left="238" w:right="210"/>
        <w:jc w:val="both"/>
        <w:rPr>
          <w:rFonts w:ascii="宋体" w:hAnsi="宋体" w:cs="宋体" w:eastAsia="宋体" w:hint="default"/>
        </w:rPr>
      </w:pPr>
      <w:r>
        <w:rPr>
          <w:spacing w:val="-3"/>
        </w:rPr>
        <w:t>浙上市〔</w:t>
      </w:r>
      <w:r>
        <w:rPr>
          <w:rFonts w:ascii="宋体" w:hAnsi="宋体" w:cs="宋体" w:eastAsia="宋体" w:hint="default"/>
          <w:spacing w:val="-3"/>
        </w:rPr>
        <w:t>2000</w:t>
      </w:r>
      <w:r>
        <w:rPr>
          <w:spacing w:val="-3"/>
        </w:rPr>
        <w:t>〕</w:t>
      </w:r>
      <w:r>
        <w:rPr>
          <w:rFonts w:ascii="宋体" w:hAnsi="宋体" w:cs="宋体" w:eastAsia="宋体" w:hint="default"/>
          <w:spacing w:val="-3"/>
        </w:rPr>
        <w:t>48 </w:t>
      </w:r>
      <w:r>
        <w:rPr>
          <w:spacing w:val="-3"/>
        </w:rPr>
        <w:t>号文批准，由杭州恒生电子集团有限公司、中国投资担保有限公司和黄大成等</w:t>
      </w:r>
      <w:r>
        <w:rPr>
          <w:spacing w:val="-73"/>
        </w:rPr>
        <w:t> </w:t>
      </w:r>
      <w:r>
        <w:rPr>
          <w:spacing w:val="-73"/>
        </w:rPr>
      </w:r>
      <w:r>
        <w:rPr>
          <w:rFonts w:ascii="宋体" w:hAnsi="宋体" w:cs="宋体" w:eastAsia="宋体" w:hint="default"/>
        </w:rPr>
        <w:t>15</w:t>
      </w:r>
      <w:r>
        <w:rPr>
          <w:rFonts w:ascii="宋体" w:hAnsi="宋体" w:cs="宋体" w:eastAsia="宋体" w:hint="default"/>
          <w:spacing w:val="-55"/>
        </w:rPr>
        <w:t> </w:t>
      </w:r>
      <w:r>
        <w:rPr/>
        <w:t>位自然人股东在原杭州恒生电子有限公司基础上整体变更设立的股份有限公司，于</w:t>
      </w:r>
      <w:r>
        <w:rPr>
          <w:spacing w:val="-54"/>
        </w:rPr>
        <w:t> </w:t>
      </w:r>
      <w:r>
        <w:rPr>
          <w:rFonts w:ascii="宋体" w:hAnsi="宋体" w:cs="宋体" w:eastAsia="宋体" w:hint="default"/>
        </w:rPr>
        <w:t>2000</w:t>
      </w:r>
      <w:r>
        <w:rPr>
          <w:rFonts w:ascii="宋体" w:hAnsi="宋体" w:cs="宋体" w:eastAsia="宋体" w:hint="default"/>
          <w:spacing w:val="-57"/>
        </w:rPr>
        <w:t> </w:t>
      </w:r>
      <w:r>
        <w:rPr/>
        <w:t>年</w:t>
      </w:r>
      <w:r>
        <w:rPr>
          <w:spacing w:val="-55"/>
        </w:rPr>
        <w:t> </w:t>
      </w:r>
      <w:r>
        <w:rPr>
          <w:rFonts w:ascii="宋体" w:hAnsi="宋体" w:cs="宋体" w:eastAsia="宋体" w:hint="default"/>
        </w:rPr>
        <w:t>12</w:t>
      </w:r>
    </w:p>
    <w:p>
      <w:pPr>
        <w:pStyle w:val="BodyText"/>
        <w:spacing w:line="240" w:lineRule="auto" w:before="32"/>
        <w:ind w:left="238" w:right="98"/>
        <w:jc w:val="left"/>
      </w:pPr>
      <w:r>
        <w:rPr/>
        <w:t>月</w:t>
      </w:r>
      <w:r>
        <w:rPr>
          <w:spacing w:val="-39"/>
        </w:rPr>
        <w:t> </w:t>
      </w:r>
      <w:r>
        <w:rPr>
          <w:rFonts w:ascii="宋体" w:hAnsi="宋体" w:cs="宋体" w:eastAsia="宋体" w:hint="default"/>
        </w:rPr>
        <w:t>13</w:t>
      </w:r>
      <w:r>
        <w:rPr>
          <w:rFonts w:ascii="宋体" w:hAnsi="宋体" w:cs="宋体" w:eastAsia="宋体" w:hint="default"/>
          <w:spacing w:val="-41"/>
        </w:rPr>
        <w:t> </w:t>
      </w:r>
      <w:r>
        <w:rPr>
          <w:spacing w:val="-4"/>
        </w:rPr>
        <w:t>日在浙江省工商行政管理局登记注册，取得注册号为</w:t>
      </w:r>
      <w:r>
        <w:rPr>
          <w:spacing w:val="-39"/>
        </w:rPr>
        <w:t> </w:t>
      </w:r>
      <w:r>
        <w:rPr>
          <w:rFonts w:ascii="宋体" w:hAnsi="宋体" w:cs="宋体" w:eastAsia="宋体" w:hint="default"/>
        </w:rPr>
        <w:t>330000000027505</w:t>
      </w:r>
      <w:r>
        <w:rPr>
          <w:rFonts w:ascii="宋体" w:hAnsi="宋体" w:cs="宋体" w:eastAsia="宋体" w:hint="default"/>
          <w:spacing w:val="-41"/>
        </w:rPr>
        <w:t> </w:t>
      </w:r>
      <w:r>
        <w:rPr>
          <w:spacing w:val="-7"/>
        </w:rPr>
        <w:t>的营业执照，公司现</w:t>
      </w:r>
    </w:p>
    <w:p>
      <w:pPr>
        <w:pStyle w:val="BodyText"/>
        <w:spacing w:line="240" w:lineRule="auto" w:before="133"/>
        <w:ind w:left="238" w:right="98"/>
        <w:jc w:val="left"/>
      </w:pPr>
      <w:r>
        <w:rPr/>
        <w:t>有注册资本</w:t>
      </w:r>
      <w:r>
        <w:rPr>
          <w:spacing w:val="-54"/>
        </w:rPr>
        <w:t> </w:t>
      </w:r>
      <w:r>
        <w:rPr>
          <w:rFonts w:ascii="宋体" w:hAnsi="宋体" w:cs="宋体" w:eastAsia="宋体" w:hint="default"/>
        </w:rPr>
        <w:t>61,780.518</w:t>
      </w:r>
      <w:r>
        <w:rPr>
          <w:rFonts w:ascii="宋体" w:hAnsi="宋体" w:cs="宋体" w:eastAsia="宋体" w:hint="default"/>
          <w:spacing w:val="-56"/>
        </w:rPr>
        <w:t> </w:t>
      </w:r>
      <w:r>
        <w:rPr/>
        <w:t>万元，股份总数</w:t>
      </w:r>
      <w:r>
        <w:rPr>
          <w:spacing w:val="-54"/>
        </w:rPr>
        <w:t> </w:t>
      </w:r>
      <w:r>
        <w:rPr>
          <w:rFonts w:ascii="宋体" w:hAnsi="宋体" w:cs="宋体" w:eastAsia="宋体" w:hint="default"/>
        </w:rPr>
        <w:t>61,780.518</w:t>
      </w:r>
      <w:r>
        <w:rPr>
          <w:rFonts w:ascii="宋体" w:hAnsi="宋体" w:cs="宋体" w:eastAsia="宋体" w:hint="default"/>
          <w:spacing w:val="-56"/>
        </w:rPr>
        <w:t> </w:t>
      </w:r>
      <w:r>
        <w:rPr/>
        <w:t>万股</w:t>
      </w:r>
      <w:r>
        <w:rPr>
          <w:rFonts w:ascii="宋体" w:hAnsi="宋体" w:cs="宋体" w:eastAsia="宋体" w:hint="default"/>
        </w:rPr>
        <w:t>(</w:t>
      </w:r>
      <w:r>
        <w:rPr/>
        <w:t>每股面值</w:t>
      </w:r>
      <w:r>
        <w:rPr>
          <w:spacing w:val="-56"/>
        </w:rPr>
        <w:t> </w:t>
      </w:r>
      <w:r>
        <w:rPr>
          <w:rFonts w:ascii="宋体" w:hAnsi="宋体" w:cs="宋体" w:eastAsia="宋体" w:hint="default"/>
        </w:rPr>
        <w:t>1</w:t>
      </w:r>
      <w:r>
        <w:rPr>
          <w:rFonts w:ascii="宋体" w:hAnsi="宋体" w:cs="宋体" w:eastAsia="宋体" w:hint="default"/>
          <w:spacing w:val="-54"/>
        </w:rPr>
        <w:t> </w:t>
      </w:r>
      <w:r>
        <w:rPr/>
        <w:t>元</w:t>
      </w:r>
      <w:r>
        <w:rPr>
          <w:rFonts w:ascii="宋体" w:hAnsi="宋体" w:cs="宋体" w:eastAsia="宋体" w:hint="default"/>
        </w:rPr>
        <w:t>)</w:t>
      </w:r>
      <w:r>
        <w:rPr/>
        <w:t>，均系无限售条件的流</w:t>
      </w:r>
    </w:p>
    <w:p>
      <w:pPr>
        <w:pStyle w:val="BodyText"/>
        <w:spacing w:line="360" w:lineRule="auto" w:before="133"/>
        <w:ind w:left="658" w:right="227" w:hanging="420"/>
        <w:jc w:val="left"/>
      </w:pPr>
      <w:r>
        <w:rPr/>
        <w:t>通股。公司股票于</w:t>
      </w:r>
      <w:r>
        <w:rPr>
          <w:spacing w:val="-53"/>
        </w:rPr>
        <w:t> </w:t>
      </w:r>
      <w:r>
        <w:rPr>
          <w:rFonts w:ascii="宋体" w:hAnsi="宋体" w:cs="宋体" w:eastAsia="宋体" w:hint="default"/>
        </w:rPr>
        <w:t>2003</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16</w:t>
      </w:r>
      <w:r>
        <w:rPr>
          <w:rFonts w:ascii="宋体" w:hAnsi="宋体" w:cs="宋体" w:eastAsia="宋体" w:hint="default"/>
          <w:spacing w:val="-55"/>
        </w:rPr>
        <w:t> </w:t>
      </w:r>
      <w:r>
        <w:rPr/>
        <w:t>日在上海证券交易所挂牌交易。</w:t>
      </w:r>
      <w:r>
        <w:rPr>
          <w:spacing w:val="-102"/>
        </w:rPr>
        <w:t> </w:t>
      </w:r>
      <w:r>
        <w:rPr>
          <w:spacing w:val="-102"/>
        </w:rPr>
      </w:r>
      <w:r>
        <w:rPr>
          <w:spacing w:val="-2"/>
        </w:rPr>
        <w:t>本公司属软件和信息技术服务业。经营范围：计算机软件的技术开发、咨询、服务、成果转</w:t>
      </w:r>
    </w:p>
    <w:p>
      <w:pPr>
        <w:pStyle w:val="BodyText"/>
        <w:spacing w:line="357" w:lineRule="auto" w:before="28"/>
        <w:ind w:left="238" w:right="217"/>
        <w:jc w:val="both"/>
      </w:pPr>
      <w:r>
        <w:rPr>
          <w:spacing w:val="-2"/>
        </w:rPr>
        <w:t>让；计算机系统集成；自动化控制工程设计、承包、安装；计算机及配件的销售；电子设备、通</w:t>
      </w:r>
      <w:r>
        <w:rPr>
          <w:spacing w:val="-25"/>
        </w:rPr>
        <w:t> </w:t>
      </w:r>
      <w:r>
        <w:rPr>
          <w:spacing w:val="-25"/>
        </w:rPr>
      </w:r>
      <w:r>
        <w:rPr>
          <w:spacing w:val="-2"/>
        </w:rPr>
        <w:t>讯设备、计算机硬件及外部设备的生产、销售，自有房屋的租赁；经营进出口业务。主要产品或</w:t>
      </w:r>
      <w:r>
        <w:rPr>
          <w:spacing w:val="-25"/>
        </w:rPr>
        <w:t> </w:t>
      </w:r>
      <w:r>
        <w:rPr>
          <w:spacing w:val="-25"/>
        </w:rPr>
      </w:r>
      <w:r>
        <w:rPr>
          <w:spacing w:val="-2"/>
        </w:rPr>
        <w:t>提供的劳务：证券、金融、交通等行业计算机软件产品和系统集成的开发和销售，计算机及配件</w:t>
      </w:r>
      <w:r>
        <w:rPr>
          <w:spacing w:val="-25"/>
        </w:rPr>
        <w:t> </w:t>
      </w:r>
      <w:r>
        <w:rPr>
          <w:spacing w:val="-25"/>
        </w:rPr>
      </w:r>
      <w:r>
        <w:rPr/>
        <w:t>的销售等。</w:t>
      </w:r>
    </w:p>
    <w:p>
      <w:pPr>
        <w:pStyle w:val="BodyText"/>
        <w:spacing w:line="240" w:lineRule="auto" w:before="30"/>
        <w:ind w:left="658" w:right="227"/>
        <w:jc w:val="left"/>
      </w:pPr>
      <w:r>
        <w:rPr/>
        <w:t>本财务报表业经公司</w:t>
      </w:r>
      <w:r>
        <w:rPr>
          <w:spacing w:val="-52"/>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日六届三次董事会批准对外报出。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tabs>
          <w:tab w:pos="657" w:val="left" w:leader="none"/>
        </w:tabs>
        <w:spacing w:line="374" w:lineRule="auto" w:before="0"/>
        <w:ind w:left="658" w:right="227" w:hanging="420"/>
        <w:jc w:val="left"/>
        <w:rPr>
          <w:rFonts w:ascii="宋体" w:hAnsi="宋体" w:cs="宋体" w:eastAsia="宋体" w:hint="default"/>
          <w:sz w:val="21"/>
          <w:szCs w:val="21"/>
        </w:rPr>
      </w:pPr>
      <w:r>
        <w:rPr>
          <w:rFonts w:ascii="Calibri" w:hAnsi="Calibri" w:cs="Calibri" w:eastAsia="Calibri" w:hint="default"/>
          <w:b/>
          <w:bCs/>
          <w:sz w:val="21"/>
          <w:szCs w:val="21"/>
        </w:rPr>
        <w:t>2.</w:t>
        <w:tab/>
      </w:r>
      <w:r>
        <w:rPr>
          <w:rFonts w:ascii="宋体" w:hAnsi="宋体" w:cs="宋体" w:eastAsia="宋体" w:hint="default"/>
          <w:b/>
          <w:bCs/>
          <w:sz w:val="21"/>
          <w:szCs w:val="21"/>
        </w:rPr>
        <w:t>合并财务报表范围</w:t>
      </w:r>
      <w:r>
        <w:rPr>
          <w:rFonts w:ascii="宋体" w:hAnsi="宋体" w:cs="宋体" w:eastAsia="宋体" w:hint="default"/>
          <w:b/>
          <w:bCs/>
          <w:spacing w:val="-103"/>
          <w:sz w:val="21"/>
          <w:szCs w:val="21"/>
        </w:rPr>
        <w:t> </w:t>
      </w:r>
      <w:r>
        <w:rPr>
          <w:rFonts w:ascii="宋体" w:hAnsi="宋体" w:cs="宋体" w:eastAsia="宋体" w:hint="default"/>
          <w:spacing w:val="-2"/>
          <w:sz w:val="21"/>
          <w:szCs w:val="21"/>
        </w:rPr>
        <w:t>公司纳入本期合并财务报表范围的子公司如下所示，具体情况详见本财务报表附注合并范围</w:t>
      </w:r>
    </w:p>
    <w:p>
      <w:pPr>
        <w:pStyle w:val="BodyText"/>
        <w:spacing w:line="240" w:lineRule="auto" w:before="15"/>
        <w:ind w:left="238" w:right="2940"/>
        <w:jc w:val="left"/>
      </w:pPr>
      <w:r>
        <w:rPr/>
        <w:t>的变更和在其他主体中的权益之说明。</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3243"/>
        <w:gridCol w:w="3015"/>
        <w:gridCol w:w="2796"/>
      </w:tblGrid>
      <w:tr>
        <w:trPr>
          <w:trHeight w:val="331"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8" w:right="0"/>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子公司类型</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子公司简称</w:t>
            </w:r>
          </w:p>
        </w:tc>
      </w:tr>
      <w:tr>
        <w:trPr>
          <w:trHeight w:val="434"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杭州恒生云投资控股有限公司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云投资</w:t>
            </w:r>
          </w:p>
        </w:tc>
      </w:tr>
      <w:tr>
        <w:trPr>
          <w:trHeight w:val="415"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无锡恒华科技发展有限公司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无锡恒华</w:t>
            </w:r>
          </w:p>
        </w:tc>
      </w:tr>
      <w:tr>
        <w:trPr>
          <w:trHeight w:val="446"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杭州恒生数据安全技术有限公司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数据安全</w:t>
            </w:r>
          </w:p>
        </w:tc>
      </w:tr>
      <w:tr>
        <w:trPr>
          <w:trHeight w:val="410"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杭州恒生网络技术服务有限公司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网络技术</w:t>
            </w:r>
          </w:p>
        </w:tc>
      </w:tr>
      <w:tr>
        <w:trPr>
          <w:trHeight w:val="418"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杭州恒生科技有限公司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恒生科技</w:t>
            </w:r>
          </w:p>
        </w:tc>
      </w:tr>
      <w:tr>
        <w:trPr>
          <w:trHeight w:val="437"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杭州恒生智能系统集成有限公司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49"/>
                <w:sz w:val="21"/>
                <w:szCs w:val="21"/>
              </w:rPr>
              <w:t> </w:t>
            </w:r>
            <w:r>
              <w:rPr>
                <w:rFonts w:ascii="宋体" w:hAnsi="宋体" w:cs="宋体" w:eastAsia="宋体" w:hint="default"/>
                <w:sz w:val="21"/>
                <w:szCs w:val="21"/>
              </w:rPr>
              <w:t>1]</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center"/>
              <w:rPr>
                <w:rFonts w:ascii="宋体" w:hAnsi="宋体" w:cs="宋体" w:eastAsia="宋体" w:hint="default"/>
                <w:sz w:val="21"/>
                <w:szCs w:val="21"/>
              </w:rPr>
            </w:pPr>
            <w:r>
              <w:rPr>
                <w:rFonts w:ascii="宋体" w:hAnsi="宋体" w:cs="宋体" w:eastAsia="宋体" w:hint="default"/>
                <w:sz w:val="21"/>
                <w:szCs w:val="21"/>
              </w:rPr>
              <w:t>恒生智能</w:t>
            </w:r>
          </w:p>
        </w:tc>
      </w:tr>
      <w:tr>
        <w:trPr>
          <w:trHeight w:val="418"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北京钱塘恒生科技有限公司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北京钱塘</w:t>
            </w:r>
          </w:p>
        </w:tc>
      </w:tr>
      <w:tr>
        <w:trPr>
          <w:trHeight w:val="434"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上海易锐管理咨询有限公司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上海易锐</w:t>
            </w:r>
          </w:p>
        </w:tc>
      </w:tr>
      <w:tr>
        <w:trPr>
          <w:trHeight w:val="427"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21"/>
                <w:szCs w:val="21"/>
              </w:rPr>
            </w:pPr>
            <w:r>
              <w:rPr>
                <w:rFonts w:ascii="宋体" w:hAnsi="宋体" w:cs="宋体" w:eastAsia="宋体" w:hint="default"/>
                <w:sz w:val="21"/>
                <w:szCs w:val="21"/>
              </w:rPr>
              <w:t>日本恒生软件株式会社</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日本恒生</w:t>
            </w:r>
          </w:p>
        </w:tc>
      </w:tr>
      <w:tr>
        <w:trPr>
          <w:trHeight w:val="420"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恒生网络有限公司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香港恒生</w:t>
            </w:r>
          </w:p>
        </w:tc>
      </w:tr>
      <w:tr>
        <w:trPr>
          <w:trHeight w:val="425"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21"/>
                <w:szCs w:val="21"/>
              </w:rPr>
            </w:pPr>
            <w:r>
              <w:rPr>
                <w:rFonts w:ascii="宋体" w:hAnsi="宋体" w:cs="宋体" w:eastAsia="宋体" w:hint="default"/>
                <w:sz w:val="21"/>
                <w:szCs w:val="21"/>
              </w:rPr>
              <w:t>上海力铭科技有限公司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上海力铭</w:t>
            </w:r>
          </w:p>
        </w:tc>
      </w:tr>
      <w:tr>
        <w:trPr>
          <w:trHeight w:val="432"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上海聚源</w:t>
            </w:r>
          </w:p>
        </w:tc>
      </w:tr>
      <w:tr>
        <w:trPr>
          <w:trHeight w:val="422"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21"/>
                <w:szCs w:val="21"/>
              </w:rPr>
            </w:pPr>
            <w:r>
              <w:rPr>
                <w:rFonts w:ascii="宋体" w:hAnsi="宋体" w:cs="宋体" w:eastAsia="宋体" w:hint="default"/>
                <w:sz w:val="21"/>
                <w:szCs w:val="21"/>
              </w:rPr>
              <w:t>杭州数米基金销售有限公司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49"/>
                <w:sz w:val="21"/>
                <w:szCs w:val="21"/>
              </w:rPr>
              <w:t> </w:t>
            </w:r>
            <w:r>
              <w:rPr>
                <w:rFonts w:ascii="宋体" w:hAnsi="宋体" w:cs="宋体" w:eastAsia="宋体" w:hint="default"/>
                <w:sz w:val="21"/>
                <w:szCs w:val="21"/>
              </w:rPr>
              <w:t>1]</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数米基金</w:t>
            </w:r>
          </w:p>
        </w:tc>
      </w:tr>
      <w:tr>
        <w:trPr>
          <w:trHeight w:val="432"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宋体" w:hAnsi="宋体" w:cs="宋体" w:eastAsia="宋体" w:hint="default"/>
                <w:sz w:val="21"/>
                <w:szCs w:val="21"/>
              </w:rPr>
              <w:t>杭州云晖投资管理有限公司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center"/>
              <w:rPr>
                <w:rFonts w:ascii="宋体" w:hAnsi="宋体" w:cs="宋体" w:eastAsia="宋体" w:hint="default"/>
                <w:sz w:val="21"/>
                <w:szCs w:val="21"/>
              </w:rPr>
            </w:pPr>
            <w:r>
              <w:rPr>
                <w:rFonts w:ascii="宋体" w:hAnsi="宋体" w:cs="宋体" w:eastAsia="宋体" w:hint="default"/>
                <w:sz w:val="21"/>
                <w:szCs w:val="21"/>
              </w:rPr>
              <w:t>杭州云晖</w:t>
            </w:r>
          </w:p>
        </w:tc>
      </w:tr>
    </w:tbl>
    <w:p>
      <w:pPr>
        <w:spacing w:after="0" w:line="240" w:lineRule="auto"/>
        <w:jc w:val="center"/>
        <w:rPr>
          <w:rFonts w:ascii="宋体" w:hAnsi="宋体" w:cs="宋体" w:eastAsia="宋体" w:hint="default"/>
          <w:sz w:val="21"/>
          <w:szCs w:val="21"/>
        </w:rPr>
        <w:sectPr>
          <w:headerReference w:type="default" r:id="rId30"/>
          <w:footerReference w:type="default" r:id="rId31"/>
          <w:pgSz w:w="11910" w:h="16840"/>
          <w:pgMar w:header="882" w:footer="1195" w:top="1120" w:bottom="1380" w:left="1560" w:right="1060"/>
          <w:pgNumType w:start="7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3243"/>
        <w:gridCol w:w="3015"/>
        <w:gridCol w:w="2796"/>
      </w:tblGrid>
      <w:tr>
        <w:trPr>
          <w:trHeight w:val="500"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杭州恒生云融网络科技有限公司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恒生云融</w:t>
            </w:r>
          </w:p>
        </w:tc>
      </w:tr>
      <w:tr>
        <w:trPr>
          <w:trHeight w:val="420"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上海数淘信息技术服务有限公司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49"/>
                <w:sz w:val="21"/>
                <w:szCs w:val="21"/>
              </w:rPr>
              <w:t> </w:t>
            </w:r>
            <w:r>
              <w:rPr>
                <w:rFonts w:ascii="宋体" w:hAnsi="宋体" w:cs="宋体" w:eastAsia="宋体" w:hint="default"/>
                <w:sz w:val="21"/>
                <w:szCs w:val="21"/>
              </w:rPr>
              <w:t>2]</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上海数淘</w:t>
            </w:r>
          </w:p>
        </w:tc>
      </w:tr>
      <w:tr>
        <w:trPr>
          <w:trHeight w:val="425"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21"/>
                <w:szCs w:val="21"/>
              </w:rPr>
            </w:pPr>
            <w:r>
              <w:rPr>
                <w:rFonts w:ascii="宋体"/>
                <w:sz w:val="21"/>
              </w:rPr>
              <w:t>Hundsun Global Services</w:t>
            </w:r>
            <w:r>
              <w:rPr>
                <w:rFonts w:ascii="宋体"/>
                <w:spacing w:val="-1"/>
                <w:sz w:val="21"/>
              </w:rPr>
              <w:t> </w:t>
            </w:r>
            <w:r>
              <w:rPr>
                <w:rFonts w:ascii="宋体"/>
                <w:sz w:val="21"/>
              </w:rPr>
              <w:t>Inc.</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49"/>
                <w:sz w:val="21"/>
                <w:szCs w:val="21"/>
              </w:rPr>
              <w:t> </w:t>
            </w:r>
            <w:r>
              <w:rPr>
                <w:rFonts w:ascii="宋体" w:hAnsi="宋体" w:cs="宋体" w:eastAsia="宋体" w:hint="default"/>
                <w:sz w:val="21"/>
                <w:szCs w:val="21"/>
              </w:rPr>
              <w:t>3]</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美国恒生</w:t>
            </w:r>
          </w:p>
        </w:tc>
      </w:tr>
    </w:tbl>
    <w:p>
      <w:pPr>
        <w:spacing w:line="240" w:lineRule="auto" w:before="13"/>
        <w:rPr>
          <w:rFonts w:ascii="宋体" w:hAnsi="宋体" w:cs="宋体" w:eastAsia="宋体" w:hint="default"/>
          <w:sz w:val="12"/>
          <w:szCs w:val="12"/>
        </w:rPr>
      </w:pPr>
    </w:p>
    <w:p>
      <w:pPr>
        <w:pStyle w:val="BodyText"/>
        <w:spacing w:line="355" w:lineRule="auto" w:before="36"/>
        <w:ind w:left="658" w:right="1944"/>
        <w:jc w:val="left"/>
      </w:pPr>
      <w:r>
        <w:rPr>
          <w:rFonts w:ascii="宋体" w:hAnsi="宋体" w:cs="宋体" w:eastAsia="宋体" w:hint="default"/>
        </w:rPr>
        <w:t>[</w:t>
      </w:r>
      <w:r>
        <w:rPr/>
        <w:t>注</w:t>
      </w:r>
      <w:r>
        <w:rPr>
          <w:spacing w:val="-56"/>
        </w:rPr>
        <w:t> </w:t>
      </w:r>
      <w:r>
        <w:rPr>
          <w:rFonts w:ascii="宋体" w:hAnsi="宋体" w:cs="宋体" w:eastAsia="宋体" w:hint="default"/>
        </w:rPr>
        <w:t>1]</w:t>
      </w:r>
      <w:r>
        <w:rPr/>
        <w:t>：本期已经处置，详见本财务报表附注八合并范围的变更之说明。</w:t>
      </w:r>
      <w:r>
        <w:rPr>
          <w:w w:val="100"/>
        </w:rPr>
        <w:t> </w:t>
      </w:r>
      <w:r>
        <w:rPr>
          <w:rFonts w:ascii="宋体" w:hAnsi="宋体" w:cs="宋体" w:eastAsia="宋体" w:hint="default"/>
        </w:rPr>
        <w:t>[</w:t>
      </w:r>
      <w:r>
        <w:rPr/>
        <w:t>注</w:t>
      </w:r>
      <w:r>
        <w:rPr>
          <w:spacing w:val="-56"/>
        </w:rPr>
        <w:t> </w:t>
      </w:r>
      <w:r>
        <w:rPr>
          <w:rFonts w:ascii="宋体" w:hAnsi="宋体" w:cs="宋体" w:eastAsia="宋体" w:hint="default"/>
        </w:rPr>
        <w:t>2]</w:t>
      </w:r>
      <w:r>
        <w:rPr/>
        <w:t>：系公司控股子公司网络技术之子公司。</w:t>
      </w:r>
    </w:p>
    <w:p>
      <w:pPr>
        <w:pStyle w:val="BodyText"/>
        <w:spacing w:line="240" w:lineRule="auto" w:before="34"/>
        <w:ind w:left="658" w:right="2940"/>
        <w:jc w:val="left"/>
      </w:pPr>
      <w:r>
        <w:rPr>
          <w:rFonts w:ascii="宋体" w:hAnsi="宋体" w:cs="宋体" w:eastAsia="宋体" w:hint="default"/>
        </w:rPr>
        <w:t>[</w:t>
      </w:r>
      <w:r>
        <w:rPr/>
        <w:t>注</w:t>
      </w:r>
      <w:r>
        <w:rPr>
          <w:spacing w:val="-56"/>
        </w:rPr>
        <w:t> </w:t>
      </w:r>
      <w:r>
        <w:rPr>
          <w:rFonts w:ascii="宋体" w:hAnsi="宋体" w:cs="宋体" w:eastAsia="宋体" w:hint="default"/>
        </w:rPr>
        <w:t>3]</w:t>
      </w:r>
      <w:r>
        <w:rPr/>
        <w:t>：系公司控股子公司香港恒生之子公司。</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4"/>
        <w:spacing w:line="240" w:lineRule="auto" w:before="0"/>
        <w:ind w:left="238" w:right="2940"/>
        <w:jc w:val="left"/>
        <w:rPr>
          <w:b w:val="0"/>
          <w:bCs w:val="0"/>
        </w:rPr>
      </w:pPr>
      <w:r>
        <w:rPr/>
        <w:t>四、财务报表的编制基础</w:t>
      </w:r>
      <w:r>
        <w:rPr>
          <w:b w:val="0"/>
          <w:bCs w:val="0"/>
        </w:rPr>
      </w:r>
    </w:p>
    <w:p>
      <w:pPr>
        <w:spacing w:line="240" w:lineRule="auto" w:before="12"/>
        <w:rPr>
          <w:rFonts w:ascii="宋体" w:hAnsi="宋体" w:cs="宋体" w:eastAsia="宋体" w:hint="default"/>
          <w:b/>
          <w:bCs/>
          <w:sz w:val="14"/>
          <w:szCs w:val="14"/>
        </w:rPr>
      </w:pPr>
    </w:p>
    <w:p>
      <w:pPr>
        <w:tabs>
          <w:tab w:pos="662" w:val="left" w:leader="none"/>
        </w:tabs>
        <w:spacing w:line="372" w:lineRule="auto" w:before="0"/>
        <w:ind w:left="658" w:right="4841" w:hanging="420"/>
        <w:jc w:val="left"/>
        <w:rPr>
          <w:rFonts w:ascii="宋体" w:hAnsi="宋体" w:cs="宋体" w:eastAsia="宋体" w:hint="default"/>
          <w:sz w:val="21"/>
          <w:szCs w:val="21"/>
        </w:rPr>
      </w:pPr>
      <w:r>
        <w:rPr>
          <w:rFonts w:ascii="Calibri" w:hAnsi="Calibri" w:cs="Calibri" w:eastAsia="Calibri" w:hint="default"/>
          <w:b/>
          <w:bCs/>
          <w:sz w:val="21"/>
          <w:szCs w:val="21"/>
        </w:rPr>
        <w:t>1.</w:t>
        <w:tab/>
        <w:tab/>
      </w:r>
      <w:r>
        <w:rPr>
          <w:rFonts w:ascii="宋体" w:hAnsi="宋体" w:cs="宋体" w:eastAsia="宋体" w:hint="default"/>
          <w:b/>
          <w:bCs/>
          <w:sz w:val="21"/>
          <w:szCs w:val="21"/>
        </w:rPr>
        <w:t>编制基础</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本公司财务报表以持续经营为编制基础。</w:t>
      </w:r>
    </w:p>
    <w:p>
      <w:pPr>
        <w:spacing w:line="240" w:lineRule="auto" w:before="5"/>
        <w:rPr>
          <w:rFonts w:ascii="宋体" w:hAnsi="宋体" w:cs="宋体" w:eastAsia="宋体" w:hint="default"/>
          <w:sz w:val="16"/>
          <w:szCs w:val="16"/>
        </w:rPr>
      </w:pPr>
    </w:p>
    <w:p>
      <w:pPr>
        <w:pStyle w:val="Heading4"/>
        <w:tabs>
          <w:tab w:pos="662" w:val="left" w:leader="none"/>
        </w:tabs>
        <w:spacing w:line="240" w:lineRule="auto" w:before="0"/>
        <w:ind w:left="238" w:right="2940"/>
        <w:jc w:val="left"/>
        <w:rPr>
          <w:b w:val="0"/>
          <w:bCs w:val="0"/>
        </w:rPr>
      </w:pPr>
      <w:r>
        <w:rPr>
          <w:rFonts w:ascii="Calibri" w:hAnsi="Calibri" w:cs="Calibri" w:eastAsia="Calibri" w:hint="default"/>
        </w:rPr>
        <w:t>2.</w:t>
        <w:tab/>
      </w:r>
      <w:r>
        <w:rPr/>
        <w:t>持续经营</w:t>
      </w:r>
      <w:r>
        <w:rPr>
          <w:b w:val="0"/>
          <w:bCs w:val="0"/>
        </w:rPr>
      </w:r>
    </w:p>
    <w:p>
      <w:pPr>
        <w:pStyle w:val="BodyText"/>
        <w:spacing w:line="240" w:lineRule="auto" w:before="166"/>
        <w:ind w:left="658" w:right="227"/>
        <w:jc w:val="left"/>
      </w:pPr>
      <w:r>
        <w:rPr/>
        <w:t>本公司不存在导致对报告期末起</w:t>
      </w:r>
      <w:r>
        <w:rPr>
          <w:spacing w:val="-55"/>
        </w:rPr>
        <w:t> </w:t>
      </w:r>
      <w:r>
        <w:rPr>
          <w:rFonts w:ascii="宋体" w:hAnsi="宋体" w:cs="宋体" w:eastAsia="宋体" w:hint="default"/>
        </w:rPr>
        <w:t>12</w:t>
      </w:r>
      <w:r>
        <w:rPr>
          <w:rFonts w:ascii="宋体" w:hAnsi="宋体" w:cs="宋体" w:eastAsia="宋体" w:hint="default"/>
          <w:spacing w:val="-57"/>
        </w:rPr>
        <w:t> </w:t>
      </w:r>
      <w:r>
        <w:rPr/>
        <w:t>个月内的持续经营假设产生重大疑虑的事项或情况。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408" w:lineRule="auto" w:before="0"/>
        <w:ind w:left="238" w:right="5042"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61" w:lineRule="exact"/>
        <w:ind w:left="658" w:right="98"/>
        <w:jc w:val="left"/>
      </w:pPr>
      <w:r>
        <w:rPr/>
        <w:t>重要提示：本公司根据实际生产经营特点针对应收款项坏账准备计提、固定资产折旧、无形</w:t>
      </w:r>
    </w:p>
    <w:p>
      <w:pPr>
        <w:pStyle w:val="BodyText"/>
        <w:spacing w:line="240" w:lineRule="auto" w:before="133"/>
        <w:ind w:left="238" w:right="227"/>
        <w:jc w:val="left"/>
      </w:pPr>
      <w:r>
        <w:rPr/>
        <w:t>资产摊销、收入确认等交易或事项制定了具体会计政策和会计估计。</w:t>
      </w:r>
    </w:p>
    <w:p>
      <w:pPr>
        <w:spacing w:line="240" w:lineRule="auto" w:before="10"/>
        <w:rPr>
          <w:rFonts w:ascii="宋体" w:hAnsi="宋体" w:cs="宋体" w:eastAsia="宋体" w:hint="default"/>
          <w:sz w:val="14"/>
          <w:szCs w:val="14"/>
        </w:rPr>
      </w:pPr>
    </w:p>
    <w:p>
      <w:pPr>
        <w:tabs>
          <w:tab w:pos="662" w:val="left" w:leader="none"/>
        </w:tabs>
        <w:spacing w:line="374" w:lineRule="auto" w:before="0"/>
        <w:ind w:left="658" w:right="227" w:hanging="420"/>
        <w:jc w:val="left"/>
        <w:rPr>
          <w:rFonts w:ascii="宋体" w:hAnsi="宋体" w:cs="宋体" w:eastAsia="宋体" w:hint="default"/>
          <w:sz w:val="21"/>
          <w:szCs w:val="21"/>
        </w:rPr>
      </w:pPr>
      <w:r>
        <w:rPr>
          <w:rFonts w:ascii="Calibri" w:hAnsi="Calibri" w:cs="Calibri" w:eastAsia="Calibri" w:hint="default"/>
          <w:b/>
          <w:bCs/>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40" w:lineRule="auto" w:before="15"/>
        <w:ind w:left="238" w:right="2940"/>
        <w:jc w:val="left"/>
      </w:pPr>
      <w:r>
        <w:rPr/>
        <w:t>经营成果和现金流量等有关信息。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tabs>
          <w:tab w:pos="662" w:val="left" w:leader="none"/>
        </w:tabs>
        <w:spacing w:line="240" w:lineRule="auto" w:before="0"/>
        <w:ind w:left="238" w:right="2940"/>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167"/>
        <w:ind w:left="658" w:right="2940"/>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Heading4"/>
        <w:tabs>
          <w:tab w:pos="662" w:val="left" w:leader="none"/>
        </w:tabs>
        <w:spacing w:line="240" w:lineRule="auto" w:before="0"/>
        <w:ind w:left="238" w:right="2940"/>
        <w:jc w:val="left"/>
        <w:rPr>
          <w:b w:val="0"/>
          <w:bCs w:val="0"/>
        </w:rPr>
      </w:pPr>
      <w:r>
        <w:rPr>
          <w:rFonts w:ascii="Calibri" w:hAnsi="Calibri" w:cs="Calibri" w:eastAsia="Calibri" w:hint="default"/>
        </w:rPr>
        <w:t>3.</w:t>
        <w:tab/>
      </w:r>
      <w:r>
        <w:rPr/>
        <w:t>营业周期</w:t>
      </w:r>
      <w:r>
        <w:rPr>
          <w:b w:val="0"/>
          <w:bCs w:val="0"/>
        </w:rPr>
      </w:r>
    </w:p>
    <w:p>
      <w:pPr>
        <w:pStyle w:val="BodyText"/>
        <w:spacing w:line="240" w:lineRule="auto" w:before="166"/>
        <w:ind w:left="658" w:right="227"/>
        <w:jc w:val="left"/>
      </w:pPr>
      <w:r>
        <w:rPr/>
        <w:t>公司经营业务的营业周期较短，以</w:t>
      </w:r>
      <w:r>
        <w:rPr>
          <w:spacing w:val="-57"/>
        </w:rPr>
        <w:t> </w:t>
      </w:r>
      <w:r>
        <w:rPr>
          <w:rFonts w:ascii="宋体" w:hAnsi="宋体" w:cs="宋体" w:eastAsia="宋体" w:hint="default"/>
        </w:rPr>
        <w:t>12</w:t>
      </w:r>
      <w:r>
        <w:rPr>
          <w:rFonts w:ascii="宋体" w:hAnsi="宋体" w:cs="宋体" w:eastAsia="宋体" w:hint="default"/>
          <w:spacing w:val="-57"/>
        </w:rPr>
        <w:t> </w:t>
      </w:r>
      <w:r>
        <w:rPr/>
        <w:t>个月作为资产和负债的流动性划分标准。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tabs>
          <w:tab w:pos="662" w:val="left" w:leader="none"/>
        </w:tabs>
        <w:spacing w:line="372" w:lineRule="auto" w:before="0"/>
        <w:ind w:left="658" w:right="5681" w:hanging="420"/>
        <w:jc w:val="left"/>
        <w:rPr>
          <w:rFonts w:ascii="宋体" w:hAnsi="宋体" w:cs="宋体" w:eastAsia="宋体" w:hint="default"/>
          <w:sz w:val="21"/>
          <w:szCs w:val="21"/>
        </w:rPr>
      </w:pPr>
      <w:r>
        <w:rPr>
          <w:rFonts w:ascii="Calibri" w:hAnsi="Calibri" w:cs="Calibri" w:eastAsia="Calibri" w:hint="default"/>
          <w:b/>
          <w:bCs/>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11"/>
        <w:rPr>
          <w:rFonts w:ascii="宋体" w:hAnsi="宋体" w:cs="宋体" w:eastAsia="宋体" w:hint="default"/>
          <w:sz w:val="26"/>
          <w:szCs w:val="26"/>
        </w:rPr>
      </w:pPr>
    </w:p>
    <w:p>
      <w:pPr>
        <w:pStyle w:val="Heading4"/>
        <w:tabs>
          <w:tab w:pos="662" w:val="left" w:leader="none"/>
        </w:tabs>
        <w:spacing w:line="240" w:lineRule="auto" w:before="0"/>
        <w:ind w:left="238" w:right="2940"/>
        <w:jc w:val="left"/>
        <w:rPr>
          <w:b w:val="0"/>
          <w:bCs w:val="0"/>
        </w:rPr>
      </w:pPr>
      <w:r>
        <w:rPr>
          <w:rFonts w:ascii="Calibri" w:hAnsi="Calibri" w:cs="Calibri" w:eastAsia="Calibri" w:hint="default"/>
        </w:rPr>
        <w:t>5.</w:t>
        <w:tab/>
      </w:r>
      <w:r>
        <w:rPr/>
        <w:t>同一控制下和非同一控制下企业合并的会计处理方法</w:t>
      </w:r>
      <w:r>
        <w:rPr>
          <w:b w:val="0"/>
          <w:bCs w:val="0"/>
        </w:rPr>
      </w:r>
    </w:p>
    <w:p>
      <w:pPr>
        <w:pStyle w:val="BodyText"/>
        <w:spacing w:line="240" w:lineRule="auto" w:before="166"/>
        <w:ind w:left="238" w:right="2940"/>
        <w:jc w:val="left"/>
      </w:pPr>
      <w:r>
        <w:rPr>
          <w:rFonts w:ascii="宋体" w:hAnsi="宋体" w:cs="宋体" w:eastAsia="宋体" w:hint="default"/>
        </w:rPr>
        <w:t>(1) </w:t>
      </w:r>
      <w:r>
        <w:rPr/>
        <w:t>同一控制下企业合并的会计处理方法</w:t>
      </w:r>
    </w:p>
    <w:p>
      <w:pPr>
        <w:spacing w:after="0" w:line="240" w:lineRule="auto"/>
        <w:jc w:val="left"/>
        <w:sectPr>
          <w:pgSz w:w="11910" w:h="16840"/>
          <w:pgMar w:header="882" w:footer="1195" w:top="1120" w:bottom="1380" w:left="15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128" w:firstLine="419"/>
        <w:jc w:val="both"/>
      </w:pPr>
      <w:r>
        <w:rPr>
          <w:spacing w:val="-2"/>
        </w:rPr>
        <w:t>公司在企业合并中取得的资产和负债，按照合并日被合并方在最终控制方合并财务报表中的</w:t>
      </w:r>
      <w:r>
        <w:rPr>
          <w:w w:val="100"/>
        </w:rPr>
        <w:t> </w:t>
      </w:r>
      <w:r>
        <w:rPr>
          <w:spacing w:val="-1"/>
        </w:rPr>
        <w:t>账面价值计量。公司按照被合并方所有者权益在最终控制方合并财务报表中的账面价值份额与支</w:t>
      </w:r>
      <w:r>
        <w:rPr>
          <w:spacing w:val="-55"/>
        </w:rPr>
        <w:t> </w:t>
      </w:r>
      <w:r>
        <w:rPr>
          <w:spacing w:val="-55"/>
        </w:rPr>
      </w:r>
      <w:r>
        <w:rPr>
          <w:spacing w:val="-1"/>
        </w:rPr>
        <w:t>付的合并对价账面价值或发行股份面值总额的差额，调整资本公积；资本公积不足冲减的，调整</w:t>
      </w:r>
      <w:r>
        <w:rPr>
          <w:spacing w:val="-55"/>
        </w:rPr>
        <w:t> </w:t>
      </w:r>
      <w:r>
        <w:rPr>
          <w:spacing w:val="-55"/>
        </w:rPr>
      </w:r>
      <w:r>
        <w:rPr/>
        <w:t>留存收益。</w:t>
      </w:r>
    </w:p>
    <w:p>
      <w:pPr>
        <w:pStyle w:val="BodyText"/>
        <w:spacing w:line="355" w:lineRule="auto" w:before="30"/>
        <w:ind w:left="558" w:right="0" w:hanging="420"/>
        <w:jc w:val="left"/>
      </w:pPr>
      <w:r>
        <w:rPr>
          <w:rFonts w:ascii="宋体" w:hAnsi="宋体" w:cs="宋体" w:eastAsia="宋体" w:hint="default"/>
        </w:rPr>
        <w:t>(2)</w:t>
      </w:r>
      <w:r>
        <w:rPr>
          <w:rFonts w:ascii="宋体" w:hAnsi="宋体" w:cs="宋体" w:eastAsia="宋体" w:hint="default"/>
          <w:spacing w:val="-1"/>
        </w:rPr>
        <w:t> </w:t>
      </w:r>
      <w:r>
        <w:rPr/>
        <w:t>非同一控制下企业合并的会计处理方法</w:t>
      </w:r>
      <w:r>
        <w:rPr>
          <w:w w:val="100"/>
        </w:rPr>
        <w:t> </w:t>
      </w:r>
      <w:r>
        <w:rPr>
          <w:spacing w:val="-2"/>
        </w:rPr>
        <w:t>公司在购买日对合并成本大于合并中取得的被购买方可辨认净资产公允价值份额的差额，确</w:t>
      </w:r>
    </w:p>
    <w:p>
      <w:pPr>
        <w:pStyle w:val="BodyText"/>
        <w:spacing w:line="357" w:lineRule="auto" w:before="34"/>
        <w:ind w:left="138" w:right="128"/>
        <w:jc w:val="both"/>
      </w:pPr>
      <w:r>
        <w:rPr>
          <w:spacing w:val="-1"/>
        </w:rPr>
        <w:t>认为商誉；如果合并成本小于合并中取得的被购买方可辨认净资产公允价值份额，首先对取得的</w:t>
      </w:r>
      <w:r>
        <w:rPr>
          <w:spacing w:val="-55"/>
        </w:rPr>
        <w:t> </w:t>
      </w:r>
      <w:r>
        <w:rPr>
          <w:spacing w:val="-55"/>
        </w:rPr>
      </w:r>
      <w:r>
        <w:rPr>
          <w:spacing w:val="-1"/>
        </w:rPr>
        <w:t>被购买方各项可辨认资产、负债及或有负债的公允价值以及合并成本的计量进行复核，经复核后</w:t>
      </w:r>
      <w:r>
        <w:rPr>
          <w:spacing w:val="-55"/>
        </w:rPr>
        <w:t> </w:t>
      </w:r>
      <w:r>
        <w:rPr>
          <w:spacing w:val="-55"/>
        </w:rPr>
      </w:r>
      <w:r>
        <w:rPr/>
        <w:t>合并成本仍小于合并中取得的被购买方可辨认净资产公允价值份额的，其差额计入当期损益。</w:t>
      </w:r>
    </w:p>
    <w:p>
      <w:pPr>
        <w:spacing w:line="240" w:lineRule="auto" w:before="11"/>
        <w:rPr>
          <w:rFonts w:ascii="宋体" w:hAnsi="宋体" w:cs="宋体" w:eastAsia="宋体" w:hint="default"/>
          <w:sz w:val="27"/>
          <w:szCs w:val="27"/>
        </w:rPr>
      </w:pPr>
    </w:p>
    <w:p>
      <w:pPr>
        <w:tabs>
          <w:tab w:pos="562" w:val="left" w:leader="none"/>
        </w:tabs>
        <w:spacing w:line="372" w:lineRule="auto" w:before="0"/>
        <w:ind w:left="558" w:right="142" w:hanging="420"/>
        <w:jc w:val="left"/>
        <w:rPr>
          <w:rFonts w:ascii="宋体" w:hAnsi="宋体" w:cs="宋体" w:eastAsia="宋体" w:hint="default"/>
          <w:sz w:val="21"/>
          <w:szCs w:val="21"/>
        </w:rPr>
      </w:pPr>
      <w:r>
        <w:rPr>
          <w:rFonts w:ascii="Calibri" w:hAnsi="Calibri" w:cs="Calibri" w:eastAsia="Calibri" w:hint="default"/>
          <w:b/>
          <w:bCs/>
          <w:sz w:val="21"/>
          <w:szCs w:val="21"/>
        </w:rPr>
        <w:t>6.</w:t>
        <w:tab/>
        <w:tab/>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母公司将其控制的所有子公司纳入合并财务报表的合并范围。合并财务报表以母公司及其子</w:t>
      </w:r>
    </w:p>
    <w:p>
      <w:pPr>
        <w:pStyle w:val="BodyText"/>
        <w:spacing w:line="355" w:lineRule="auto" w:before="17"/>
        <w:ind w:left="138" w:right="0"/>
        <w:jc w:val="left"/>
      </w:pPr>
      <w:r>
        <w:rPr>
          <w:spacing w:val="-5"/>
        </w:rPr>
        <w:t>公司的财务报表为基础，根据其他有关资料，由母公司按照《企业会计准则第</w:t>
      </w:r>
      <w:r>
        <w:rPr>
          <w:spacing w:val="-21"/>
        </w:rPr>
        <w:t> </w:t>
      </w:r>
      <w:r>
        <w:rPr>
          <w:rFonts w:ascii="宋体" w:hAnsi="宋体" w:cs="宋体" w:eastAsia="宋体" w:hint="default"/>
        </w:rPr>
        <w:t>33</w:t>
      </w:r>
      <w:r>
        <w:rPr>
          <w:rFonts w:ascii="宋体" w:hAnsi="宋体" w:cs="宋体" w:eastAsia="宋体" w:hint="default"/>
          <w:spacing w:val="-26"/>
        </w:rPr>
        <w:t> </w:t>
      </w:r>
      <w:r>
        <w:rPr/>
        <w:t>号——合并财务</w:t>
      </w:r>
      <w:r>
        <w:rPr>
          <w:spacing w:val="-94"/>
        </w:rPr>
        <w:t> </w:t>
      </w:r>
      <w:r>
        <w:rPr>
          <w:spacing w:val="-94"/>
        </w:rPr>
      </w:r>
      <w:r>
        <w:rPr/>
        <w:t>报表》编制。</w:t>
      </w:r>
    </w:p>
    <w:p>
      <w:pPr>
        <w:spacing w:line="240" w:lineRule="auto" w:before="13"/>
        <w:rPr>
          <w:rFonts w:ascii="宋体" w:hAnsi="宋体" w:cs="宋体" w:eastAsia="宋体" w:hint="default"/>
          <w:sz w:val="27"/>
          <w:szCs w:val="27"/>
        </w:rPr>
      </w:pPr>
    </w:p>
    <w:p>
      <w:pPr>
        <w:pStyle w:val="Heading4"/>
        <w:tabs>
          <w:tab w:pos="562" w:val="left" w:leader="none"/>
        </w:tabs>
        <w:spacing w:line="240" w:lineRule="auto" w:before="0"/>
        <w:ind w:left="138" w:right="3467"/>
        <w:jc w:val="left"/>
        <w:rPr>
          <w:b w:val="0"/>
          <w:bCs w:val="0"/>
        </w:rPr>
      </w:pPr>
      <w:r>
        <w:rPr>
          <w:rFonts w:ascii="Calibri" w:hAnsi="Calibri" w:cs="Calibri" w:eastAsia="Calibri" w:hint="default"/>
        </w:rPr>
        <w:t>7.</w:t>
        <w:tab/>
      </w:r>
      <w:r>
        <w:rPr/>
        <w:t>合营安排分类及共同经营会计处理方法</w:t>
      </w:r>
      <w:r>
        <w:rPr>
          <w:b w:val="0"/>
          <w:bCs w:val="0"/>
        </w:rPr>
      </w:r>
    </w:p>
    <w:p>
      <w:pPr>
        <w:pStyle w:val="BodyText"/>
        <w:spacing w:line="240" w:lineRule="auto" w:before="166"/>
        <w:ind w:left="138" w:right="3467"/>
        <w:jc w:val="left"/>
      </w:pPr>
      <w:r>
        <w:rPr>
          <w:rFonts w:ascii="宋体" w:hAnsi="宋体" w:cs="宋体" w:eastAsia="宋体" w:hint="default"/>
        </w:rPr>
        <w:t>(1) </w:t>
      </w:r>
      <w:r>
        <w:rPr/>
        <w:t>合营安排分为共同经营和合营企业。</w:t>
      </w:r>
    </w:p>
    <w:p>
      <w:pPr>
        <w:pStyle w:val="BodyText"/>
        <w:spacing w:line="240" w:lineRule="auto" w:before="135"/>
        <w:ind w:left="138" w:right="0"/>
        <w:jc w:val="left"/>
      </w:pPr>
      <w:r>
        <w:rPr>
          <w:rFonts w:ascii="宋体" w:hAnsi="宋体" w:cs="宋体" w:eastAsia="宋体" w:hint="default"/>
        </w:rPr>
        <w:t>(2)</w:t>
      </w:r>
      <w:r>
        <w:rPr>
          <w:rFonts w:ascii="宋体" w:hAnsi="宋体" w:cs="宋体" w:eastAsia="宋体" w:hint="default"/>
          <w:spacing w:val="-3"/>
        </w:rPr>
        <w:t> </w:t>
      </w:r>
      <w:r>
        <w:rPr/>
        <w:t>当公司为共同经营的合营方时，确认与共同经营中利益份额相关的下列项目：</w:t>
      </w:r>
    </w:p>
    <w:p>
      <w:pPr>
        <w:pStyle w:val="BodyText"/>
        <w:spacing w:line="240" w:lineRule="auto" w:before="133"/>
        <w:ind w:left="558" w:right="0"/>
        <w:jc w:val="left"/>
      </w:pPr>
      <w:r>
        <w:rPr>
          <w:rFonts w:ascii="宋体" w:hAnsi="宋体" w:cs="宋体" w:eastAsia="宋体" w:hint="default"/>
        </w:rPr>
        <w:t>1)</w:t>
      </w:r>
      <w:r>
        <w:rPr>
          <w:rFonts w:ascii="宋体" w:hAnsi="宋体" w:cs="宋体" w:eastAsia="宋体" w:hint="default"/>
          <w:spacing w:val="-5"/>
        </w:rPr>
        <w:t> </w:t>
      </w:r>
      <w:r>
        <w:rPr/>
        <w:t>确认单独所持有的资产，以及按持有份额确认共同持有的资产；</w:t>
      </w:r>
    </w:p>
    <w:p>
      <w:pPr>
        <w:pStyle w:val="BodyText"/>
        <w:spacing w:line="240" w:lineRule="auto" w:before="133"/>
        <w:ind w:left="558" w:right="0"/>
        <w:jc w:val="left"/>
      </w:pPr>
      <w:r>
        <w:rPr>
          <w:rFonts w:ascii="宋体" w:hAnsi="宋体" w:cs="宋体" w:eastAsia="宋体" w:hint="default"/>
        </w:rPr>
        <w:t>2</w:t>
      </w:r>
      <w:r>
        <w:rPr/>
        <w:t>）确认单独所承担的负债，以及按持有份额确认共同承担的负债；</w:t>
      </w:r>
    </w:p>
    <w:p>
      <w:pPr>
        <w:pStyle w:val="BodyText"/>
        <w:spacing w:line="240" w:lineRule="auto" w:before="133"/>
        <w:ind w:left="558" w:right="0"/>
        <w:jc w:val="left"/>
      </w:pPr>
      <w:r>
        <w:rPr>
          <w:rFonts w:ascii="宋体" w:hAnsi="宋体" w:cs="宋体" w:eastAsia="宋体" w:hint="default"/>
        </w:rPr>
        <w:t>3</w:t>
      </w:r>
      <w:r>
        <w:rPr/>
        <w:t>）确认出售公司享有的共同经营产出份额所产生的收入；</w:t>
      </w:r>
    </w:p>
    <w:p>
      <w:pPr>
        <w:pStyle w:val="BodyText"/>
        <w:spacing w:line="240" w:lineRule="auto" w:before="133"/>
        <w:ind w:left="558" w:right="0"/>
        <w:jc w:val="left"/>
      </w:pPr>
      <w:r>
        <w:rPr>
          <w:rFonts w:ascii="宋体" w:hAnsi="宋体" w:cs="宋体" w:eastAsia="宋体" w:hint="default"/>
        </w:rPr>
        <w:t>4</w:t>
      </w:r>
      <w:r>
        <w:rPr/>
        <w:t>）按公司持有份额确认共同经营因出售资产所产生的收入；</w:t>
      </w:r>
    </w:p>
    <w:p>
      <w:pPr>
        <w:pStyle w:val="BodyText"/>
        <w:spacing w:line="240" w:lineRule="auto" w:before="135"/>
        <w:ind w:left="558" w:right="0"/>
        <w:jc w:val="left"/>
      </w:pPr>
      <w:r>
        <w:rPr>
          <w:rFonts w:ascii="宋体" w:hAnsi="宋体" w:cs="宋体" w:eastAsia="宋体" w:hint="default"/>
        </w:rPr>
        <w:t>5</w:t>
      </w:r>
      <w:r>
        <w:rPr/>
        <w:t>）确认单独所发生的费用，以及按公司持有份额确认共同经营发生的费用。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tabs>
          <w:tab w:pos="562" w:val="left" w:leader="none"/>
        </w:tabs>
        <w:spacing w:line="374" w:lineRule="auto" w:before="0"/>
        <w:ind w:left="558" w:right="142" w:hanging="420"/>
        <w:jc w:val="left"/>
        <w:rPr>
          <w:rFonts w:ascii="宋体" w:hAnsi="宋体" w:cs="宋体" w:eastAsia="宋体" w:hint="default"/>
          <w:sz w:val="21"/>
          <w:szCs w:val="21"/>
        </w:rPr>
      </w:pPr>
      <w:r>
        <w:rPr>
          <w:rFonts w:ascii="Calibri" w:hAnsi="Calibri" w:cs="Calibri" w:eastAsia="Calibri" w:hint="default"/>
          <w:b/>
          <w:bCs/>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现金等价物是指企业持有的期限短（一般指从购买日起三个月内到期）、流动性强、易于转</w:t>
      </w:r>
    </w:p>
    <w:p>
      <w:pPr>
        <w:pStyle w:val="BodyText"/>
        <w:spacing w:line="240" w:lineRule="auto" w:before="15"/>
        <w:ind w:left="138" w:right="3467"/>
        <w:jc w:val="left"/>
      </w:pPr>
      <w:r>
        <w:rPr/>
        <w:t>换为已知金额现金、价值变动风险很小的投资。</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tabs>
          <w:tab w:pos="562" w:val="left" w:leader="none"/>
        </w:tabs>
        <w:spacing w:line="240" w:lineRule="auto" w:before="0"/>
        <w:ind w:left="138" w:right="3467"/>
        <w:jc w:val="left"/>
        <w:rPr>
          <w:b w:val="0"/>
          <w:bCs w:val="0"/>
        </w:rPr>
      </w:pPr>
      <w:r>
        <w:rPr>
          <w:rFonts w:ascii="Calibri" w:hAnsi="Calibri" w:cs="Calibri" w:eastAsia="Calibri" w:hint="default"/>
        </w:rPr>
        <w:t>9.</w:t>
        <w:tab/>
      </w:r>
      <w:r>
        <w:rPr/>
        <w:t>外币业务和外币报表折算</w:t>
      </w:r>
      <w:r>
        <w:rPr>
          <w:b w:val="0"/>
          <w:bCs w:val="0"/>
        </w:rPr>
      </w:r>
    </w:p>
    <w:p>
      <w:pPr>
        <w:pStyle w:val="BodyText"/>
        <w:spacing w:line="408" w:lineRule="auto" w:before="168"/>
        <w:ind w:left="558" w:right="0" w:hanging="420"/>
        <w:jc w:val="left"/>
      </w:pPr>
      <w:r>
        <w:rPr>
          <w:rFonts w:ascii="宋体" w:hAnsi="宋体" w:cs="宋体" w:eastAsia="宋体" w:hint="default"/>
        </w:rPr>
        <w:t>(1) </w:t>
      </w:r>
      <w:r>
        <w:rPr/>
        <w:t>外币业务折算</w:t>
      </w:r>
      <w:r>
        <w:rPr>
          <w:w w:val="100"/>
        </w:rPr>
        <w:t> </w:t>
      </w:r>
      <w:r>
        <w:rPr>
          <w:spacing w:val="-2"/>
        </w:rPr>
        <w:t>外币交易在初始确认时，采用交易发生日的即期汇率折算为人民币金额。资产负债表日，外</w:t>
      </w:r>
    </w:p>
    <w:p>
      <w:pPr>
        <w:pStyle w:val="BodyText"/>
        <w:spacing w:line="261" w:lineRule="exact"/>
        <w:ind w:left="138" w:right="0"/>
        <w:jc w:val="left"/>
      </w:pPr>
      <w:r>
        <w:rPr/>
        <w:t>币货币性项目采用资产负债表日即期汇率折算，因汇率不同而产生的汇兑差额，除与购建符合资</w:t>
      </w:r>
    </w:p>
    <w:p>
      <w:pPr>
        <w:pStyle w:val="BodyText"/>
        <w:spacing w:line="357" w:lineRule="auto" w:before="133"/>
        <w:ind w:left="138" w:right="0"/>
        <w:jc w:val="left"/>
      </w:pPr>
      <w:r>
        <w:rPr>
          <w:spacing w:val="-1"/>
        </w:rPr>
        <w:t>本化条件资产有关的外币专门借款本金及利息的汇兑差额外，计入当期损益；以历史成本计量的</w:t>
      </w:r>
      <w:r>
        <w:rPr>
          <w:spacing w:val="-55"/>
        </w:rPr>
        <w:t> </w:t>
      </w:r>
      <w:r>
        <w:rPr>
          <w:spacing w:val="-55"/>
        </w:rPr>
      </w:r>
      <w:r>
        <w:rPr>
          <w:spacing w:val="-1"/>
        </w:rPr>
        <w:t>外币非货币性项目仍采用交易发生日的即期汇率折算，不改变其人民币金额；以公允价值计量的</w:t>
      </w:r>
    </w:p>
    <w:p>
      <w:pPr>
        <w:spacing w:after="0" w:line="357"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317"/>
        <w:jc w:val="both"/>
      </w:pPr>
      <w:r>
        <w:rPr>
          <w:spacing w:val="-2"/>
        </w:rPr>
        <w:t>外币非货币性项目，采用公允价值确定日的即期汇率折算，差额计入当期损益或其他综合收益。</w:t>
      </w:r>
      <w:r>
        <w:rPr>
          <w:spacing w:val="-25"/>
        </w:rPr>
        <w:t> </w:t>
      </w:r>
      <w:r>
        <w:rPr>
          <w:spacing w:val="-25"/>
        </w:rPr>
      </w:r>
      <w:r>
        <w:rPr>
          <w:rFonts w:ascii="宋体" w:hAnsi="宋体" w:cs="宋体" w:eastAsia="宋体" w:hint="default"/>
        </w:rPr>
        <w:t>(2)</w:t>
      </w:r>
      <w:r>
        <w:rPr>
          <w:rFonts w:ascii="宋体" w:hAnsi="宋体" w:cs="宋体" w:eastAsia="宋体" w:hint="default"/>
          <w:spacing w:val="-1"/>
        </w:rPr>
        <w:t> </w:t>
      </w:r>
      <w:r>
        <w:rPr/>
        <w:t>外币财务报表折算</w:t>
      </w:r>
    </w:p>
    <w:p>
      <w:pPr>
        <w:pStyle w:val="BodyText"/>
        <w:spacing w:line="355" w:lineRule="auto" w:before="30"/>
        <w:ind w:left="138" w:right="308" w:firstLine="419"/>
        <w:jc w:val="both"/>
      </w:pPr>
      <w:r>
        <w:rPr>
          <w:spacing w:val="-7"/>
        </w:rPr>
        <w:t>资产负债表中的资产和负债项目，采用资产负债表日的即期汇率折算；所有者权益项目除“未</w:t>
      </w:r>
      <w:r>
        <w:rPr>
          <w:w w:val="100"/>
        </w:rPr>
        <w:t> </w:t>
      </w:r>
      <w:r>
        <w:rPr>
          <w:spacing w:val="-1"/>
        </w:rPr>
        <w:t>分配利润”项目外，其他项目采用交易发生日的即期汇率折算；利润表中的收入和费用项目，采</w:t>
      </w:r>
      <w:r>
        <w:rPr>
          <w:spacing w:val="-55"/>
        </w:rPr>
        <w:t> </w:t>
      </w:r>
      <w:r>
        <w:rPr>
          <w:spacing w:val="-55"/>
        </w:rPr>
      </w:r>
      <w:r>
        <w:rPr>
          <w:spacing w:val="-6"/>
          <w:w w:val="100"/>
        </w:rPr>
        <w:t>用交易发生日的即期汇率折算。按照上述折算产生的外币财务报表折算差额，计入其他综合收益。</w:t>
      </w:r>
    </w:p>
    <w:p>
      <w:pPr>
        <w:spacing w:line="240" w:lineRule="auto" w:before="13"/>
        <w:rPr>
          <w:rFonts w:ascii="宋体" w:hAnsi="宋体" w:cs="宋体" w:eastAsia="宋体" w:hint="default"/>
          <w:sz w:val="27"/>
          <w:szCs w:val="27"/>
        </w:rPr>
      </w:pPr>
    </w:p>
    <w:p>
      <w:pPr>
        <w:pStyle w:val="Heading4"/>
        <w:spacing w:line="240" w:lineRule="auto" w:before="0"/>
        <w:ind w:left="138" w:right="2940"/>
        <w:jc w:val="left"/>
        <w:rPr>
          <w:b w:val="0"/>
          <w:bCs w:val="0"/>
        </w:rPr>
      </w:pPr>
      <w:r>
        <w:rPr>
          <w:rFonts w:ascii="Calibri" w:hAnsi="Calibri" w:cs="Calibri" w:eastAsia="Calibri" w:hint="default"/>
        </w:rPr>
        <w:t>10.  </w:t>
      </w:r>
      <w:r>
        <w:rPr>
          <w:rFonts w:ascii="Calibri" w:hAnsi="Calibri" w:cs="Calibri" w:eastAsia="Calibri" w:hint="default"/>
          <w:spacing w:val="13"/>
        </w:rPr>
        <w:t> </w:t>
      </w:r>
      <w:r>
        <w:rPr/>
        <w:t>金融工具</w:t>
      </w:r>
      <w:r>
        <w:rPr>
          <w:b w:val="0"/>
          <w:bCs w:val="0"/>
        </w:rPr>
      </w:r>
    </w:p>
    <w:p>
      <w:pPr>
        <w:pStyle w:val="BodyText"/>
        <w:spacing w:line="357" w:lineRule="auto" w:before="166"/>
        <w:ind w:left="558" w:right="227" w:hanging="420"/>
        <w:jc w:val="left"/>
      </w:pPr>
      <w:r>
        <w:rPr>
          <w:rFonts w:ascii="宋体" w:hAnsi="宋体" w:cs="宋体" w:eastAsia="宋体" w:hint="default"/>
        </w:rPr>
        <w:t>(1) </w:t>
      </w:r>
      <w:r>
        <w:rPr/>
        <w:t>金融资产和金融负债的分类</w:t>
      </w:r>
      <w:r>
        <w:rPr>
          <w:w w:val="100"/>
        </w:rPr>
        <w:t> </w:t>
      </w:r>
      <w:r>
        <w:rPr>
          <w:spacing w:val="-2"/>
        </w:rPr>
        <w:t>金融资产在初始确认时划分为以下四类：以公允价值计量且其变动计入当期损益的金融资产</w:t>
      </w:r>
    </w:p>
    <w:p>
      <w:pPr>
        <w:pStyle w:val="BodyText"/>
        <w:spacing w:line="355" w:lineRule="auto" w:before="32"/>
        <w:ind w:left="138" w:right="98"/>
        <w:jc w:val="left"/>
      </w:pPr>
      <w:r>
        <w:rPr>
          <w:rFonts w:ascii="宋体" w:hAnsi="宋体" w:cs="宋体" w:eastAsia="宋体" w:hint="default"/>
          <w:spacing w:val="-1"/>
        </w:rPr>
        <w:t>(</w:t>
      </w:r>
      <w:r>
        <w:rPr>
          <w:spacing w:val="-1"/>
        </w:rPr>
        <w:t>包括交易性金融资产和在初始确认时指定为以公允价值计量且其变动计入当期损益的金融资产</w:t>
      </w:r>
      <w:r>
        <w:rPr>
          <w:rFonts w:ascii="宋体" w:hAnsi="宋体" w:cs="宋体" w:eastAsia="宋体" w:hint="default"/>
          <w:spacing w:val="-1"/>
        </w:rPr>
        <w:t>)</w:t>
      </w:r>
      <w:r>
        <w:rPr>
          <w:spacing w:val="-1"/>
        </w:rPr>
        <w:t>、</w:t>
      </w:r>
      <w:r>
        <w:rPr>
          <w:spacing w:val="-55"/>
        </w:rPr>
        <w:t> </w:t>
      </w:r>
      <w:r>
        <w:rPr/>
        <w:t>持有至到期投资、贷款和应收款项、可供出售金融资产。</w:t>
      </w:r>
    </w:p>
    <w:p>
      <w:pPr>
        <w:pStyle w:val="BodyText"/>
        <w:spacing w:line="355" w:lineRule="auto" w:before="32"/>
        <w:ind w:left="138" w:right="98" w:firstLine="419"/>
        <w:jc w:val="left"/>
      </w:pPr>
      <w:r>
        <w:rPr/>
        <w:t>金融负债在初始确认时划分为以下两类：以公允价值计量且其变动计入当期损益的金融负债</w:t>
      </w:r>
      <w:r>
        <w:rPr>
          <w:w w:val="100"/>
        </w:rPr>
        <w:t> </w:t>
      </w:r>
      <w:r>
        <w:rPr>
          <w:rFonts w:ascii="宋体" w:hAnsi="宋体" w:cs="宋体" w:eastAsia="宋体" w:hint="default"/>
          <w:spacing w:val="-1"/>
        </w:rPr>
        <w:t>(</w:t>
      </w:r>
      <w:r>
        <w:rPr>
          <w:spacing w:val="-1"/>
        </w:rPr>
        <w:t>包括交易性金融负债和在初始确认时指定为以公允价值计量且其变动计入当期损益的金融负债</w:t>
      </w:r>
      <w:r>
        <w:rPr>
          <w:rFonts w:ascii="宋体" w:hAnsi="宋体" w:cs="宋体" w:eastAsia="宋体" w:hint="default"/>
          <w:spacing w:val="-1"/>
        </w:rPr>
        <w:t>)</w:t>
      </w:r>
      <w:r>
        <w:rPr>
          <w:spacing w:val="-1"/>
        </w:rPr>
        <w:t>、</w:t>
      </w:r>
      <w:r>
        <w:rPr>
          <w:spacing w:val="-55"/>
        </w:rPr>
        <w:t> </w:t>
      </w:r>
      <w:r>
        <w:rPr/>
        <w:t>其他金融负债。</w:t>
      </w:r>
    </w:p>
    <w:p>
      <w:pPr>
        <w:pStyle w:val="BodyText"/>
        <w:spacing w:line="355" w:lineRule="auto" w:before="34"/>
        <w:ind w:left="558" w:right="227" w:hanging="420"/>
        <w:jc w:val="left"/>
      </w:pPr>
      <w:r>
        <w:rPr>
          <w:rFonts w:ascii="宋体" w:hAnsi="宋体" w:cs="宋体" w:eastAsia="宋体" w:hint="default"/>
        </w:rPr>
        <w:t>(2)</w:t>
      </w:r>
      <w:r>
        <w:rPr>
          <w:rFonts w:ascii="宋体" w:hAnsi="宋体" w:cs="宋体" w:eastAsia="宋体" w:hint="default"/>
          <w:spacing w:val="-1"/>
        </w:rPr>
        <w:t> </w:t>
      </w:r>
      <w:r>
        <w:rPr/>
        <w:t>金融资产和金融负债的确认依据、计量方法和终止确认条件</w:t>
      </w:r>
      <w:r>
        <w:rPr>
          <w:w w:val="100"/>
        </w:rPr>
        <w:t> </w:t>
      </w:r>
      <w:r>
        <w:rPr>
          <w:spacing w:val="-2"/>
        </w:rPr>
        <w:t>公司成为金融工具合同的一方时，确认一项金融资产或金融负债。初始确认金融资产或金融</w:t>
      </w:r>
    </w:p>
    <w:p>
      <w:pPr>
        <w:pStyle w:val="BodyText"/>
        <w:spacing w:line="357" w:lineRule="auto" w:before="32"/>
        <w:ind w:left="138" w:right="308"/>
        <w:jc w:val="both"/>
      </w:pPr>
      <w:r>
        <w:rPr>
          <w:spacing w:val="-6"/>
          <w:w w:val="100"/>
        </w:rPr>
        <w:t>负债时，按照公允价值计量；对于以公允价值计量且其变动计入当期损益的金融资产和金融负债，</w:t>
      </w:r>
      <w:r>
        <w:rPr>
          <w:w w:val="100"/>
        </w:rPr>
        <w:t> </w:t>
      </w:r>
      <w:r>
        <w:rPr>
          <w:spacing w:val="-1"/>
        </w:rPr>
        <w:t>相关交易费用直接计入当期损益；对于其他类别的金融资产或金融负债，相关交易费用计入初始</w:t>
      </w:r>
      <w:r>
        <w:rPr>
          <w:spacing w:val="-55"/>
        </w:rPr>
        <w:t> </w:t>
      </w:r>
      <w:r>
        <w:rPr>
          <w:spacing w:val="-55"/>
        </w:rPr>
      </w:r>
      <w:r>
        <w:rPr/>
        <w:t>确认金额。</w:t>
      </w:r>
    </w:p>
    <w:p>
      <w:pPr>
        <w:pStyle w:val="BodyText"/>
        <w:spacing w:line="355" w:lineRule="auto" w:before="30"/>
        <w:ind w:left="138" w:right="308" w:firstLine="419"/>
        <w:jc w:val="both"/>
      </w:pPr>
      <w:r>
        <w:rPr>
          <w:spacing w:val="-2"/>
        </w:rPr>
        <w:t>公司按照公允价值对金融资产进行后续计量，且不扣除将来处置该金融资产时可能发生的交</w:t>
      </w:r>
      <w:r>
        <w:rPr>
          <w:w w:val="100"/>
        </w:rPr>
        <w:t> </w:t>
      </w:r>
      <w:r>
        <w:rPr>
          <w:spacing w:val="-6"/>
        </w:rPr>
        <w:t>易费用，但下列情况除外：</w:t>
      </w:r>
      <w:r>
        <w:rPr>
          <w:rFonts w:ascii="宋体" w:hAnsi="宋体" w:cs="宋体" w:eastAsia="宋体" w:hint="default"/>
          <w:spacing w:val="-6"/>
        </w:rPr>
        <w:t>1)</w:t>
      </w:r>
      <w:r>
        <w:rPr>
          <w:rFonts w:ascii="宋体" w:hAnsi="宋体" w:cs="宋体" w:eastAsia="宋体" w:hint="default"/>
          <w:spacing w:val="59"/>
        </w:rPr>
        <w:t> </w:t>
      </w:r>
      <w:r>
        <w:rPr>
          <w:spacing w:val="-3"/>
        </w:rPr>
        <w:t>持有至到期投资以及贷款和应收款项采用实际利率法，按摊余成本</w:t>
      </w:r>
      <w:r>
        <w:rPr>
          <w:spacing w:val="-94"/>
        </w:rPr>
        <w:t> </w:t>
      </w:r>
      <w:r>
        <w:rPr>
          <w:spacing w:val="-94"/>
        </w:rPr>
      </w:r>
      <w:r>
        <w:rPr>
          <w:spacing w:val="-10"/>
        </w:rPr>
        <w:t>计量；</w:t>
      </w:r>
      <w:r>
        <w:rPr>
          <w:rFonts w:ascii="宋体" w:hAnsi="宋体" w:cs="宋体" w:eastAsia="宋体" w:hint="default"/>
          <w:spacing w:val="-10"/>
        </w:rPr>
        <w:t>2)</w:t>
      </w:r>
      <w:r>
        <w:rPr>
          <w:rFonts w:ascii="宋体" w:hAnsi="宋体" w:cs="宋体" w:eastAsia="宋体" w:hint="default"/>
          <w:spacing w:val="53"/>
        </w:rPr>
        <w:t> </w:t>
      </w:r>
      <w:r>
        <w:rPr>
          <w:spacing w:val="-3"/>
        </w:rPr>
        <w:t>在活跃市场中没有报价且其公允价值不能可靠计量的权益工具投资，以及与该权益工具</w:t>
      </w:r>
      <w:r>
        <w:rPr>
          <w:spacing w:val="-95"/>
        </w:rPr>
        <w:t> </w:t>
      </w:r>
      <w:r>
        <w:rPr>
          <w:spacing w:val="-95"/>
        </w:rPr>
      </w:r>
      <w:r>
        <w:rPr/>
        <w:t>挂钩并须通过交付该权益工具结算的衍生金融资产，按照成本计量。</w:t>
      </w:r>
    </w:p>
    <w:p>
      <w:pPr>
        <w:pStyle w:val="BodyText"/>
        <w:spacing w:line="357" w:lineRule="auto" w:before="34"/>
        <w:ind w:left="138" w:right="307" w:firstLine="419"/>
        <w:jc w:val="both"/>
      </w:pPr>
      <w:r>
        <w:rPr>
          <w:spacing w:val="-4"/>
        </w:rPr>
        <w:t>公司采用实际利率法，按摊余成本对金融负债进行后续计量，但下列情况除外：</w:t>
      </w:r>
      <w:r>
        <w:rPr>
          <w:rFonts w:ascii="宋体" w:hAnsi="宋体" w:cs="宋体" w:eastAsia="宋体" w:hint="default"/>
          <w:spacing w:val="-4"/>
        </w:rPr>
        <w:t>1)</w:t>
      </w:r>
      <w:r>
        <w:rPr>
          <w:rFonts w:ascii="宋体" w:hAnsi="宋体" w:cs="宋体" w:eastAsia="宋体" w:hint="default"/>
          <w:spacing w:val="40"/>
        </w:rPr>
        <w:t> </w:t>
      </w:r>
      <w:r>
        <w:rPr/>
        <w:t>以公允价</w:t>
      </w:r>
      <w:r>
        <w:rPr>
          <w:w w:val="100"/>
        </w:rPr>
        <w:t> </w:t>
      </w:r>
      <w:r>
        <w:rPr>
          <w:spacing w:val="-1"/>
        </w:rPr>
        <w:t>值计量且其变动计入当期损益的金融负债，按照公允价值计量，且不扣除将来结清金融负债时可</w:t>
      </w:r>
      <w:r>
        <w:rPr>
          <w:spacing w:val="-55"/>
        </w:rPr>
        <w:t> </w:t>
      </w:r>
      <w:r>
        <w:rPr>
          <w:spacing w:val="-55"/>
        </w:rPr>
      </w:r>
      <w:r>
        <w:rPr>
          <w:spacing w:val="-6"/>
        </w:rPr>
        <w:t>能发生的交易费用；</w:t>
      </w:r>
      <w:r>
        <w:rPr>
          <w:rFonts w:ascii="宋体" w:hAnsi="宋体" w:cs="宋体" w:eastAsia="宋体" w:hint="default"/>
          <w:spacing w:val="-6"/>
        </w:rPr>
        <w:t>2)</w:t>
      </w:r>
      <w:r>
        <w:rPr>
          <w:rFonts w:ascii="宋体" w:hAnsi="宋体" w:cs="宋体" w:eastAsia="宋体" w:hint="default"/>
          <w:spacing w:val="52"/>
        </w:rPr>
        <w:t> </w:t>
      </w:r>
      <w:r>
        <w:rPr>
          <w:spacing w:val="-3"/>
        </w:rPr>
        <w:t>与在活跃市场中没有报价、公允价值不能可靠计量的权益工具挂钩并须通</w:t>
      </w:r>
      <w:r>
        <w:rPr>
          <w:spacing w:val="-95"/>
        </w:rPr>
        <w:t> </w:t>
      </w:r>
      <w:r>
        <w:rPr>
          <w:spacing w:val="-95"/>
        </w:rPr>
      </w:r>
      <w:r>
        <w:rPr>
          <w:spacing w:val="-5"/>
        </w:rPr>
        <w:t>过交付该权益工具结算的衍生金融负债，按照成本计量；</w:t>
      </w:r>
      <w:r>
        <w:rPr>
          <w:rFonts w:ascii="宋体" w:hAnsi="宋体" w:cs="宋体" w:eastAsia="宋体" w:hint="default"/>
          <w:spacing w:val="-5"/>
        </w:rPr>
        <w:t>3)</w:t>
      </w:r>
      <w:r>
        <w:rPr>
          <w:rFonts w:ascii="宋体" w:hAnsi="宋体" w:cs="宋体" w:eastAsia="宋体" w:hint="default"/>
          <w:spacing w:val="28"/>
        </w:rPr>
        <w:t> </w:t>
      </w:r>
      <w:r>
        <w:rPr/>
        <w:t>不属于指定为以公允价值计量且其变</w:t>
      </w:r>
      <w:r>
        <w:rPr>
          <w:spacing w:val="-99"/>
        </w:rPr>
        <w:t> </w:t>
      </w:r>
      <w:r>
        <w:rPr>
          <w:spacing w:val="-99"/>
        </w:rPr>
      </w:r>
      <w:r>
        <w:rPr>
          <w:spacing w:val="-1"/>
        </w:rPr>
        <w:t>动计入当期损益的金融负债的财务担保合同，或没有指定为以公允价值计量且其变动计入当期损</w:t>
      </w:r>
      <w:r>
        <w:rPr>
          <w:spacing w:val="-55"/>
        </w:rPr>
        <w:t> </w:t>
      </w:r>
      <w:r>
        <w:rPr>
          <w:spacing w:val="-55"/>
        </w:rPr>
      </w:r>
      <w:r>
        <w:rPr>
          <w:spacing w:val="-1"/>
        </w:rPr>
        <w:t>益并将以低于市场利率贷款的贷款承诺，在初始确认后按照下列两项金额之中的较高者进行后续</w:t>
      </w:r>
      <w:r>
        <w:rPr>
          <w:spacing w:val="-55"/>
        </w:rPr>
        <w:t> </w:t>
      </w:r>
      <w:r>
        <w:rPr>
          <w:spacing w:val="-55"/>
        </w:rPr>
      </w:r>
      <w:r>
        <w:rPr>
          <w:spacing w:val="-13"/>
        </w:rPr>
        <w:t>计量：</w:t>
      </w:r>
      <w:r>
        <w:rPr>
          <w:rFonts w:ascii="宋体" w:hAnsi="宋体" w:cs="宋体" w:eastAsia="宋体" w:hint="default"/>
          <w:spacing w:val="-13"/>
        </w:rPr>
        <w:t>1)</w:t>
      </w:r>
      <w:r>
        <w:rPr>
          <w:rFonts w:ascii="宋体" w:hAnsi="宋体" w:cs="宋体" w:eastAsia="宋体" w:hint="default"/>
          <w:spacing w:val="17"/>
        </w:rPr>
        <w:t> </w:t>
      </w:r>
      <w:r>
        <w:rPr>
          <w:spacing w:val="-8"/>
        </w:rPr>
        <w:t>按照《企业会计准则第</w:t>
      </w:r>
      <w:r>
        <w:rPr>
          <w:spacing w:val="-42"/>
        </w:rPr>
        <w:t> </w:t>
      </w:r>
      <w:r>
        <w:rPr>
          <w:rFonts w:ascii="宋体" w:hAnsi="宋体" w:cs="宋体" w:eastAsia="宋体" w:hint="default"/>
        </w:rPr>
        <w:t>13</w:t>
      </w:r>
      <w:r>
        <w:rPr>
          <w:rFonts w:ascii="宋体" w:hAnsi="宋体" w:cs="宋体" w:eastAsia="宋体" w:hint="default"/>
          <w:spacing w:val="-46"/>
        </w:rPr>
        <w:t> </w:t>
      </w:r>
      <w:r>
        <w:rPr>
          <w:spacing w:val="-9"/>
        </w:rPr>
        <w:t>号——或有事项》确定的金额；</w:t>
      </w:r>
      <w:r>
        <w:rPr>
          <w:rFonts w:ascii="宋体" w:hAnsi="宋体" w:cs="宋体" w:eastAsia="宋体" w:hint="default"/>
          <w:spacing w:val="-9"/>
        </w:rPr>
        <w:t>2)</w:t>
      </w:r>
      <w:r>
        <w:rPr>
          <w:rFonts w:ascii="宋体" w:hAnsi="宋体" w:cs="宋体" w:eastAsia="宋体" w:hint="default"/>
          <w:spacing w:val="17"/>
        </w:rPr>
        <w:t> </w:t>
      </w:r>
      <w:r>
        <w:rPr>
          <w:spacing w:val="-7"/>
        </w:rPr>
        <w:t>初始确认金额扣除按照《企</w:t>
      </w:r>
      <w:r>
        <w:rPr>
          <w:spacing w:val="-101"/>
        </w:rPr>
        <w:t> </w:t>
      </w:r>
      <w:r>
        <w:rPr>
          <w:spacing w:val="-101"/>
        </w:rPr>
      </w:r>
      <w:r>
        <w:rPr/>
        <w:t>业会计准则第</w:t>
      </w:r>
      <w:r>
        <w:rPr>
          <w:spacing w:val="-55"/>
        </w:rPr>
        <w:t> </w:t>
      </w:r>
      <w:r>
        <w:rPr>
          <w:rFonts w:ascii="宋体" w:hAnsi="宋体" w:cs="宋体" w:eastAsia="宋体" w:hint="default"/>
        </w:rPr>
        <w:t>14</w:t>
      </w:r>
      <w:r>
        <w:rPr>
          <w:rFonts w:ascii="宋体" w:hAnsi="宋体" w:cs="宋体" w:eastAsia="宋体" w:hint="default"/>
          <w:spacing w:val="-55"/>
        </w:rPr>
        <w:t> </w:t>
      </w:r>
      <w:r>
        <w:rPr/>
        <w:t>号——收入》的原则确定的累积摊销额后的余额。</w:t>
      </w:r>
    </w:p>
    <w:p>
      <w:pPr>
        <w:pStyle w:val="BodyText"/>
        <w:spacing w:line="357" w:lineRule="auto" w:before="30"/>
        <w:ind w:left="138" w:right="308" w:firstLine="419"/>
        <w:jc w:val="both"/>
      </w:pPr>
      <w:r>
        <w:rPr>
          <w:spacing w:val="-2"/>
        </w:rPr>
        <w:t>金融资产或金融负债公允价值变动形成的利得或损失，除与套期保值有关外，按照如下方法</w:t>
      </w:r>
      <w:r>
        <w:rPr>
          <w:w w:val="100"/>
        </w:rPr>
        <w:t> </w:t>
      </w:r>
      <w:r>
        <w:rPr>
          <w:spacing w:val="-19"/>
          <w:w w:val="100"/>
        </w:rPr>
        <w:t>处理：</w:t>
      </w:r>
      <w:r>
        <w:rPr>
          <w:rFonts w:ascii="宋体" w:hAnsi="宋体" w:cs="宋体" w:eastAsia="宋体" w:hint="default"/>
          <w:spacing w:val="-19"/>
          <w:w w:val="100"/>
        </w:rPr>
        <w:t>1)</w:t>
      </w:r>
      <w:r>
        <w:rPr>
          <w:rFonts w:ascii="宋体" w:hAnsi="宋体" w:cs="宋体" w:eastAsia="宋体" w:hint="default"/>
          <w:spacing w:val="16"/>
          <w:w w:val="100"/>
        </w:rPr>
        <w:t> </w:t>
      </w:r>
      <w:r>
        <w:rPr>
          <w:spacing w:val="-2"/>
          <w:w w:val="100"/>
        </w:rPr>
        <w:t>以公允价值计量且其变动计入当期损益的金融资产或金融负债公允价值变动形成的利得</w:t>
      </w:r>
      <w:r>
        <w:rPr>
          <w:spacing w:val="-103"/>
          <w:w w:val="100"/>
        </w:rPr>
        <w:t> </w:t>
      </w:r>
      <w:r>
        <w:rPr>
          <w:spacing w:val="-103"/>
          <w:w w:val="100"/>
        </w:rPr>
      </w:r>
      <w:r>
        <w:rPr>
          <w:spacing w:val="-1"/>
        </w:rPr>
        <w:t>或损失，计入公允价值变动收益；在资产持有期间所取得的利息或现金股利，确认为投资收益；</w:t>
      </w:r>
    </w:p>
    <w:p>
      <w:pPr>
        <w:spacing w:after="0" w:line="357" w:lineRule="auto"/>
        <w:jc w:val="both"/>
        <w:sectPr>
          <w:footerReference w:type="default" r:id="rId32"/>
          <w:pgSz w:w="11910" w:h="16840"/>
          <w:pgMar w:footer="1195" w:header="882" w:top="1120" w:bottom="1380" w:left="1660" w:right="960"/>
          <w:pgNumType w:start="73"/>
        </w:sectPr>
      </w:pPr>
    </w:p>
    <w:p>
      <w:pPr>
        <w:spacing w:line="240" w:lineRule="auto" w:before="1"/>
        <w:rPr>
          <w:rFonts w:ascii="宋体" w:hAnsi="宋体" w:cs="宋体" w:eastAsia="宋体" w:hint="default"/>
          <w:sz w:val="25"/>
          <w:szCs w:val="25"/>
        </w:rPr>
      </w:pPr>
    </w:p>
    <w:p>
      <w:pPr>
        <w:pStyle w:val="BodyText"/>
        <w:spacing w:line="357" w:lineRule="auto" w:before="36"/>
        <w:ind w:left="138" w:right="308"/>
        <w:jc w:val="both"/>
      </w:pPr>
      <w:r>
        <w:rPr>
          <w:spacing w:val="-1"/>
        </w:rPr>
        <w:t>处置时，将实际收到的金额与初始入账金额之间的差额确认为投资收益，同时调整公允价值变动</w:t>
      </w:r>
      <w:r>
        <w:rPr>
          <w:spacing w:val="-55"/>
        </w:rPr>
        <w:t> </w:t>
      </w:r>
      <w:r>
        <w:rPr>
          <w:spacing w:val="-55"/>
        </w:rPr>
      </w:r>
      <w:r>
        <w:rPr>
          <w:spacing w:val="-10"/>
        </w:rPr>
        <w:t>收益。</w:t>
      </w:r>
      <w:r>
        <w:rPr>
          <w:rFonts w:ascii="宋体" w:hAnsi="宋体" w:cs="宋体" w:eastAsia="宋体" w:hint="default"/>
          <w:spacing w:val="-10"/>
        </w:rPr>
        <w:t>2)</w:t>
      </w:r>
      <w:r>
        <w:rPr>
          <w:rFonts w:ascii="宋体" w:hAnsi="宋体" w:cs="宋体" w:eastAsia="宋体" w:hint="default"/>
          <w:spacing w:val="54"/>
        </w:rPr>
        <w:t> </w:t>
      </w:r>
      <w:r>
        <w:rPr>
          <w:spacing w:val="-3"/>
        </w:rPr>
        <w:t>可供出售金融资产的公允价值变动计入其他综合收益；持有期间按实际利率法计算的利</w:t>
      </w:r>
      <w:r>
        <w:rPr>
          <w:spacing w:val="-95"/>
        </w:rPr>
        <w:t> </w:t>
      </w:r>
      <w:r>
        <w:rPr>
          <w:spacing w:val="-95"/>
        </w:rPr>
      </w:r>
      <w:r>
        <w:rPr>
          <w:spacing w:val="-1"/>
        </w:rPr>
        <w:t>息，计入投资收益；可供出售权益工具投资的现金股利，于被投资单位宣告发放股利时计入投资</w:t>
      </w:r>
      <w:r>
        <w:rPr>
          <w:spacing w:val="-55"/>
        </w:rPr>
        <w:t> </w:t>
      </w:r>
      <w:r>
        <w:rPr>
          <w:spacing w:val="-55"/>
        </w:rPr>
      </w:r>
      <w:r>
        <w:rPr>
          <w:spacing w:val="-1"/>
        </w:rPr>
        <w:t>收益；处置时，将实际收到的金额与账面价值扣除原直接计入其他综合收益的公允价值变动累计</w:t>
      </w:r>
      <w:r>
        <w:rPr>
          <w:spacing w:val="-56"/>
        </w:rPr>
        <w:t> </w:t>
      </w:r>
      <w:r>
        <w:rPr>
          <w:spacing w:val="-56"/>
        </w:rPr>
      </w:r>
      <w:r>
        <w:rPr/>
        <w:t>额之后的差额确认为投资收益。</w:t>
      </w:r>
    </w:p>
    <w:p>
      <w:pPr>
        <w:pStyle w:val="BodyText"/>
        <w:spacing w:line="357" w:lineRule="auto" w:before="30"/>
        <w:ind w:left="138" w:right="308" w:firstLine="419"/>
        <w:jc w:val="both"/>
      </w:pPr>
      <w:r>
        <w:rPr>
          <w:spacing w:val="-2"/>
        </w:rPr>
        <w:t>当收取某项金融资产现金流量的合同权利已终止或该金融资产所有权上几乎所有的风险和报</w:t>
      </w:r>
      <w:r>
        <w:rPr>
          <w:w w:val="100"/>
        </w:rPr>
        <w:t> </w:t>
      </w:r>
      <w:r>
        <w:rPr>
          <w:spacing w:val="-1"/>
        </w:rPr>
        <w:t>酬已转移时，终止确认该金融资产；当金融负债的现时义务全部或部分解除时，相应终止确认该</w:t>
      </w:r>
      <w:r>
        <w:rPr>
          <w:spacing w:val="-55"/>
        </w:rPr>
        <w:t> </w:t>
      </w:r>
      <w:r>
        <w:rPr>
          <w:spacing w:val="-55"/>
        </w:rPr>
      </w:r>
      <w:r>
        <w:rPr/>
        <w:t>金融负债或其一部分。</w:t>
      </w:r>
    </w:p>
    <w:p>
      <w:pPr>
        <w:pStyle w:val="BodyText"/>
        <w:spacing w:line="355" w:lineRule="auto" w:before="31"/>
        <w:ind w:left="558" w:right="98" w:hanging="420"/>
        <w:jc w:val="left"/>
      </w:pPr>
      <w:r>
        <w:rPr>
          <w:rFonts w:ascii="宋体" w:hAnsi="宋体" w:cs="宋体" w:eastAsia="宋体" w:hint="default"/>
        </w:rPr>
        <w:t>(3) </w:t>
      </w:r>
      <w:r>
        <w:rPr/>
        <w:t>金融资产转移的确认依据和计量方法</w:t>
      </w:r>
      <w:r>
        <w:rPr>
          <w:w w:val="100"/>
        </w:rPr>
        <w:t> </w:t>
      </w:r>
      <w:r>
        <w:rPr>
          <w:spacing w:val="-4"/>
          <w:w w:val="100"/>
        </w:rPr>
        <w:t>公司已将金融资产所有权上几乎所有的风险和报酬转移给了转入方的，终止确认该金融资产；</w:t>
      </w:r>
    </w:p>
    <w:p>
      <w:pPr>
        <w:pStyle w:val="BodyText"/>
        <w:spacing w:line="355" w:lineRule="auto" w:before="34"/>
        <w:ind w:left="138" w:right="98"/>
        <w:jc w:val="left"/>
      </w:pPr>
      <w:r>
        <w:rPr/>
        <w:t>保留了金融资产所有权上几乎所有的风险和报酬的，继续确认所转移的金融资产，并将收到的对</w:t>
      </w:r>
      <w:r>
        <w:rPr>
          <w:spacing w:val="-97"/>
        </w:rPr>
        <w:t> </w:t>
      </w:r>
      <w:r>
        <w:rPr>
          <w:spacing w:val="-97"/>
        </w:rPr>
      </w:r>
      <w:r>
        <w:rPr>
          <w:spacing w:val="-4"/>
          <w:w w:val="100"/>
        </w:rPr>
        <w:t>价确认为一项金融负债。公司既没有转移也没有保留金融资产所有权上几乎所有的风险和报酬的，</w:t>
      </w:r>
      <w:r>
        <w:rPr>
          <w:spacing w:val="-87"/>
          <w:w w:val="100"/>
        </w:rPr>
        <w:t> </w:t>
      </w:r>
      <w:r>
        <w:rPr>
          <w:spacing w:val="-87"/>
          <w:w w:val="100"/>
        </w:rPr>
      </w:r>
      <w:r>
        <w:rPr/>
        <w:t>分别下列情况处理：</w:t>
      </w:r>
      <w:r>
        <w:rPr>
          <w:rFonts w:ascii="宋体" w:hAnsi="宋体" w:cs="宋体" w:eastAsia="宋体" w:hint="default"/>
        </w:rPr>
        <w:t>1) </w:t>
      </w:r>
      <w:r>
        <w:rPr/>
        <w:t>放弃了对该金融资产控制的，终止确认该金融资产；</w:t>
      </w:r>
      <w:r>
        <w:rPr>
          <w:rFonts w:ascii="宋体" w:hAnsi="宋体" w:cs="宋体" w:eastAsia="宋体" w:hint="default"/>
        </w:rPr>
        <w:t>2)</w:t>
      </w:r>
      <w:r>
        <w:rPr>
          <w:rFonts w:ascii="宋体" w:hAnsi="宋体" w:cs="宋体" w:eastAsia="宋体" w:hint="default"/>
          <w:spacing w:val="5"/>
        </w:rPr>
        <w:t> </w:t>
      </w:r>
      <w:r>
        <w:rPr/>
        <w:t>未放弃对该金融</w:t>
      </w:r>
      <w:r>
        <w:rPr>
          <w:w w:val="100"/>
        </w:rPr>
        <w:t> </w:t>
      </w:r>
      <w:r>
        <w:rPr/>
        <w:t>资产控制的，按照继续涉入所转移金融资产的程度确认有关金融资产，并相应确认有关负债。</w:t>
      </w:r>
    </w:p>
    <w:p>
      <w:pPr>
        <w:pStyle w:val="BodyText"/>
        <w:spacing w:line="357" w:lineRule="auto" w:before="32"/>
        <w:ind w:left="138" w:right="307" w:firstLine="419"/>
        <w:jc w:val="both"/>
      </w:pPr>
      <w:r>
        <w:rPr>
          <w:spacing w:val="-4"/>
        </w:rPr>
        <w:t>金融资产整体转移满足终止确认条件的，将下列两项金额的差额计入当期损益：</w:t>
      </w:r>
      <w:r>
        <w:rPr>
          <w:rFonts w:ascii="宋体" w:hAnsi="宋体" w:cs="宋体" w:eastAsia="宋体" w:hint="default"/>
          <w:spacing w:val="-4"/>
        </w:rPr>
        <w:t>1)</w:t>
      </w:r>
      <w:r>
        <w:rPr>
          <w:rFonts w:ascii="宋体" w:hAnsi="宋体" w:cs="宋体" w:eastAsia="宋体" w:hint="default"/>
          <w:spacing w:val="39"/>
        </w:rPr>
        <w:t> </w:t>
      </w:r>
      <w:r>
        <w:rPr/>
        <w:t>所转移金</w:t>
      </w:r>
      <w:r>
        <w:rPr>
          <w:w w:val="100"/>
        </w:rPr>
        <w:t> </w:t>
      </w:r>
      <w:r>
        <w:rPr>
          <w:spacing w:val="-6"/>
        </w:rPr>
        <w:t>融资产的账面价值；</w:t>
      </w:r>
      <w:r>
        <w:rPr>
          <w:rFonts w:ascii="宋体" w:hAnsi="宋体" w:cs="宋体" w:eastAsia="宋体" w:hint="default"/>
          <w:spacing w:val="-6"/>
        </w:rPr>
        <w:t>2)</w:t>
      </w:r>
      <w:r>
        <w:rPr>
          <w:rFonts w:ascii="宋体" w:hAnsi="宋体" w:cs="宋体" w:eastAsia="宋体" w:hint="default"/>
          <w:spacing w:val="51"/>
        </w:rPr>
        <w:t> </w:t>
      </w:r>
      <w:r>
        <w:rPr>
          <w:spacing w:val="-3"/>
        </w:rPr>
        <w:t>因转移而收到的对价，与原直接计入所有者权益的公允价值变动累计额之</w:t>
      </w:r>
      <w:r>
        <w:rPr>
          <w:spacing w:val="-95"/>
        </w:rPr>
        <w:t> </w:t>
      </w:r>
      <w:r>
        <w:rPr>
          <w:spacing w:val="-95"/>
        </w:rPr>
      </w:r>
      <w:r>
        <w:rPr>
          <w:spacing w:val="-1"/>
        </w:rPr>
        <w:t>和。金融资产部分转移满足终止确认条件的，将所转移金融资产整体的账面价值，在终止确认部</w:t>
      </w:r>
      <w:r>
        <w:rPr>
          <w:spacing w:val="-55"/>
        </w:rPr>
        <w:t> </w:t>
      </w:r>
      <w:r>
        <w:rPr>
          <w:spacing w:val="-55"/>
        </w:rPr>
      </w:r>
      <w:r>
        <w:rPr>
          <w:spacing w:val="-1"/>
        </w:rPr>
        <w:t>分和未终止确认部分之间，按照各自的相对公允价值进行分摊，并将下列两项金额的差额计入当</w:t>
      </w:r>
      <w:r>
        <w:rPr>
          <w:spacing w:val="-56"/>
        </w:rPr>
        <w:t> </w:t>
      </w:r>
      <w:r>
        <w:rPr>
          <w:spacing w:val="-56"/>
        </w:rPr>
      </w:r>
      <w:r>
        <w:rPr>
          <w:spacing w:val="-6"/>
        </w:rPr>
        <w:t>期损益：</w:t>
      </w:r>
      <w:r>
        <w:rPr>
          <w:rFonts w:ascii="宋体" w:hAnsi="宋体" w:cs="宋体" w:eastAsia="宋体" w:hint="default"/>
          <w:spacing w:val="-6"/>
        </w:rPr>
        <w:t>1)</w:t>
      </w:r>
      <w:r>
        <w:rPr>
          <w:rFonts w:ascii="宋体" w:hAnsi="宋体" w:cs="宋体" w:eastAsia="宋体" w:hint="default"/>
          <w:spacing w:val="41"/>
        </w:rPr>
        <w:t> </w:t>
      </w:r>
      <w:r>
        <w:rPr>
          <w:spacing w:val="-3"/>
        </w:rPr>
        <w:t>终止确认部分的账面价值；</w:t>
      </w:r>
      <w:r>
        <w:rPr>
          <w:rFonts w:ascii="宋体" w:hAnsi="宋体" w:cs="宋体" w:eastAsia="宋体" w:hint="default"/>
          <w:spacing w:val="-3"/>
        </w:rPr>
        <w:t>2)</w:t>
      </w:r>
      <w:r>
        <w:rPr>
          <w:spacing w:val="-3"/>
        </w:rPr>
        <w:t>终止确认部分的对价，与原直接计入所有者权益的公允</w:t>
      </w:r>
      <w:r>
        <w:rPr>
          <w:spacing w:val="-97"/>
        </w:rPr>
        <w:t> </w:t>
      </w:r>
      <w:r>
        <w:rPr>
          <w:spacing w:val="-97"/>
        </w:rPr>
      </w:r>
      <w:r>
        <w:rPr/>
        <w:t>价值变动累计额中对应终止确认部分的金额之和。</w:t>
      </w:r>
    </w:p>
    <w:p>
      <w:pPr>
        <w:pStyle w:val="BodyText"/>
        <w:spacing w:line="355" w:lineRule="auto" w:before="32"/>
        <w:ind w:left="558" w:right="227" w:hanging="420"/>
        <w:jc w:val="left"/>
      </w:pPr>
      <w:r>
        <w:rPr>
          <w:rFonts w:ascii="宋体" w:hAnsi="宋体" w:cs="宋体" w:eastAsia="宋体" w:hint="default"/>
        </w:rPr>
        <w:t>(4) </w:t>
      </w:r>
      <w:r>
        <w:rPr/>
        <w:t>金融资产和金融负债的公允价值确定方法</w:t>
      </w:r>
      <w:r>
        <w:rPr>
          <w:w w:val="100"/>
        </w:rPr>
        <w:t> </w:t>
      </w:r>
      <w:r>
        <w:rPr>
          <w:spacing w:val="-2"/>
        </w:rPr>
        <w:t>公司采用在当前情况下适用并且有足够可利用数据和其他信息支持的估值技术确定相关金融</w:t>
      </w:r>
    </w:p>
    <w:p>
      <w:pPr>
        <w:pStyle w:val="BodyText"/>
        <w:spacing w:line="240" w:lineRule="auto" w:before="32"/>
        <w:ind w:left="138" w:right="227"/>
        <w:jc w:val="left"/>
      </w:pPr>
      <w:r>
        <w:rPr/>
        <w:t>资产和金融负债的公允价值。公司将估值技术使用的输入值分以下层级，并依次使用：</w:t>
      </w:r>
    </w:p>
    <w:p>
      <w:pPr>
        <w:pStyle w:val="BodyText"/>
        <w:spacing w:line="240" w:lineRule="auto" w:before="133"/>
        <w:ind w:left="558" w:right="227"/>
        <w:jc w:val="left"/>
      </w:pPr>
      <w:r>
        <w:rPr>
          <w:rFonts w:ascii="宋体" w:hAnsi="宋体" w:cs="宋体" w:eastAsia="宋体" w:hint="default"/>
        </w:rPr>
        <w:t>1)</w:t>
      </w:r>
      <w:r>
        <w:rPr>
          <w:rFonts w:ascii="宋体" w:hAnsi="宋体" w:cs="宋体" w:eastAsia="宋体" w:hint="default"/>
          <w:spacing w:val="-7"/>
        </w:rPr>
        <w:t> </w:t>
      </w:r>
      <w:r>
        <w:rPr/>
        <w:t>第一层次输入值是在计量日能够取得的相同资产或负债在活跃市场上未经调整的报价；</w:t>
      </w:r>
    </w:p>
    <w:p>
      <w:pPr>
        <w:pStyle w:val="BodyText"/>
        <w:spacing w:line="355" w:lineRule="auto" w:before="136"/>
        <w:ind w:left="138" w:right="98" w:firstLine="419"/>
        <w:jc w:val="left"/>
      </w:pPr>
      <w:r>
        <w:rPr>
          <w:rFonts w:ascii="宋体" w:hAnsi="宋体" w:cs="宋体" w:eastAsia="宋体" w:hint="default"/>
          <w:w w:val="100"/>
        </w:rPr>
        <w:t>2)</w:t>
      </w:r>
      <w:r>
        <w:rPr>
          <w:rFonts w:ascii="宋体" w:hAnsi="宋体" w:cs="宋体" w:eastAsia="宋体" w:hint="default"/>
          <w:spacing w:val="6"/>
          <w:w w:val="100"/>
        </w:rPr>
        <w:t> </w:t>
      </w:r>
      <w:r>
        <w:rPr>
          <w:spacing w:val="-4"/>
          <w:w w:val="100"/>
        </w:rPr>
        <w:t>第二层次输入值是除第一层次输入值外相关资产或负债直接或间接可观察的输入值，包括：</w:t>
      </w:r>
      <w:r>
        <w:rPr>
          <w:w w:val="100"/>
        </w:rPr>
        <w:t> </w:t>
      </w:r>
      <w:r>
        <w:rPr/>
        <w:t>活跃市场中类似资产或负债的报价；非活跃市场中相同或类似资产或负债的报价；除报价以外的</w:t>
      </w:r>
      <w:r>
        <w:rPr>
          <w:spacing w:val="-97"/>
        </w:rPr>
        <w:t> </w:t>
      </w:r>
      <w:r>
        <w:rPr>
          <w:spacing w:val="-97"/>
        </w:rPr>
      </w:r>
      <w:r>
        <w:rPr>
          <w:spacing w:val="-6"/>
          <w:w w:val="100"/>
        </w:rPr>
        <w:t>其他可观察输入值，如在正常报价间隔期间可观察的利率和收益率曲线等；市场验证的输入值等；</w:t>
      </w:r>
    </w:p>
    <w:p>
      <w:pPr>
        <w:pStyle w:val="BodyText"/>
        <w:spacing w:line="357" w:lineRule="auto" w:before="32"/>
        <w:ind w:left="138" w:right="308" w:firstLine="419"/>
        <w:jc w:val="both"/>
      </w:pPr>
      <w:r>
        <w:rPr>
          <w:rFonts w:ascii="宋体" w:hAnsi="宋体" w:cs="宋体" w:eastAsia="宋体" w:hint="default"/>
          <w:w w:val="100"/>
        </w:rPr>
        <w:t>3)</w:t>
      </w:r>
      <w:r>
        <w:rPr>
          <w:rFonts w:ascii="宋体" w:hAnsi="宋体" w:cs="宋体" w:eastAsia="宋体" w:hint="default"/>
          <w:spacing w:val="5"/>
          <w:w w:val="100"/>
        </w:rPr>
        <w:t> </w:t>
      </w:r>
      <w:r>
        <w:rPr>
          <w:spacing w:val="-4"/>
          <w:w w:val="100"/>
        </w:rPr>
        <w:t>第三层次输入值是相关资产或负债的不可观察输入值，包括不能直接观察或无法由可观察</w:t>
      </w:r>
      <w:r>
        <w:rPr>
          <w:w w:val="100"/>
        </w:rPr>
        <w:t> </w:t>
      </w:r>
      <w:r>
        <w:rPr>
          <w:spacing w:val="-1"/>
        </w:rPr>
        <w:t>市场数据验证的利率、股票波动率、企业合并中承担的弃置义务的未来现金流量、使用自身数据</w:t>
      </w:r>
      <w:r>
        <w:rPr>
          <w:spacing w:val="-55"/>
        </w:rPr>
        <w:t> </w:t>
      </w:r>
      <w:r>
        <w:rPr>
          <w:spacing w:val="-55"/>
        </w:rPr>
      </w:r>
      <w:r>
        <w:rPr/>
        <w:t>作出的财务预测等。</w:t>
      </w:r>
    </w:p>
    <w:p>
      <w:pPr>
        <w:pStyle w:val="BodyText"/>
        <w:spacing w:line="240" w:lineRule="auto" w:before="30"/>
        <w:ind w:left="138" w:right="2940"/>
        <w:jc w:val="left"/>
      </w:pPr>
      <w:r>
        <w:rPr>
          <w:rFonts w:ascii="宋体" w:hAnsi="宋体" w:cs="宋体" w:eastAsia="宋体" w:hint="default"/>
        </w:rPr>
        <w:t>(5)</w:t>
      </w:r>
      <w:r>
        <w:rPr>
          <w:rFonts w:ascii="宋体" w:hAnsi="宋体" w:cs="宋体" w:eastAsia="宋体" w:hint="default"/>
          <w:spacing w:val="-1"/>
        </w:rPr>
        <w:t> </w:t>
      </w:r>
      <w:r>
        <w:rPr/>
        <w:t>金融资产的减值测试和减值准备计提方法</w:t>
      </w:r>
    </w:p>
    <w:p>
      <w:pPr>
        <w:pStyle w:val="BodyText"/>
        <w:spacing w:line="357" w:lineRule="auto" w:before="133"/>
        <w:ind w:left="138" w:right="315" w:firstLine="419"/>
        <w:jc w:val="both"/>
      </w:pPr>
      <w:r>
        <w:rPr>
          <w:rFonts w:ascii="宋体" w:hAnsi="宋体" w:cs="宋体" w:eastAsia="宋体" w:hint="default"/>
        </w:rPr>
        <w:t>1)</w:t>
      </w:r>
      <w:r>
        <w:rPr>
          <w:rFonts w:ascii="宋体" w:hAnsi="宋体" w:cs="宋体" w:eastAsia="宋体" w:hint="default"/>
          <w:spacing w:val="101"/>
        </w:rPr>
        <w:t> </w:t>
      </w:r>
      <w:r>
        <w:rPr/>
        <w:t>资产负债表日对以公允价值计量且其变动计入当期损益的金融资产以外的金融资产的账</w:t>
      </w:r>
      <w:r>
        <w:rPr>
          <w:w w:val="100"/>
        </w:rPr>
        <w:t> </w:t>
      </w:r>
      <w:r>
        <w:rPr/>
        <w:t>面价值进行检查，如有客观证据表明该金融资产发生减值的，计提减值准备。</w:t>
      </w:r>
    </w:p>
    <w:p>
      <w:pPr>
        <w:pStyle w:val="BodyText"/>
        <w:spacing w:line="240" w:lineRule="auto" w:before="32"/>
        <w:ind w:left="558" w:right="227"/>
        <w:jc w:val="left"/>
      </w:pPr>
      <w:r>
        <w:rPr>
          <w:rFonts w:ascii="宋体" w:hAnsi="宋体" w:cs="宋体" w:eastAsia="宋体" w:hint="default"/>
        </w:rPr>
        <w:t>2)</w:t>
      </w:r>
      <w:r>
        <w:rPr>
          <w:rFonts w:ascii="宋体" w:hAnsi="宋体" w:cs="宋体" w:eastAsia="宋体" w:hint="default"/>
          <w:spacing w:val="57"/>
        </w:rPr>
        <w:t> </w:t>
      </w:r>
      <w:r>
        <w:rPr>
          <w:spacing w:val="-4"/>
        </w:rPr>
        <w:t>对于持有至到期投资、贷款和应收款，先将单项金额重大的金融资产区分开来，单独进行</w:t>
      </w:r>
    </w:p>
    <w:p>
      <w:pPr>
        <w:spacing w:after="0" w:line="240" w:lineRule="auto"/>
        <w:jc w:val="left"/>
        <w:sectPr>
          <w:footerReference w:type="default" r:id="rId33"/>
          <w:pgSz w:w="11910" w:h="16840"/>
          <w:pgMar w:footer="1195" w:header="882" w:top="1120" w:bottom="1380" w:left="1660" w:right="960"/>
          <w:pgNumType w:start="74"/>
        </w:sectPr>
      </w:pPr>
    </w:p>
    <w:p>
      <w:pPr>
        <w:spacing w:line="240" w:lineRule="auto" w:before="1"/>
        <w:rPr>
          <w:rFonts w:ascii="宋体" w:hAnsi="宋体" w:cs="宋体" w:eastAsia="宋体" w:hint="default"/>
          <w:sz w:val="25"/>
          <w:szCs w:val="25"/>
        </w:rPr>
      </w:pPr>
    </w:p>
    <w:p>
      <w:pPr>
        <w:pStyle w:val="BodyText"/>
        <w:spacing w:line="357" w:lineRule="auto" w:before="36"/>
        <w:ind w:right="208"/>
        <w:jc w:val="both"/>
      </w:pPr>
      <w:r>
        <w:rPr>
          <w:spacing w:val="-1"/>
        </w:rPr>
        <w:t>减值测试；对单项金额不重大的金融资产，可以单独进行减值测试，或包括在具有类似信用风险</w:t>
      </w:r>
      <w:r>
        <w:rPr>
          <w:spacing w:val="-55"/>
        </w:rPr>
        <w:t> </w:t>
      </w:r>
      <w:r>
        <w:rPr>
          <w:spacing w:val="-55"/>
        </w:rPr>
      </w:r>
      <w:r>
        <w:rPr>
          <w:spacing w:val="-4"/>
          <w:w w:val="100"/>
        </w:rPr>
        <w:t>特征的金融资产组合中进行减值测试；单独测试未发生减值的金融资产</w:t>
      </w:r>
      <w:r>
        <w:rPr>
          <w:rFonts w:ascii="宋体" w:hAnsi="宋体" w:cs="宋体" w:eastAsia="宋体" w:hint="default"/>
          <w:spacing w:val="-4"/>
          <w:w w:val="100"/>
        </w:rPr>
        <w:t>(</w:t>
      </w:r>
      <w:r>
        <w:rPr>
          <w:spacing w:val="-4"/>
          <w:w w:val="100"/>
        </w:rPr>
        <w:t>包括单项金额重大和不重</w:t>
      </w:r>
      <w:r>
        <w:rPr>
          <w:spacing w:val="-86"/>
          <w:w w:val="100"/>
        </w:rPr>
        <w:t> </w:t>
      </w:r>
      <w:r>
        <w:rPr>
          <w:spacing w:val="-86"/>
          <w:w w:val="100"/>
        </w:rPr>
      </w:r>
      <w:r>
        <w:rPr>
          <w:spacing w:val="-4"/>
        </w:rPr>
        <w:t>大的金融资产</w:t>
      </w:r>
      <w:r>
        <w:rPr>
          <w:rFonts w:ascii="宋体" w:hAnsi="宋体" w:cs="宋体" w:eastAsia="宋体" w:hint="default"/>
          <w:spacing w:val="-4"/>
        </w:rPr>
        <w:t>)</w:t>
      </w:r>
      <w:r>
        <w:rPr>
          <w:spacing w:val="-4"/>
        </w:rPr>
        <w:t>，包括在具有类似信用风险特征的金融资产组合中再进行减值测试。测试结果表明</w:t>
      </w:r>
      <w:r>
        <w:rPr>
          <w:spacing w:val="-35"/>
        </w:rPr>
        <w:t> </w:t>
      </w:r>
      <w:r>
        <w:rPr>
          <w:spacing w:val="-35"/>
        </w:rPr>
      </w:r>
      <w:r>
        <w:rPr/>
        <w:t>其发生了减值的，根据其账面价值高于预计未来现金流量现值的差额确认减值损失。</w:t>
      </w:r>
    </w:p>
    <w:p>
      <w:pPr>
        <w:pStyle w:val="BodyText"/>
        <w:spacing w:line="240" w:lineRule="auto" w:before="30"/>
        <w:ind w:left="638" w:right="0"/>
        <w:jc w:val="left"/>
      </w:pPr>
      <w:r>
        <w:rPr>
          <w:rFonts w:ascii="宋体" w:hAnsi="宋体" w:cs="宋体" w:eastAsia="宋体" w:hint="default"/>
        </w:rPr>
        <w:t>3)</w:t>
      </w:r>
      <w:r>
        <w:rPr>
          <w:rFonts w:ascii="宋体" w:hAnsi="宋体" w:cs="宋体" w:eastAsia="宋体" w:hint="default"/>
          <w:spacing w:val="-2"/>
        </w:rPr>
        <w:t> </w:t>
      </w:r>
      <w:r>
        <w:rPr/>
        <w:t>可供出售金融资产</w:t>
      </w:r>
    </w:p>
    <w:p>
      <w:pPr>
        <w:pStyle w:val="BodyText"/>
        <w:spacing w:line="240" w:lineRule="auto" w:before="133"/>
        <w:ind w:left="638" w:right="0"/>
        <w:jc w:val="left"/>
      </w:pPr>
      <w:r>
        <w:rPr/>
        <w:t>Ⅰ</w:t>
      </w:r>
      <w:r>
        <w:rPr>
          <w:rFonts w:ascii="宋体" w:hAnsi="宋体" w:cs="宋体" w:eastAsia="宋体" w:hint="default"/>
        </w:rPr>
        <w:t>)</w:t>
      </w:r>
      <w:r>
        <w:rPr>
          <w:rFonts w:ascii="宋体" w:hAnsi="宋体" w:cs="宋体" w:eastAsia="宋体" w:hint="default"/>
          <w:spacing w:val="-3"/>
        </w:rPr>
        <w:t> </w:t>
      </w:r>
      <w:r>
        <w:rPr/>
        <w:t>表明可供出售债务工具投资发生减值的客观证据包括：</w:t>
      </w:r>
    </w:p>
    <w:p>
      <w:pPr>
        <w:pStyle w:val="BodyText"/>
        <w:spacing w:line="240" w:lineRule="auto" w:before="135"/>
        <w:ind w:left="638" w:right="0"/>
        <w:jc w:val="left"/>
      </w:pPr>
      <w:r>
        <w:rPr/>
        <w:t>①</w:t>
      </w:r>
      <w:r>
        <w:rPr>
          <w:spacing w:val="-3"/>
        </w:rPr>
        <w:t> </w:t>
      </w:r>
      <w:r>
        <w:rPr/>
        <w:t>债务人发生严重财务困难；</w:t>
      </w:r>
    </w:p>
    <w:p>
      <w:pPr>
        <w:pStyle w:val="BodyText"/>
        <w:spacing w:line="240" w:lineRule="auto" w:before="133"/>
        <w:ind w:left="638" w:right="0"/>
        <w:jc w:val="left"/>
      </w:pPr>
      <w:r>
        <w:rPr/>
        <w:t>②</w:t>
      </w:r>
      <w:r>
        <w:rPr>
          <w:spacing w:val="-6"/>
        </w:rPr>
        <w:t> </w:t>
      </w:r>
      <w:r>
        <w:rPr/>
        <w:t>债务人违反了合同条款，如偿付利息或本金发生违约或逾期；</w:t>
      </w:r>
    </w:p>
    <w:p>
      <w:pPr>
        <w:pStyle w:val="BodyText"/>
        <w:spacing w:line="240" w:lineRule="auto" w:before="133"/>
        <w:ind w:left="638" w:right="0"/>
        <w:jc w:val="left"/>
      </w:pPr>
      <w:r>
        <w:rPr/>
        <w:t>③</w:t>
      </w:r>
      <w:r>
        <w:rPr>
          <w:spacing w:val="-6"/>
        </w:rPr>
        <w:t> </w:t>
      </w:r>
      <w:r>
        <w:rPr/>
        <w:t>公司出于经济或法律等方面因素的考虑，对发生财务困难的债务人作出让步；</w:t>
      </w:r>
    </w:p>
    <w:p>
      <w:pPr>
        <w:pStyle w:val="BodyText"/>
        <w:spacing w:line="240" w:lineRule="auto" w:before="133"/>
        <w:ind w:left="638" w:right="0"/>
        <w:jc w:val="left"/>
      </w:pPr>
      <w:r>
        <w:rPr/>
        <w:t>④</w:t>
      </w:r>
      <w:r>
        <w:rPr>
          <w:spacing w:val="-5"/>
        </w:rPr>
        <w:t> </w:t>
      </w:r>
      <w:r>
        <w:rPr/>
        <w:t>债务人很可能倒闭或进行其他财务重组；</w:t>
      </w:r>
    </w:p>
    <w:p>
      <w:pPr>
        <w:pStyle w:val="BodyText"/>
        <w:spacing w:line="240" w:lineRule="auto" w:before="135"/>
        <w:ind w:left="638" w:right="0"/>
        <w:jc w:val="left"/>
      </w:pPr>
      <w:r>
        <w:rPr/>
        <w:t>⑤</w:t>
      </w:r>
      <w:r>
        <w:rPr>
          <w:spacing w:val="-5"/>
        </w:rPr>
        <w:t> </w:t>
      </w:r>
      <w:r>
        <w:rPr/>
        <w:t>因债务人发生重大财务困难，该债务工具无法在活跃市场继续交易；</w:t>
      </w:r>
    </w:p>
    <w:p>
      <w:pPr>
        <w:pStyle w:val="BodyText"/>
        <w:spacing w:line="240" w:lineRule="auto" w:before="133"/>
        <w:ind w:left="638" w:right="0"/>
        <w:jc w:val="left"/>
      </w:pPr>
      <w:r>
        <w:rPr/>
        <w:t>⑥</w:t>
      </w:r>
      <w:r>
        <w:rPr>
          <w:spacing w:val="-6"/>
        </w:rPr>
        <w:t> </w:t>
      </w:r>
      <w:r>
        <w:rPr/>
        <w:t>其他表明可供出售债务工具已经发生减值的情况。</w:t>
      </w:r>
    </w:p>
    <w:p>
      <w:pPr>
        <w:pStyle w:val="BodyText"/>
        <w:spacing w:line="355" w:lineRule="auto" w:before="133"/>
        <w:ind w:right="208" w:firstLine="419"/>
        <w:jc w:val="both"/>
      </w:pPr>
      <w:r>
        <w:rPr/>
        <w:t>Ⅱ</w:t>
      </w:r>
      <w:r>
        <w:rPr>
          <w:rFonts w:ascii="宋体" w:hAnsi="宋体" w:cs="宋体" w:eastAsia="宋体" w:hint="default"/>
        </w:rPr>
        <w:t>)</w:t>
      </w:r>
      <w:r>
        <w:rPr>
          <w:rFonts w:ascii="宋体" w:hAnsi="宋体" w:cs="宋体" w:eastAsia="宋体" w:hint="default"/>
          <w:spacing w:val="5"/>
        </w:rPr>
        <w:t> </w:t>
      </w:r>
      <w:r>
        <w:rPr/>
        <w:t>表明可供出售权益工具投资发生减值的客观证据包括权益工具投资的公允价值发生严重</w:t>
      </w:r>
      <w:r>
        <w:rPr>
          <w:w w:val="100"/>
        </w:rPr>
        <w:t> </w:t>
      </w:r>
      <w:r>
        <w:rPr>
          <w:spacing w:val="-1"/>
        </w:rPr>
        <w:t>或非暂时性下跌，以及被投资单位经营所处的技术、市场、经济或法律环境等发生重大不利变化</w:t>
      </w:r>
      <w:r>
        <w:rPr>
          <w:spacing w:val="-55"/>
        </w:rPr>
        <w:t> </w:t>
      </w:r>
      <w:r>
        <w:rPr>
          <w:spacing w:val="-55"/>
        </w:rPr>
      </w:r>
      <w:r>
        <w:rPr/>
        <w:t>使公司可能无法收回投资成本。</w:t>
      </w:r>
    </w:p>
    <w:p>
      <w:pPr>
        <w:pStyle w:val="BodyText"/>
        <w:spacing w:line="357" w:lineRule="auto" w:before="34"/>
        <w:ind w:right="207" w:firstLine="419"/>
        <w:jc w:val="both"/>
      </w:pPr>
      <w:r>
        <w:rPr>
          <w:spacing w:val="-2"/>
        </w:rPr>
        <w:t>本公司于资产负债表日对各项可供出售权益工具投资单独进行检查。对于以公允价值计量的</w:t>
      </w:r>
      <w:r>
        <w:rPr>
          <w:w w:val="100"/>
        </w:rPr>
        <w:t> </w:t>
      </w:r>
      <w:r>
        <w:rPr>
          <w:spacing w:val="-5"/>
          <w:w w:val="100"/>
        </w:rPr>
        <w:t>权益工具投资，若其于资产负债表日的公允价值低于其成本超过</w:t>
      </w:r>
      <w:r>
        <w:rPr>
          <w:spacing w:val="-47"/>
          <w:w w:val="100"/>
        </w:rPr>
        <w:t> </w:t>
      </w:r>
      <w:r>
        <w:rPr>
          <w:rFonts w:ascii="宋体" w:hAnsi="宋体" w:cs="宋体" w:eastAsia="宋体" w:hint="default"/>
          <w:spacing w:val="-1"/>
          <w:w w:val="100"/>
        </w:rPr>
        <w:t>50%(</w:t>
      </w:r>
      <w:r>
        <w:rPr>
          <w:spacing w:val="-1"/>
          <w:w w:val="100"/>
        </w:rPr>
        <w:t>含</w:t>
      </w:r>
      <w:r>
        <w:rPr>
          <w:spacing w:val="-47"/>
          <w:w w:val="100"/>
        </w:rPr>
        <w:t> </w:t>
      </w:r>
      <w:r>
        <w:rPr>
          <w:rFonts w:ascii="宋体" w:hAnsi="宋体" w:cs="宋体" w:eastAsia="宋体" w:hint="default"/>
          <w:spacing w:val="-2"/>
          <w:w w:val="100"/>
        </w:rPr>
        <w:t>50%)</w:t>
      </w:r>
      <w:r>
        <w:rPr>
          <w:spacing w:val="-2"/>
          <w:w w:val="100"/>
        </w:rPr>
        <w:t>或低于其成本持续时</w:t>
      </w:r>
      <w:r>
        <w:rPr>
          <w:spacing w:val="-103"/>
          <w:w w:val="100"/>
        </w:rPr>
        <w:t> </w:t>
      </w:r>
      <w:r>
        <w:rPr>
          <w:spacing w:val="-103"/>
          <w:w w:val="100"/>
        </w:rPr>
      </w:r>
      <w:r>
        <w:rPr/>
        <w:t>间超过</w:t>
      </w:r>
      <w:r>
        <w:rPr>
          <w:spacing w:val="-51"/>
        </w:rPr>
        <w:t> </w:t>
      </w:r>
      <w:r>
        <w:rPr>
          <w:rFonts w:ascii="宋体" w:hAnsi="宋体" w:cs="宋体" w:eastAsia="宋体" w:hint="default"/>
        </w:rPr>
        <w:t>12</w:t>
      </w:r>
      <w:r>
        <w:rPr>
          <w:rFonts w:ascii="宋体" w:hAnsi="宋体" w:cs="宋体" w:eastAsia="宋体" w:hint="default"/>
          <w:spacing w:val="-51"/>
        </w:rPr>
        <w:t> </w:t>
      </w:r>
      <w:r>
        <w:rPr/>
        <w:t>个月</w:t>
      </w:r>
      <w:r>
        <w:rPr>
          <w:rFonts w:ascii="宋体" w:hAnsi="宋体" w:cs="宋体" w:eastAsia="宋体" w:hint="default"/>
        </w:rPr>
        <w:t>(</w:t>
      </w:r>
      <w:r>
        <w:rPr/>
        <w:t>含</w:t>
      </w:r>
      <w:r>
        <w:rPr>
          <w:spacing w:val="-51"/>
        </w:rPr>
        <w:t> </w:t>
      </w:r>
      <w:r>
        <w:rPr>
          <w:rFonts w:ascii="宋体" w:hAnsi="宋体" w:cs="宋体" w:eastAsia="宋体" w:hint="default"/>
        </w:rPr>
        <w:t>12</w:t>
      </w:r>
      <w:r>
        <w:rPr>
          <w:rFonts w:ascii="宋体" w:hAnsi="宋体" w:cs="宋体" w:eastAsia="宋体" w:hint="default"/>
          <w:spacing w:val="-53"/>
        </w:rPr>
        <w:t> </w:t>
      </w:r>
      <w:r>
        <w:rPr/>
        <w:t>个月</w:t>
      </w:r>
      <w:r>
        <w:rPr>
          <w:rFonts w:ascii="宋体" w:hAnsi="宋体" w:cs="宋体" w:eastAsia="宋体" w:hint="default"/>
        </w:rPr>
        <w:t>)</w:t>
      </w:r>
      <w:r>
        <w:rPr/>
        <w:t>的，则表明其发生减值；若其于资产负债表日的公允价值低于其成本</w:t>
      </w:r>
    </w:p>
    <w:p>
      <w:pPr>
        <w:pStyle w:val="BodyText"/>
        <w:spacing w:line="357" w:lineRule="auto" w:before="30"/>
        <w:ind w:right="208"/>
        <w:jc w:val="both"/>
      </w:pPr>
      <w:r>
        <w:rPr/>
        <w:t>超过</w:t>
      </w:r>
      <w:r>
        <w:rPr>
          <w:spacing w:val="-38"/>
        </w:rPr>
        <w:t> </w:t>
      </w:r>
      <w:r>
        <w:rPr>
          <w:rFonts w:ascii="宋体" w:hAnsi="宋体" w:cs="宋体" w:eastAsia="宋体" w:hint="default"/>
        </w:rPr>
        <w:t>20%(</w:t>
      </w:r>
      <w:r>
        <w:rPr/>
        <w:t>含</w:t>
      </w:r>
      <w:r>
        <w:rPr>
          <w:spacing w:val="-41"/>
        </w:rPr>
        <w:t> </w:t>
      </w:r>
      <w:r>
        <w:rPr>
          <w:rFonts w:ascii="宋体" w:hAnsi="宋体" w:cs="宋体" w:eastAsia="宋体" w:hint="default"/>
        </w:rPr>
        <w:t>20%)</w:t>
      </w:r>
      <w:r>
        <w:rPr/>
        <w:t>但尚未达到</w:t>
      </w:r>
      <w:r>
        <w:rPr>
          <w:spacing w:val="-38"/>
        </w:rPr>
        <w:t> </w:t>
      </w:r>
      <w:r>
        <w:rPr>
          <w:rFonts w:ascii="宋体" w:hAnsi="宋体" w:cs="宋体" w:eastAsia="宋体" w:hint="default"/>
        </w:rPr>
        <w:t>50%</w:t>
      </w:r>
      <w:r>
        <w:rPr/>
        <w:t>的，或低于其成本持续时间超过</w:t>
      </w:r>
      <w:r>
        <w:rPr>
          <w:spacing w:val="-38"/>
        </w:rPr>
        <w:t> </w:t>
      </w:r>
      <w:r>
        <w:rPr>
          <w:rFonts w:ascii="宋体" w:hAnsi="宋体" w:cs="宋体" w:eastAsia="宋体" w:hint="default"/>
        </w:rPr>
        <w:t>6</w:t>
      </w:r>
      <w:r>
        <w:rPr>
          <w:rFonts w:ascii="宋体" w:hAnsi="宋体" w:cs="宋体" w:eastAsia="宋体" w:hint="default"/>
          <w:spacing w:val="-41"/>
        </w:rPr>
        <w:t> </w:t>
      </w:r>
      <w:r>
        <w:rPr/>
        <w:t>个月</w:t>
      </w:r>
      <w:r>
        <w:rPr>
          <w:rFonts w:ascii="宋体" w:hAnsi="宋体" w:cs="宋体" w:eastAsia="宋体" w:hint="default"/>
        </w:rPr>
        <w:t>(</w:t>
      </w:r>
      <w:r>
        <w:rPr/>
        <w:t>含</w:t>
      </w:r>
      <w:r>
        <w:rPr>
          <w:spacing w:val="-41"/>
        </w:rPr>
        <w:t> </w:t>
      </w:r>
      <w:r>
        <w:rPr>
          <w:rFonts w:ascii="宋体" w:hAnsi="宋体" w:cs="宋体" w:eastAsia="宋体" w:hint="default"/>
        </w:rPr>
        <w:t>6</w:t>
      </w:r>
      <w:r>
        <w:rPr>
          <w:rFonts w:ascii="宋体" w:hAnsi="宋体" w:cs="宋体" w:eastAsia="宋体" w:hint="default"/>
          <w:spacing w:val="-38"/>
        </w:rPr>
        <w:t> </w:t>
      </w:r>
      <w:r>
        <w:rPr/>
        <w:t>个月</w:t>
      </w:r>
      <w:r>
        <w:rPr>
          <w:rFonts w:ascii="宋体" w:hAnsi="宋体" w:cs="宋体" w:eastAsia="宋体" w:hint="default"/>
        </w:rPr>
        <w:t>)</w:t>
      </w:r>
      <w:r>
        <w:rPr/>
        <w:t>但未超过</w:t>
      </w:r>
      <w:r>
        <w:rPr>
          <w:spacing w:val="-41"/>
        </w:rPr>
        <w:t> </w:t>
      </w:r>
      <w:r>
        <w:rPr>
          <w:rFonts w:ascii="宋体" w:hAnsi="宋体" w:cs="宋体" w:eastAsia="宋体" w:hint="default"/>
        </w:rPr>
        <w:t>12</w:t>
      </w:r>
      <w:r>
        <w:rPr>
          <w:rFonts w:ascii="宋体" w:hAnsi="宋体" w:cs="宋体" w:eastAsia="宋体" w:hint="default"/>
          <w:w w:val="100"/>
        </w:rPr>
        <w:t> </w:t>
      </w:r>
      <w:r>
        <w:rPr>
          <w:spacing w:val="-1"/>
        </w:rPr>
        <w:t>个月的，本公司会综合考虑其他相关因素，诸如价格波动率等，判断该权益工具投资是否发生减</w:t>
      </w:r>
      <w:r>
        <w:rPr>
          <w:spacing w:val="-55"/>
        </w:rPr>
        <w:t> </w:t>
      </w:r>
      <w:r>
        <w:rPr>
          <w:spacing w:val="-55"/>
        </w:rPr>
      </w:r>
      <w:r>
        <w:rPr>
          <w:spacing w:val="-1"/>
        </w:rPr>
        <w:t>值。对于以成本计量的权益工具投资，公司综合考虑被投资单位经营所处的技术、市场、经济或</w:t>
      </w:r>
      <w:r>
        <w:rPr>
          <w:spacing w:val="-55"/>
        </w:rPr>
        <w:t> </w:t>
      </w:r>
      <w:r>
        <w:rPr>
          <w:spacing w:val="-55"/>
        </w:rPr>
      </w:r>
      <w:r>
        <w:rPr/>
        <w:t>法律环境等是否发生重大不利变化，判断该权益工具是否发生减值。</w:t>
      </w:r>
    </w:p>
    <w:p>
      <w:pPr>
        <w:pStyle w:val="BodyText"/>
        <w:spacing w:line="357" w:lineRule="auto" w:before="30"/>
        <w:ind w:right="208" w:firstLine="419"/>
        <w:jc w:val="both"/>
      </w:pPr>
      <w:r>
        <w:rPr>
          <w:spacing w:val="-2"/>
        </w:rPr>
        <w:t>以公允价值计量的可供出售金融资产发生减值时，原直接计入其他综合收益的因公允价值下</w:t>
      </w:r>
      <w:r>
        <w:rPr>
          <w:w w:val="100"/>
        </w:rPr>
        <w:t> </w:t>
      </w:r>
      <w:r>
        <w:rPr>
          <w:spacing w:val="-1"/>
        </w:rPr>
        <w:t>降形成的累计损失予以转出并计入减值损失。对已确认减值损失的可供出售债务工具投资，在期</w:t>
      </w:r>
      <w:r>
        <w:rPr>
          <w:spacing w:val="-55"/>
        </w:rPr>
        <w:t> </w:t>
      </w:r>
      <w:r>
        <w:rPr>
          <w:spacing w:val="-55"/>
        </w:rPr>
      </w:r>
      <w:r>
        <w:rPr>
          <w:spacing w:val="-1"/>
        </w:rPr>
        <w:t>后公允价值回升且客观上与确认原减值损失后发生的事项有关的，原确认的减值损失予以转回并</w:t>
      </w:r>
      <w:r>
        <w:rPr>
          <w:spacing w:val="-55"/>
        </w:rPr>
        <w:t> </w:t>
      </w:r>
      <w:r>
        <w:rPr>
          <w:spacing w:val="-55"/>
        </w:rPr>
      </w:r>
      <w:r>
        <w:rPr>
          <w:spacing w:val="-1"/>
        </w:rPr>
        <w:t>计入当期损益。对已确认减值损失的可供出售权益工具投资，期后公允价值回升直接计入其他综</w:t>
      </w:r>
      <w:r>
        <w:rPr>
          <w:spacing w:val="-55"/>
        </w:rPr>
        <w:t> </w:t>
      </w:r>
      <w:r>
        <w:rPr>
          <w:spacing w:val="-55"/>
        </w:rPr>
      </w:r>
      <w:r>
        <w:rPr/>
        <w:t>合收益。</w:t>
      </w:r>
    </w:p>
    <w:p>
      <w:pPr>
        <w:pStyle w:val="BodyText"/>
        <w:spacing w:line="357" w:lineRule="auto" w:before="30"/>
        <w:ind w:right="208" w:firstLine="419"/>
        <w:jc w:val="both"/>
      </w:pPr>
      <w:r>
        <w:rPr>
          <w:spacing w:val="-2"/>
        </w:rPr>
        <w:t>以成本计量的可供出售权益工具发生减值时，将该权益工具投资的账面价值，与按照类似金</w:t>
      </w:r>
      <w:r>
        <w:rPr>
          <w:w w:val="100"/>
        </w:rPr>
        <w:t> </w:t>
      </w:r>
      <w:r>
        <w:rPr>
          <w:spacing w:val="-1"/>
        </w:rPr>
        <w:t>融资产当时市场收益率对未来现金流量折现确定的现值之间的差额，确认为减值损失，计入当期</w:t>
      </w:r>
      <w:r>
        <w:rPr>
          <w:spacing w:val="-55"/>
        </w:rPr>
        <w:t> </w:t>
      </w:r>
      <w:r>
        <w:rPr>
          <w:spacing w:val="-55"/>
        </w:rPr>
      </w:r>
      <w:r>
        <w:rPr/>
        <w:t>损益，发生的减值损失一经确认，不予转回。</w:t>
      </w:r>
    </w:p>
    <w:p>
      <w:pPr>
        <w:spacing w:line="240" w:lineRule="auto" w:before="8"/>
        <w:rPr>
          <w:rFonts w:ascii="宋体" w:hAnsi="宋体" w:cs="宋体" w:eastAsia="宋体" w:hint="default"/>
          <w:sz w:val="27"/>
          <w:szCs w:val="27"/>
        </w:rPr>
      </w:pPr>
    </w:p>
    <w:p>
      <w:pPr>
        <w:pStyle w:val="Heading4"/>
        <w:spacing w:line="374" w:lineRule="auto" w:before="0"/>
        <w:ind w:right="4388"/>
        <w:jc w:val="left"/>
        <w:rPr>
          <w:b w:val="0"/>
          <w:bCs w:val="0"/>
        </w:rPr>
      </w:pPr>
      <w:r>
        <w:rPr/>
        <w:pict>
          <v:shape style="position:absolute;margin-left:84.264pt;margin-top:41.803635pt;width:452.85pt;height:14.6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05"/>
                    <w:gridCol w:w="4537"/>
                  </w:tblGrid>
                  <w:tr>
                    <w:trPr>
                      <w:trHeight w:val="283"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占应收款项账面余额</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以上的款项</w:t>
                        </w:r>
                      </w:p>
                    </w:tc>
                  </w:tr>
                </w:tbl>
                <w:p>
                  <w:pPr/>
                </w:p>
              </w:txbxContent>
            </v:textbox>
            <w10:wrap type="none"/>
          </v:shape>
        </w:pict>
      </w:r>
      <w:r>
        <w:rPr>
          <w:rFonts w:ascii="Calibri" w:hAnsi="Calibri" w:cs="Calibri" w:eastAsia="Calibri" w:hint="default"/>
        </w:rPr>
        <w:t>11.</w:t>
      </w:r>
      <w:r>
        <w:rPr>
          <w:rFonts w:ascii="Calibri" w:hAnsi="Calibri" w:cs="Calibri" w:eastAsia="Calibri" w:hint="default"/>
          <w:spacing w:val="1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spacing w:after="0" w:line="374" w:lineRule="auto"/>
        <w:jc w:val="left"/>
        <w:sectPr>
          <w:pgSz w:w="11910" w:h="16840"/>
          <w:pgMar w:header="882" w:footer="1195" w:top="1120" w:bottom="1380" w:left="1580" w:right="106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505"/>
        <w:gridCol w:w="4537"/>
      </w:tblGrid>
      <w:tr>
        <w:trPr>
          <w:trHeight w:val="557"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单独</w:t>
            </w:r>
            <w:r>
              <w:rPr>
                <w:rFonts w:ascii="宋体" w:hAnsi="宋体" w:cs="宋体" w:eastAsia="宋体" w:hint="default"/>
                <w:spacing w:val="-3"/>
                <w:w w:val="100"/>
                <w:sz w:val="21"/>
                <w:szCs w:val="21"/>
              </w:rPr>
              <w:t>进</w:t>
            </w:r>
            <w:r>
              <w:rPr>
                <w:rFonts w:ascii="宋体" w:hAnsi="宋体" w:cs="宋体" w:eastAsia="宋体" w:hint="default"/>
                <w:w w:val="100"/>
                <w:sz w:val="21"/>
                <w:szCs w:val="21"/>
              </w:rPr>
              <w:t>行</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测</w:t>
            </w:r>
            <w:r>
              <w:rPr>
                <w:rFonts w:ascii="宋体" w:hAnsi="宋体" w:cs="宋体" w:eastAsia="宋体" w:hint="default"/>
                <w:w w:val="100"/>
                <w:sz w:val="21"/>
                <w:szCs w:val="21"/>
              </w:rPr>
              <w:t>试</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根</w:t>
            </w:r>
            <w:r>
              <w:rPr>
                <w:rFonts w:ascii="宋体" w:hAnsi="宋体" w:cs="宋体" w:eastAsia="宋体" w:hint="default"/>
                <w:w w:val="100"/>
                <w:sz w:val="21"/>
                <w:szCs w:val="21"/>
              </w:rPr>
              <w:t>据</w:t>
            </w:r>
            <w:r>
              <w:rPr>
                <w:rFonts w:ascii="宋体" w:hAnsi="宋体" w:cs="宋体" w:eastAsia="宋体" w:hint="default"/>
                <w:spacing w:val="-3"/>
                <w:w w:val="100"/>
                <w:sz w:val="21"/>
                <w:szCs w:val="21"/>
              </w:rPr>
              <w:t>其</w:t>
            </w:r>
            <w:r>
              <w:rPr>
                <w:rFonts w:ascii="宋体" w:hAnsi="宋体" w:cs="宋体" w:eastAsia="宋体" w:hint="default"/>
                <w:w w:val="100"/>
                <w:sz w:val="21"/>
                <w:szCs w:val="21"/>
              </w:rPr>
              <w:t>未来</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流</w:t>
            </w:r>
            <w:r>
              <w:rPr>
                <w:rFonts w:ascii="宋体" w:hAnsi="宋体" w:cs="宋体" w:eastAsia="宋体" w:hint="default"/>
                <w:w w:val="100"/>
                <w:sz w:val="21"/>
                <w:szCs w:val="21"/>
              </w:rPr>
              <w:t>量</w:t>
            </w:r>
            <w:r>
              <w:rPr>
                <w:rFonts w:ascii="宋体" w:hAnsi="宋体" w:cs="宋体" w:eastAsia="宋体" w:hint="default"/>
                <w:spacing w:val="-3"/>
                <w:w w:val="100"/>
                <w:sz w:val="21"/>
                <w:szCs w:val="21"/>
              </w:rPr>
              <w:t>现</w:t>
            </w:r>
            <w:r>
              <w:rPr>
                <w:rFonts w:ascii="宋体" w:hAnsi="宋体" w:cs="宋体" w:eastAsia="宋体" w:hint="default"/>
                <w:w w:val="100"/>
                <w:sz w:val="21"/>
                <w:szCs w:val="21"/>
              </w:rPr>
              <w:t>值低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line="240" w:lineRule="auto" w:before="12"/>
        <w:rPr>
          <w:rFonts w:ascii="宋体" w:hAnsi="宋体" w:cs="宋体" w:eastAsia="宋体" w:hint="default"/>
          <w:b/>
          <w:bCs/>
          <w:sz w:val="19"/>
          <w:szCs w:val="19"/>
        </w:rPr>
      </w:pPr>
    </w:p>
    <w:p>
      <w:pPr>
        <w:pStyle w:val="Heading4"/>
        <w:spacing w:line="240" w:lineRule="auto"/>
        <w:ind w:right="2940"/>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01"/>
        <w:gridCol w:w="4539"/>
      </w:tblGrid>
      <w:tr>
        <w:trPr>
          <w:trHeight w:val="281" w:hRule="exact"/>
        </w:trPr>
        <w:tc>
          <w:tcPr>
            <w:tcW w:w="90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554"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合并范围内应收款项组合</w:t>
            </w: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合并范围内的应收款项具有类似的信用风险特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征</w:t>
            </w:r>
          </w:p>
        </w:tc>
      </w:tr>
      <w:tr>
        <w:trPr>
          <w:trHeight w:val="28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c>
          <w:tcPr>
            <w:tcW w:w="45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c>
      </w:tr>
      <w:tr>
        <w:trPr>
          <w:trHeight w:val="557"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合并范围内应收款项组合</w:t>
            </w: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单独</w:t>
            </w:r>
            <w:r>
              <w:rPr>
                <w:rFonts w:ascii="宋体" w:hAnsi="宋体" w:cs="宋体" w:eastAsia="宋体" w:hint="default"/>
                <w:spacing w:val="-3"/>
                <w:w w:val="100"/>
                <w:sz w:val="21"/>
                <w:szCs w:val="21"/>
              </w:rPr>
              <w:t>进</w:t>
            </w:r>
            <w:r>
              <w:rPr>
                <w:rFonts w:ascii="宋体" w:hAnsi="宋体" w:cs="宋体" w:eastAsia="宋体" w:hint="default"/>
                <w:w w:val="100"/>
                <w:sz w:val="21"/>
                <w:szCs w:val="21"/>
              </w:rPr>
              <w:t>行</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测试</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根</w:t>
            </w:r>
            <w:r>
              <w:rPr>
                <w:rFonts w:ascii="宋体" w:hAnsi="宋体" w:cs="宋体" w:eastAsia="宋体" w:hint="default"/>
                <w:w w:val="100"/>
                <w:sz w:val="21"/>
                <w:szCs w:val="21"/>
              </w:rPr>
              <w:t>据</w:t>
            </w:r>
            <w:r>
              <w:rPr>
                <w:rFonts w:ascii="宋体" w:hAnsi="宋体" w:cs="宋体" w:eastAsia="宋体" w:hint="default"/>
                <w:spacing w:val="-3"/>
                <w:w w:val="100"/>
                <w:sz w:val="21"/>
                <w:szCs w:val="21"/>
              </w:rPr>
              <w:t>其</w:t>
            </w:r>
            <w:r>
              <w:rPr>
                <w:rFonts w:ascii="宋体" w:hAnsi="宋体" w:cs="宋体" w:eastAsia="宋体" w:hint="default"/>
                <w:w w:val="100"/>
                <w:sz w:val="21"/>
                <w:szCs w:val="21"/>
              </w:rPr>
              <w:t>未来</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流</w:t>
            </w:r>
            <w:r>
              <w:rPr>
                <w:rFonts w:ascii="宋体" w:hAnsi="宋体" w:cs="宋体" w:eastAsia="宋体" w:hint="default"/>
                <w:w w:val="100"/>
                <w:sz w:val="21"/>
                <w:szCs w:val="21"/>
              </w:rPr>
              <w:t>量</w:t>
            </w:r>
            <w:r>
              <w:rPr>
                <w:rFonts w:ascii="宋体" w:hAnsi="宋体" w:cs="宋体" w:eastAsia="宋体" w:hint="default"/>
                <w:spacing w:val="-3"/>
                <w:w w:val="100"/>
                <w:sz w:val="21"/>
                <w:szCs w:val="21"/>
              </w:rPr>
              <w:t>现</w:t>
            </w:r>
            <w:r>
              <w:rPr>
                <w:rFonts w:ascii="宋体" w:hAnsi="宋体" w:cs="宋体" w:eastAsia="宋体" w:hint="default"/>
                <w:w w:val="100"/>
                <w:sz w:val="21"/>
                <w:szCs w:val="21"/>
              </w:rPr>
              <w:t>值低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line="240" w:lineRule="auto" w:before="5"/>
        <w:rPr>
          <w:rFonts w:ascii="宋体" w:hAnsi="宋体" w:cs="宋体" w:eastAsia="宋体" w:hint="default"/>
          <w:b/>
          <w:bCs/>
          <w:sz w:val="15"/>
          <w:szCs w:val="15"/>
        </w:rPr>
      </w:pPr>
    </w:p>
    <w:p>
      <w:pPr>
        <w:pStyle w:val="BodyText"/>
        <w:spacing w:line="274" w:lineRule="exact" w:before="36"/>
        <w:ind w:right="2940"/>
        <w:jc w:val="left"/>
      </w:pPr>
      <w:r>
        <w:rPr/>
        <w:t>组合中，采用账龄分析法计提坏账准备的</w:t>
      </w:r>
    </w:p>
    <w:p>
      <w:pPr>
        <w:pStyle w:val="BodyText"/>
        <w:spacing w:line="274" w:lineRule="exact"/>
        <w:ind w:right="294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bl>
    <w:p>
      <w:pPr>
        <w:spacing w:line="240" w:lineRule="auto" w:before="7"/>
        <w:rPr>
          <w:rFonts w:ascii="宋体" w:hAnsi="宋体" w:cs="宋体" w:eastAsia="宋体" w:hint="default"/>
          <w:sz w:val="15"/>
          <w:szCs w:val="15"/>
        </w:rPr>
      </w:pPr>
    </w:p>
    <w:p>
      <w:pPr>
        <w:pStyle w:val="BodyText"/>
        <w:spacing w:line="273" w:lineRule="exact" w:before="36"/>
        <w:ind w:right="2940"/>
        <w:jc w:val="left"/>
      </w:pPr>
      <w:r>
        <w:rPr/>
        <w:t>组合中，采用余额百分比法计提坏账准备的</w:t>
      </w:r>
    </w:p>
    <w:p>
      <w:pPr>
        <w:pStyle w:val="BodyText"/>
        <w:spacing w:line="240" w:lineRule="auto"/>
        <w:ind w:right="5042"/>
        <w:jc w:val="left"/>
      </w:pPr>
      <w:r>
        <w:rPr/>
        <w:t>□适用</w:t>
      </w:r>
      <w:r>
        <w:rPr>
          <w:spacing w:val="-2"/>
        </w:rPr>
        <w:t> </w:t>
      </w:r>
      <w:r>
        <w:rPr/>
        <w:t>√不适用</w:t>
      </w:r>
      <w:r>
        <w:rPr>
          <w:w w:val="100"/>
        </w:rPr>
        <w:t> </w:t>
      </w:r>
      <w:r>
        <w:rPr>
          <w:spacing w:val="-2"/>
        </w:rPr>
        <w:t>组合中，采用其他方法计提坏账准备的</w:t>
      </w:r>
    </w:p>
    <w:p>
      <w:pPr>
        <w:spacing w:line="290" w:lineRule="auto" w:before="0"/>
        <w:ind w:left="218" w:right="2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单项金额不重大但单独计提坏账准备的应收款项：</w:t>
      </w:r>
      <w:r>
        <w:rPr>
          <w:rFonts w:ascii="宋体" w:hAnsi="宋体" w:cs="宋体" w:eastAsia="宋体" w:hint="default"/>
          <w:spacing w:val="-1"/>
          <w:sz w:val="21"/>
          <w:szCs w:val="21"/>
        </w:rPr>
      </w:r>
    </w:p>
    <w:p>
      <w:pPr>
        <w:spacing w:line="240" w:lineRule="auto" w:before="7"/>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3085"/>
        <w:gridCol w:w="5955"/>
      </w:tblGrid>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应收款项的未来现金流量现值与以账龄为信用风险特征的应收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款项组合的未来现金流量现值存在显著差异。</w:t>
            </w:r>
          </w:p>
        </w:tc>
      </w:tr>
      <w:tr>
        <w:trPr>
          <w:trHeight w:val="55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单独进行减值测试，根据其未来现金流量现值低于其账面价值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的差额计提坏账准备。</w:t>
            </w:r>
          </w:p>
        </w:tc>
      </w:tr>
    </w:tbl>
    <w:p>
      <w:pPr>
        <w:spacing w:line="240" w:lineRule="auto" w:before="12"/>
        <w:rPr>
          <w:rFonts w:ascii="宋体" w:hAnsi="宋体" w:cs="宋体" w:eastAsia="宋体" w:hint="default"/>
          <w:b/>
          <w:bCs/>
          <w:sz w:val="19"/>
          <w:szCs w:val="19"/>
        </w:rPr>
      </w:pPr>
    </w:p>
    <w:p>
      <w:pPr>
        <w:pStyle w:val="Heading4"/>
        <w:spacing w:line="240" w:lineRule="auto"/>
        <w:ind w:right="2940"/>
        <w:jc w:val="left"/>
        <w:rPr>
          <w:b w:val="0"/>
          <w:bCs w:val="0"/>
        </w:rPr>
      </w:pPr>
      <w:r>
        <w:rPr>
          <w:rFonts w:ascii="Calibri" w:hAnsi="Calibri" w:cs="Calibri" w:eastAsia="Calibri" w:hint="default"/>
        </w:rPr>
        <w:t>12.  </w:t>
      </w:r>
      <w:r>
        <w:rPr>
          <w:rFonts w:ascii="Calibri" w:hAnsi="Calibri" w:cs="Calibri" w:eastAsia="Calibri" w:hint="default"/>
          <w:spacing w:val="12"/>
        </w:rPr>
        <w:t> </w:t>
      </w:r>
      <w:r>
        <w:rPr/>
        <w:t>存货</w:t>
      </w:r>
      <w:r>
        <w:rPr>
          <w:b w:val="0"/>
          <w:bCs w:val="0"/>
        </w:rPr>
      </w:r>
    </w:p>
    <w:p>
      <w:pPr>
        <w:pStyle w:val="BodyText"/>
        <w:spacing w:line="357" w:lineRule="auto" w:before="32"/>
        <w:ind w:left="638" w:right="227" w:hanging="420"/>
        <w:jc w:val="left"/>
      </w:pPr>
      <w:r>
        <w:rPr>
          <w:rFonts w:ascii="宋体" w:hAnsi="宋体" w:cs="宋体" w:eastAsia="宋体" w:hint="default"/>
        </w:rPr>
        <w:t>(1) </w:t>
      </w:r>
      <w:r>
        <w:rPr/>
        <w:t>存货的分类</w:t>
      </w:r>
      <w:r>
        <w:rPr>
          <w:w w:val="100"/>
        </w:rPr>
        <w:t> </w:t>
      </w:r>
      <w:r>
        <w:rPr>
          <w:spacing w:val="-2"/>
        </w:rPr>
        <w:t>存货包括在日常活动中持有以备出售的产成品或商品、处在生产过程中的在产品、在生产过</w:t>
      </w:r>
    </w:p>
    <w:p>
      <w:pPr>
        <w:pStyle w:val="BodyText"/>
        <w:spacing w:line="355" w:lineRule="auto" w:before="30"/>
        <w:ind w:right="5042"/>
        <w:jc w:val="left"/>
      </w:pPr>
      <w:r>
        <w:rPr>
          <w:spacing w:val="-2"/>
        </w:rPr>
        <w:t>程或提供劳务过程中耗用的材料和物料等。</w:t>
      </w:r>
      <w:r>
        <w:rPr>
          <w:spacing w:val="-69"/>
        </w:rPr>
        <w:t> </w:t>
      </w:r>
      <w:r>
        <w:rPr>
          <w:spacing w:val="-69"/>
        </w:rPr>
      </w:r>
      <w:r>
        <w:rPr>
          <w:rFonts w:ascii="宋体" w:hAnsi="宋体" w:cs="宋体" w:eastAsia="宋体" w:hint="default"/>
        </w:rPr>
        <w:t>(2) </w:t>
      </w:r>
      <w:r>
        <w:rPr/>
        <w:t>发出存货的计价方法</w:t>
      </w:r>
    </w:p>
    <w:p>
      <w:pPr>
        <w:pStyle w:val="BodyText"/>
        <w:spacing w:line="355" w:lineRule="auto" w:before="34"/>
        <w:ind w:right="6107" w:firstLine="419"/>
        <w:jc w:val="left"/>
      </w:pPr>
      <w:r>
        <w:rPr>
          <w:spacing w:val="-2"/>
        </w:rPr>
        <w:t>发出存货采用个别计价法。</w:t>
      </w:r>
      <w:r>
        <w:rPr>
          <w:w w:val="100"/>
        </w:rPr>
        <w:t> </w:t>
      </w:r>
      <w:r>
        <w:rPr>
          <w:rFonts w:ascii="宋体" w:hAnsi="宋体" w:cs="宋体" w:eastAsia="宋体" w:hint="default"/>
        </w:rPr>
        <w:t>(3)</w:t>
      </w:r>
      <w:r>
        <w:rPr>
          <w:rFonts w:ascii="宋体" w:hAnsi="宋体" w:cs="宋体" w:eastAsia="宋体" w:hint="default"/>
          <w:spacing w:val="1"/>
        </w:rPr>
        <w:t> </w:t>
      </w:r>
      <w:r>
        <w:rPr/>
        <w:t>存货可变现净值的确定依据</w:t>
      </w:r>
    </w:p>
    <w:p>
      <w:pPr>
        <w:pStyle w:val="BodyText"/>
        <w:spacing w:line="357" w:lineRule="auto" w:before="32"/>
        <w:ind w:right="228" w:firstLine="419"/>
        <w:jc w:val="both"/>
      </w:pPr>
      <w:r>
        <w:rPr>
          <w:spacing w:val="-2"/>
        </w:rPr>
        <w:t>资产负债表日，存货采用成本与可变现净值孰低计量，按照单个存货成本高于可变现净值的</w:t>
      </w:r>
      <w:r>
        <w:rPr>
          <w:w w:val="100"/>
        </w:rPr>
        <w:t> </w:t>
      </w:r>
      <w:r>
        <w:rPr>
          <w:spacing w:val="-1"/>
        </w:rPr>
        <w:t>差额计提存货跌价准备。直接用于出售的存货，在正常生产经营过程中以该存货的估计售价减去</w:t>
      </w:r>
      <w:r>
        <w:rPr>
          <w:spacing w:val="-55"/>
        </w:rPr>
        <w:t> </w:t>
      </w:r>
      <w:r>
        <w:rPr>
          <w:spacing w:val="-55"/>
        </w:rPr>
      </w:r>
      <w:r>
        <w:rPr>
          <w:spacing w:val="-1"/>
        </w:rPr>
        <w:t>估计的销售费用和相关税费后的金额确定其可变现净值；需要经过加工的存货，在正常生产经营</w:t>
      </w:r>
      <w:r>
        <w:rPr>
          <w:spacing w:val="-55"/>
        </w:rPr>
        <w:t> </w:t>
      </w:r>
      <w:r>
        <w:rPr>
          <w:spacing w:val="-55"/>
        </w:rPr>
      </w:r>
      <w:r>
        <w:rPr>
          <w:spacing w:val="-1"/>
        </w:rPr>
        <w:t>过程中以所生产的产成品的估计售价减去至完工时估计将要发生的成本、估计的销售费用和相关</w:t>
      </w:r>
      <w:r>
        <w:rPr>
          <w:spacing w:val="-55"/>
        </w:rPr>
        <w:t> </w:t>
      </w:r>
      <w:r>
        <w:rPr>
          <w:spacing w:val="-55"/>
        </w:rPr>
      </w:r>
      <w:r>
        <w:rPr>
          <w:spacing w:val="-1"/>
        </w:rPr>
        <w:t>税费后的金额确定其可变现净值；资产负债表日，同一项存货中一部分有合同价格约定、其他部</w:t>
      </w:r>
    </w:p>
    <w:p>
      <w:pPr>
        <w:spacing w:after="0" w:line="357" w:lineRule="auto"/>
        <w:jc w:val="both"/>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left="138" w:right="0"/>
        <w:jc w:val="left"/>
      </w:pPr>
      <w:r>
        <w:rPr>
          <w:spacing w:val="-1"/>
        </w:rPr>
        <w:t>分不存在合同价格的，分别确定其可变现净值，并与其对应的成本进行比较，分别确定存货跌价</w:t>
      </w:r>
      <w:r>
        <w:rPr>
          <w:spacing w:val="-55"/>
        </w:rPr>
        <w:t> </w:t>
      </w:r>
      <w:r>
        <w:rPr>
          <w:spacing w:val="-55"/>
        </w:rPr>
      </w:r>
      <w:r>
        <w:rPr/>
        <w:t>准备的计提或转回的金额。</w:t>
      </w:r>
    </w:p>
    <w:p>
      <w:pPr>
        <w:pStyle w:val="BodyText"/>
        <w:spacing w:line="355" w:lineRule="auto" w:before="30"/>
        <w:ind w:left="558" w:right="5077" w:hanging="420"/>
        <w:jc w:val="left"/>
      </w:pPr>
      <w:r>
        <w:rPr>
          <w:rFonts w:ascii="宋体" w:hAnsi="宋体" w:cs="宋体" w:eastAsia="宋体" w:hint="default"/>
        </w:rPr>
        <w:t>(4) </w:t>
      </w:r>
      <w:r>
        <w:rPr/>
        <w:t>存货的盘存制度</w:t>
      </w:r>
      <w:r>
        <w:rPr>
          <w:w w:val="100"/>
        </w:rPr>
        <w:t> </w:t>
      </w:r>
      <w:r>
        <w:rPr>
          <w:spacing w:val="-2"/>
        </w:rPr>
        <w:t>存货的盘存制度为永续盘存制。</w:t>
      </w:r>
    </w:p>
    <w:p>
      <w:pPr>
        <w:pStyle w:val="BodyText"/>
        <w:spacing w:line="240" w:lineRule="auto" w:before="32"/>
        <w:ind w:left="138" w:right="3467"/>
        <w:jc w:val="left"/>
      </w:pPr>
      <w:r>
        <w:rPr>
          <w:rFonts w:ascii="宋体" w:hAnsi="宋体" w:cs="宋体" w:eastAsia="宋体" w:hint="default"/>
        </w:rPr>
        <w:t>(5) </w:t>
      </w:r>
      <w:r>
        <w:rPr/>
        <w:t>低值易耗品和包装物的摊销方法</w:t>
      </w:r>
    </w:p>
    <w:p>
      <w:pPr>
        <w:pStyle w:val="BodyText"/>
        <w:spacing w:line="357" w:lineRule="auto" w:before="133"/>
        <w:ind w:left="558" w:right="5364"/>
        <w:jc w:val="left"/>
      </w:pPr>
      <w:r>
        <w:rPr>
          <w:rFonts w:ascii="宋体" w:hAnsi="宋体" w:cs="宋体" w:eastAsia="宋体" w:hint="default"/>
        </w:rPr>
        <w:t>1) </w:t>
      </w:r>
      <w:r>
        <w:rPr/>
        <w:t>低值易耗品</w:t>
      </w:r>
      <w:r>
        <w:rPr>
          <w:w w:val="100"/>
        </w:rPr>
        <w:t> </w:t>
      </w:r>
      <w:r>
        <w:rPr>
          <w:spacing w:val="-2"/>
        </w:rPr>
        <w:t>按照一次转销法进行摊销。</w:t>
      </w:r>
      <w:r>
        <w:rPr>
          <w:spacing w:val="-82"/>
        </w:rPr>
        <w:t> </w:t>
      </w:r>
      <w:r>
        <w:rPr>
          <w:spacing w:val="-82"/>
        </w:rPr>
      </w:r>
      <w:r>
        <w:rPr>
          <w:rFonts w:ascii="宋体" w:hAnsi="宋体" w:cs="宋体" w:eastAsia="宋体" w:hint="default"/>
        </w:rPr>
        <w:t>2)</w:t>
      </w:r>
      <w:r>
        <w:rPr/>
        <w:t>包装物</w:t>
      </w:r>
      <w:r>
        <w:rPr>
          <w:w w:val="100"/>
        </w:rPr>
        <w:t> </w:t>
      </w:r>
      <w:r>
        <w:rPr>
          <w:spacing w:val="-2"/>
        </w:rPr>
        <w:t>按照一次转销法进行摊销。</w:t>
      </w:r>
    </w:p>
    <w:p>
      <w:pPr>
        <w:spacing w:line="240" w:lineRule="auto" w:before="11"/>
        <w:rPr>
          <w:rFonts w:ascii="宋体" w:hAnsi="宋体" w:cs="宋体" w:eastAsia="宋体" w:hint="default"/>
          <w:sz w:val="27"/>
          <w:szCs w:val="27"/>
        </w:rPr>
      </w:pPr>
    </w:p>
    <w:p>
      <w:pPr>
        <w:pStyle w:val="Heading4"/>
        <w:spacing w:line="240" w:lineRule="auto" w:before="0"/>
        <w:ind w:left="138" w:right="3467"/>
        <w:jc w:val="left"/>
        <w:rPr>
          <w:b w:val="0"/>
          <w:bCs w:val="0"/>
        </w:rPr>
      </w:pPr>
      <w:r>
        <w:rPr>
          <w:rFonts w:ascii="Calibri" w:hAnsi="Calibri" w:cs="Calibri" w:eastAsia="Calibri" w:hint="default"/>
        </w:rPr>
        <w:t>13.  </w:t>
      </w:r>
      <w:r>
        <w:rPr>
          <w:rFonts w:ascii="Calibri" w:hAnsi="Calibri" w:cs="Calibri" w:eastAsia="Calibri" w:hint="default"/>
          <w:spacing w:val="14"/>
        </w:rPr>
        <w:t> </w:t>
      </w:r>
      <w:r>
        <w:rPr/>
        <w:t>划分为持有待售资产</w:t>
      </w:r>
      <w:r>
        <w:rPr>
          <w:b w:val="0"/>
          <w:bCs w:val="0"/>
        </w:rPr>
      </w:r>
    </w:p>
    <w:p>
      <w:pPr>
        <w:spacing w:line="240" w:lineRule="auto" w:before="3"/>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138" w:right="3467"/>
        <w:jc w:val="left"/>
        <w:rPr>
          <w:b w:val="0"/>
          <w:bCs w:val="0"/>
        </w:rPr>
      </w:pPr>
      <w:r>
        <w:rPr>
          <w:rFonts w:ascii="Calibri" w:hAnsi="Calibri" w:cs="Calibri" w:eastAsia="Calibri" w:hint="default"/>
        </w:rPr>
        <w:t>14.  </w:t>
      </w:r>
      <w:r>
        <w:rPr>
          <w:rFonts w:ascii="Calibri" w:hAnsi="Calibri" w:cs="Calibri" w:eastAsia="Calibri" w:hint="default"/>
          <w:spacing w:val="13"/>
        </w:rPr>
        <w:t> </w:t>
      </w:r>
      <w:r>
        <w:rPr/>
        <w:t>长期股权投资</w:t>
      </w:r>
      <w:r>
        <w:rPr>
          <w:b w:val="0"/>
          <w:bCs w:val="0"/>
        </w:rPr>
      </w:r>
    </w:p>
    <w:p>
      <w:pPr>
        <w:pStyle w:val="BodyText"/>
        <w:spacing w:line="357" w:lineRule="auto" w:before="166"/>
        <w:ind w:left="558" w:right="0" w:hanging="420"/>
        <w:jc w:val="left"/>
      </w:pPr>
      <w:r>
        <w:rPr>
          <w:rFonts w:ascii="宋体" w:hAnsi="宋体" w:cs="宋体" w:eastAsia="宋体" w:hint="default"/>
        </w:rPr>
        <w:t>(1) </w:t>
      </w:r>
      <w:r>
        <w:rPr/>
        <w:t>共同控制、重要影响的判断</w:t>
      </w:r>
      <w:r>
        <w:rPr>
          <w:w w:val="100"/>
        </w:rPr>
        <w:t> </w:t>
      </w:r>
      <w:r>
        <w:rPr>
          <w:spacing w:val="-2"/>
        </w:rPr>
        <w:t>按照相关约定对某项安排所共有的控制，并且该安排的相关活动必须经过分享控制权的参与</w:t>
      </w:r>
    </w:p>
    <w:p>
      <w:pPr>
        <w:pStyle w:val="BodyText"/>
        <w:spacing w:line="357" w:lineRule="auto" w:before="30"/>
        <w:ind w:left="138" w:right="0"/>
        <w:jc w:val="left"/>
      </w:pPr>
      <w:r>
        <w:rPr>
          <w:spacing w:val="-1"/>
        </w:rPr>
        <w:t>方一致同意后才能决策，认定为共同控制。对被投资单位的财务和经营政策有参与决策的权力，</w:t>
      </w:r>
      <w:r>
        <w:rPr>
          <w:spacing w:val="-55"/>
        </w:rPr>
        <w:t> </w:t>
      </w:r>
      <w:r>
        <w:rPr>
          <w:spacing w:val="-55"/>
        </w:rPr>
      </w:r>
      <w:r>
        <w:rPr/>
        <w:t>但并不能够控制或者与其他方一起共同控制这些政策的制定，认定为重大影响。</w:t>
      </w:r>
    </w:p>
    <w:p>
      <w:pPr>
        <w:pStyle w:val="BodyText"/>
        <w:spacing w:line="240" w:lineRule="auto" w:before="30"/>
        <w:ind w:left="138" w:right="3467"/>
        <w:jc w:val="left"/>
      </w:pPr>
      <w:r>
        <w:rPr/>
        <w:t>（</w:t>
      </w:r>
      <w:r>
        <w:rPr>
          <w:rFonts w:ascii="宋体" w:hAnsi="宋体" w:cs="宋体" w:eastAsia="宋体" w:hint="default"/>
        </w:rPr>
        <w:t>2</w:t>
      </w:r>
      <w:r>
        <w:rPr/>
        <w:t>）投资成本的确定</w:t>
      </w:r>
    </w:p>
    <w:p>
      <w:pPr>
        <w:pStyle w:val="BodyText"/>
        <w:spacing w:line="355" w:lineRule="auto" w:before="135"/>
        <w:ind w:left="138" w:right="128" w:firstLine="419"/>
        <w:jc w:val="both"/>
      </w:pPr>
      <w:r>
        <w:rPr>
          <w:rFonts w:ascii="宋体" w:hAnsi="宋体" w:cs="宋体" w:eastAsia="宋体" w:hint="default"/>
        </w:rPr>
        <w:t>1)</w:t>
      </w:r>
      <w:r>
        <w:rPr>
          <w:rFonts w:ascii="宋体" w:hAnsi="宋体" w:cs="宋体" w:eastAsia="宋体" w:hint="default"/>
          <w:spacing w:val="46"/>
        </w:rPr>
        <w:t> </w:t>
      </w:r>
      <w:r>
        <w:rPr>
          <w:spacing w:val="-4"/>
        </w:rPr>
        <w:t>同一控制下的企业合并形成的，合并方以支付现金、转让非现金资产、承担债务或发行权</w:t>
      </w:r>
      <w:r>
        <w:rPr>
          <w:w w:val="100"/>
        </w:rPr>
        <w:t> </w:t>
      </w:r>
      <w:r>
        <w:rPr>
          <w:spacing w:val="-1"/>
        </w:rPr>
        <w:t>益性证券作为合并对价的，在合并日按照取得被合并方所有者权益在最终控制方合并财务报表中</w:t>
      </w:r>
      <w:r>
        <w:rPr>
          <w:spacing w:val="-55"/>
        </w:rPr>
        <w:t> </w:t>
      </w:r>
      <w:r>
        <w:rPr>
          <w:spacing w:val="-55"/>
        </w:rPr>
      </w:r>
      <w:r>
        <w:rPr>
          <w:spacing w:val="-1"/>
        </w:rPr>
        <w:t>的账面价值的份额作为其初始投资成本。长期股权投资初始投资成本与支付的合并对价的账面价</w:t>
      </w:r>
      <w:r>
        <w:rPr>
          <w:spacing w:val="-55"/>
        </w:rPr>
        <w:t> </w:t>
      </w:r>
      <w:r>
        <w:rPr>
          <w:spacing w:val="-55"/>
        </w:rPr>
      </w:r>
      <w:r>
        <w:rPr/>
        <w:t>值或发行股份的面值总额之间的差额调整资本公积；资本公积不足冲减的，调整留存收益。</w:t>
      </w:r>
    </w:p>
    <w:p>
      <w:pPr>
        <w:pStyle w:val="BodyText"/>
        <w:spacing w:line="357" w:lineRule="auto" w:before="32"/>
        <w:ind w:left="138" w:right="128" w:firstLine="419"/>
        <w:jc w:val="both"/>
      </w:pPr>
      <w:r>
        <w:rPr>
          <w:spacing w:val="-2"/>
        </w:rPr>
        <w:t>公司通过多次交易分步实现同一控制下企业合并形成的长期股权投资，判断是否属于“一揽</w:t>
      </w:r>
      <w:r>
        <w:rPr>
          <w:w w:val="100"/>
        </w:rPr>
        <w:t> </w:t>
      </w:r>
      <w:r>
        <w:rPr>
          <w:spacing w:val="-6"/>
          <w:w w:val="100"/>
        </w:rPr>
        <w:t>子交易”。属于“一揽子交易”的，把各项交易作为一项取得控制权的交易进行会计处理。不属于</w:t>
      </w:r>
      <w:r>
        <w:rPr>
          <w:w w:val="100"/>
        </w:rPr>
        <w:t> </w:t>
      </w:r>
      <w:r>
        <w:rPr>
          <w:spacing w:val="-1"/>
        </w:rPr>
        <w:t>“一揽子交易”的，在合并日，根据合并后应享有被合并方净资产在最终控制方合并财务报表中</w:t>
      </w:r>
      <w:r>
        <w:rPr>
          <w:spacing w:val="-55"/>
        </w:rPr>
        <w:t> </w:t>
      </w:r>
      <w:r>
        <w:rPr>
          <w:spacing w:val="-55"/>
        </w:rPr>
      </w:r>
      <w:r>
        <w:rPr>
          <w:spacing w:val="-1"/>
        </w:rPr>
        <w:t>的账面价值的份额确定初始投资成本。合并日长期股权投资的初始投资成本，与达到合并前的长</w:t>
      </w:r>
      <w:r>
        <w:rPr>
          <w:spacing w:val="-55"/>
        </w:rPr>
        <w:t> </w:t>
      </w:r>
      <w:r>
        <w:rPr>
          <w:spacing w:val="-55"/>
        </w:rPr>
      </w:r>
      <w:r>
        <w:rPr>
          <w:spacing w:val="-1"/>
        </w:rPr>
        <w:t>期股权投资账面价值加上合并日进一步取得股份新支付对价的账面价值之和的差额，调整资本公</w:t>
      </w:r>
      <w:r>
        <w:rPr>
          <w:spacing w:val="-55"/>
        </w:rPr>
        <w:t> </w:t>
      </w:r>
      <w:r>
        <w:rPr>
          <w:spacing w:val="-55"/>
        </w:rPr>
      </w:r>
      <w:r>
        <w:rPr/>
        <w:t>积；资本公积不足冲减的，调整留存收益。</w:t>
      </w:r>
    </w:p>
    <w:p>
      <w:pPr>
        <w:pStyle w:val="BodyText"/>
        <w:spacing w:line="355" w:lineRule="auto" w:before="32"/>
        <w:ind w:left="138" w:right="128" w:firstLine="419"/>
        <w:jc w:val="both"/>
      </w:pPr>
      <w:r>
        <w:rPr>
          <w:rFonts w:ascii="宋体" w:hAnsi="宋体" w:cs="宋体" w:eastAsia="宋体" w:hint="default"/>
          <w:w w:val="100"/>
        </w:rPr>
        <w:t>2)</w:t>
      </w:r>
      <w:r>
        <w:rPr>
          <w:rFonts w:ascii="宋体" w:hAnsi="宋体" w:cs="宋体" w:eastAsia="宋体" w:hint="default"/>
          <w:spacing w:val="5"/>
          <w:w w:val="100"/>
        </w:rPr>
        <w:t> </w:t>
      </w:r>
      <w:r>
        <w:rPr>
          <w:spacing w:val="-4"/>
          <w:w w:val="100"/>
        </w:rPr>
        <w:t>非同一控制下的企业合并形成的，在购买日按照支付的合并对价的公允价值作为其初始投</w:t>
      </w:r>
      <w:r>
        <w:rPr>
          <w:w w:val="100"/>
        </w:rPr>
        <w:t> </w:t>
      </w:r>
      <w:r>
        <w:rPr/>
        <w:t>资成本。</w:t>
      </w:r>
    </w:p>
    <w:p>
      <w:pPr>
        <w:pStyle w:val="BodyText"/>
        <w:spacing w:line="355" w:lineRule="auto" w:before="32"/>
        <w:ind w:left="138" w:right="130" w:firstLine="419"/>
        <w:jc w:val="both"/>
      </w:pPr>
      <w:r>
        <w:rPr>
          <w:spacing w:val="-2"/>
        </w:rPr>
        <w:t>公司通过多次交易分步实现非同一控制下企业合并形成的长期股权投资，区分个别财务报表</w:t>
      </w:r>
      <w:r>
        <w:rPr>
          <w:w w:val="100"/>
        </w:rPr>
        <w:t> </w:t>
      </w:r>
      <w:r>
        <w:rPr/>
        <w:t>和合并财务报表进行相关会计处理：</w:t>
      </w:r>
    </w:p>
    <w:p>
      <w:pPr>
        <w:pStyle w:val="BodyText"/>
        <w:spacing w:line="240" w:lineRule="auto" w:before="35"/>
        <w:ind w:left="558" w:right="0"/>
        <w:jc w:val="left"/>
      </w:pPr>
      <w:r>
        <w:rPr>
          <w:spacing w:val="-4"/>
        </w:rPr>
        <w:t>Ⅰ</w:t>
      </w:r>
      <w:r>
        <w:rPr>
          <w:rFonts w:ascii="宋体" w:hAnsi="宋体" w:cs="宋体" w:eastAsia="宋体" w:hint="default"/>
          <w:spacing w:val="-4"/>
        </w:rPr>
        <w:t>)</w:t>
      </w:r>
      <w:r>
        <w:rPr>
          <w:spacing w:val="-4"/>
        </w:rPr>
        <w:t>在个别财务报表中，按照原持有的股权投资的账面价值加上新增投资成本之和，作为改按</w:t>
      </w:r>
    </w:p>
    <w:p>
      <w:pPr>
        <w:pStyle w:val="BodyText"/>
        <w:spacing w:line="240" w:lineRule="auto" w:before="133"/>
        <w:ind w:left="138" w:right="3467"/>
        <w:jc w:val="left"/>
      </w:pPr>
      <w:r>
        <w:rPr/>
        <w:t>成本法核算的初始投资成本。</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128" w:firstLine="419"/>
        <w:jc w:val="both"/>
      </w:pPr>
      <w:r>
        <w:rPr>
          <w:spacing w:val="-4"/>
          <w:w w:val="100"/>
        </w:rPr>
        <w:t>Ⅱ</w:t>
      </w:r>
      <w:r>
        <w:rPr>
          <w:rFonts w:ascii="宋体" w:hAnsi="宋体" w:cs="宋体" w:eastAsia="宋体" w:hint="default"/>
          <w:spacing w:val="-4"/>
          <w:w w:val="100"/>
        </w:rPr>
        <w:t>)</w:t>
      </w:r>
      <w:r>
        <w:rPr>
          <w:spacing w:val="-4"/>
          <w:w w:val="100"/>
        </w:rPr>
        <w:t>在合并财务报表中，判断是否属于“一揽子交易”。属于“一揽子交易”的，把各项交易</w:t>
      </w:r>
      <w:r>
        <w:rPr>
          <w:w w:val="100"/>
        </w:rPr>
        <w:t> </w:t>
      </w:r>
      <w:r>
        <w:rPr>
          <w:spacing w:val="-1"/>
        </w:rPr>
        <w:t>作为一项取得控制权的交易进行会计处理。不属于“一揽子交易”的，对于购买日之前持有的被</w:t>
      </w:r>
      <w:r>
        <w:rPr>
          <w:spacing w:val="-55"/>
        </w:rPr>
        <w:t> </w:t>
      </w:r>
      <w:r>
        <w:rPr>
          <w:spacing w:val="-55"/>
        </w:rPr>
      </w:r>
      <w:r>
        <w:rPr>
          <w:spacing w:val="-1"/>
        </w:rPr>
        <w:t>购买方的股权，按照该股权在购买日的公允价值进行重新计量，公允价值与其账面价值的差额计</w:t>
      </w:r>
      <w:r>
        <w:rPr>
          <w:spacing w:val="-55"/>
        </w:rPr>
        <w:t> </w:t>
      </w:r>
      <w:r>
        <w:rPr>
          <w:spacing w:val="-55"/>
        </w:rPr>
      </w:r>
      <w:r>
        <w:rPr>
          <w:spacing w:val="-1"/>
        </w:rPr>
        <w:t>入当期投资收益；购买日之前持有的被购买方的股权涉及权益法核算下的其他综合收益等的，与</w:t>
      </w:r>
      <w:r>
        <w:rPr>
          <w:spacing w:val="-55"/>
        </w:rPr>
        <w:t> </w:t>
      </w:r>
      <w:r>
        <w:rPr>
          <w:spacing w:val="-55"/>
        </w:rPr>
      </w:r>
      <w:r>
        <w:rPr>
          <w:spacing w:val="-1"/>
        </w:rPr>
        <w:t>其相关的其他综合收益等转为购买日所属当期收益。但由于被投资方重新计量设定受益计划净负</w:t>
      </w:r>
      <w:r>
        <w:rPr>
          <w:spacing w:val="-55"/>
        </w:rPr>
        <w:t> </w:t>
      </w:r>
      <w:r>
        <w:rPr>
          <w:spacing w:val="-55"/>
        </w:rPr>
      </w:r>
      <w:r>
        <w:rPr/>
        <w:t>债或净资产变动而产生的其他综合收益除外。</w:t>
      </w:r>
    </w:p>
    <w:p>
      <w:pPr>
        <w:pStyle w:val="BodyText"/>
        <w:spacing w:line="357" w:lineRule="auto" w:before="32"/>
        <w:ind w:left="138" w:right="128" w:firstLine="419"/>
        <w:jc w:val="both"/>
      </w:pPr>
      <w:r>
        <w:rPr>
          <w:rFonts w:ascii="宋体" w:hAnsi="宋体" w:cs="宋体" w:eastAsia="宋体" w:hint="default"/>
        </w:rPr>
        <w:t>3)</w:t>
      </w:r>
      <w:r>
        <w:rPr>
          <w:rFonts w:ascii="宋体" w:hAnsi="宋体" w:cs="宋体" w:eastAsia="宋体" w:hint="default"/>
          <w:spacing w:val="47"/>
        </w:rPr>
        <w:t> </w:t>
      </w:r>
      <w:r>
        <w:rPr>
          <w:spacing w:val="-4"/>
        </w:rPr>
        <w:t>除企业合并形成以外的：以支付现金取得的，按照实际支付的购买价款作为其初始投资成</w:t>
      </w:r>
      <w:r>
        <w:rPr>
          <w:w w:val="100"/>
        </w:rPr>
        <w:t> </w:t>
      </w:r>
      <w:r>
        <w:rPr>
          <w:spacing w:val="-1"/>
        </w:rPr>
        <w:t>本；以发行权益性证券取得的，按照发行权益性证券的公允价值作为其初始投资成本；以债务重</w:t>
      </w:r>
      <w:r>
        <w:rPr>
          <w:spacing w:val="-55"/>
        </w:rPr>
        <w:t> </w:t>
      </w:r>
      <w:r>
        <w:rPr>
          <w:spacing w:val="-55"/>
        </w:rPr>
      </w:r>
      <w:r>
        <w:rPr>
          <w:spacing w:val="-5"/>
        </w:rPr>
        <w:t>组方式取得的，按《企业会计准则第 </w:t>
      </w:r>
      <w:r>
        <w:rPr>
          <w:rFonts w:ascii="宋体" w:hAnsi="宋体" w:cs="宋体" w:eastAsia="宋体" w:hint="default"/>
        </w:rPr>
        <w:t>12</w:t>
      </w:r>
      <w:r>
        <w:rPr>
          <w:rFonts w:ascii="宋体" w:hAnsi="宋体" w:cs="宋体" w:eastAsia="宋体" w:hint="default"/>
          <w:spacing w:val="-25"/>
        </w:rPr>
        <w:t> </w:t>
      </w:r>
      <w:r>
        <w:rPr>
          <w:spacing w:val="-4"/>
        </w:rPr>
        <w:t>号——债务重组》确定其初始投资成本；以非货币性资产</w:t>
      </w:r>
    </w:p>
    <w:p>
      <w:pPr>
        <w:pStyle w:val="BodyText"/>
        <w:spacing w:line="240" w:lineRule="auto" w:before="30"/>
        <w:ind w:left="138" w:right="0"/>
        <w:jc w:val="both"/>
      </w:pPr>
      <w:r>
        <w:rPr/>
        <w:t>交换取得的，按《企业会计准则第</w:t>
      </w:r>
      <w:r>
        <w:rPr>
          <w:spacing w:val="-53"/>
        </w:rPr>
        <w:t> </w:t>
      </w:r>
      <w:r>
        <w:rPr>
          <w:rFonts w:ascii="宋体" w:hAnsi="宋体" w:cs="宋体" w:eastAsia="宋体" w:hint="default"/>
        </w:rPr>
        <w:t>7</w:t>
      </w:r>
      <w:r>
        <w:rPr>
          <w:rFonts w:ascii="宋体" w:hAnsi="宋体" w:cs="宋体" w:eastAsia="宋体" w:hint="default"/>
          <w:spacing w:val="-55"/>
        </w:rPr>
        <w:t> </w:t>
      </w:r>
      <w:r>
        <w:rPr/>
        <w:t>号——非货币性资产交换》确定其初始投资成本。</w:t>
      </w:r>
    </w:p>
    <w:p>
      <w:pPr>
        <w:pStyle w:val="BodyText"/>
        <w:spacing w:line="355" w:lineRule="auto" w:before="135"/>
        <w:ind w:left="558" w:right="0" w:hanging="420"/>
        <w:jc w:val="left"/>
      </w:pPr>
      <w:r>
        <w:rPr>
          <w:rFonts w:ascii="宋体" w:hAnsi="宋体" w:cs="宋体" w:eastAsia="宋体" w:hint="default"/>
        </w:rPr>
        <w:t>(3) </w:t>
      </w:r>
      <w:r>
        <w:rPr/>
        <w:t>后续计量及损益确认方法</w:t>
      </w:r>
      <w:r>
        <w:rPr>
          <w:w w:val="100"/>
        </w:rPr>
        <w:t> </w:t>
      </w:r>
      <w:r>
        <w:rPr>
          <w:spacing w:val="-2"/>
        </w:rPr>
        <w:t>对被投资单位实施控制的长期股权投资采用成本法核算；对联营企业和合营企业的长期股权</w:t>
      </w:r>
    </w:p>
    <w:p>
      <w:pPr>
        <w:pStyle w:val="BodyText"/>
        <w:spacing w:line="240" w:lineRule="auto" w:before="32"/>
        <w:ind w:left="138" w:right="0"/>
        <w:jc w:val="both"/>
      </w:pPr>
      <w:r>
        <w:rPr/>
        <w:t>投资，采用权益法核算。</w:t>
      </w:r>
    </w:p>
    <w:p>
      <w:pPr>
        <w:pStyle w:val="BodyText"/>
        <w:spacing w:line="240" w:lineRule="auto" w:before="133"/>
        <w:ind w:left="138" w:right="0"/>
        <w:jc w:val="both"/>
      </w:pPr>
      <w:r>
        <w:rPr>
          <w:rFonts w:ascii="宋体" w:hAnsi="宋体" w:cs="宋体" w:eastAsia="宋体" w:hint="default"/>
        </w:rPr>
        <w:t>(4)</w:t>
      </w:r>
      <w:r>
        <w:rPr>
          <w:rFonts w:ascii="宋体" w:hAnsi="宋体" w:cs="宋体" w:eastAsia="宋体" w:hint="default"/>
          <w:spacing w:val="-5"/>
        </w:rPr>
        <w:t> </w:t>
      </w:r>
      <w:r>
        <w:rPr/>
        <w:t>通过多次交易分步处置对子公司投资至丧失控制权的的处理方法</w:t>
      </w:r>
    </w:p>
    <w:p>
      <w:pPr>
        <w:pStyle w:val="BodyText"/>
        <w:spacing w:line="357" w:lineRule="auto" w:before="133"/>
        <w:ind w:left="558" w:right="0"/>
        <w:jc w:val="left"/>
      </w:pPr>
      <w:r>
        <w:rPr>
          <w:rFonts w:ascii="宋体" w:hAnsi="宋体" w:cs="宋体" w:eastAsia="宋体" w:hint="default"/>
        </w:rPr>
        <w:t>1) </w:t>
      </w:r>
      <w:r>
        <w:rPr/>
        <w:t>个别财务报表</w:t>
      </w:r>
      <w:r>
        <w:rPr>
          <w:w w:val="100"/>
        </w:rPr>
        <w:t> </w:t>
      </w:r>
      <w:r>
        <w:rPr>
          <w:spacing w:val="-2"/>
        </w:rPr>
        <w:t>对处置的股权，其账面价值与实际取得价款之间的差额，计入当期损益。对于剩余股权，对</w:t>
      </w:r>
    </w:p>
    <w:p>
      <w:pPr>
        <w:pStyle w:val="BodyText"/>
        <w:spacing w:line="355" w:lineRule="auto" w:before="30"/>
        <w:ind w:left="138" w:right="128"/>
        <w:jc w:val="both"/>
      </w:pPr>
      <w:r>
        <w:rPr>
          <w:spacing w:val="-1"/>
        </w:rPr>
        <w:t>被投资单位仍具有重大影响或者与其他方一起实施共同控制的，转为权益法核算；不能再对被投</w:t>
      </w:r>
      <w:r>
        <w:rPr>
          <w:spacing w:val="-55"/>
        </w:rPr>
        <w:t> </w:t>
      </w:r>
      <w:r>
        <w:rPr>
          <w:spacing w:val="-55"/>
        </w:rPr>
      </w:r>
      <w:r>
        <w:rPr>
          <w:spacing w:val="-4"/>
        </w:rPr>
        <w:t>资单位实施控制、共同控制或重大影响的，确认为金融资产，按照《企业会计准则第</w:t>
      </w:r>
      <w:r>
        <w:rPr>
          <w:spacing w:val="-35"/>
        </w:rPr>
        <w:t> </w:t>
      </w:r>
      <w:r>
        <w:rPr>
          <w:rFonts w:ascii="宋体" w:hAnsi="宋体" w:cs="宋体" w:eastAsia="宋体" w:hint="default"/>
        </w:rPr>
        <w:t>22</w:t>
      </w:r>
      <w:r>
        <w:rPr>
          <w:rFonts w:ascii="宋体" w:hAnsi="宋体" w:cs="宋体" w:eastAsia="宋体" w:hint="default"/>
          <w:spacing w:val="-36"/>
        </w:rPr>
        <w:t> </w:t>
      </w:r>
      <w:r>
        <w:rPr/>
        <w:t>号——金</w:t>
      </w:r>
      <w:r>
        <w:rPr>
          <w:spacing w:val="-97"/>
        </w:rPr>
        <w:t> </w:t>
      </w:r>
      <w:r>
        <w:rPr>
          <w:spacing w:val="-97"/>
        </w:rPr>
      </w:r>
      <w:r>
        <w:rPr/>
        <w:t>融工具确认和计量》的相关规定进行核算。</w:t>
      </w:r>
    </w:p>
    <w:p>
      <w:pPr>
        <w:pStyle w:val="BodyText"/>
        <w:spacing w:line="357" w:lineRule="auto" w:before="32"/>
        <w:ind w:left="558" w:right="0"/>
        <w:jc w:val="left"/>
      </w:pPr>
      <w:r>
        <w:rPr>
          <w:rFonts w:ascii="宋体" w:hAnsi="宋体" w:cs="宋体" w:eastAsia="宋体" w:hint="default"/>
        </w:rPr>
        <w:t>2</w:t>
      </w:r>
      <w:r>
        <w:rPr/>
        <w:t>）合并财务报表</w:t>
      </w:r>
      <w:r>
        <w:rPr>
          <w:w w:val="100"/>
        </w:rPr>
        <w:t> </w:t>
      </w:r>
      <w:r>
        <w:rPr/>
        <w:t>Ⅰ</w:t>
      </w:r>
      <w:r>
        <w:rPr>
          <w:rFonts w:ascii="宋体" w:hAnsi="宋体" w:cs="宋体" w:eastAsia="宋体" w:hint="default"/>
        </w:rPr>
        <w:t>)</w:t>
      </w:r>
      <w:r>
        <w:rPr/>
        <w:t>通过多次交易分步处置对子公司投资至丧失控制权，且不属于“一揽子交易”的</w:t>
      </w:r>
      <w:r>
        <w:rPr>
          <w:w w:val="100"/>
        </w:rPr>
        <w:t> </w:t>
      </w:r>
      <w:r>
        <w:rPr>
          <w:spacing w:val="-2"/>
        </w:rPr>
        <w:t>在丧失控制权之前，处置价款与处置长期股权投资相对应享有子公司自购买日或合并日开始</w:t>
      </w:r>
    </w:p>
    <w:p>
      <w:pPr>
        <w:pStyle w:val="BodyText"/>
        <w:spacing w:line="355" w:lineRule="auto" w:before="30"/>
        <w:ind w:left="138" w:right="128"/>
        <w:jc w:val="both"/>
      </w:pPr>
      <w:r>
        <w:rPr>
          <w:spacing w:val="-1"/>
        </w:rPr>
        <w:t>持续计算的净资产份额之间的差额，调整资本公积</w:t>
      </w:r>
      <w:r>
        <w:rPr>
          <w:rFonts w:ascii="宋体" w:hAnsi="宋体" w:cs="宋体" w:eastAsia="宋体" w:hint="default"/>
          <w:spacing w:val="-1"/>
        </w:rPr>
        <w:t>(</w:t>
      </w:r>
      <w:r>
        <w:rPr>
          <w:spacing w:val="-1"/>
        </w:rPr>
        <w:t>资本溢价</w:t>
      </w:r>
      <w:r>
        <w:rPr>
          <w:rFonts w:ascii="宋体" w:hAnsi="宋体" w:cs="宋体" w:eastAsia="宋体" w:hint="default"/>
          <w:spacing w:val="-1"/>
        </w:rPr>
        <w:t>)</w:t>
      </w:r>
      <w:r>
        <w:rPr>
          <w:spacing w:val="-1"/>
        </w:rPr>
        <w:t>，资本溢价不足冲减的，冲减留存</w:t>
      </w:r>
      <w:r>
        <w:rPr>
          <w:spacing w:val="-54"/>
        </w:rPr>
        <w:t> </w:t>
      </w:r>
      <w:r>
        <w:rPr>
          <w:spacing w:val="-54"/>
        </w:rPr>
      </w:r>
      <w:r>
        <w:rPr/>
        <w:t>收益。</w:t>
      </w:r>
    </w:p>
    <w:p>
      <w:pPr>
        <w:pStyle w:val="BodyText"/>
        <w:spacing w:line="355" w:lineRule="auto" w:before="35"/>
        <w:ind w:left="138" w:right="128" w:firstLine="419"/>
        <w:jc w:val="both"/>
      </w:pPr>
      <w:r>
        <w:rPr>
          <w:spacing w:val="-7"/>
          <w:w w:val="100"/>
        </w:rPr>
        <w:t>丧失对原子公司控制权时，对于剩余股权，按照其在丧失控制权日的公允价值进行重新计量。</w:t>
      </w:r>
      <w:r>
        <w:rPr>
          <w:w w:val="100"/>
        </w:rPr>
        <w:t> </w:t>
      </w:r>
      <w:r>
        <w:rPr>
          <w:spacing w:val="-1"/>
        </w:rPr>
        <w:t>处置股权取得的对价与剩余股权公允价值之和，减去按原持股比例计算应享有原有子公司自购买</w:t>
      </w:r>
      <w:r>
        <w:rPr>
          <w:spacing w:val="-55"/>
        </w:rPr>
        <w:t> </w:t>
      </w:r>
      <w:r>
        <w:rPr>
          <w:spacing w:val="-55"/>
        </w:rPr>
      </w:r>
      <w:r>
        <w:rPr>
          <w:spacing w:val="-1"/>
        </w:rPr>
        <w:t>日或合并日开始持续计算的净资产的份额之间的差额，计入丧失控制权当期的投资收益，同时冲</w:t>
      </w:r>
      <w:r>
        <w:rPr>
          <w:spacing w:val="-55"/>
        </w:rPr>
        <w:t> </w:t>
      </w:r>
      <w:r>
        <w:rPr>
          <w:spacing w:val="-55"/>
        </w:rPr>
      </w:r>
      <w:r>
        <w:rPr>
          <w:spacing w:val="-6"/>
          <w:w w:val="100"/>
        </w:rPr>
        <w:t>减商誉。与原有子公司股权投资相关的其他综合收益等，应当在丧失控制权时转为当期投资收益。</w:t>
      </w:r>
    </w:p>
    <w:p>
      <w:pPr>
        <w:pStyle w:val="BodyText"/>
        <w:spacing w:line="357" w:lineRule="auto" w:before="32"/>
        <w:ind w:left="558" w:right="0"/>
        <w:jc w:val="left"/>
      </w:pPr>
      <w:r>
        <w:rPr/>
        <w:t>Ⅱ</w:t>
      </w:r>
      <w:r>
        <w:rPr>
          <w:rFonts w:ascii="宋体" w:hAnsi="宋体" w:cs="宋体" w:eastAsia="宋体" w:hint="default"/>
        </w:rPr>
        <w:t>)</w:t>
      </w:r>
      <w:r>
        <w:rPr/>
        <w:t>通过多次交易分步处置对子公司投资至丧失控制权，且属于“一揽子交易”的</w:t>
      </w:r>
      <w:r>
        <w:rPr>
          <w:w w:val="100"/>
        </w:rPr>
        <w:t> </w:t>
      </w:r>
      <w:r>
        <w:rPr>
          <w:spacing w:val="-2"/>
        </w:rPr>
        <w:t>将各项交易作为一项处置子公司并丧失控制权的交易进行会计处理。但是，在丧失控制权之</w:t>
      </w:r>
    </w:p>
    <w:p>
      <w:pPr>
        <w:pStyle w:val="BodyText"/>
        <w:spacing w:line="355" w:lineRule="auto" w:before="30"/>
        <w:ind w:left="138" w:right="128"/>
        <w:jc w:val="both"/>
      </w:pPr>
      <w:r>
        <w:rPr>
          <w:spacing w:val="-1"/>
        </w:rPr>
        <w:t>前每一次处置价款与处置投资对应的享有该子公司净资产份额的差额，在合并财务报表中确认为</w:t>
      </w:r>
      <w:r>
        <w:rPr>
          <w:spacing w:val="-55"/>
        </w:rPr>
        <w:t> </w:t>
      </w:r>
      <w:r>
        <w:rPr>
          <w:spacing w:val="-55"/>
        </w:rPr>
      </w:r>
      <w:r>
        <w:rPr/>
        <w:t>其他综合收益，在丧失控制权时一并转入丧失控制权当期的损益。</w:t>
      </w:r>
    </w:p>
    <w:p>
      <w:pPr>
        <w:spacing w:after="0" w:line="355"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4"/>
        <w:spacing w:line="240" w:lineRule="auto"/>
        <w:ind w:left="238" w:right="222"/>
        <w:jc w:val="left"/>
        <w:rPr>
          <w:b w:val="0"/>
          <w:bCs w:val="0"/>
        </w:rPr>
      </w:pPr>
      <w:r>
        <w:rPr>
          <w:rFonts w:ascii="Calibri" w:hAnsi="Calibri" w:cs="Calibri" w:eastAsia="Calibri" w:hint="default"/>
        </w:rPr>
        <w:t>15.  </w:t>
      </w:r>
      <w:r>
        <w:rPr>
          <w:rFonts w:ascii="Calibri" w:hAnsi="Calibri" w:cs="Calibri" w:eastAsia="Calibri" w:hint="default"/>
          <w:spacing w:val="13"/>
        </w:rPr>
        <w:t> </w:t>
      </w:r>
      <w:r>
        <w:rPr/>
        <w:t>投资性房地产</w:t>
      </w:r>
      <w:r>
        <w:rPr>
          <w:b w:val="0"/>
          <w:bCs w:val="0"/>
        </w:rPr>
      </w:r>
    </w:p>
    <w:p>
      <w:pPr>
        <w:spacing w:line="290" w:lineRule="auto" w:before="168"/>
        <w:ind w:left="238" w:right="609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如果采用成本计量模式的：</w:t>
      </w:r>
      <w:r>
        <w:rPr>
          <w:rFonts w:ascii="宋体" w:hAnsi="宋体" w:cs="宋体" w:eastAsia="宋体" w:hint="default"/>
          <w:b/>
          <w:bCs/>
          <w:w w:val="100"/>
          <w:sz w:val="21"/>
          <w:szCs w:val="21"/>
        </w:rPr>
        <w:t> </w:t>
      </w:r>
      <w:r>
        <w:rPr>
          <w:rFonts w:ascii="宋体" w:hAnsi="宋体" w:cs="宋体" w:eastAsia="宋体" w:hint="default"/>
          <w:sz w:val="21"/>
          <w:szCs w:val="21"/>
        </w:rPr>
        <w:t>折旧或摊销方法</w:t>
      </w:r>
    </w:p>
    <w:p>
      <w:pPr>
        <w:pStyle w:val="BodyText"/>
        <w:spacing w:line="357" w:lineRule="auto" w:before="89"/>
        <w:ind w:left="238" w:right="222" w:firstLine="419"/>
        <w:jc w:val="left"/>
      </w:pPr>
      <w:r>
        <w:rPr>
          <w:spacing w:val="-2"/>
        </w:rPr>
        <w:t>投资性房地产包括已出租的土地使用权、持有并准备增值后转让的土地使用权和已出租的建</w:t>
      </w:r>
      <w:r>
        <w:rPr>
          <w:w w:val="100"/>
        </w:rPr>
        <w:t> </w:t>
      </w:r>
      <w:r>
        <w:rPr/>
        <w:t>筑物。</w:t>
      </w:r>
    </w:p>
    <w:p>
      <w:pPr>
        <w:pStyle w:val="BodyText"/>
        <w:spacing w:line="355" w:lineRule="auto" w:before="30"/>
        <w:ind w:left="238" w:right="222" w:firstLine="419"/>
        <w:jc w:val="left"/>
      </w:pPr>
      <w:r>
        <w:rPr>
          <w:spacing w:val="-2"/>
        </w:rPr>
        <w:t>投资性房地产按照成本进行初始计量，采用成本模式进行后续计量，并采用与固定资产和无</w:t>
      </w:r>
      <w:r>
        <w:rPr>
          <w:w w:val="100"/>
        </w:rPr>
        <w:t> </w:t>
      </w:r>
      <w:r>
        <w:rPr/>
        <w:t>形资产相同的方法计提折旧或进行摊销。</w:t>
      </w:r>
    </w:p>
    <w:p>
      <w:pPr>
        <w:spacing w:line="240" w:lineRule="auto" w:before="0"/>
        <w:rPr>
          <w:rFonts w:ascii="宋体" w:hAnsi="宋体" w:cs="宋体" w:eastAsia="宋体" w:hint="default"/>
          <w:sz w:val="28"/>
          <w:szCs w:val="28"/>
        </w:rPr>
      </w:pPr>
    </w:p>
    <w:p>
      <w:pPr>
        <w:pStyle w:val="Heading4"/>
        <w:spacing w:line="264" w:lineRule="auto" w:before="0"/>
        <w:ind w:left="238" w:right="7781"/>
        <w:jc w:val="left"/>
        <w:rPr>
          <w:b w:val="0"/>
          <w:bCs w:val="0"/>
        </w:rPr>
      </w:pPr>
      <w:r>
        <w:rPr>
          <w:rFonts w:ascii="Calibri" w:hAnsi="Calibri" w:cs="Calibri" w:eastAsia="Calibri" w:hint="default"/>
        </w:rPr>
        <w:t>16.</w:t>
      </w:r>
      <w:r>
        <w:rPr>
          <w:rFonts w:ascii="Calibri" w:hAnsi="Calibri" w:cs="Calibri" w:eastAsia="Calibri" w:hint="default"/>
          <w:spacing w:val="13"/>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357" w:lineRule="auto" w:before="172"/>
        <w:ind w:left="238" w:right="222" w:firstLine="419"/>
        <w:jc w:val="left"/>
      </w:pPr>
      <w:r>
        <w:rPr>
          <w:spacing w:val="-2"/>
        </w:rPr>
        <w:t>固定资产是指为生产商品、提供劳务、出租或经营管理而持有的，使用年限超过一个会计年</w:t>
      </w:r>
      <w:r>
        <w:rPr>
          <w:w w:val="100"/>
        </w:rPr>
        <w:t> </w:t>
      </w:r>
      <w:r>
        <w:rPr/>
        <w:t>度的有形资产。固定资产在同时满足经济利益很可能流入、成本能够可靠计量时予以确认。</w:t>
      </w:r>
    </w:p>
    <w:p>
      <w:pPr>
        <w:spacing w:line="240" w:lineRule="auto" w:before="8"/>
        <w:rPr>
          <w:rFonts w:ascii="宋体" w:hAnsi="宋体" w:cs="宋体" w:eastAsia="宋体" w:hint="default"/>
          <w:sz w:val="27"/>
          <w:szCs w:val="27"/>
        </w:rPr>
      </w:pPr>
    </w:p>
    <w:p>
      <w:pPr>
        <w:pStyle w:val="Heading4"/>
        <w:spacing w:line="240" w:lineRule="auto" w:before="0"/>
        <w:ind w:left="238" w:right="222"/>
        <w:jc w:val="left"/>
        <w:rPr>
          <w:b w:val="0"/>
          <w:bCs w:val="0"/>
        </w:rPr>
      </w:pPr>
      <w:r>
        <w:rPr>
          <w:rFonts w:ascii="宋体" w:hAnsi="宋体" w:cs="宋体" w:eastAsia="宋体" w:hint="default"/>
        </w:rPr>
        <w:t>(2).</w:t>
      </w:r>
      <w:r>
        <w:rPr/>
        <w:t>折旧方法</w:t>
      </w:r>
      <w:r>
        <w:rPr>
          <w:b w:val="0"/>
          <w:bCs w:val="0"/>
        </w:rPr>
      </w:r>
    </w:p>
    <w:p>
      <w:pPr>
        <w:spacing w:line="240" w:lineRule="auto" w:before="5"/>
        <w:rPr>
          <w:rFonts w:ascii="宋体" w:hAnsi="宋体" w:cs="宋体" w:eastAsia="宋体" w:hint="default"/>
          <w:b/>
          <w:bCs/>
          <w:sz w:val="17"/>
          <w:szCs w:val="17"/>
        </w:rPr>
      </w:pPr>
    </w:p>
    <w:tbl>
      <w:tblPr>
        <w:tblW w:w="0" w:type="auto"/>
        <w:jc w:val="left"/>
        <w:tblInd w:w="110" w:type="dxa"/>
        <w:tblLayout w:type="fixed"/>
        <w:tblCellMar>
          <w:top w:w="0" w:type="dxa"/>
          <w:left w:w="0" w:type="dxa"/>
          <w:bottom w:w="0" w:type="dxa"/>
          <w:right w:w="0" w:type="dxa"/>
        </w:tblCellMar>
        <w:tblLook w:val="01E0"/>
      </w:tblPr>
      <w:tblGrid>
        <w:gridCol w:w="1733"/>
        <w:gridCol w:w="1832"/>
        <w:gridCol w:w="1834"/>
        <w:gridCol w:w="1834"/>
        <w:gridCol w:w="1831"/>
      </w:tblGrid>
      <w:tr>
        <w:trPr>
          <w:trHeight w:val="348" w:hRule="exact"/>
        </w:trPr>
        <w:tc>
          <w:tcPr>
            <w:tcW w:w="173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425" w:hRule="exact"/>
        </w:trPr>
        <w:tc>
          <w:tcPr>
            <w:tcW w:w="1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10-40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5.00</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宋体" w:hAnsi="宋体" w:cs="宋体" w:eastAsia="宋体" w:hint="default"/>
                <w:sz w:val="21"/>
                <w:szCs w:val="21"/>
              </w:rPr>
            </w:pPr>
            <w:r>
              <w:rPr>
                <w:rFonts w:ascii="宋体"/>
                <w:spacing w:val="-1"/>
                <w:sz w:val="21"/>
              </w:rPr>
              <w:t>2.38-9.50</w:t>
            </w:r>
          </w:p>
        </w:tc>
      </w:tr>
      <w:tr>
        <w:trPr>
          <w:trHeight w:val="428" w:hRule="exact"/>
        </w:trPr>
        <w:tc>
          <w:tcPr>
            <w:tcW w:w="1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5.00</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宋体" w:hAnsi="宋体" w:cs="宋体" w:eastAsia="宋体" w:hint="default"/>
                <w:sz w:val="21"/>
                <w:szCs w:val="21"/>
              </w:rPr>
            </w:pPr>
            <w:r>
              <w:rPr>
                <w:rFonts w:ascii="宋体"/>
                <w:spacing w:val="-1"/>
                <w:sz w:val="21"/>
              </w:rPr>
              <w:t>19.00-31.67</w:t>
            </w:r>
          </w:p>
        </w:tc>
      </w:tr>
      <w:tr>
        <w:trPr>
          <w:trHeight w:val="422" w:hRule="exact"/>
        </w:trPr>
        <w:tc>
          <w:tcPr>
            <w:tcW w:w="1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5.00</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宋体" w:hAnsi="宋体" w:cs="宋体" w:eastAsia="宋体" w:hint="default"/>
                <w:sz w:val="21"/>
                <w:szCs w:val="21"/>
              </w:rPr>
            </w:pPr>
            <w:r>
              <w:rPr>
                <w:rFonts w:ascii="宋体"/>
                <w:sz w:val="21"/>
              </w:rPr>
              <w:t>19.00</w:t>
            </w:r>
          </w:p>
        </w:tc>
      </w:tr>
      <w:tr>
        <w:trPr>
          <w:trHeight w:val="427" w:hRule="exact"/>
        </w:trPr>
        <w:tc>
          <w:tcPr>
            <w:tcW w:w="1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5.00</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宋体" w:hAnsi="宋体" w:cs="宋体" w:eastAsia="宋体" w:hint="default"/>
                <w:sz w:val="21"/>
                <w:szCs w:val="21"/>
              </w:rPr>
            </w:pPr>
            <w:r>
              <w:rPr>
                <w:rFonts w:ascii="宋体"/>
                <w:spacing w:val="-1"/>
                <w:sz w:val="21"/>
              </w:rPr>
              <w:t>19.00-31.67</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left="238" w:right="222"/>
        <w:jc w:val="left"/>
        <w:rPr>
          <w:b w:val="0"/>
          <w:bCs w:val="0"/>
        </w:rPr>
      </w:pPr>
      <w:r>
        <w:rPr>
          <w:rFonts w:ascii="宋体" w:hAnsi="宋体" w:cs="宋体" w:eastAsia="宋体" w:hint="default"/>
        </w:rPr>
        <w:t>(3).</w:t>
      </w:r>
      <w:r>
        <w:rPr/>
        <w:t>融资租入固定资产的认定依据、计价和折旧方法</w:t>
      </w:r>
      <w:r>
        <w:rPr>
          <w:b w:val="0"/>
          <w:bCs w:val="0"/>
        </w:rPr>
      </w:r>
    </w:p>
    <w:p>
      <w:pPr>
        <w:spacing w:line="240" w:lineRule="auto" w:before="6"/>
        <w:rPr>
          <w:rFonts w:ascii="宋体" w:hAnsi="宋体" w:cs="宋体" w:eastAsia="宋体" w:hint="default"/>
          <w:b/>
          <w:bCs/>
          <w:sz w:val="25"/>
          <w:szCs w:val="25"/>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238" w:right="0"/>
        <w:jc w:val="both"/>
        <w:rPr>
          <w:b w:val="0"/>
          <w:bCs w:val="0"/>
        </w:rPr>
      </w:pPr>
      <w:r>
        <w:rPr>
          <w:rFonts w:ascii="Calibri" w:hAnsi="Calibri" w:cs="Calibri" w:eastAsia="Calibri" w:hint="default"/>
        </w:rPr>
        <w:t>17.  </w:t>
      </w:r>
      <w:r>
        <w:rPr>
          <w:rFonts w:ascii="Calibri" w:hAnsi="Calibri" w:cs="Calibri" w:eastAsia="Calibri" w:hint="default"/>
          <w:spacing w:val="13"/>
        </w:rPr>
        <w:t> </w:t>
      </w:r>
      <w:r>
        <w:rPr/>
        <w:t>在建工程</w:t>
      </w:r>
      <w:r>
        <w:rPr>
          <w:b w:val="0"/>
          <w:bCs w:val="0"/>
        </w:rPr>
      </w:r>
    </w:p>
    <w:p>
      <w:pPr>
        <w:pStyle w:val="BodyText"/>
        <w:spacing w:line="355" w:lineRule="auto" w:before="167"/>
        <w:ind w:left="238" w:right="222"/>
        <w:jc w:val="left"/>
      </w:pPr>
      <w:r>
        <w:rPr>
          <w:rFonts w:ascii="宋体" w:hAnsi="宋体" w:cs="宋体" w:eastAsia="宋体" w:hint="default"/>
        </w:rPr>
        <w:t>(1)</w:t>
      </w:r>
      <w:r>
        <w:rPr>
          <w:rFonts w:ascii="宋体" w:hAnsi="宋体" w:cs="宋体" w:eastAsia="宋体" w:hint="default"/>
          <w:spacing w:val="6"/>
        </w:rPr>
        <w:t> </w:t>
      </w:r>
      <w:r>
        <w:rPr/>
        <w:t>在建工程同时满足经济利益很可能流入、成本能够可靠计量则予以确认。在建工程按建造该</w:t>
      </w:r>
      <w:r>
        <w:rPr>
          <w:w w:val="100"/>
        </w:rPr>
        <w:t> </w:t>
      </w:r>
      <w:r>
        <w:rPr/>
        <w:t>项资产达到预定可使用状态前所发生的实际成本计量。</w:t>
      </w:r>
    </w:p>
    <w:p>
      <w:pPr>
        <w:pStyle w:val="BodyText"/>
        <w:spacing w:line="357" w:lineRule="auto" w:before="32"/>
        <w:ind w:left="238" w:right="228"/>
        <w:jc w:val="both"/>
      </w:pPr>
      <w:r>
        <w:rPr>
          <w:rFonts w:ascii="宋体" w:hAnsi="宋体" w:cs="宋体" w:eastAsia="宋体" w:hint="default"/>
        </w:rPr>
        <w:t>(2)</w:t>
      </w:r>
      <w:r>
        <w:rPr>
          <w:rFonts w:ascii="宋体" w:hAnsi="宋体" w:cs="宋体" w:eastAsia="宋体" w:hint="default"/>
          <w:spacing w:val="6"/>
        </w:rPr>
        <w:t> </w:t>
      </w:r>
      <w:r>
        <w:rPr/>
        <w:t>在建工程达到预定可使用状态时，按工程实际成本转入固定资产。已达到预定可使用状态但</w:t>
      </w:r>
      <w:r>
        <w:rPr>
          <w:w w:val="100"/>
        </w:rPr>
        <w:t> </w:t>
      </w:r>
      <w:r>
        <w:rPr>
          <w:spacing w:val="-1"/>
        </w:rPr>
        <w:t>尚未办理竣工决算的，先按估计价值转入固定资产，待办理竣工决算后再按实际成本调整原暂估</w:t>
      </w:r>
      <w:r>
        <w:rPr>
          <w:spacing w:val="-55"/>
        </w:rPr>
        <w:t> </w:t>
      </w:r>
      <w:r>
        <w:rPr>
          <w:spacing w:val="-55"/>
        </w:rPr>
      </w:r>
      <w:r>
        <w:rPr/>
        <w:t>价值，但不再调整原已计提的折旧。</w:t>
      </w:r>
    </w:p>
    <w:p>
      <w:pPr>
        <w:pStyle w:val="Heading4"/>
        <w:spacing w:line="240" w:lineRule="auto" w:before="90"/>
        <w:ind w:left="238" w:right="0"/>
        <w:jc w:val="both"/>
        <w:rPr>
          <w:b w:val="0"/>
          <w:bCs w:val="0"/>
        </w:rPr>
      </w:pPr>
      <w:r>
        <w:rPr>
          <w:rFonts w:ascii="Calibri" w:hAnsi="Calibri" w:cs="Calibri" w:eastAsia="Calibri" w:hint="default"/>
        </w:rPr>
        <w:t>18.  </w:t>
      </w:r>
      <w:r>
        <w:rPr>
          <w:rFonts w:ascii="Calibri" w:hAnsi="Calibri" w:cs="Calibri" w:eastAsia="Calibri" w:hint="default"/>
          <w:spacing w:val="13"/>
        </w:rPr>
        <w:t> </w:t>
      </w:r>
      <w:r>
        <w:rPr/>
        <w:t>借款费用</w:t>
      </w:r>
      <w:r>
        <w:rPr>
          <w:b w:val="0"/>
          <w:bCs w:val="0"/>
        </w:rPr>
      </w:r>
    </w:p>
    <w:p>
      <w:pPr>
        <w:pStyle w:val="BodyText"/>
        <w:spacing w:line="355" w:lineRule="auto" w:before="166"/>
        <w:ind w:left="658" w:right="222" w:hanging="420"/>
        <w:jc w:val="left"/>
      </w:pPr>
      <w:r>
        <w:rPr>
          <w:rFonts w:ascii="宋体" w:hAnsi="宋体" w:cs="宋体" w:eastAsia="宋体" w:hint="default"/>
        </w:rPr>
        <w:t>(1) </w:t>
      </w:r>
      <w:r>
        <w:rPr/>
        <w:t>借款费用资本化的确认原则</w:t>
      </w:r>
      <w:r>
        <w:rPr>
          <w:w w:val="100"/>
        </w:rPr>
        <w:t> </w:t>
      </w:r>
      <w:r>
        <w:rPr>
          <w:spacing w:val="-7"/>
          <w:w w:val="100"/>
        </w:rPr>
        <w:t>公司发生的借款费用，可直接归属于符合资本化条件的资产的购建或者生产的，予以资本化，</w:t>
      </w:r>
    </w:p>
    <w:p>
      <w:pPr>
        <w:pStyle w:val="BodyText"/>
        <w:spacing w:line="355" w:lineRule="auto" w:before="35"/>
        <w:ind w:left="238" w:right="1909"/>
        <w:jc w:val="left"/>
      </w:pPr>
      <w:r>
        <w:rPr>
          <w:spacing w:val="-2"/>
        </w:rPr>
        <w:t>计入相关资产成本；其他借款费用，在发生时确认为费用，计入当期损益。</w:t>
      </w:r>
      <w:r>
        <w:rPr>
          <w:spacing w:val="-42"/>
        </w:rPr>
        <w:t> </w:t>
      </w:r>
      <w:r>
        <w:rPr>
          <w:spacing w:val="-42"/>
        </w:rPr>
      </w:r>
      <w:r>
        <w:rPr>
          <w:rFonts w:ascii="宋体" w:hAnsi="宋体" w:cs="宋体" w:eastAsia="宋体" w:hint="default"/>
        </w:rPr>
        <w:t>(2) </w:t>
      </w:r>
      <w:r>
        <w:rPr/>
        <w:t>借款费用资本化期间</w:t>
      </w:r>
    </w:p>
    <w:p>
      <w:pPr>
        <w:spacing w:after="0" w:line="355" w:lineRule="auto"/>
        <w:jc w:val="left"/>
        <w:sectPr>
          <w:pgSz w:w="11910" w:h="16840"/>
          <w:pgMar w:header="882" w:footer="1195" w:top="1120" w:bottom="1380" w:left="1560" w:right="1040"/>
        </w:sectPr>
      </w:pPr>
    </w:p>
    <w:p>
      <w:pPr>
        <w:spacing w:line="240" w:lineRule="auto" w:before="1"/>
        <w:rPr>
          <w:rFonts w:ascii="宋体" w:hAnsi="宋体" w:cs="宋体" w:eastAsia="宋体" w:hint="default"/>
          <w:sz w:val="25"/>
          <w:szCs w:val="25"/>
        </w:rPr>
      </w:pPr>
    </w:p>
    <w:p>
      <w:pPr>
        <w:pStyle w:val="BodyText"/>
        <w:spacing w:line="357" w:lineRule="auto" w:before="36"/>
        <w:ind w:left="138" w:right="108" w:firstLine="419"/>
        <w:jc w:val="left"/>
      </w:pPr>
      <w:r>
        <w:rPr>
          <w:rFonts w:ascii="宋体" w:hAnsi="宋体" w:cs="宋体" w:eastAsia="宋体" w:hint="default"/>
          <w:spacing w:val="-5"/>
        </w:rPr>
        <w:t>1</w:t>
      </w:r>
      <w:r>
        <w:rPr>
          <w:spacing w:val="-5"/>
        </w:rPr>
        <w:t>）当借款费用同时满足下列条件时，开始资本化：Ⅰ</w:t>
      </w:r>
      <w:r>
        <w:rPr>
          <w:rFonts w:ascii="宋体" w:hAnsi="宋体" w:cs="宋体" w:eastAsia="宋体" w:hint="default"/>
          <w:spacing w:val="-5"/>
        </w:rPr>
        <w:t>) </w:t>
      </w:r>
      <w:r>
        <w:rPr>
          <w:spacing w:val="-4"/>
        </w:rPr>
        <w:t>资产支出已经发生；Ⅱ</w:t>
      </w:r>
      <w:r>
        <w:rPr>
          <w:rFonts w:ascii="宋体" w:hAnsi="宋体" w:cs="宋体" w:eastAsia="宋体" w:hint="default"/>
          <w:spacing w:val="-4"/>
        </w:rPr>
        <w:t>)</w:t>
      </w:r>
      <w:r>
        <w:rPr>
          <w:rFonts w:ascii="宋体" w:hAnsi="宋体" w:cs="宋体" w:eastAsia="宋体" w:hint="default"/>
          <w:spacing w:val="69"/>
        </w:rPr>
        <w:t> </w:t>
      </w:r>
      <w:r>
        <w:rPr/>
        <w:t>借款费用已</w:t>
      </w:r>
      <w:r>
        <w:rPr>
          <w:w w:val="100"/>
        </w:rPr>
        <w:t> </w:t>
      </w:r>
      <w:r>
        <w:rPr/>
        <w:t>经发生；Ⅲ</w:t>
      </w:r>
      <w:r>
        <w:rPr>
          <w:rFonts w:ascii="宋体" w:hAnsi="宋体" w:cs="宋体" w:eastAsia="宋体" w:hint="default"/>
        </w:rPr>
        <w:t>)</w:t>
      </w:r>
      <w:r>
        <w:rPr>
          <w:rFonts w:ascii="宋体" w:hAnsi="宋体" w:cs="宋体" w:eastAsia="宋体" w:hint="default"/>
          <w:spacing w:val="-5"/>
        </w:rPr>
        <w:t> </w:t>
      </w:r>
      <w:r>
        <w:rPr/>
        <w:t>为使资产达到预定可使用或可销售状态所必要的购建或者生产活动已经开始。</w:t>
      </w:r>
    </w:p>
    <w:p>
      <w:pPr>
        <w:pStyle w:val="BodyText"/>
        <w:spacing w:line="240" w:lineRule="auto" w:before="30"/>
        <w:ind w:left="558" w:right="108"/>
        <w:jc w:val="left"/>
      </w:pPr>
      <w:r>
        <w:rPr>
          <w:rFonts w:ascii="宋体" w:hAnsi="宋体" w:cs="宋体" w:eastAsia="宋体" w:hint="default"/>
          <w:spacing w:val="-4"/>
        </w:rPr>
        <w:t>2</w:t>
      </w:r>
      <w:r>
        <w:rPr>
          <w:spacing w:val="-4"/>
        </w:rPr>
        <w:t>）若符合资本化条件的资产在购建或者生产过程中发生非正常中断，并且中断时间连续超过</w:t>
      </w:r>
    </w:p>
    <w:p>
      <w:pPr>
        <w:pStyle w:val="BodyText"/>
        <w:spacing w:line="355" w:lineRule="auto" w:before="133"/>
        <w:ind w:left="138" w:right="208"/>
        <w:jc w:val="both"/>
      </w:pPr>
      <w:r>
        <w:rPr>
          <w:rFonts w:ascii="宋体" w:hAnsi="宋体" w:cs="宋体" w:eastAsia="宋体" w:hint="default"/>
        </w:rPr>
        <w:t>3</w:t>
      </w:r>
      <w:r>
        <w:rPr>
          <w:rFonts w:ascii="宋体" w:hAnsi="宋体" w:cs="宋体" w:eastAsia="宋体" w:hint="default"/>
          <w:spacing w:val="6"/>
        </w:rPr>
        <w:t> </w:t>
      </w:r>
      <w:r>
        <w:rPr/>
        <w:t>个月，暂停借款费用的资本化；中断期间发生的借款费用确认为当期费用，直至资产的购建或</w:t>
      </w:r>
      <w:r>
        <w:rPr>
          <w:w w:val="100"/>
        </w:rPr>
        <w:t> </w:t>
      </w:r>
      <w:r>
        <w:rPr/>
        <w:t>者生产活动重新开始。</w:t>
      </w:r>
    </w:p>
    <w:p>
      <w:pPr>
        <w:pStyle w:val="BodyText"/>
        <w:spacing w:line="357" w:lineRule="auto" w:before="32"/>
        <w:ind w:left="138" w:right="108" w:firstLine="419"/>
        <w:jc w:val="left"/>
      </w:pPr>
      <w:r>
        <w:rPr>
          <w:rFonts w:ascii="宋体" w:hAnsi="宋体" w:cs="宋体" w:eastAsia="宋体" w:hint="default"/>
          <w:spacing w:val="-4"/>
        </w:rPr>
        <w:t>3</w:t>
      </w:r>
      <w:r>
        <w:rPr>
          <w:spacing w:val="-4"/>
        </w:rPr>
        <w:t>）当所购建或者生产符合资本化条件的资产达到预定可使用或可销售状态时，借款费用停止</w:t>
      </w:r>
      <w:r>
        <w:rPr>
          <w:w w:val="100"/>
        </w:rPr>
        <w:t> </w:t>
      </w:r>
      <w:r>
        <w:rPr/>
        <w:t>资本化。</w:t>
      </w:r>
    </w:p>
    <w:p>
      <w:pPr>
        <w:pStyle w:val="BodyText"/>
        <w:spacing w:line="357" w:lineRule="auto" w:before="30"/>
        <w:ind w:left="558" w:right="108" w:hanging="420"/>
        <w:jc w:val="left"/>
      </w:pPr>
      <w:r>
        <w:rPr>
          <w:rFonts w:ascii="宋体" w:hAnsi="宋体" w:cs="宋体" w:eastAsia="宋体" w:hint="default"/>
        </w:rPr>
        <w:t>(3)</w:t>
      </w:r>
      <w:r>
        <w:rPr>
          <w:rFonts w:ascii="宋体" w:hAnsi="宋体" w:cs="宋体" w:eastAsia="宋体" w:hint="default"/>
          <w:spacing w:val="-1"/>
        </w:rPr>
        <w:t> </w:t>
      </w:r>
      <w:r>
        <w:rPr/>
        <w:t>借款费用资本化率以及资本化金额</w:t>
      </w:r>
      <w:r>
        <w:rPr>
          <w:w w:val="100"/>
        </w:rPr>
        <w:t> </w:t>
      </w:r>
      <w:r>
        <w:rPr>
          <w:spacing w:val="-2"/>
        </w:rPr>
        <w:t>为购建或者生产符合资本化条件的资产而借入专门借款的，以专门借款当期实际发生的利息</w:t>
      </w:r>
    </w:p>
    <w:p>
      <w:pPr>
        <w:pStyle w:val="BodyText"/>
        <w:spacing w:line="357" w:lineRule="auto" w:before="30"/>
        <w:ind w:left="138" w:right="208"/>
        <w:jc w:val="both"/>
      </w:pPr>
      <w:r>
        <w:rPr>
          <w:spacing w:val="-1"/>
        </w:rPr>
        <w:t>费用</w:t>
      </w:r>
      <w:r>
        <w:rPr>
          <w:rFonts w:ascii="宋体" w:hAnsi="宋体" w:cs="宋体" w:eastAsia="宋体" w:hint="default"/>
          <w:spacing w:val="-1"/>
        </w:rPr>
        <w:t>(</w:t>
      </w:r>
      <w:r>
        <w:rPr>
          <w:spacing w:val="-1"/>
        </w:rPr>
        <w:t>包括按照实际利率法确定的折价或溢价的摊销</w:t>
      </w:r>
      <w:r>
        <w:rPr>
          <w:rFonts w:ascii="宋体" w:hAnsi="宋体" w:cs="宋体" w:eastAsia="宋体" w:hint="default"/>
          <w:spacing w:val="-1"/>
        </w:rPr>
        <w:t>)</w:t>
      </w:r>
      <w:r>
        <w:rPr>
          <w:spacing w:val="-1"/>
        </w:rPr>
        <w:t>，减去将尚未动用的借款资金存入银行取得</w:t>
      </w:r>
      <w:r>
        <w:rPr>
          <w:spacing w:val="-56"/>
        </w:rPr>
        <w:t> </w:t>
      </w:r>
      <w:r>
        <w:rPr>
          <w:spacing w:val="-56"/>
        </w:rPr>
      </w:r>
      <w:r>
        <w:rPr>
          <w:spacing w:val="-1"/>
        </w:rPr>
        <w:t>的利息收入或进行暂时性投资取得的投资收益后的金额，确定应予资本化的利息金额；为购建或</w:t>
      </w:r>
      <w:r>
        <w:rPr>
          <w:spacing w:val="-55"/>
        </w:rPr>
        <w:t> </w:t>
      </w:r>
      <w:r>
        <w:rPr>
          <w:spacing w:val="-55"/>
        </w:rPr>
      </w:r>
      <w:r>
        <w:rPr>
          <w:spacing w:val="-1"/>
        </w:rPr>
        <w:t>者生产符合资本化条件的资产占用了一般借款的，根据累计资产支出超过专门借款的资产支出加</w:t>
      </w:r>
      <w:r>
        <w:rPr>
          <w:spacing w:val="-55"/>
        </w:rPr>
        <w:t> </w:t>
      </w:r>
      <w:r>
        <w:rPr>
          <w:spacing w:val="-55"/>
        </w:rPr>
      </w:r>
      <w:r>
        <w:rPr/>
        <w:t>权平均数乘以占用一般借款的资本化率，计算确定一般借款应予资本化的利息金额。</w:t>
      </w:r>
    </w:p>
    <w:p>
      <w:pPr>
        <w:pStyle w:val="Heading4"/>
        <w:spacing w:line="240" w:lineRule="auto" w:before="90"/>
        <w:ind w:left="138" w:right="0"/>
        <w:jc w:val="both"/>
        <w:rPr>
          <w:b w:val="0"/>
          <w:bCs w:val="0"/>
        </w:rPr>
      </w:pPr>
      <w:r>
        <w:rPr>
          <w:rFonts w:ascii="Calibri" w:hAnsi="Calibri" w:cs="Calibri" w:eastAsia="Calibri" w:hint="default"/>
        </w:rPr>
        <w:t>19.  </w:t>
      </w:r>
      <w:r>
        <w:rPr>
          <w:rFonts w:ascii="Calibri" w:hAnsi="Calibri" w:cs="Calibri" w:eastAsia="Calibri" w:hint="default"/>
          <w:spacing w:val="13"/>
        </w:rPr>
        <w:t> </w:t>
      </w:r>
      <w:r>
        <w:rPr/>
        <w:t>生物资产</w:t>
      </w:r>
      <w:r>
        <w:rPr>
          <w:b w:val="0"/>
          <w:bCs w:val="0"/>
        </w:rPr>
      </w:r>
    </w:p>
    <w:p>
      <w:pPr>
        <w:spacing w:line="240" w:lineRule="auto" w:before="5"/>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pStyle w:val="Heading4"/>
        <w:spacing w:line="240" w:lineRule="auto" w:before="37"/>
        <w:ind w:left="138" w:right="108"/>
        <w:jc w:val="left"/>
        <w:rPr>
          <w:b w:val="0"/>
          <w:bCs w:val="0"/>
        </w:rPr>
      </w:pPr>
      <w:r>
        <w:rPr>
          <w:rFonts w:ascii="Calibri" w:hAnsi="Calibri" w:cs="Calibri" w:eastAsia="Calibri" w:hint="default"/>
        </w:rPr>
        <w:t>20.  </w:t>
      </w:r>
      <w:r>
        <w:rPr>
          <w:rFonts w:ascii="Calibri" w:hAnsi="Calibri" w:cs="Calibri" w:eastAsia="Calibri" w:hint="default"/>
          <w:spacing w:val="13"/>
        </w:rPr>
        <w:t> </w:t>
      </w:r>
      <w:r>
        <w:rPr/>
        <w:t>油气资产</w:t>
      </w:r>
      <w:r>
        <w:rPr>
          <w:b w:val="0"/>
          <w:bCs w:val="0"/>
        </w:rPr>
      </w:r>
    </w:p>
    <w:p>
      <w:pPr>
        <w:spacing w:line="240" w:lineRule="auto" w:before="5"/>
        <w:rPr>
          <w:rFonts w:ascii="宋体" w:hAnsi="宋体" w:cs="宋体" w:eastAsia="宋体" w:hint="default"/>
          <w:b/>
          <w:bCs/>
          <w:sz w:val="23"/>
          <w:szCs w:val="23"/>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32.2pt;height:.65pt;mso-position-horizontal-relative:char;mso-position-vertical-relative:line" coordorigin="0,0" coordsize="644,13">
            <v:group style="position:absolute;left:6;top:6;width:632;height:2" coordorigin="6,6" coordsize="632,2">
              <v:shape style="position:absolute;left:6;top:6;width:632;height:2" coordorigin="6,6" coordsize="632,0" path="m6,6l637,6e" filled="false" stroked="true" strokeweight=".623990pt" strokecolor="#333399">
                <v:path arrowok="t"/>
              </v:shape>
            </v:group>
          </v:group>
        </w:pict>
      </w:r>
      <w:r>
        <w:rPr>
          <w:rFonts w:ascii="宋体" w:hAnsi="宋体" w:cs="宋体" w:eastAsia="宋体" w:hint="default"/>
          <w:sz w:val="2"/>
          <w:szCs w:val="2"/>
        </w:rPr>
      </w:r>
    </w:p>
    <w:p>
      <w:pPr>
        <w:pStyle w:val="Heading4"/>
        <w:spacing w:line="240" w:lineRule="auto" w:before="37"/>
        <w:ind w:left="138" w:right="108"/>
        <w:jc w:val="left"/>
        <w:rPr>
          <w:b w:val="0"/>
          <w:bCs w:val="0"/>
        </w:rPr>
      </w:pPr>
      <w:r>
        <w:rPr>
          <w:rFonts w:ascii="Calibri" w:hAnsi="Calibri" w:cs="Calibri" w:eastAsia="Calibri" w:hint="default"/>
        </w:rPr>
        <w:t>21.  </w:t>
      </w:r>
      <w:r>
        <w:rPr>
          <w:rFonts w:ascii="Calibri" w:hAnsi="Calibri" w:cs="Calibri" w:eastAsia="Calibri" w:hint="default"/>
          <w:spacing w:val="13"/>
        </w:rPr>
        <w:t> </w:t>
      </w:r>
      <w:r>
        <w:rPr/>
        <w:t>无形资产</w:t>
      </w:r>
      <w:r>
        <w:rPr>
          <w:b w:val="0"/>
          <w:bCs w:val="0"/>
        </w:rPr>
      </w:r>
    </w:p>
    <w:p>
      <w:pPr>
        <w:pStyle w:val="Heading4"/>
        <w:spacing w:line="240" w:lineRule="auto" w:before="32"/>
        <w:ind w:left="138" w:right="108"/>
        <w:jc w:val="left"/>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58" w:right="108"/>
        <w:jc w:val="left"/>
      </w:pPr>
      <w:r>
        <w:rPr>
          <w:rFonts w:ascii="宋体" w:hAnsi="宋体" w:cs="宋体" w:eastAsia="宋体" w:hint="default"/>
        </w:rPr>
        <w:t>1)</w:t>
      </w:r>
      <w:r>
        <w:rPr>
          <w:rFonts w:ascii="宋体" w:hAnsi="宋体" w:cs="宋体" w:eastAsia="宋体" w:hint="default"/>
          <w:spacing w:val="-8"/>
        </w:rPr>
        <w:t> </w:t>
      </w:r>
      <w:r>
        <w:rPr/>
        <w:t>无形资产包括土地使用权、专利权及非专利技术等，按成本进行初始计量。</w:t>
      </w:r>
    </w:p>
    <w:p>
      <w:pPr>
        <w:pStyle w:val="BodyText"/>
        <w:spacing w:line="355" w:lineRule="auto" w:before="133"/>
        <w:ind w:left="138" w:right="205" w:firstLine="419"/>
        <w:jc w:val="left"/>
      </w:pPr>
      <w:r>
        <w:rPr>
          <w:rFonts w:ascii="宋体" w:hAnsi="宋体" w:cs="宋体" w:eastAsia="宋体" w:hint="default"/>
          <w:w w:val="100"/>
        </w:rPr>
        <w:t>2)</w:t>
      </w:r>
      <w:r>
        <w:rPr>
          <w:rFonts w:ascii="宋体" w:hAnsi="宋体" w:cs="宋体" w:eastAsia="宋体" w:hint="default"/>
          <w:spacing w:val="6"/>
          <w:w w:val="100"/>
        </w:rPr>
        <w:t> </w:t>
      </w:r>
      <w:r>
        <w:rPr>
          <w:spacing w:val="-4"/>
          <w:w w:val="100"/>
        </w:rPr>
        <w:t>使用寿命有限的无形资产，在使用寿命内按照与该项无形资产有关的经济利益的预期实现</w:t>
      </w:r>
      <w:r>
        <w:rPr>
          <w:w w:val="100"/>
        </w:rPr>
        <w:t> </w:t>
      </w:r>
      <w:r>
        <w:rPr/>
        <w:t>方式系统合理地摊销，无法可靠确定预期实现方式的，采用直线法摊销。具体年限如下：</w:t>
      </w:r>
    </w:p>
    <w:p>
      <w:pPr>
        <w:spacing w:line="240" w:lineRule="auto" w:before="1"/>
        <w:rPr>
          <w:rFonts w:ascii="宋体" w:hAnsi="宋体" w:cs="宋体" w:eastAsia="宋体" w:hint="default"/>
          <w:sz w:val="5"/>
          <w:szCs w:val="5"/>
        </w:rPr>
      </w:pPr>
    </w:p>
    <w:tbl>
      <w:tblPr>
        <w:tblW w:w="0" w:type="auto"/>
        <w:jc w:val="left"/>
        <w:tblInd w:w="545" w:type="dxa"/>
        <w:tblLayout w:type="fixed"/>
        <w:tblCellMar>
          <w:top w:w="0" w:type="dxa"/>
          <w:left w:w="0" w:type="dxa"/>
          <w:bottom w:w="0" w:type="dxa"/>
          <w:right w:w="0" w:type="dxa"/>
        </w:tblCellMar>
        <w:tblLook w:val="01E0"/>
      </w:tblPr>
      <w:tblGrid>
        <w:gridCol w:w="2564"/>
        <w:gridCol w:w="2554"/>
      </w:tblGrid>
      <w:tr>
        <w:trPr>
          <w:trHeight w:val="362" w:hRule="exact"/>
        </w:trPr>
        <w:tc>
          <w:tcPr>
            <w:tcW w:w="256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
              <w:ind w:left="33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2"/>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401" w:hRule="exact"/>
        </w:trPr>
        <w:tc>
          <w:tcPr>
            <w:tcW w:w="2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9"/>
              <w:jc w:val="center"/>
              <w:rPr>
                <w:rFonts w:ascii="宋体" w:hAnsi="宋体" w:cs="宋体" w:eastAsia="宋体" w:hint="default"/>
                <w:sz w:val="21"/>
                <w:szCs w:val="21"/>
              </w:rPr>
            </w:pPr>
            <w:r>
              <w:rPr>
                <w:rFonts w:ascii="宋体"/>
                <w:sz w:val="21"/>
              </w:rPr>
              <w:t>50</w:t>
            </w:r>
          </w:p>
        </w:tc>
      </w:tr>
      <w:tr>
        <w:trPr>
          <w:trHeight w:val="423" w:hRule="exact"/>
        </w:trPr>
        <w:tc>
          <w:tcPr>
            <w:tcW w:w="2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0"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9"/>
              <w:jc w:val="center"/>
              <w:rPr>
                <w:rFonts w:ascii="宋体" w:hAnsi="宋体" w:cs="宋体" w:eastAsia="宋体" w:hint="default"/>
                <w:sz w:val="21"/>
                <w:szCs w:val="21"/>
              </w:rPr>
            </w:pPr>
            <w:r>
              <w:rPr>
                <w:rFonts w:ascii="宋体"/>
                <w:sz w:val="21"/>
              </w:rPr>
              <w:t>10</w:t>
            </w:r>
          </w:p>
        </w:tc>
      </w:tr>
      <w:tr>
        <w:trPr>
          <w:trHeight w:val="427" w:hRule="exact"/>
        </w:trPr>
        <w:tc>
          <w:tcPr>
            <w:tcW w:w="2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0"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9"/>
              <w:jc w:val="center"/>
              <w:rPr>
                <w:rFonts w:ascii="宋体" w:hAnsi="宋体" w:cs="宋体" w:eastAsia="宋体" w:hint="default"/>
                <w:sz w:val="21"/>
                <w:szCs w:val="21"/>
              </w:rPr>
            </w:pPr>
            <w:r>
              <w:rPr>
                <w:rFonts w:ascii="宋体"/>
                <w:sz w:val="21"/>
              </w:rPr>
              <w:t>10</w:t>
            </w:r>
          </w:p>
        </w:tc>
      </w:tr>
      <w:tr>
        <w:trPr>
          <w:trHeight w:val="434" w:hRule="exact"/>
        </w:trPr>
        <w:tc>
          <w:tcPr>
            <w:tcW w:w="2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0"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9"/>
              <w:jc w:val="center"/>
              <w:rPr>
                <w:rFonts w:ascii="宋体" w:hAnsi="宋体" w:cs="宋体" w:eastAsia="宋体" w:hint="default"/>
                <w:sz w:val="21"/>
                <w:szCs w:val="21"/>
              </w:rPr>
            </w:pPr>
            <w:r>
              <w:rPr>
                <w:rFonts w:ascii="宋体"/>
                <w:w w:val="100"/>
                <w:sz w:val="21"/>
              </w:rPr>
              <w:t>5</w:t>
            </w:r>
          </w:p>
        </w:tc>
      </w:tr>
      <w:tr>
        <w:trPr>
          <w:trHeight w:val="425" w:hRule="exact"/>
        </w:trPr>
        <w:tc>
          <w:tcPr>
            <w:tcW w:w="2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3"/>
              <w:jc w:val="center"/>
              <w:rPr>
                <w:rFonts w:ascii="宋体" w:hAnsi="宋体" w:cs="宋体" w:eastAsia="宋体" w:hint="default"/>
                <w:sz w:val="21"/>
                <w:szCs w:val="21"/>
              </w:rPr>
            </w:pPr>
            <w:r>
              <w:rPr>
                <w:rFonts w:ascii="宋体"/>
                <w:sz w:val="21"/>
              </w:rPr>
              <w:t>5-10</w:t>
            </w:r>
          </w:p>
        </w:tc>
      </w:tr>
      <w:tr>
        <w:trPr>
          <w:trHeight w:val="418" w:hRule="exact"/>
        </w:trPr>
        <w:tc>
          <w:tcPr>
            <w:tcW w:w="2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0"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3"/>
              <w:jc w:val="center"/>
              <w:rPr>
                <w:rFonts w:ascii="宋体" w:hAnsi="宋体" w:cs="宋体" w:eastAsia="宋体" w:hint="default"/>
                <w:sz w:val="21"/>
                <w:szCs w:val="21"/>
              </w:rPr>
            </w:pPr>
            <w:r>
              <w:rPr>
                <w:rFonts w:ascii="宋体"/>
                <w:sz w:val="21"/>
              </w:rPr>
              <w:t>5-10</w:t>
            </w:r>
          </w:p>
        </w:tc>
      </w:tr>
    </w:tbl>
    <w:p>
      <w:pPr>
        <w:spacing w:line="240" w:lineRule="auto" w:before="0"/>
        <w:rPr>
          <w:rFonts w:ascii="宋体" w:hAnsi="宋体" w:cs="宋体" w:eastAsia="宋体" w:hint="default"/>
          <w:sz w:val="20"/>
          <w:szCs w:val="20"/>
        </w:rPr>
      </w:pPr>
    </w:p>
    <w:p>
      <w:pPr>
        <w:spacing w:line="408" w:lineRule="auto" w:before="174"/>
        <w:ind w:left="558" w:right="10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0"/>
          <w:sz w:val="21"/>
          <w:szCs w:val="21"/>
        </w:rPr>
        <w:t> </w:t>
      </w:r>
      <w:r>
        <w:rPr>
          <w:rFonts w:ascii="宋体" w:hAnsi="宋体" w:cs="宋体" w:eastAsia="宋体" w:hint="default"/>
          <w:b/>
          <w:bCs/>
          <w:sz w:val="21"/>
          <w:szCs w:val="21"/>
        </w:rPr>
        <w:t>内部研究开发支出会计政策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内部研究开发项目研究阶段的支出，于发生时计入当期损益。内部研究开发项目开发阶段的</w:t>
      </w:r>
    </w:p>
    <w:p>
      <w:pPr>
        <w:pStyle w:val="BodyText"/>
        <w:spacing w:line="261" w:lineRule="exact"/>
        <w:ind w:left="138" w:right="108"/>
        <w:jc w:val="left"/>
      </w:pPr>
      <w:r>
        <w:rPr>
          <w:spacing w:val="-6"/>
        </w:rPr>
        <w:t>支出，同时满足下列条件的，确认为无形资产：</w:t>
      </w:r>
      <w:r>
        <w:rPr>
          <w:rFonts w:ascii="宋体" w:hAnsi="宋体" w:cs="宋体" w:eastAsia="宋体" w:hint="default"/>
          <w:spacing w:val="-6"/>
        </w:rPr>
        <w:t>1)</w:t>
      </w:r>
      <w:r>
        <w:rPr>
          <w:rFonts w:ascii="宋体" w:hAnsi="宋体" w:cs="宋体" w:eastAsia="宋体" w:hint="default"/>
          <w:spacing w:val="38"/>
        </w:rPr>
        <w:t> </w:t>
      </w:r>
      <w:r>
        <w:rPr/>
        <w:t>完成该无形资产以使其能够使用或出售在技术</w:t>
      </w:r>
    </w:p>
    <w:p>
      <w:pPr>
        <w:pStyle w:val="BodyText"/>
        <w:spacing w:line="240" w:lineRule="auto" w:before="133"/>
        <w:ind w:left="138" w:right="0"/>
        <w:jc w:val="left"/>
      </w:pPr>
      <w:r>
        <w:rPr>
          <w:w w:val="100"/>
        </w:rPr>
        <w:t>上具</w:t>
      </w:r>
      <w:r>
        <w:rPr>
          <w:spacing w:val="-3"/>
          <w:w w:val="100"/>
        </w:rPr>
        <w:t>有</w:t>
      </w:r>
      <w:r>
        <w:rPr>
          <w:w w:val="100"/>
        </w:rPr>
        <w:t>可</w:t>
      </w:r>
      <w:r>
        <w:rPr>
          <w:spacing w:val="-3"/>
          <w:w w:val="100"/>
        </w:rPr>
        <w:t>行</w:t>
      </w:r>
      <w:r>
        <w:rPr>
          <w:w w:val="100"/>
        </w:rPr>
        <w:t>性</w:t>
      </w:r>
      <w:r>
        <w:rPr>
          <w:spacing w:val="-102"/>
          <w:w w:val="100"/>
        </w:rPr>
        <w:t>；</w:t>
      </w:r>
      <w:r>
        <w:rPr>
          <w:rFonts w:ascii="宋体" w:hAnsi="宋体" w:cs="宋体" w:eastAsia="宋体" w:hint="default"/>
          <w:w w:val="100"/>
        </w:rPr>
        <w:t>2)</w:t>
      </w:r>
      <w:r>
        <w:rPr>
          <w:rFonts w:ascii="宋体" w:hAnsi="宋体" w:cs="宋体" w:eastAsia="宋体" w:hint="default"/>
          <w:spacing w:val="-2"/>
        </w:rPr>
        <w:t> </w:t>
      </w:r>
      <w:r>
        <w:rPr>
          <w:w w:val="100"/>
        </w:rPr>
        <w:t>具</w:t>
      </w:r>
      <w:r>
        <w:rPr>
          <w:spacing w:val="-3"/>
          <w:w w:val="100"/>
        </w:rPr>
        <w:t>有完</w:t>
      </w:r>
      <w:r>
        <w:rPr>
          <w:w w:val="100"/>
        </w:rPr>
        <w:t>成该</w:t>
      </w:r>
      <w:r>
        <w:rPr>
          <w:spacing w:val="-3"/>
          <w:w w:val="100"/>
        </w:rPr>
        <w:t>无</w:t>
      </w:r>
      <w:r>
        <w:rPr>
          <w:w w:val="100"/>
        </w:rPr>
        <w:t>形</w:t>
      </w:r>
      <w:r>
        <w:rPr>
          <w:spacing w:val="-3"/>
          <w:w w:val="100"/>
        </w:rPr>
        <w:t>资</w:t>
      </w:r>
      <w:r>
        <w:rPr>
          <w:w w:val="100"/>
        </w:rPr>
        <w:t>产</w:t>
      </w:r>
      <w:r>
        <w:rPr>
          <w:spacing w:val="-3"/>
          <w:w w:val="100"/>
        </w:rPr>
        <w:t>并</w:t>
      </w:r>
      <w:r>
        <w:rPr>
          <w:w w:val="100"/>
        </w:rPr>
        <w:t>使</w:t>
      </w:r>
      <w:r>
        <w:rPr>
          <w:spacing w:val="-3"/>
          <w:w w:val="100"/>
        </w:rPr>
        <w:t>用</w:t>
      </w:r>
      <w:r>
        <w:rPr>
          <w:w w:val="100"/>
        </w:rPr>
        <w:t>或</w:t>
      </w:r>
      <w:r>
        <w:rPr>
          <w:spacing w:val="-3"/>
          <w:w w:val="100"/>
        </w:rPr>
        <w:t>出</w:t>
      </w:r>
      <w:r>
        <w:rPr>
          <w:w w:val="100"/>
        </w:rPr>
        <w:t>售的</w:t>
      </w:r>
      <w:r>
        <w:rPr>
          <w:spacing w:val="-3"/>
          <w:w w:val="100"/>
        </w:rPr>
        <w:t>意</w:t>
      </w:r>
      <w:r>
        <w:rPr>
          <w:spacing w:val="-2"/>
          <w:w w:val="100"/>
        </w:rPr>
        <w:t>图</w:t>
      </w:r>
      <w:r>
        <w:rPr>
          <w:spacing w:val="7"/>
          <w:w w:val="100"/>
        </w:rPr>
        <w:t>；</w:t>
      </w:r>
      <w:r>
        <w:rPr>
          <w:rFonts w:ascii="宋体" w:hAnsi="宋体" w:cs="宋体" w:eastAsia="宋体" w:hint="default"/>
          <w:w w:val="100"/>
        </w:rPr>
        <w:t>3)</w:t>
      </w:r>
      <w:r>
        <w:rPr>
          <w:rFonts w:ascii="宋体" w:hAnsi="宋体" w:cs="宋体" w:eastAsia="宋体" w:hint="default"/>
          <w:spacing w:val="-2"/>
        </w:rPr>
        <w:t> </w:t>
      </w:r>
      <w:r>
        <w:rPr>
          <w:w w:val="100"/>
        </w:rPr>
        <w:t>无</w:t>
      </w:r>
      <w:r>
        <w:rPr>
          <w:spacing w:val="-3"/>
          <w:w w:val="100"/>
        </w:rPr>
        <w:t>形</w:t>
      </w:r>
      <w:r>
        <w:rPr>
          <w:w w:val="100"/>
        </w:rPr>
        <w:t>资</w:t>
      </w:r>
      <w:r>
        <w:rPr>
          <w:spacing w:val="-3"/>
          <w:w w:val="100"/>
        </w:rPr>
        <w:t>产产</w:t>
      </w:r>
      <w:r>
        <w:rPr>
          <w:w w:val="100"/>
        </w:rPr>
        <w:t>生经</w:t>
      </w:r>
      <w:r>
        <w:rPr>
          <w:spacing w:val="-3"/>
          <w:w w:val="100"/>
        </w:rPr>
        <w:t>济</w:t>
      </w:r>
      <w:r>
        <w:rPr>
          <w:w w:val="100"/>
        </w:rPr>
        <w:t>利</w:t>
      </w:r>
      <w:r>
        <w:rPr>
          <w:spacing w:val="-3"/>
          <w:w w:val="100"/>
        </w:rPr>
        <w:t>益</w:t>
      </w:r>
      <w:r>
        <w:rPr>
          <w:w w:val="100"/>
        </w:rPr>
        <w:t>的</w:t>
      </w:r>
      <w:r>
        <w:rPr>
          <w:spacing w:val="-3"/>
          <w:w w:val="100"/>
        </w:rPr>
        <w:t>方</w:t>
      </w:r>
      <w:r>
        <w:rPr>
          <w:w w:val="100"/>
        </w:rPr>
        <w:t>式，</w:t>
      </w:r>
    </w:p>
    <w:p>
      <w:pPr>
        <w:spacing w:after="0" w:line="240" w:lineRule="auto"/>
        <w:jc w:val="left"/>
        <w:sectPr>
          <w:footerReference w:type="default" r:id="rId34"/>
          <w:pgSz w:w="11910" w:h="16840"/>
          <w:pgMar w:footer="1195" w:header="882" w:top="1120" w:bottom="1380" w:left="1660" w:right="1060"/>
          <w:pgNumType w:start="80"/>
        </w:sectPr>
      </w:pPr>
    </w:p>
    <w:p>
      <w:pPr>
        <w:spacing w:line="240" w:lineRule="auto" w:before="1"/>
        <w:rPr>
          <w:rFonts w:ascii="宋体" w:hAnsi="宋体" w:cs="宋体" w:eastAsia="宋体" w:hint="default"/>
          <w:sz w:val="25"/>
          <w:szCs w:val="25"/>
        </w:rPr>
      </w:pPr>
    </w:p>
    <w:p>
      <w:pPr>
        <w:pStyle w:val="BodyText"/>
        <w:spacing w:line="357" w:lineRule="auto" w:before="36"/>
        <w:ind w:left="0" w:right="128"/>
        <w:jc w:val="right"/>
      </w:pPr>
      <w:r>
        <w:rPr>
          <w:spacing w:val="-1"/>
        </w:rPr>
        <w:t>包括能够证明运用该无形资产生产的产品存在市场或无形资产自身存在市场，无形资产将在内部</w:t>
      </w:r>
      <w:r>
        <w:rPr>
          <w:spacing w:val="-70"/>
        </w:rPr>
        <w:t> </w:t>
      </w:r>
      <w:r>
        <w:rPr>
          <w:spacing w:val="-70"/>
        </w:rPr>
      </w:r>
      <w:r>
        <w:rPr>
          <w:spacing w:val="-5"/>
        </w:rPr>
        <w:t>使用的，能证明其有用性；</w:t>
      </w:r>
      <w:r>
        <w:rPr>
          <w:rFonts w:ascii="宋体" w:hAnsi="宋体" w:cs="宋体" w:eastAsia="宋体" w:hint="default"/>
          <w:spacing w:val="-5"/>
        </w:rPr>
        <w:t>4)</w:t>
      </w:r>
      <w:r>
        <w:rPr>
          <w:rFonts w:ascii="宋体" w:hAnsi="宋体" w:cs="宋体" w:eastAsia="宋体" w:hint="default"/>
          <w:spacing w:val="83"/>
        </w:rPr>
        <w:t> </w:t>
      </w:r>
      <w:r>
        <w:rPr>
          <w:spacing w:val="-4"/>
        </w:rPr>
        <w:t>有足够的技术、财务资源和其他资源支持，以完成该无形资产的开</w:t>
      </w:r>
      <w:r>
        <w:rPr>
          <w:w w:val="100"/>
        </w:rPr>
        <w:t> </w:t>
      </w:r>
      <w:r>
        <w:rPr/>
        <w:t>发，并有能力使用或出售该无形资产；</w:t>
      </w:r>
      <w:r>
        <w:rPr>
          <w:rFonts w:ascii="宋体" w:hAnsi="宋体" w:cs="宋体" w:eastAsia="宋体" w:hint="default"/>
        </w:rPr>
        <w:t>(5)</w:t>
      </w:r>
      <w:r>
        <w:rPr>
          <w:rFonts w:ascii="宋体" w:hAnsi="宋体" w:cs="宋体" w:eastAsia="宋体" w:hint="default"/>
          <w:spacing w:val="-4"/>
        </w:rPr>
        <w:t> </w:t>
      </w:r>
      <w:r>
        <w:rPr/>
        <w:t>归属于该无形资产开发阶段的支出能够可靠地计量。</w:t>
      </w:r>
      <w:r>
        <w:rPr>
          <w:w w:val="100"/>
        </w:rPr>
        <w:t> </w:t>
      </w:r>
      <w:r>
        <w:rPr>
          <w:spacing w:val="-2"/>
        </w:rPr>
        <w:t>公司划分内部研究开发项目研究阶段支出和开发阶段支出的具体标准：研究阶段，是指为获</w:t>
      </w:r>
      <w:r>
        <w:rPr>
          <w:w w:val="100"/>
        </w:rPr>
        <w:t> </w:t>
      </w:r>
      <w:r>
        <w:rPr>
          <w:spacing w:val="-1"/>
        </w:rPr>
        <w:t>取新的技术和知识等进行的有计划的调查，为进一步的开发活动进行资料及相关方面的准备，将</w:t>
      </w:r>
      <w:r>
        <w:rPr>
          <w:spacing w:val="-70"/>
        </w:rPr>
        <w:t> </w:t>
      </w:r>
      <w:r>
        <w:rPr>
          <w:spacing w:val="-70"/>
        </w:rPr>
      </w:r>
      <w:r>
        <w:rPr>
          <w:spacing w:val="-1"/>
        </w:rPr>
        <w:t>来是否会转入开发、开发后是否会形成无形资产等具有较大的不确定性；开发阶段相对研究阶段</w:t>
      </w:r>
      <w:r>
        <w:rPr>
          <w:spacing w:val="-70"/>
        </w:rPr>
        <w:t> </w:t>
      </w:r>
      <w:r>
        <w:rPr>
          <w:spacing w:val="-70"/>
        </w:rPr>
      </w:r>
      <w:r>
        <w:rPr>
          <w:w w:val="100"/>
        </w:rPr>
        <w:t>而</w:t>
      </w:r>
      <w:r>
        <w:rPr>
          <w:spacing w:val="-3"/>
          <w:w w:val="100"/>
        </w:rPr>
        <w:t>言</w:t>
      </w:r>
      <w:r>
        <w:rPr>
          <w:spacing w:val="-99"/>
          <w:w w:val="100"/>
        </w:rPr>
        <w:t>，</w:t>
      </w:r>
      <w:r>
        <w:rPr>
          <w:spacing w:val="-3"/>
          <w:w w:val="100"/>
        </w:rPr>
        <w:t>是</w:t>
      </w:r>
      <w:r>
        <w:rPr>
          <w:w w:val="100"/>
        </w:rPr>
        <w:t>指完</w:t>
      </w:r>
      <w:r>
        <w:rPr>
          <w:spacing w:val="-3"/>
          <w:w w:val="100"/>
        </w:rPr>
        <w:t>成</w:t>
      </w:r>
      <w:r>
        <w:rPr>
          <w:w w:val="100"/>
        </w:rPr>
        <w:t>了</w:t>
      </w:r>
      <w:r>
        <w:rPr>
          <w:spacing w:val="-3"/>
          <w:w w:val="100"/>
        </w:rPr>
        <w:t>研</w:t>
      </w:r>
      <w:r>
        <w:rPr>
          <w:w w:val="100"/>
        </w:rPr>
        <w:t>究</w:t>
      </w:r>
      <w:r>
        <w:rPr>
          <w:spacing w:val="-3"/>
          <w:w w:val="100"/>
        </w:rPr>
        <w:t>阶段</w:t>
      </w:r>
      <w:r>
        <w:rPr>
          <w:w w:val="100"/>
        </w:rPr>
        <w:t>的工</w:t>
      </w:r>
      <w:r>
        <w:rPr>
          <w:spacing w:val="-3"/>
          <w:w w:val="100"/>
        </w:rPr>
        <w:t>作</w:t>
      </w:r>
      <w:r>
        <w:rPr>
          <w:spacing w:val="-101"/>
          <w:w w:val="100"/>
        </w:rPr>
        <w:t>，</w:t>
      </w:r>
      <w:r>
        <w:rPr>
          <w:w w:val="100"/>
        </w:rPr>
        <w:t>在很</w:t>
      </w:r>
      <w:r>
        <w:rPr>
          <w:spacing w:val="-3"/>
          <w:w w:val="100"/>
        </w:rPr>
        <w:t>大</w:t>
      </w:r>
      <w:r>
        <w:rPr>
          <w:w w:val="100"/>
        </w:rPr>
        <w:t>程</w:t>
      </w:r>
      <w:r>
        <w:rPr>
          <w:spacing w:val="-3"/>
          <w:w w:val="100"/>
        </w:rPr>
        <w:t>度</w:t>
      </w:r>
      <w:r>
        <w:rPr>
          <w:w w:val="100"/>
        </w:rPr>
        <w:t>上</w:t>
      </w:r>
      <w:r>
        <w:rPr>
          <w:spacing w:val="-3"/>
          <w:w w:val="100"/>
        </w:rPr>
        <w:t>形成</w:t>
      </w:r>
      <w:r>
        <w:rPr>
          <w:w w:val="100"/>
        </w:rPr>
        <w:t>一项</w:t>
      </w:r>
      <w:r>
        <w:rPr>
          <w:spacing w:val="-3"/>
          <w:w w:val="100"/>
        </w:rPr>
        <w:t>新</w:t>
      </w:r>
      <w:r>
        <w:rPr>
          <w:w w:val="100"/>
        </w:rPr>
        <w:t>产</w:t>
      </w:r>
      <w:r>
        <w:rPr>
          <w:spacing w:val="-3"/>
          <w:w w:val="100"/>
        </w:rPr>
        <w:t>品</w:t>
      </w:r>
      <w:r>
        <w:rPr>
          <w:w w:val="100"/>
        </w:rPr>
        <w:t>或</w:t>
      </w:r>
      <w:r>
        <w:rPr>
          <w:spacing w:val="-3"/>
          <w:w w:val="100"/>
        </w:rPr>
        <w:t>新</w:t>
      </w:r>
      <w:r>
        <w:rPr>
          <w:w w:val="100"/>
        </w:rPr>
        <w:t>技</w:t>
      </w:r>
      <w:r>
        <w:rPr>
          <w:spacing w:val="-3"/>
          <w:w w:val="100"/>
        </w:rPr>
        <w:t>术</w:t>
      </w:r>
      <w:r>
        <w:rPr>
          <w:w w:val="100"/>
        </w:rPr>
        <w:t>的</w:t>
      </w:r>
      <w:r>
        <w:rPr>
          <w:spacing w:val="-3"/>
          <w:w w:val="100"/>
        </w:rPr>
        <w:t>基</w:t>
      </w:r>
      <w:r>
        <w:rPr>
          <w:w w:val="100"/>
        </w:rPr>
        <w:t>本条</w:t>
      </w:r>
      <w:r>
        <w:rPr>
          <w:spacing w:val="-3"/>
          <w:w w:val="100"/>
        </w:rPr>
        <w:t>件</w:t>
      </w:r>
      <w:r>
        <w:rPr>
          <w:w w:val="100"/>
        </w:rPr>
        <w:t>已</w:t>
      </w:r>
      <w:r>
        <w:rPr>
          <w:spacing w:val="-3"/>
          <w:w w:val="100"/>
        </w:rPr>
        <w:t>经具备</w:t>
      </w:r>
      <w:r>
        <w:rPr>
          <w:w w:val="100"/>
        </w:rPr>
        <w:t>。</w:t>
      </w:r>
    </w:p>
    <w:p>
      <w:pPr>
        <w:spacing w:line="240" w:lineRule="auto" w:before="9"/>
        <w:rPr>
          <w:rFonts w:ascii="宋体" w:hAnsi="宋体" w:cs="宋体" w:eastAsia="宋体" w:hint="default"/>
          <w:sz w:val="27"/>
          <w:szCs w:val="27"/>
        </w:rPr>
      </w:pPr>
    </w:p>
    <w:p>
      <w:pPr>
        <w:spacing w:line="374" w:lineRule="auto" w:before="0"/>
        <w:ind w:left="558" w:right="0" w:hanging="420"/>
        <w:jc w:val="left"/>
        <w:rPr>
          <w:rFonts w:ascii="宋体" w:hAnsi="宋体" w:cs="宋体" w:eastAsia="宋体" w:hint="default"/>
          <w:sz w:val="21"/>
          <w:szCs w:val="21"/>
        </w:rPr>
      </w:pPr>
      <w:r>
        <w:rPr>
          <w:rFonts w:ascii="Calibri" w:hAnsi="Calibri" w:cs="Calibri" w:eastAsia="Calibri" w:hint="default"/>
          <w:b/>
          <w:bCs/>
          <w:sz w:val="21"/>
          <w:szCs w:val="21"/>
        </w:rPr>
        <w:t>22.</w:t>
      </w:r>
      <w:r>
        <w:rPr>
          <w:rFonts w:ascii="Calibri" w:hAnsi="Calibri" w:cs="Calibri" w:eastAsia="Calibri" w:hint="default"/>
          <w:b/>
          <w:bCs/>
          <w:spacing w:val="12"/>
          <w:sz w:val="21"/>
          <w:szCs w:val="21"/>
        </w:rPr>
        <w:t> </w:t>
      </w:r>
      <w:r>
        <w:rPr>
          <w:rFonts w:ascii="宋体" w:hAnsi="宋体" w:cs="宋体" w:eastAsia="宋体" w:hint="default"/>
          <w:b/>
          <w:bCs/>
          <w:sz w:val="21"/>
          <w:szCs w:val="21"/>
        </w:rPr>
        <w:t>长期资产减值</w:t>
      </w:r>
      <w:r>
        <w:rPr>
          <w:rFonts w:ascii="宋体" w:hAnsi="宋体" w:cs="宋体" w:eastAsia="宋体" w:hint="default"/>
          <w:b/>
          <w:bCs/>
          <w:w w:val="100"/>
          <w:sz w:val="21"/>
          <w:szCs w:val="21"/>
        </w:rPr>
        <w:t> </w:t>
      </w:r>
      <w:r>
        <w:rPr>
          <w:rFonts w:ascii="宋体" w:hAnsi="宋体" w:cs="宋体" w:eastAsia="宋体" w:hint="default"/>
          <w:spacing w:val="-2"/>
          <w:sz w:val="21"/>
          <w:szCs w:val="21"/>
        </w:rPr>
        <w:t>对长期股权投资、采用成本模式计量的投资性房地产、固定资产、在建工程、采用成本模式</w:t>
      </w:r>
    </w:p>
    <w:p>
      <w:pPr>
        <w:pStyle w:val="BodyText"/>
        <w:spacing w:line="355" w:lineRule="auto" w:before="15"/>
        <w:ind w:left="138" w:right="128"/>
        <w:jc w:val="both"/>
      </w:pPr>
      <w:r>
        <w:rPr>
          <w:spacing w:val="-4"/>
        </w:rPr>
        <w:t>计量的生产性生物资产、油气资产、使用寿命有限的无形资产等长期资产</w:t>
      </w:r>
      <w:r>
        <w:rPr>
          <w:rFonts w:ascii="宋体" w:hAnsi="宋体" w:cs="宋体" w:eastAsia="宋体" w:hint="default"/>
          <w:spacing w:val="-4"/>
        </w:rPr>
        <w:t>,</w:t>
      </w:r>
      <w:r>
        <w:rPr>
          <w:spacing w:val="-4"/>
        </w:rPr>
        <w:t>在资产负债表日有迹象</w:t>
      </w:r>
      <w:r>
        <w:rPr>
          <w:spacing w:val="-37"/>
        </w:rPr>
        <w:t> </w:t>
      </w:r>
      <w:r>
        <w:rPr>
          <w:spacing w:val="-37"/>
        </w:rPr>
      </w:r>
      <w:r>
        <w:rPr>
          <w:spacing w:val="-6"/>
          <w:w w:val="100"/>
        </w:rPr>
        <w:t>表明发生减值的，估计其可收回金额。对因企业合并所形成的商誉和使用寿命不确定的无形资产，</w:t>
      </w:r>
      <w:r>
        <w:rPr>
          <w:w w:val="100"/>
        </w:rPr>
        <w:t> </w:t>
      </w:r>
      <w:r>
        <w:rPr>
          <w:spacing w:val="-1"/>
        </w:rPr>
        <w:t>无论是否存在减值迹象，每年都进行减值测试。商誉结合与其相关的资产组或者资产组组合进行</w:t>
      </w:r>
      <w:r>
        <w:rPr>
          <w:spacing w:val="-55"/>
        </w:rPr>
        <w:t> </w:t>
      </w:r>
      <w:r>
        <w:rPr>
          <w:spacing w:val="-55"/>
        </w:rPr>
      </w:r>
      <w:r>
        <w:rPr/>
        <w:t>减值测试。</w:t>
      </w:r>
    </w:p>
    <w:p>
      <w:pPr>
        <w:pStyle w:val="BodyText"/>
        <w:spacing w:line="355" w:lineRule="auto" w:before="34"/>
        <w:ind w:left="138" w:right="130" w:firstLine="419"/>
        <w:jc w:val="both"/>
      </w:pPr>
      <w:r>
        <w:rPr>
          <w:spacing w:val="-2"/>
        </w:rPr>
        <w:t>若上述长期资产的可收回金额低于其账面价值的，按其差额确认资产减值准备并计入当期损</w:t>
      </w:r>
      <w:r>
        <w:rPr>
          <w:w w:val="100"/>
        </w:rPr>
        <w:t> </w:t>
      </w:r>
      <w:r>
        <w:rPr/>
        <w:t>益。</w:t>
      </w:r>
    </w:p>
    <w:p>
      <w:pPr>
        <w:spacing w:line="240" w:lineRule="auto" w:before="13"/>
        <w:rPr>
          <w:rFonts w:ascii="宋体" w:hAnsi="宋体" w:cs="宋体" w:eastAsia="宋体" w:hint="default"/>
          <w:sz w:val="27"/>
          <w:szCs w:val="27"/>
        </w:rPr>
      </w:pPr>
    </w:p>
    <w:p>
      <w:pPr>
        <w:pStyle w:val="Heading4"/>
        <w:spacing w:line="240" w:lineRule="auto" w:before="0"/>
        <w:ind w:left="138" w:right="3467"/>
        <w:jc w:val="left"/>
        <w:rPr>
          <w:b w:val="0"/>
          <w:bCs w:val="0"/>
        </w:rPr>
      </w:pPr>
      <w:r>
        <w:rPr>
          <w:rFonts w:ascii="Calibri" w:hAnsi="Calibri" w:cs="Calibri" w:eastAsia="Calibri" w:hint="default"/>
        </w:rPr>
        <w:t>23.  </w:t>
      </w:r>
      <w:r>
        <w:rPr>
          <w:rFonts w:ascii="Calibri" w:hAnsi="Calibri" w:cs="Calibri" w:eastAsia="Calibri" w:hint="default"/>
          <w:spacing w:val="13"/>
        </w:rPr>
        <w:t> </w:t>
      </w:r>
      <w:r>
        <w:rPr/>
        <w:t>长期待摊费用</w:t>
      </w:r>
      <w:r>
        <w:rPr>
          <w:b w:val="0"/>
          <w:bCs w:val="0"/>
        </w:rPr>
      </w:r>
    </w:p>
    <w:p>
      <w:pPr>
        <w:pStyle w:val="BodyText"/>
        <w:spacing w:line="355" w:lineRule="auto" w:before="166"/>
        <w:ind w:left="138" w:right="127" w:firstLine="419"/>
        <w:jc w:val="both"/>
      </w:pPr>
      <w:r>
        <w:rPr/>
        <w:t>长期待摊费用核算已经支出，摊销期限在</w:t>
      </w:r>
      <w:r>
        <w:rPr>
          <w:spacing w:val="-52"/>
        </w:rPr>
        <w:t> </w:t>
      </w:r>
      <w:r>
        <w:rPr>
          <w:rFonts w:ascii="宋体" w:hAnsi="宋体" w:cs="宋体" w:eastAsia="宋体" w:hint="default"/>
        </w:rPr>
        <w:t>1</w:t>
      </w:r>
      <w:r>
        <w:rPr>
          <w:rFonts w:ascii="宋体" w:hAnsi="宋体" w:cs="宋体" w:eastAsia="宋体" w:hint="default"/>
          <w:spacing w:val="-54"/>
        </w:rPr>
        <w:t> </w:t>
      </w:r>
      <w:r>
        <w:rPr/>
        <w:t>年以上</w:t>
      </w:r>
      <w:r>
        <w:rPr>
          <w:rFonts w:ascii="宋体" w:hAnsi="宋体" w:cs="宋体" w:eastAsia="宋体" w:hint="default"/>
        </w:rPr>
        <w:t>(</w:t>
      </w:r>
      <w:r>
        <w:rPr/>
        <w:t>不含</w:t>
      </w:r>
      <w:r>
        <w:rPr>
          <w:spacing w:val="-51"/>
        </w:rPr>
        <w:t> </w:t>
      </w:r>
      <w:r>
        <w:rPr>
          <w:rFonts w:ascii="宋体" w:hAnsi="宋体" w:cs="宋体" w:eastAsia="宋体" w:hint="default"/>
        </w:rPr>
        <w:t>1</w:t>
      </w:r>
      <w:r>
        <w:rPr>
          <w:rFonts w:ascii="宋体" w:hAnsi="宋体" w:cs="宋体" w:eastAsia="宋体" w:hint="default"/>
          <w:spacing w:val="-51"/>
        </w:rPr>
        <w:t> </w:t>
      </w:r>
      <w:r>
        <w:rPr/>
        <w:t>年</w:t>
      </w:r>
      <w:r>
        <w:rPr>
          <w:rFonts w:ascii="宋体" w:hAnsi="宋体" w:cs="宋体" w:eastAsia="宋体" w:hint="default"/>
        </w:rPr>
        <w:t>)</w:t>
      </w:r>
      <w:r>
        <w:rPr/>
        <w:t>的各项费用。长期待摊费用按</w:t>
      </w:r>
      <w:r>
        <w:rPr>
          <w:w w:val="100"/>
        </w:rPr>
        <w:t> </w:t>
      </w:r>
      <w:r>
        <w:rPr>
          <w:spacing w:val="-1"/>
        </w:rPr>
        <w:t>实际发生额入账，在受益期或规定的期限内分期平均摊销。如果长期待摊的费用项目不能使以后</w:t>
      </w:r>
      <w:r>
        <w:rPr>
          <w:spacing w:val="-55"/>
        </w:rPr>
        <w:t> </w:t>
      </w:r>
      <w:r>
        <w:rPr>
          <w:spacing w:val="-55"/>
        </w:rPr>
      </w:r>
      <w:r>
        <w:rPr/>
        <w:t>会计期间受益则将尚未摊销的该项目的摊余价值全部转入当期损益。</w:t>
      </w:r>
    </w:p>
    <w:p>
      <w:pPr>
        <w:spacing w:line="240" w:lineRule="auto" w:before="13"/>
        <w:rPr>
          <w:rFonts w:ascii="宋体" w:hAnsi="宋体" w:cs="宋体" w:eastAsia="宋体" w:hint="default"/>
          <w:sz w:val="27"/>
          <w:szCs w:val="27"/>
        </w:rPr>
      </w:pPr>
    </w:p>
    <w:p>
      <w:pPr>
        <w:pStyle w:val="Heading4"/>
        <w:spacing w:line="372" w:lineRule="auto" w:before="0"/>
        <w:ind w:left="138" w:right="6101"/>
        <w:jc w:val="left"/>
        <w:rPr>
          <w:b w:val="0"/>
          <w:bCs w:val="0"/>
        </w:rPr>
      </w:pPr>
      <w:r>
        <w:rPr>
          <w:rFonts w:ascii="Calibri" w:hAnsi="Calibri" w:cs="Calibri" w:eastAsia="Calibri" w:hint="default"/>
        </w:rPr>
        <w:t>24.</w:t>
      </w:r>
      <w:r>
        <w:rPr>
          <w:rFonts w:ascii="Calibri" w:hAnsi="Calibri" w:cs="Calibri" w:eastAsia="Calibri" w:hint="default"/>
          <w:spacing w:val="1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357" w:lineRule="auto" w:before="78"/>
        <w:ind w:left="138" w:right="137" w:firstLine="419"/>
        <w:jc w:val="both"/>
      </w:pPr>
      <w:r>
        <w:rPr>
          <w:spacing w:val="-2"/>
        </w:rPr>
        <w:t>在职工为公司提供服务的会计期间，将实际发生的短期薪酬确认为负债，并计入当期损益或</w:t>
      </w:r>
      <w:r>
        <w:rPr>
          <w:w w:val="100"/>
        </w:rPr>
        <w:t> </w:t>
      </w:r>
      <w:r>
        <w:rPr/>
        <w:t>相关资产成本。</w:t>
      </w:r>
    </w:p>
    <w:p>
      <w:pPr>
        <w:spacing w:line="408" w:lineRule="auto" w:before="90"/>
        <w:ind w:left="558" w:right="3467"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离职后福利分为设定提存计划和设定受益计划。</w:t>
      </w:r>
    </w:p>
    <w:p>
      <w:pPr>
        <w:pStyle w:val="BodyText"/>
        <w:spacing w:line="261" w:lineRule="exact"/>
        <w:ind w:left="558" w:right="0"/>
        <w:jc w:val="left"/>
      </w:pPr>
      <w:r>
        <w:rPr>
          <w:rFonts w:ascii="宋体" w:hAnsi="宋体" w:cs="宋体" w:eastAsia="宋体" w:hint="default"/>
          <w:spacing w:val="-4"/>
        </w:rPr>
        <w:t>1</w:t>
      </w:r>
      <w:r>
        <w:rPr>
          <w:spacing w:val="-4"/>
        </w:rPr>
        <w:t>）在职工为公司提供服务的会计期间，根据设定提存计划计算的应缴存金额确认为负债，并</w:t>
      </w:r>
    </w:p>
    <w:p>
      <w:pPr>
        <w:pStyle w:val="BodyText"/>
        <w:spacing w:line="357" w:lineRule="auto" w:before="133"/>
        <w:ind w:left="558" w:right="3467" w:hanging="420"/>
        <w:jc w:val="left"/>
      </w:pPr>
      <w:r>
        <w:rPr/>
        <w:t>计入当期损益或相关资产成本。</w:t>
      </w:r>
      <w:r>
        <w:rPr>
          <w:w w:val="100"/>
        </w:rPr>
        <w:t> </w:t>
      </w:r>
      <w:r>
        <w:rPr>
          <w:rFonts w:ascii="宋体" w:hAnsi="宋体" w:cs="宋体" w:eastAsia="宋体" w:hint="default"/>
          <w:spacing w:val="-2"/>
        </w:rPr>
        <w:t>2</w:t>
      </w:r>
      <w:r>
        <w:rPr>
          <w:spacing w:val="-2"/>
        </w:rPr>
        <w:t>）对设定受益计划的会计处理通常包括下列步骤：</w:t>
      </w:r>
    </w:p>
    <w:p>
      <w:pPr>
        <w:spacing w:after="0" w:line="357"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128" w:firstLine="419"/>
        <w:jc w:val="both"/>
      </w:pPr>
      <w:r>
        <w:rPr>
          <w:spacing w:val="-4"/>
          <w:w w:val="100"/>
        </w:rPr>
        <w:t>Ⅰ</w:t>
      </w:r>
      <w:r>
        <w:rPr>
          <w:rFonts w:ascii="宋体" w:hAnsi="宋体" w:cs="宋体" w:eastAsia="宋体" w:hint="default"/>
          <w:spacing w:val="-4"/>
          <w:w w:val="100"/>
        </w:rPr>
        <w:t>)</w:t>
      </w:r>
      <w:r>
        <w:rPr>
          <w:spacing w:val="-4"/>
          <w:w w:val="100"/>
        </w:rPr>
        <w:t>根据预期累计福利单位法，采用无偏且相互一致的精算假设对有关人口统计变量和财务变</w:t>
      </w:r>
      <w:r>
        <w:rPr>
          <w:w w:val="100"/>
        </w:rPr>
        <w:t> </w:t>
      </w:r>
      <w:r>
        <w:rPr>
          <w:spacing w:val="-2"/>
        </w:rPr>
        <w:t>量等作出估计，计量设定受益计划所产生的义务，并确定相关义务的所属期间。同时，对设定受</w:t>
      </w:r>
      <w:r>
        <w:rPr>
          <w:spacing w:val="-25"/>
        </w:rPr>
        <w:t> </w:t>
      </w:r>
      <w:r>
        <w:rPr>
          <w:spacing w:val="-25"/>
        </w:rPr>
      </w:r>
      <w:r>
        <w:rPr/>
        <w:t>益计划所产生的义务予以折现，以确定设定受益计划义务的现值和当期服务成本；</w:t>
      </w:r>
    </w:p>
    <w:p>
      <w:pPr>
        <w:pStyle w:val="BodyText"/>
        <w:spacing w:line="355" w:lineRule="auto" w:before="30"/>
        <w:ind w:left="138" w:right="128" w:firstLine="419"/>
        <w:jc w:val="both"/>
      </w:pPr>
      <w:r>
        <w:rPr>
          <w:spacing w:val="-4"/>
          <w:w w:val="100"/>
        </w:rPr>
        <w:t>Ⅱ</w:t>
      </w:r>
      <w:r>
        <w:rPr>
          <w:rFonts w:ascii="宋体" w:hAnsi="宋体" w:cs="宋体" w:eastAsia="宋体" w:hint="default"/>
          <w:spacing w:val="-4"/>
          <w:w w:val="100"/>
        </w:rPr>
        <w:t>)</w:t>
      </w:r>
      <w:r>
        <w:rPr>
          <w:spacing w:val="-4"/>
          <w:w w:val="100"/>
        </w:rPr>
        <w:t>设定受益计划存在资产的，将设定受益计划义务现值减去设定受益计划资产公允价值所形</w:t>
      </w:r>
      <w:r>
        <w:rPr>
          <w:w w:val="100"/>
        </w:rPr>
        <w:t> </w:t>
      </w:r>
      <w:r>
        <w:rPr>
          <w:spacing w:val="-2"/>
        </w:rPr>
        <w:t>成的赤字或盈余确认为一项设定受益计划净负债或净资产。设定受益计划存在盈余的，以设定受</w:t>
      </w:r>
      <w:r>
        <w:rPr>
          <w:spacing w:val="-25"/>
        </w:rPr>
        <w:t> </w:t>
      </w:r>
      <w:r>
        <w:rPr>
          <w:spacing w:val="-25"/>
        </w:rPr>
      </w:r>
      <w:r>
        <w:rPr/>
        <w:t>益计划的盈余和资产上限两项的孰低者计量设定受益计划净资产；</w:t>
      </w:r>
    </w:p>
    <w:p>
      <w:pPr>
        <w:pStyle w:val="BodyText"/>
        <w:spacing w:line="357" w:lineRule="auto" w:before="34"/>
        <w:ind w:left="138" w:right="128" w:firstLine="419"/>
        <w:jc w:val="both"/>
      </w:pPr>
      <w:r>
        <w:rPr>
          <w:spacing w:val="-4"/>
        </w:rPr>
        <w:t>Ⅲ</w:t>
      </w:r>
      <w:r>
        <w:rPr>
          <w:rFonts w:ascii="宋体" w:hAnsi="宋体" w:cs="宋体" w:eastAsia="宋体" w:hint="default"/>
          <w:spacing w:val="-4"/>
        </w:rPr>
        <w:t>)</w:t>
      </w:r>
      <w:r>
        <w:rPr>
          <w:spacing w:val="-4"/>
        </w:rPr>
        <w:t>期末，将设定受益计划产生的职工薪酬成本确认为服务成本、设定受益计划净负债或净资</w:t>
      </w:r>
      <w:r>
        <w:rPr>
          <w:w w:val="100"/>
        </w:rPr>
        <w:t> </w:t>
      </w:r>
      <w:r>
        <w:rPr>
          <w:spacing w:val="-2"/>
        </w:rPr>
        <w:t>产的利息净额以及重新计量设定受益计划净负债或净资产所产生的变动等三部分，其中服务成本</w:t>
      </w:r>
      <w:r>
        <w:rPr>
          <w:spacing w:val="-25"/>
        </w:rPr>
        <w:t> </w:t>
      </w:r>
      <w:r>
        <w:rPr>
          <w:spacing w:val="-25"/>
        </w:rPr>
      </w:r>
      <w:r>
        <w:rPr>
          <w:spacing w:val="-2"/>
        </w:rPr>
        <w:t>和设定受益计划净负债或净资产的利息净额计入当期损益或相关资产成本，重新计量设定受益计</w:t>
      </w:r>
      <w:r>
        <w:rPr>
          <w:spacing w:val="-25"/>
        </w:rPr>
        <w:t> </w:t>
      </w:r>
      <w:r>
        <w:rPr>
          <w:spacing w:val="-25"/>
        </w:rPr>
      </w:r>
      <w:r>
        <w:rPr>
          <w:spacing w:val="-2"/>
        </w:rPr>
        <w:t>划净负债或净资产所产生的变动计入其他综合收益，并且在后续会计期间不允许转回至损益，但</w:t>
      </w:r>
      <w:r>
        <w:rPr>
          <w:spacing w:val="-25"/>
        </w:rPr>
        <w:t> </w:t>
      </w:r>
      <w:r>
        <w:rPr>
          <w:spacing w:val="-25"/>
        </w:rPr>
      </w:r>
      <w:r>
        <w:rPr/>
        <w:t>可以在权益范围内转移这些在其他综合收益确认的金额。</w:t>
      </w:r>
    </w:p>
    <w:p>
      <w:pPr>
        <w:spacing w:line="408" w:lineRule="auto" w:before="9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向职工提供的辞退福利，在下列两者孰早日确认辞退福利产生的职工薪酬负债，并计入当期</w:t>
      </w:r>
    </w:p>
    <w:p>
      <w:pPr>
        <w:pStyle w:val="BodyText"/>
        <w:spacing w:line="261" w:lineRule="exact"/>
        <w:ind w:left="138" w:right="0"/>
        <w:jc w:val="both"/>
      </w:pPr>
      <w:r>
        <w:rPr/>
        <w:t>损益：</w:t>
      </w:r>
      <w:r>
        <w:rPr>
          <w:rFonts w:ascii="宋体" w:hAnsi="宋体" w:cs="宋体" w:eastAsia="宋体" w:hint="default"/>
        </w:rPr>
        <w:t>1</w:t>
      </w: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7"/>
        </w:rPr>
        <w:t> </w:t>
      </w:r>
      <w:r>
        <w:rPr/>
        <w:t>公司确</w:t>
      </w:r>
    </w:p>
    <w:p>
      <w:pPr>
        <w:spacing w:line="410" w:lineRule="auto" w:before="133"/>
        <w:ind w:left="138" w:right="3467" w:firstLine="0"/>
        <w:jc w:val="left"/>
        <w:rPr>
          <w:rFonts w:ascii="宋体" w:hAnsi="宋体" w:cs="宋体" w:eastAsia="宋体" w:hint="default"/>
          <w:sz w:val="21"/>
          <w:szCs w:val="21"/>
        </w:rPr>
      </w:pPr>
      <w:r>
        <w:rPr>
          <w:rFonts w:ascii="宋体" w:hAnsi="宋体" w:cs="宋体" w:eastAsia="宋体" w:hint="default"/>
          <w:spacing w:val="-2"/>
          <w:sz w:val="21"/>
          <w:szCs w:val="21"/>
        </w:rPr>
        <w:t>认与涉及支付辞退福利的重组相关的成本或费用时。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pStyle w:val="BodyText"/>
        <w:spacing w:line="357" w:lineRule="auto" w:before="44"/>
        <w:ind w:left="138" w:right="137" w:firstLine="419"/>
        <w:jc w:val="both"/>
      </w:pPr>
      <w:r>
        <w:rPr>
          <w:spacing w:val="-2"/>
        </w:rPr>
        <w:t>向职工提供的其他长期福利，符合设定提存计划条件的，按照设定提存计划的有关规定进行</w:t>
      </w:r>
      <w:r>
        <w:rPr>
          <w:w w:val="100"/>
        </w:rPr>
        <w:t> </w:t>
      </w:r>
      <w:r>
        <w:rPr>
          <w:spacing w:val="-2"/>
        </w:rPr>
        <w:t>会计处理；除此之外的其他长期福利，按照设定受益计划的有关规定进行会计处理，为简化相关</w:t>
      </w:r>
      <w:r>
        <w:rPr>
          <w:spacing w:val="-25"/>
        </w:rPr>
        <w:t> </w:t>
      </w:r>
      <w:r>
        <w:rPr>
          <w:spacing w:val="-25"/>
        </w:rPr>
      </w:r>
      <w:r>
        <w:rPr>
          <w:spacing w:val="-2"/>
        </w:rPr>
        <w:t>会计处理，将其产生的职工薪酬成本确认为服务成本、其他长期职工福利净负债或净资产的利息</w:t>
      </w:r>
      <w:r>
        <w:rPr>
          <w:spacing w:val="-25"/>
        </w:rPr>
        <w:t> </w:t>
      </w:r>
      <w:r>
        <w:rPr>
          <w:spacing w:val="-25"/>
        </w:rPr>
      </w:r>
      <w:r>
        <w:rPr>
          <w:spacing w:val="-2"/>
        </w:rPr>
        <w:t>净额以及重新计量其他长期职工福利净负债或净资产所产生的变动等组成项目的总净额计入当期</w:t>
      </w:r>
      <w:r>
        <w:rPr>
          <w:spacing w:val="-25"/>
        </w:rPr>
        <w:t> </w:t>
      </w:r>
      <w:r>
        <w:rPr>
          <w:spacing w:val="-25"/>
        </w:rPr>
      </w:r>
      <w:r>
        <w:rPr/>
        <w:t>损益或相关资产成本。</w:t>
      </w:r>
    </w:p>
    <w:p>
      <w:pPr>
        <w:spacing w:line="240" w:lineRule="auto" w:before="8"/>
        <w:rPr>
          <w:rFonts w:ascii="宋体" w:hAnsi="宋体" w:cs="宋体" w:eastAsia="宋体" w:hint="default"/>
          <w:sz w:val="27"/>
          <w:szCs w:val="27"/>
        </w:rPr>
      </w:pPr>
    </w:p>
    <w:p>
      <w:pPr>
        <w:pStyle w:val="Heading4"/>
        <w:spacing w:line="240" w:lineRule="auto" w:before="0"/>
        <w:ind w:left="138" w:right="0"/>
        <w:jc w:val="both"/>
        <w:rPr>
          <w:b w:val="0"/>
          <w:bCs w:val="0"/>
        </w:rPr>
      </w:pPr>
      <w:r>
        <w:rPr>
          <w:rFonts w:ascii="Calibri" w:hAnsi="Calibri" w:cs="Calibri" w:eastAsia="Calibri" w:hint="default"/>
        </w:rPr>
        <w:t>25.  </w:t>
      </w:r>
      <w:r>
        <w:rPr>
          <w:rFonts w:ascii="Calibri" w:hAnsi="Calibri" w:cs="Calibri" w:eastAsia="Calibri" w:hint="default"/>
          <w:spacing w:val="13"/>
        </w:rPr>
        <w:t> </w:t>
      </w:r>
      <w:r>
        <w:rPr/>
        <w:t>预计负债</w:t>
      </w:r>
      <w:r>
        <w:rPr>
          <w:b w:val="0"/>
          <w:bCs w:val="0"/>
        </w:rPr>
      </w:r>
    </w:p>
    <w:p>
      <w:pPr>
        <w:pStyle w:val="BodyText"/>
        <w:spacing w:line="357" w:lineRule="auto" w:before="168"/>
        <w:ind w:left="138" w:right="127"/>
        <w:jc w:val="both"/>
      </w:pPr>
      <w:r>
        <w:rPr>
          <w:rFonts w:ascii="宋体" w:hAnsi="宋体" w:cs="宋体" w:eastAsia="宋体" w:hint="default"/>
        </w:rPr>
        <w:t>(1)</w:t>
      </w:r>
      <w:r>
        <w:rPr>
          <w:rFonts w:ascii="宋体" w:hAnsi="宋体" w:cs="宋体" w:eastAsia="宋体" w:hint="default"/>
          <w:spacing w:val="6"/>
        </w:rPr>
        <w:t> </w:t>
      </w:r>
      <w:r>
        <w:rPr/>
        <w:t>因对外提供担保、诉讼事项、产品质量保证、亏损合同等或有事项形成的义务成为公司承担</w:t>
      </w:r>
      <w:r>
        <w:rPr>
          <w:w w:val="100"/>
        </w:rPr>
        <w:t> </w:t>
      </w:r>
      <w:r>
        <w:rPr>
          <w:spacing w:val="-1"/>
        </w:rPr>
        <w:t>的现时义务，履行该义务很可能导致经济利益流出公司，且该义务的金额能够可靠的计量时，公</w:t>
      </w:r>
      <w:r>
        <w:rPr>
          <w:spacing w:val="-55"/>
        </w:rPr>
        <w:t> </w:t>
      </w:r>
      <w:r>
        <w:rPr>
          <w:spacing w:val="-55"/>
        </w:rPr>
      </w:r>
      <w:r>
        <w:rPr/>
        <w:t>司将该项义务确认为预计负债。</w:t>
      </w:r>
    </w:p>
    <w:p>
      <w:pPr>
        <w:pStyle w:val="BodyText"/>
        <w:spacing w:line="355" w:lineRule="auto" w:before="30"/>
        <w:ind w:left="138" w:right="122"/>
        <w:jc w:val="left"/>
      </w:pPr>
      <w:r>
        <w:rPr>
          <w:rFonts w:ascii="宋体" w:hAnsi="宋体" w:cs="宋体" w:eastAsia="宋体" w:hint="default"/>
        </w:rPr>
        <w:t>(2)</w:t>
      </w:r>
      <w:r>
        <w:rPr>
          <w:rFonts w:ascii="宋体" w:hAnsi="宋体" w:cs="宋体" w:eastAsia="宋体" w:hint="default"/>
          <w:spacing w:val="6"/>
        </w:rPr>
        <w:t> </w:t>
      </w:r>
      <w:r>
        <w:rPr/>
        <w:t>公司按照履行相关现时义务所需支出的最佳估计数对预计负债进行初始计量，并在资产负债</w:t>
      </w:r>
      <w:r>
        <w:rPr>
          <w:w w:val="100"/>
        </w:rPr>
        <w:t> </w:t>
      </w:r>
      <w:r>
        <w:rPr/>
        <w:t>表日对预计负债的账面价值进行复核。</w:t>
      </w:r>
    </w:p>
    <w:p>
      <w:pPr>
        <w:spacing w:line="240" w:lineRule="auto" w:before="13"/>
        <w:rPr>
          <w:rFonts w:ascii="宋体" w:hAnsi="宋体" w:cs="宋体" w:eastAsia="宋体" w:hint="default"/>
          <w:sz w:val="27"/>
          <w:szCs w:val="27"/>
        </w:rPr>
      </w:pPr>
    </w:p>
    <w:p>
      <w:pPr>
        <w:pStyle w:val="Heading4"/>
        <w:spacing w:line="240" w:lineRule="auto" w:before="0"/>
        <w:ind w:left="138" w:right="0"/>
        <w:jc w:val="both"/>
        <w:rPr>
          <w:b w:val="0"/>
          <w:bCs w:val="0"/>
        </w:rPr>
      </w:pPr>
      <w:r>
        <w:rPr>
          <w:rFonts w:ascii="Calibri" w:hAnsi="Calibri" w:cs="Calibri" w:eastAsia="Calibri" w:hint="default"/>
        </w:rPr>
        <w:t>26.  </w:t>
      </w:r>
      <w:r>
        <w:rPr>
          <w:rFonts w:ascii="Calibri" w:hAnsi="Calibri" w:cs="Calibri" w:eastAsia="Calibri" w:hint="default"/>
          <w:spacing w:val="13"/>
        </w:rPr>
        <w:t> </w:t>
      </w:r>
      <w:r>
        <w:rPr/>
        <w:t>股份支付</w:t>
      </w:r>
      <w:r>
        <w:rPr>
          <w:b w:val="0"/>
          <w:bCs w:val="0"/>
        </w:rPr>
      </w:r>
    </w:p>
    <w:p>
      <w:pPr>
        <w:spacing w:line="240" w:lineRule="auto" w:before="5"/>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1"/>
          <w:szCs w:val="21"/>
        </w:rPr>
      </w:pPr>
    </w:p>
    <w:p>
      <w:pPr>
        <w:pStyle w:val="Heading4"/>
        <w:spacing w:line="240" w:lineRule="auto"/>
        <w:ind w:left="138" w:right="3467"/>
        <w:jc w:val="left"/>
        <w:rPr>
          <w:b w:val="0"/>
          <w:bCs w:val="0"/>
        </w:rPr>
      </w:pPr>
      <w:r>
        <w:rPr>
          <w:rFonts w:ascii="Calibri" w:hAnsi="Calibri" w:cs="Calibri" w:eastAsia="Calibri" w:hint="default"/>
        </w:rPr>
        <w:t>27.  </w:t>
      </w:r>
      <w:r>
        <w:rPr>
          <w:rFonts w:ascii="Calibri" w:hAnsi="Calibri" w:cs="Calibri" w:eastAsia="Calibri" w:hint="default"/>
          <w:spacing w:val="10"/>
        </w:rPr>
        <w:t> </w:t>
      </w:r>
      <w:r>
        <w:rPr/>
        <w:t>优先股、永续债等其他金融工具</w:t>
      </w:r>
      <w:r>
        <w:rPr>
          <w:b w:val="0"/>
          <w:bCs w:val="0"/>
        </w:rPr>
      </w:r>
    </w:p>
    <w:p>
      <w:pPr>
        <w:spacing w:line="240" w:lineRule="auto" w:before="3"/>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660" w:right="1140"/>
        </w:sectPr>
      </w:pPr>
    </w:p>
    <w:p>
      <w:pPr>
        <w:spacing w:line="240" w:lineRule="auto" w:before="1"/>
        <w:rPr>
          <w:rFonts w:ascii="宋体" w:hAnsi="宋体" w:cs="宋体" w:eastAsia="宋体" w:hint="default"/>
          <w:b/>
          <w:bCs/>
          <w:sz w:val="25"/>
          <w:szCs w:val="25"/>
        </w:rPr>
      </w:pPr>
    </w:p>
    <w:p>
      <w:pPr>
        <w:pStyle w:val="Heading4"/>
        <w:spacing w:line="240" w:lineRule="auto"/>
        <w:ind w:left="138" w:right="0"/>
        <w:jc w:val="both"/>
        <w:rPr>
          <w:b w:val="0"/>
          <w:bCs w:val="0"/>
        </w:rPr>
      </w:pPr>
      <w:r>
        <w:rPr>
          <w:rFonts w:ascii="Calibri" w:hAnsi="Calibri" w:cs="Calibri" w:eastAsia="Calibri" w:hint="default"/>
        </w:rPr>
        <w:t>28.  </w:t>
      </w:r>
      <w:r>
        <w:rPr>
          <w:rFonts w:ascii="Calibri" w:hAnsi="Calibri" w:cs="Calibri" w:eastAsia="Calibri" w:hint="default"/>
          <w:spacing w:val="12"/>
        </w:rPr>
        <w:t> </w:t>
      </w:r>
      <w:r>
        <w:rPr/>
        <w:t>收入</w:t>
      </w:r>
      <w:r>
        <w:rPr>
          <w:b w:val="0"/>
          <w:bCs w:val="0"/>
        </w:rPr>
      </w:r>
    </w:p>
    <w:p>
      <w:pPr>
        <w:pStyle w:val="BodyText"/>
        <w:spacing w:line="355" w:lineRule="auto" w:before="168"/>
        <w:ind w:left="558" w:right="0" w:hanging="420"/>
        <w:jc w:val="left"/>
      </w:pPr>
      <w:r>
        <w:rPr>
          <w:rFonts w:ascii="宋体" w:hAnsi="宋体" w:cs="宋体" w:eastAsia="宋体" w:hint="default"/>
        </w:rPr>
        <w:t>(1)</w:t>
      </w:r>
      <w:r>
        <w:rPr>
          <w:rFonts w:ascii="宋体" w:hAnsi="宋体" w:cs="宋体" w:eastAsia="宋体" w:hint="default"/>
          <w:spacing w:val="-1"/>
        </w:rPr>
        <w:t> </w:t>
      </w:r>
      <w:r>
        <w:rPr/>
        <w:t>自行开发研制的软件产品销售收入</w:t>
      </w:r>
      <w:r>
        <w:rPr>
          <w:w w:val="100"/>
        </w:rPr>
        <w:t> </w:t>
      </w:r>
      <w:r>
        <w:rPr>
          <w:spacing w:val="-2"/>
        </w:rPr>
        <w:t>软件产品在同时满足以下条件时确认收入</w:t>
      </w:r>
      <w:r>
        <w:rPr>
          <w:rFonts w:ascii="宋体" w:hAnsi="宋体" w:cs="宋体" w:eastAsia="宋体" w:hint="default"/>
          <w:spacing w:val="-2"/>
        </w:rPr>
        <w:t>:</w:t>
      </w:r>
      <w:r>
        <w:rPr>
          <w:spacing w:val="-2"/>
        </w:rPr>
        <w:t>软件产品所有权上的主要风险和报酬转移给购买</w:t>
      </w:r>
    </w:p>
    <w:p>
      <w:pPr>
        <w:pStyle w:val="BodyText"/>
        <w:spacing w:line="355" w:lineRule="auto" w:before="32"/>
        <w:ind w:left="138" w:right="128"/>
        <w:jc w:val="both"/>
      </w:pPr>
      <w:r>
        <w:rPr>
          <w:spacing w:val="-6"/>
          <w:w w:val="100"/>
        </w:rPr>
        <w:t>方；公司不再保留通常与所有权相联系的继续管理权，也不再对已售出的软件产品实施有效控制；</w:t>
      </w:r>
      <w:r>
        <w:rPr>
          <w:spacing w:val="-104"/>
          <w:w w:val="100"/>
        </w:rPr>
        <w:t> </w:t>
      </w:r>
      <w:r>
        <w:rPr>
          <w:spacing w:val="-104"/>
          <w:w w:val="100"/>
        </w:rPr>
      </w:r>
      <w:r>
        <w:rPr>
          <w:spacing w:val="-2"/>
        </w:rPr>
        <w:t>收入的金额能够可靠地计量；相关的经济利益很可能流入；相关的已发生或将发生的成本能够可</w:t>
      </w:r>
      <w:r>
        <w:rPr>
          <w:spacing w:val="-25"/>
        </w:rPr>
        <w:t> </w:t>
      </w:r>
      <w:r>
        <w:rPr>
          <w:spacing w:val="-25"/>
        </w:rPr>
      </w:r>
      <w:r>
        <w:rPr/>
        <w:t>靠地计量。</w:t>
      </w:r>
    </w:p>
    <w:p>
      <w:pPr>
        <w:pStyle w:val="BodyText"/>
        <w:spacing w:line="355" w:lineRule="auto" w:before="34"/>
        <w:ind w:left="138" w:right="127" w:firstLine="419"/>
        <w:jc w:val="both"/>
      </w:pPr>
      <w:r>
        <w:rPr>
          <w:spacing w:val="-4"/>
        </w:rPr>
        <w:t>对合同规定由公司负责免费维护或免费升级的软件产品，在确认收入的同时，按收入的</w:t>
      </w:r>
      <w:r>
        <w:rPr>
          <w:spacing w:val="43"/>
        </w:rPr>
        <w:t> </w:t>
      </w:r>
      <w:r>
        <w:rPr>
          <w:rFonts w:ascii="宋体" w:hAnsi="宋体" w:cs="宋体" w:eastAsia="宋体" w:hint="default"/>
        </w:rPr>
        <w:t>0.5%</w:t>
      </w:r>
      <w:r>
        <w:rPr>
          <w:rFonts w:ascii="宋体" w:hAnsi="宋体" w:cs="宋体" w:eastAsia="宋体" w:hint="default"/>
          <w:w w:val="100"/>
        </w:rPr>
        <w:t> </w:t>
      </w:r>
      <w:r>
        <w:rPr/>
        <w:t>预提软件维护费用。</w:t>
      </w:r>
    </w:p>
    <w:p>
      <w:pPr>
        <w:pStyle w:val="BodyText"/>
        <w:spacing w:line="355" w:lineRule="auto" w:before="33"/>
        <w:ind w:left="545" w:right="0" w:hanging="408"/>
        <w:jc w:val="left"/>
      </w:pPr>
      <w:r>
        <w:rPr>
          <w:rFonts w:ascii="宋体" w:hAnsi="宋体" w:cs="宋体" w:eastAsia="宋体" w:hint="default"/>
        </w:rPr>
        <w:t>(2) </w:t>
      </w:r>
      <w:r>
        <w:rPr/>
        <w:t>定制软件销售收入</w:t>
      </w:r>
      <w:r>
        <w:rPr>
          <w:w w:val="100"/>
        </w:rPr>
        <w:t> </w:t>
      </w:r>
      <w:r>
        <w:rPr>
          <w:spacing w:val="-2"/>
        </w:rPr>
        <w:t>提供定制软件劳务交易的结果在资产负债表日能够可靠估计的</w:t>
      </w:r>
      <w:r>
        <w:rPr>
          <w:rFonts w:ascii="宋体" w:hAnsi="宋体" w:cs="宋体" w:eastAsia="宋体" w:hint="default"/>
          <w:spacing w:val="-2"/>
        </w:rPr>
        <w:t>(</w:t>
      </w:r>
      <w:r>
        <w:rPr>
          <w:spacing w:val="-2"/>
        </w:rPr>
        <w:t>同时满足收入的金额能够可</w:t>
      </w:r>
    </w:p>
    <w:p>
      <w:pPr>
        <w:pStyle w:val="BodyText"/>
        <w:spacing w:line="357" w:lineRule="auto" w:before="34"/>
        <w:ind w:left="138" w:right="127"/>
        <w:jc w:val="both"/>
      </w:pPr>
      <w:r>
        <w:rPr>
          <w:spacing w:val="-2"/>
        </w:rPr>
        <w:t>靠地计量、相关经济利益很可能流入、交易的完工进度能够可靠地确定、交易中已发生和将发生</w:t>
      </w:r>
      <w:r>
        <w:rPr>
          <w:spacing w:val="-26"/>
        </w:rPr>
        <w:t> </w:t>
      </w:r>
      <w:r>
        <w:rPr>
          <w:spacing w:val="-26"/>
        </w:rPr>
      </w:r>
      <w:r>
        <w:rPr>
          <w:spacing w:val="-4"/>
        </w:rPr>
        <w:t>的成本能够可靠地计量</w:t>
      </w:r>
      <w:r>
        <w:rPr>
          <w:rFonts w:ascii="宋体" w:hAnsi="宋体" w:cs="宋体" w:eastAsia="宋体" w:hint="default"/>
          <w:spacing w:val="-4"/>
        </w:rPr>
        <w:t>)</w:t>
      </w:r>
      <w:r>
        <w:rPr>
          <w:spacing w:val="-4"/>
        </w:rPr>
        <w:t>，采用完工百分比法确认提供劳务的收入，并按已经发生的成本占估计总</w:t>
      </w:r>
      <w:r>
        <w:rPr>
          <w:spacing w:val="-33"/>
        </w:rPr>
        <w:t> </w:t>
      </w:r>
      <w:r>
        <w:rPr>
          <w:spacing w:val="-33"/>
        </w:rPr>
      </w:r>
      <w:r>
        <w:rPr>
          <w:spacing w:val="-2"/>
        </w:rPr>
        <w:t>成本的比例确定提供劳务交易的完工进度。提供定制软件劳务交易的结果在资产负债表日不能够</w:t>
      </w:r>
      <w:r>
        <w:rPr>
          <w:spacing w:val="-25"/>
        </w:rPr>
        <w:t> </w:t>
      </w:r>
      <w:r>
        <w:rPr>
          <w:spacing w:val="-25"/>
        </w:rPr>
      </w:r>
      <w:r>
        <w:rPr>
          <w:spacing w:val="-2"/>
        </w:rPr>
        <w:t>可靠估计的，若已经发生的劳务成本预计能够得到补偿，按已经发生的劳务成本金额确认提供劳</w:t>
      </w:r>
      <w:r>
        <w:rPr>
          <w:spacing w:val="-25"/>
        </w:rPr>
        <w:t> </w:t>
      </w:r>
      <w:r>
        <w:rPr>
          <w:spacing w:val="-25"/>
        </w:rPr>
      </w:r>
      <w:r>
        <w:rPr>
          <w:spacing w:val="-2"/>
        </w:rPr>
        <w:t>务收入，并按相同金额结转劳务成本；若已经发生的劳务成本预计不能够得到补偿，将已经发生</w:t>
      </w:r>
      <w:r>
        <w:rPr>
          <w:spacing w:val="-25"/>
        </w:rPr>
        <w:t> </w:t>
      </w:r>
      <w:r>
        <w:rPr>
          <w:spacing w:val="-25"/>
        </w:rPr>
      </w:r>
      <w:r>
        <w:rPr/>
        <w:t>的劳务成本计入当期损益，不确认劳务收入。</w:t>
      </w:r>
    </w:p>
    <w:p>
      <w:pPr>
        <w:pStyle w:val="BodyText"/>
        <w:spacing w:line="355" w:lineRule="auto" w:before="30"/>
        <w:ind w:left="138" w:right="127" w:firstLine="419"/>
        <w:jc w:val="both"/>
      </w:pPr>
      <w:r>
        <w:rPr>
          <w:spacing w:val="-4"/>
        </w:rPr>
        <w:t>对合同规定由公司负责免费维护或免费升级的软件产品，在确认收入的同时，按收入的</w:t>
      </w:r>
      <w:r>
        <w:rPr>
          <w:spacing w:val="43"/>
        </w:rPr>
        <w:t> </w:t>
      </w:r>
      <w:r>
        <w:rPr>
          <w:rFonts w:ascii="宋体" w:hAnsi="宋体" w:cs="宋体" w:eastAsia="宋体" w:hint="default"/>
        </w:rPr>
        <w:t>0.5%</w:t>
      </w:r>
      <w:r>
        <w:rPr>
          <w:rFonts w:ascii="宋体" w:hAnsi="宋体" w:cs="宋体" w:eastAsia="宋体" w:hint="default"/>
          <w:w w:val="100"/>
        </w:rPr>
        <w:t> </w:t>
      </w:r>
      <w:r>
        <w:rPr/>
        <w:t>预提软件维护费用。</w:t>
      </w:r>
    </w:p>
    <w:p>
      <w:pPr>
        <w:pStyle w:val="BodyText"/>
        <w:spacing w:line="355" w:lineRule="auto" w:before="32"/>
        <w:ind w:left="558" w:right="1692" w:hanging="420"/>
        <w:jc w:val="left"/>
      </w:pPr>
      <w:r>
        <w:rPr>
          <w:rFonts w:ascii="宋体" w:hAnsi="宋体" w:cs="宋体" w:eastAsia="宋体" w:hint="default"/>
        </w:rPr>
        <w:t>(3) </w:t>
      </w:r>
      <w:r>
        <w:rPr/>
        <w:t>软件服务收入</w:t>
      </w:r>
      <w:r>
        <w:rPr>
          <w:w w:val="100"/>
        </w:rPr>
        <w:t> </w:t>
      </w:r>
      <w:r>
        <w:rPr>
          <w:spacing w:val="-2"/>
        </w:rPr>
        <w:t>在劳务已经提供，收到价款或取得收款的证据时，确认收入。</w:t>
      </w:r>
    </w:p>
    <w:p>
      <w:pPr>
        <w:pStyle w:val="BodyText"/>
        <w:spacing w:line="355" w:lineRule="auto" w:before="34"/>
        <w:ind w:left="558" w:right="0" w:hanging="420"/>
        <w:jc w:val="left"/>
      </w:pPr>
      <w:r>
        <w:rPr>
          <w:rFonts w:ascii="宋体" w:hAnsi="宋体" w:cs="宋体" w:eastAsia="宋体" w:hint="default"/>
        </w:rPr>
        <w:t>(4) </w:t>
      </w:r>
      <w:r>
        <w:rPr/>
        <w:t>系统集成收入</w:t>
      </w:r>
      <w:r>
        <w:rPr>
          <w:w w:val="100"/>
        </w:rPr>
        <w:t> </w:t>
      </w:r>
      <w:r>
        <w:rPr>
          <w:spacing w:val="-2"/>
        </w:rPr>
        <w:t>在软件收入、工程安装收入与外购商品销售收入能分开核算的情况下，软件收入按上述软件</w:t>
      </w:r>
    </w:p>
    <w:p>
      <w:pPr>
        <w:pStyle w:val="BodyText"/>
        <w:spacing w:line="357" w:lineRule="auto" w:before="32"/>
        <w:ind w:left="138" w:right="137"/>
        <w:jc w:val="both"/>
      </w:pPr>
      <w:r>
        <w:rPr>
          <w:spacing w:val="-2"/>
        </w:rPr>
        <w:t>产品销售和定制软件的原则进行确认；在软件收入、工程安装收入与外购商品销售收入不能分开</w:t>
      </w:r>
      <w:r>
        <w:rPr>
          <w:spacing w:val="-25"/>
        </w:rPr>
        <w:t> </w:t>
      </w:r>
      <w:r>
        <w:rPr>
          <w:spacing w:val="-25"/>
        </w:rPr>
      </w:r>
      <w:r>
        <w:rPr>
          <w:spacing w:val="-2"/>
        </w:rPr>
        <w:t>核算，且工程安装费是商品销售收入的一部分时，则一并核算，软件产品收入与工程安装收入在</w:t>
      </w:r>
      <w:r>
        <w:rPr>
          <w:spacing w:val="-25"/>
        </w:rPr>
        <w:t> </w:t>
      </w:r>
      <w:r>
        <w:rPr>
          <w:spacing w:val="-25"/>
        </w:rPr>
      </w:r>
      <w:r>
        <w:rPr/>
        <w:t>整个商品销售时一并确认。</w:t>
      </w:r>
    </w:p>
    <w:p>
      <w:pPr>
        <w:pStyle w:val="BodyText"/>
        <w:spacing w:line="355" w:lineRule="auto" w:before="30"/>
        <w:ind w:left="138" w:right="137" w:firstLine="419"/>
        <w:jc w:val="both"/>
      </w:pPr>
      <w:r>
        <w:rPr>
          <w:spacing w:val="-2"/>
        </w:rPr>
        <w:t>对系统集成业务的开始和完成分属不同的会计年度的，在整个系统集成合同的总收入、劳务</w:t>
      </w:r>
      <w:r>
        <w:rPr>
          <w:w w:val="100"/>
        </w:rPr>
        <w:t> </w:t>
      </w:r>
      <w:r>
        <w:rPr>
          <w:spacing w:val="-2"/>
        </w:rPr>
        <w:t>的完成程度能够可靠地确定，与交易相关的价款能够流入，已经发生的成本和为完成劳务将要发</w:t>
      </w:r>
      <w:r>
        <w:rPr>
          <w:spacing w:val="-25"/>
        </w:rPr>
        <w:t> </w:t>
      </w:r>
      <w:r>
        <w:rPr>
          <w:spacing w:val="-25"/>
        </w:rPr>
      </w:r>
      <w:r>
        <w:rPr/>
        <w:t>生的成本能够可靠地计量时，按完工百分比法</w:t>
      </w:r>
      <w:r>
        <w:rPr>
          <w:rFonts w:ascii="宋体" w:hAnsi="宋体" w:cs="宋体" w:eastAsia="宋体" w:hint="default"/>
        </w:rPr>
        <w:t>(</w:t>
      </w:r>
      <w:r>
        <w:rPr/>
        <w:t>工程完工进度</w:t>
      </w:r>
      <w:r>
        <w:rPr>
          <w:rFonts w:ascii="宋体" w:hAnsi="宋体" w:cs="宋体" w:eastAsia="宋体" w:hint="default"/>
        </w:rPr>
        <w:t>)</w:t>
      </w:r>
      <w:r>
        <w:rPr/>
        <w:t>确认收入。</w:t>
      </w:r>
    </w:p>
    <w:p>
      <w:pPr>
        <w:pStyle w:val="BodyText"/>
        <w:spacing w:line="357" w:lineRule="auto" w:before="32"/>
        <w:ind w:left="545" w:right="0" w:hanging="408"/>
        <w:jc w:val="left"/>
      </w:pPr>
      <w:r>
        <w:rPr>
          <w:rFonts w:ascii="宋体" w:hAnsi="宋体" w:cs="宋体" w:eastAsia="宋体" w:hint="default"/>
        </w:rPr>
        <w:t>(5) </w:t>
      </w:r>
      <w:r>
        <w:rPr/>
        <w:t>外购商品销售收入</w:t>
      </w:r>
      <w:r>
        <w:rPr>
          <w:w w:val="100"/>
        </w:rPr>
        <w:t> </w:t>
      </w:r>
      <w:r>
        <w:rPr>
          <w:spacing w:val="-6"/>
          <w:w w:val="100"/>
        </w:rPr>
        <w:t>外购商品包括外购软、硬件商品。在同时满足商品所有权上的主要风险和报酬转移给购货方；</w:t>
      </w:r>
    </w:p>
    <w:p>
      <w:pPr>
        <w:pStyle w:val="BodyText"/>
        <w:spacing w:line="357" w:lineRule="auto" w:before="30"/>
        <w:ind w:left="138" w:right="137"/>
        <w:jc w:val="both"/>
      </w:pPr>
      <w:r>
        <w:rPr>
          <w:spacing w:val="-2"/>
        </w:rPr>
        <w:t>公司不再保留通常与所有权相联系的继续管理权，也不再对已售出的商品实施有效控制；收入的</w:t>
      </w:r>
      <w:r>
        <w:rPr>
          <w:spacing w:val="-25"/>
        </w:rPr>
        <w:t> </w:t>
      </w:r>
      <w:r>
        <w:rPr>
          <w:spacing w:val="-25"/>
        </w:rPr>
      </w:r>
      <w:r>
        <w:rPr>
          <w:spacing w:val="-2"/>
        </w:rPr>
        <w:t>金额能够可靠地计量；相关的经济利益很可能流入；相关的已发生或将发生的成本能够可靠地计</w:t>
      </w:r>
      <w:r>
        <w:rPr>
          <w:spacing w:val="-25"/>
        </w:rPr>
        <w:t> </w:t>
      </w:r>
      <w:r>
        <w:rPr>
          <w:spacing w:val="-25"/>
        </w:rPr>
      </w:r>
      <w:r>
        <w:rPr/>
        <w:t>量时，确认商品销售收入的实现。</w:t>
      </w:r>
    </w:p>
    <w:p>
      <w:pPr>
        <w:pStyle w:val="BodyText"/>
        <w:spacing w:line="240" w:lineRule="auto" w:before="32"/>
        <w:ind w:left="138" w:right="0"/>
        <w:jc w:val="both"/>
      </w:pPr>
      <w:r>
        <w:rPr>
          <w:rFonts w:ascii="宋体" w:hAnsi="宋体" w:cs="宋体" w:eastAsia="宋体" w:hint="default"/>
        </w:rPr>
        <w:t>(6) </w:t>
      </w:r>
      <w:r>
        <w:rPr/>
        <w:t>科技园项目销售收入</w:t>
      </w:r>
    </w:p>
    <w:p>
      <w:pPr>
        <w:spacing w:after="0" w:line="240"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208" w:firstLine="407"/>
        <w:jc w:val="both"/>
      </w:pPr>
      <w:r>
        <w:rPr>
          <w:spacing w:val="-2"/>
        </w:rPr>
        <w:t>在开发产品已经完工并验收合格，签订了销售合同并履行了合同规定的义务，在同时满足开</w:t>
      </w:r>
      <w:r>
        <w:rPr>
          <w:w w:val="100"/>
        </w:rPr>
        <w:t> </w:t>
      </w:r>
      <w:r>
        <w:rPr>
          <w:spacing w:val="-2"/>
        </w:rPr>
        <w:t>发产品所有权上的主要风险和报酬转移给买方，公司不再保留通常与所有权相联系的继续管理权</w:t>
      </w:r>
      <w:r>
        <w:rPr>
          <w:spacing w:val="-25"/>
        </w:rPr>
        <w:t> </w:t>
      </w:r>
      <w:r>
        <w:rPr>
          <w:spacing w:val="-25"/>
        </w:rPr>
      </w:r>
      <w:r>
        <w:rPr>
          <w:spacing w:val="-6"/>
          <w:w w:val="100"/>
        </w:rPr>
        <w:t>和对已售出的开发产品实施有效控制，收入的金额能够可靠地计量，相关的经济利益很可能流入，</w:t>
      </w:r>
      <w:r>
        <w:rPr>
          <w:w w:val="100"/>
        </w:rPr>
        <w:t> </w:t>
      </w:r>
      <w:r>
        <w:rPr/>
        <w:t>相关的已发生或将发生的成本能够可靠地计量时，确认销售收入的实现。</w:t>
      </w:r>
    </w:p>
    <w:p>
      <w:pPr>
        <w:pStyle w:val="BodyText"/>
        <w:spacing w:line="357" w:lineRule="auto" w:before="30"/>
        <w:ind w:left="138" w:right="210" w:firstLine="407"/>
        <w:jc w:val="both"/>
      </w:pPr>
      <w:r>
        <w:rPr>
          <w:spacing w:val="-2"/>
        </w:rPr>
        <w:t>出售自用房屋：自用房屋所有权上的主要风险和报酬转移给买方，公司不再保留通常与所有</w:t>
      </w:r>
      <w:r>
        <w:rPr>
          <w:w w:val="100"/>
        </w:rPr>
        <w:t> </w:t>
      </w:r>
      <w:r>
        <w:rPr>
          <w:spacing w:val="-2"/>
        </w:rPr>
        <w:t>权相联系的继续管理权和对已售出的开发产品实施有效控制，收入的金额能够可靠地计量，相关</w:t>
      </w:r>
      <w:r>
        <w:rPr>
          <w:spacing w:val="-26"/>
        </w:rPr>
        <w:t> </w:t>
      </w:r>
      <w:r>
        <w:rPr>
          <w:spacing w:val="-26"/>
        </w:rPr>
      </w:r>
      <w:r>
        <w:rPr>
          <w:spacing w:val="-6"/>
          <w:w w:val="100"/>
        </w:rPr>
        <w:t>的经济利益很可能流入，相关的已发生或将发生的成本能够可靠地计量时，确认销售收入的实现。</w:t>
      </w:r>
      <w:r>
        <w:rPr>
          <w:w w:val="100"/>
        </w:rPr>
        <w:t> </w:t>
      </w:r>
      <w:r>
        <w:rPr>
          <w:rFonts w:ascii="宋体" w:hAnsi="宋体" w:cs="宋体" w:eastAsia="宋体" w:hint="default"/>
        </w:rPr>
        <w:t>(7)</w:t>
      </w:r>
      <w:r>
        <w:rPr>
          <w:rFonts w:ascii="宋体" w:hAnsi="宋体" w:cs="宋体" w:eastAsia="宋体" w:hint="default"/>
          <w:spacing w:val="-1"/>
        </w:rPr>
        <w:t> </w:t>
      </w:r>
      <w:r>
        <w:rPr/>
        <w:t>基金销售佣金收入</w:t>
      </w:r>
    </w:p>
    <w:p>
      <w:pPr>
        <w:pStyle w:val="BodyText"/>
        <w:spacing w:line="355" w:lineRule="auto" w:before="31"/>
        <w:ind w:left="138" w:right="2966" w:firstLine="407"/>
        <w:jc w:val="left"/>
      </w:pPr>
      <w:r>
        <w:rPr>
          <w:spacing w:val="-2"/>
        </w:rPr>
        <w:t>代售业务完成时，收到价款或取得收款的证据时，确认收入。</w:t>
      </w:r>
      <w:r>
        <w:rPr>
          <w:w w:val="100"/>
        </w:rPr>
        <w:t> </w:t>
      </w:r>
      <w:r>
        <w:rPr>
          <w:rFonts w:ascii="宋体" w:hAnsi="宋体" w:cs="宋体" w:eastAsia="宋体" w:hint="default"/>
        </w:rPr>
        <w:t>(8)</w:t>
      </w:r>
      <w:r>
        <w:rPr>
          <w:rFonts w:ascii="宋体" w:hAnsi="宋体" w:cs="宋体" w:eastAsia="宋体" w:hint="default"/>
          <w:spacing w:val="1"/>
        </w:rPr>
        <w:t> </w:t>
      </w:r>
      <w:r>
        <w:rPr/>
        <w:t>让渡资产使用权</w:t>
      </w:r>
    </w:p>
    <w:p>
      <w:pPr>
        <w:pStyle w:val="BodyText"/>
        <w:spacing w:line="355" w:lineRule="auto" w:before="34"/>
        <w:ind w:left="138" w:right="217" w:firstLine="407"/>
        <w:jc w:val="both"/>
      </w:pPr>
      <w:r>
        <w:rPr>
          <w:spacing w:val="-2"/>
        </w:rPr>
        <w:t>让渡资产使用权在同时满足相关的经济利益很可能流入、收入金额能够可靠计量时，确认让</w:t>
      </w:r>
      <w:r>
        <w:rPr>
          <w:w w:val="100"/>
        </w:rPr>
        <w:t> </w:t>
      </w:r>
      <w:r>
        <w:rPr>
          <w:spacing w:val="-2"/>
        </w:rPr>
        <w:t>渡资产使用权的收入。利息收入按照他人使用本公司货币资金的时间和实际利率计算确定；使用</w:t>
      </w:r>
      <w:r>
        <w:rPr>
          <w:spacing w:val="-25"/>
        </w:rPr>
        <w:t> </w:t>
      </w:r>
      <w:r>
        <w:rPr>
          <w:spacing w:val="-25"/>
        </w:rPr>
      </w:r>
      <w:r>
        <w:rPr/>
        <w:t>费收入按有关合同或协议约定的收费时间和方法计算确定。</w:t>
      </w:r>
    </w:p>
    <w:p>
      <w:pPr>
        <w:pStyle w:val="BodyText"/>
        <w:spacing w:line="355" w:lineRule="auto" w:before="32"/>
        <w:ind w:left="545" w:right="108" w:hanging="408"/>
        <w:jc w:val="left"/>
      </w:pPr>
      <w:r>
        <w:rPr>
          <w:rFonts w:ascii="宋体" w:hAnsi="宋体" w:cs="宋体" w:eastAsia="宋体" w:hint="default"/>
        </w:rPr>
        <w:t>(9) </w:t>
      </w:r>
      <w:r>
        <w:rPr/>
        <w:t>其他业务收入</w:t>
      </w:r>
      <w:r>
        <w:rPr>
          <w:w w:val="100"/>
        </w:rPr>
        <w:t> </w:t>
      </w:r>
      <w:r>
        <w:rPr>
          <w:spacing w:val="-2"/>
        </w:rPr>
        <w:t>根据相关合同、协议的约定，与交易相关的经济利益能够流入企业，与收入相关的成本能够</w:t>
      </w:r>
    </w:p>
    <w:p>
      <w:pPr>
        <w:pStyle w:val="BodyText"/>
        <w:spacing w:line="240" w:lineRule="auto" w:before="34"/>
        <w:ind w:left="138" w:right="108"/>
        <w:jc w:val="left"/>
      </w:pPr>
      <w:r>
        <w:rPr/>
        <w:t>可靠地计量时，确认其他业务收入的实现。</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4"/>
        <w:spacing w:line="266" w:lineRule="auto" w:before="0"/>
        <w:ind w:left="138" w:right="2966"/>
        <w:jc w:val="left"/>
        <w:rPr>
          <w:b w:val="0"/>
          <w:bCs w:val="0"/>
        </w:rPr>
      </w:pPr>
      <w:r>
        <w:rPr>
          <w:rFonts w:ascii="Calibri" w:hAnsi="Calibri" w:cs="Calibri" w:eastAsia="Calibri" w:hint="default"/>
        </w:rPr>
        <w:t>29.</w:t>
      </w:r>
      <w:r>
        <w:rPr>
          <w:rFonts w:ascii="Calibri" w:hAnsi="Calibri" w:cs="Calibri" w:eastAsia="Calibri" w:hint="default"/>
          <w:spacing w:val="1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spacing w:line="355" w:lineRule="auto" w:before="170"/>
        <w:ind w:left="138" w:right="98" w:firstLine="419"/>
        <w:jc w:val="left"/>
      </w:pPr>
      <w:r>
        <w:rPr>
          <w:spacing w:val="-4"/>
          <w:w w:val="100"/>
        </w:rPr>
        <w:t>公司取得的、用于购建或以其他方式形成长期资产的政府补助划分为与资产相关的政府补助。</w:t>
      </w:r>
      <w:r>
        <w:rPr>
          <w:w w:val="100"/>
        </w:rPr>
        <w:t> </w:t>
      </w:r>
      <w:r>
        <w:rPr/>
        <w:t>与资产相关的政府补助，确认为递延收益，并在相关资产使用寿命内平均分配，计入当期损益。</w:t>
      </w:r>
      <w:r>
        <w:rPr>
          <w:spacing w:val="-97"/>
        </w:rPr>
        <w:t> </w:t>
      </w:r>
      <w:r>
        <w:rPr>
          <w:spacing w:val="-97"/>
        </w:rPr>
      </w:r>
      <w:r>
        <w:rPr/>
        <w:t>但是，按照名义金额计量的政府补助，直接计入当期损益。</w:t>
      </w:r>
    </w:p>
    <w:p>
      <w:pPr>
        <w:spacing w:line="408" w:lineRule="auto" w:before="94"/>
        <w:ind w:left="558" w:right="10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除与资产相关的政府补助之外的政府补助划分为与收益相关的政府补助。与收益相关的政府</w:t>
      </w:r>
    </w:p>
    <w:p>
      <w:pPr>
        <w:pStyle w:val="BodyText"/>
        <w:spacing w:line="262" w:lineRule="exact"/>
        <w:ind w:left="138" w:right="108"/>
        <w:jc w:val="left"/>
      </w:pPr>
      <w:r>
        <w:rPr/>
        <w:t>补助，用于补偿以后期间的相关费用或损失的，确认为递延收益，在确认相关费用的期间，计入</w:t>
      </w:r>
    </w:p>
    <w:p>
      <w:pPr>
        <w:pStyle w:val="BodyText"/>
        <w:spacing w:line="240" w:lineRule="auto" w:before="133"/>
        <w:ind w:left="138" w:right="108"/>
        <w:jc w:val="left"/>
      </w:pPr>
      <w:r>
        <w:rPr/>
        <w:t>当期损益；用于补偿已发生的相关费用或损失的，直接计入当期损益。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before="0"/>
        <w:ind w:left="138" w:right="108"/>
        <w:jc w:val="left"/>
        <w:rPr>
          <w:b w:val="0"/>
          <w:bCs w:val="0"/>
        </w:rPr>
      </w:pPr>
      <w:r>
        <w:rPr>
          <w:rFonts w:ascii="Calibri" w:hAnsi="Calibri" w:cs="Calibri" w:eastAsia="Calibri" w:hint="default"/>
        </w:rPr>
        <w:t>30.  </w:t>
      </w:r>
      <w:r>
        <w:rPr>
          <w:rFonts w:ascii="Calibri" w:hAnsi="Calibri" w:cs="Calibri" w:eastAsia="Calibri" w:hint="default"/>
          <w:spacing w:val="12"/>
        </w:rPr>
        <w:t> </w:t>
      </w:r>
      <w:r>
        <w:rPr/>
        <w:t>递延所得税资产</w:t>
      </w:r>
      <w:r>
        <w:rPr>
          <w:rFonts w:ascii="Calibri" w:hAnsi="Calibri" w:cs="Calibri" w:eastAsia="Calibri" w:hint="default"/>
        </w:rPr>
        <w:t>/</w:t>
      </w:r>
      <w:r>
        <w:rPr/>
        <w:t>递延所得税负债</w:t>
      </w:r>
      <w:r>
        <w:rPr>
          <w:b w:val="0"/>
          <w:bCs w:val="0"/>
        </w:rPr>
      </w:r>
    </w:p>
    <w:p>
      <w:pPr>
        <w:pStyle w:val="BodyText"/>
        <w:spacing w:line="357" w:lineRule="auto" w:before="166"/>
        <w:ind w:left="138" w:right="209"/>
        <w:jc w:val="both"/>
      </w:pPr>
      <w:r>
        <w:rPr>
          <w:rFonts w:ascii="宋体" w:hAnsi="宋体" w:cs="宋体" w:eastAsia="宋体" w:hint="default"/>
          <w:w w:val="100"/>
        </w:rPr>
        <w:t>(1)</w:t>
      </w:r>
      <w:r>
        <w:rPr>
          <w:rFonts w:ascii="宋体" w:hAnsi="宋体" w:cs="宋体" w:eastAsia="宋体" w:hint="default"/>
          <w:spacing w:val="9"/>
          <w:w w:val="100"/>
        </w:rPr>
        <w:t> </w:t>
      </w:r>
      <w:r>
        <w:rPr>
          <w:spacing w:val="-4"/>
          <w:w w:val="100"/>
        </w:rPr>
        <w:t>根据资产、负债的账面价值与其计税基础之间的差额</w:t>
      </w:r>
      <w:r>
        <w:rPr>
          <w:rFonts w:ascii="宋体" w:hAnsi="宋体" w:cs="宋体" w:eastAsia="宋体" w:hint="default"/>
          <w:spacing w:val="-4"/>
          <w:w w:val="100"/>
        </w:rPr>
        <w:t>(</w:t>
      </w:r>
      <w:r>
        <w:rPr>
          <w:spacing w:val="-4"/>
          <w:w w:val="100"/>
        </w:rPr>
        <w:t>未作为资产和负债确认的项目按照税法</w:t>
      </w:r>
      <w:r>
        <w:rPr>
          <w:w w:val="100"/>
        </w:rPr>
        <w:t> </w:t>
      </w:r>
      <w:r>
        <w:rPr>
          <w:spacing w:val="-4"/>
        </w:rPr>
        <w:t>规定可以确定其计税基础的，该计税基础与其账面数之间的差额</w:t>
      </w:r>
      <w:r>
        <w:rPr>
          <w:rFonts w:ascii="宋体" w:hAnsi="宋体" w:cs="宋体" w:eastAsia="宋体" w:hint="default"/>
          <w:spacing w:val="-4"/>
        </w:rPr>
        <w:t>)</w:t>
      </w:r>
      <w:r>
        <w:rPr>
          <w:spacing w:val="-4"/>
        </w:rPr>
        <w:t>，按照预期收回该资产或清偿该</w:t>
      </w:r>
      <w:r>
        <w:rPr>
          <w:spacing w:val="-34"/>
        </w:rPr>
        <w:t> </w:t>
      </w:r>
      <w:r>
        <w:rPr>
          <w:spacing w:val="-34"/>
        </w:rPr>
      </w:r>
      <w:r>
        <w:rPr/>
        <w:t>负债期间的适用税率计算确认递延所得税资产或递延所得税负债。</w:t>
      </w:r>
    </w:p>
    <w:p>
      <w:pPr>
        <w:pStyle w:val="BodyText"/>
        <w:spacing w:line="357" w:lineRule="auto" w:before="30"/>
        <w:ind w:left="138" w:right="98"/>
        <w:jc w:val="left"/>
      </w:pPr>
      <w:r>
        <w:rPr>
          <w:rFonts w:ascii="宋体" w:hAnsi="宋体" w:cs="宋体" w:eastAsia="宋体" w:hint="default"/>
        </w:rPr>
        <w:t>(2) </w:t>
      </w:r>
      <w:r>
        <w:rPr/>
        <w:t>确认递延所得税资产以很可能取得用来抵扣可抵扣暂时性差异的应纳税所得额为限。资产负</w:t>
      </w:r>
      <w:r>
        <w:rPr>
          <w:spacing w:val="-98"/>
        </w:rPr>
        <w:t> </w:t>
      </w:r>
      <w:r>
        <w:rPr>
          <w:spacing w:val="-98"/>
        </w:rPr>
      </w:r>
      <w:r>
        <w:rPr>
          <w:spacing w:val="-4"/>
          <w:w w:val="100"/>
        </w:rPr>
        <w:t>债表日，有确凿证据表明未来期间很可能获得足够的应纳税所得额用来抵扣可抵扣暂时性差异的，</w:t>
      </w:r>
      <w:r>
        <w:rPr>
          <w:spacing w:val="-85"/>
          <w:w w:val="100"/>
        </w:rPr>
        <w:t> </w:t>
      </w:r>
      <w:r>
        <w:rPr>
          <w:spacing w:val="-85"/>
          <w:w w:val="100"/>
        </w:rPr>
      </w:r>
      <w:r>
        <w:rPr/>
        <w:t>确认以前会计期间未确认的递延所得税资产。</w:t>
      </w:r>
    </w:p>
    <w:p>
      <w:pPr>
        <w:spacing w:after="0" w:line="357" w:lineRule="auto"/>
        <w:jc w:val="left"/>
        <w:sectPr>
          <w:footerReference w:type="default" r:id="rId35"/>
          <w:pgSz w:w="11910" w:h="16840"/>
          <w:pgMar w:footer="1195" w:header="882" w:top="1120" w:bottom="1380" w:left="1660" w:right="1060"/>
          <w:pgNumType w:start="84"/>
        </w:sectPr>
      </w:pPr>
    </w:p>
    <w:p>
      <w:pPr>
        <w:spacing w:line="240" w:lineRule="auto" w:before="1"/>
        <w:rPr>
          <w:rFonts w:ascii="宋体" w:hAnsi="宋体" w:cs="宋体" w:eastAsia="宋体" w:hint="default"/>
          <w:sz w:val="25"/>
          <w:szCs w:val="25"/>
        </w:rPr>
      </w:pPr>
    </w:p>
    <w:p>
      <w:pPr>
        <w:pStyle w:val="BodyText"/>
        <w:spacing w:line="357" w:lineRule="auto" w:before="36"/>
        <w:ind w:left="138" w:right="208"/>
        <w:jc w:val="both"/>
      </w:pPr>
      <w:r>
        <w:rPr>
          <w:rFonts w:ascii="宋体" w:hAnsi="宋体" w:cs="宋体" w:eastAsia="宋体" w:hint="default"/>
        </w:rPr>
        <w:t>(3)</w:t>
      </w:r>
      <w:r>
        <w:rPr>
          <w:rFonts w:ascii="宋体" w:hAnsi="宋体" w:cs="宋体" w:eastAsia="宋体" w:hint="default"/>
          <w:spacing w:val="6"/>
        </w:rPr>
        <w:t> </w:t>
      </w:r>
      <w:r>
        <w:rPr/>
        <w:t>资产负债表日，对递延所得税资产的账面价值进行复核，如果未来期间很可能无法获得足够</w:t>
      </w:r>
      <w:r>
        <w:rPr>
          <w:w w:val="100"/>
        </w:rPr>
        <w:t> </w:t>
      </w:r>
      <w:r>
        <w:rPr>
          <w:spacing w:val="-1"/>
        </w:rPr>
        <w:t>的应纳税所得额用以抵扣递延所得税资产的利益，则减记递延所得税资产的账面价值。在很可能</w:t>
      </w:r>
      <w:r>
        <w:rPr>
          <w:spacing w:val="-55"/>
        </w:rPr>
        <w:t> </w:t>
      </w:r>
      <w:r>
        <w:rPr>
          <w:spacing w:val="-55"/>
        </w:rPr>
      </w:r>
      <w:r>
        <w:rPr/>
        <w:t>获得足够的应纳税所得额时，转回减记的金额。</w:t>
      </w:r>
    </w:p>
    <w:p>
      <w:pPr>
        <w:pStyle w:val="BodyText"/>
        <w:spacing w:line="355" w:lineRule="auto" w:before="30"/>
        <w:ind w:left="138" w:right="207"/>
        <w:jc w:val="both"/>
      </w:pPr>
      <w:r>
        <w:rPr>
          <w:rFonts w:ascii="宋体" w:hAnsi="宋体" w:cs="宋体" w:eastAsia="宋体" w:hint="default"/>
        </w:rPr>
        <w:t>(4)</w:t>
      </w:r>
      <w:r>
        <w:rPr>
          <w:rFonts w:ascii="宋体" w:hAnsi="宋体" w:cs="宋体" w:eastAsia="宋体" w:hint="default"/>
          <w:spacing w:val="6"/>
        </w:rPr>
        <w:t> </w:t>
      </w:r>
      <w:r>
        <w:rPr/>
        <w:t>公司当期所得税和递延所得税作为所得税费用或收益计入当期损益，但不包括下列情况产生</w:t>
      </w:r>
      <w:r>
        <w:rPr>
          <w:w w:val="100"/>
        </w:rPr>
        <w:t> </w:t>
      </w:r>
      <w:r>
        <w:rPr/>
        <w:t>的所得税：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6"/>
        </w:rPr>
        <w:t> </w:t>
      </w:r>
      <w:r>
        <w:rPr/>
        <w:t>直接在所有者权益中确认的交易或者事项。</w:t>
      </w:r>
    </w:p>
    <w:p>
      <w:pPr>
        <w:spacing w:line="240" w:lineRule="auto" w:before="13"/>
        <w:rPr>
          <w:rFonts w:ascii="宋体" w:hAnsi="宋体" w:cs="宋体" w:eastAsia="宋体" w:hint="default"/>
          <w:sz w:val="27"/>
          <w:szCs w:val="27"/>
        </w:rPr>
      </w:pPr>
    </w:p>
    <w:p>
      <w:pPr>
        <w:pStyle w:val="Heading4"/>
        <w:spacing w:line="264" w:lineRule="auto" w:before="0"/>
        <w:ind w:left="138" w:right="6181"/>
        <w:jc w:val="left"/>
        <w:rPr>
          <w:b w:val="0"/>
          <w:bCs w:val="0"/>
        </w:rPr>
      </w:pPr>
      <w:r>
        <w:rPr>
          <w:rFonts w:ascii="Calibri" w:hAnsi="Calibri" w:cs="Calibri" w:eastAsia="Calibri" w:hint="default"/>
        </w:rPr>
        <w:t>31.</w:t>
      </w:r>
      <w:r>
        <w:rPr>
          <w:rFonts w:ascii="Calibri" w:hAnsi="Calibri" w:cs="Calibri" w:eastAsia="Calibri" w:hint="default"/>
          <w:spacing w:val="1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357" w:lineRule="auto" w:before="37"/>
        <w:ind w:left="138" w:right="208" w:firstLine="419"/>
        <w:jc w:val="both"/>
      </w:pPr>
      <w:r>
        <w:rPr>
          <w:spacing w:val="-1"/>
        </w:rPr>
        <w:t>公司为承租人时，在租赁期内各个期间按照直线法</w:t>
      </w:r>
      <w:r>
        <w:rPr>
          <w:rFonts w:ascii="宋体" w:hAnsi="宋体" w:cs="宋体" w:eastAsia="宋体" w:hint="default"/>
          <w:spacing w:val="-1"/>
        </w:rPr>
        <w:t>(</w:t>
      </w:r>
      <w:r>
        <w:rPr>
          <w:spacing w:val="-1"/>
        </w:rPr>
        <w:t>提示：或其他方法</w:t>
      </w:r>
      <w:r>
        <w:rPr>
          <w:rFonts w:ascii="宋体" w:hAnsi="宋体" w:cs="宋体" w:eastAsia="宋体" w:hint="default"/>
          <w:spacing w:val="-1"/>
        </w:rPr>
        <w:t>)</w:t>
      </w:r>
      <w:r>
        <w:rPr>
          <w:spacing w:val="-1"/>
        </w:rPr>
        <w:t>将租金计入相关资产</w:t>
      </w:r>
      <w:r>
        <w:rPr>
          <w:w w:val="100"/>
        </w:rPr>
        <w:t> </w:t>
      </w:r>
      <w:r>
        <w:rPr>
          <w:spacing w:val="-1"/>
        </w:rPr>
        <w:t>成本或确认为当期损益，发生的初始直接费用，直接计入当期损益。或有租金在实际发生时计入</w:t>
      </w:r>
      <w:r>
        <w:rPr>
          <w:spacing w:val="-55"/>
        </w:rPr>
        <w:t> </w:t>
      </w:r>
      <w:r>
        <w:rPr>
          <w:spacing w:val="-55"/>
        </w:rPr>
      </w:r>
      <w:r>
        <w:rPr/>
        <w:t>当期损益。</w:t>
      </w:r>
    </w:p>
    <w:p>
      <w:pPr>
        <w:pStyle w:val="BodyText"/>
        <w:spacing w:line="355" w:lineRule="auto" w:before="32"/>
        <w:ind w:left="138" w:right="208" w:firstLine="419"/>
        <w:jc w:val="both"/>
      </w:pPr>
      <w:r>
        <w:rPr>
          <w:spacing w:val="-4"/>
        </w:rPr>
        <w:t>公司为出租人时，在租赁期内各个期间按照直线法</w:t>
      </w:r>
      <w:r>
        <w:rPr>
          <w:rFonts w:ascii="宋体" w:hAnsi="宋体" w:cs="宋体" w:eastAsia="宋体" w:hint="default"/>
          <w:spacing w:val="-4"/>
        </w:rPr>
        <w:t>/</w:t>
      </w:r>
      <w:r>
        <w:rPr>
          <w:spacing w:val="-4"/>
        </w:rPr>
        <w:t>工作量法</w:t>
      </w:r>
      <w:r>
        <w:rPr>
          <w:rFonts w:ascii="宋体" w:hAnsi="宋体" w:cs="宋体" w:eastAsia="宋体" w:hint="default"/>
          <w:spacing w:val="-4"/>
        </w:rPr>
        <w:t>(</w:t>
      </w:r>
      <w:r>
        <w:rPr>
          <w:spacing w:val="-4"/>
        </w:rPr>
        <w:t>提示：或其他方法</w:t>
      </w:r>
      <w:r>
        <w:rPr>
          <w:rFonts w:ascii="宋体" w:hAnsi="宋体" w:cs="宋体" w:eastAsia="宋体" w:hint="default"/>
          <w:spacing w:val="-4"/>
        </w:rPr>
        <w:t>)</w:t>
      </w:r>
      <w:r>
        <w:rPr>
          <w:spacing w:val="-4"/>
        </w:rPr>
        <w:t>将租金确认</w:t>
      </w:r>
      <w:r>
        <w:rPr>
          <w:w w:val="100"/>
        </w:rPr>
        <w:t> </w:t>
      </w:r>
      <w:r>
        <w:rPr>
          <w:spacing w:val="-1"/>
        </w:rPr>
        <w:t>为当期损益，发生的初始直接费用，除金额较大的予以资本化并分期计入损益外，均直接计入当</w:t>
      </w:r>
      <w:r>
        <w:rPr>
          <w:spacing w:val="-55"/>
        </w:rPr>
        <w:t> </w:t>
      </w:r>
      <w:r>
        <w:rPr>
          <w:spacing w:val="-55"/>
        </w:rPr>
      </w:r>
      <w:r>
        <w:rPr/>
        <w:t>期损益。或有租金在实际发生时计入当期损益。</w:t>
      </w:r>
    </w:p>
    <w:p>
      <w:pPr>
        <w:pStyle w:val="Heading4"/>
        <w:spacing w:line="240" w:lineRule="auto" w:before="92"/>
        <w:ind w:left="138" w:right="0"/>
        <w:jc w:val="both"/>
        <w:rPr>
          <w:b w:val="0"/>
          <w:bCs w:val="0"/>
        </w:rPr>
      </w:pPr>
      <w:r>
        <w:rPr>
          <w:rFonts w:ascii="宋体" w:hAnsi="宋体" w:cs="宋体" w:eastAsia="宋体" w:hint="default"/>
        </w:rPr>
        <w:t>(2)</w:t>
      </w:r>
      <w:r>
        <w:rPr/>
        <w:t>、融资租赁的会计处理方法</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1"/>
          <w:szCs w:val="21"/>
        </w:rPr>
      </w:pPr>
    </w:p>
    <w:p>
      <w:pPr>
        <w:pStyle w:val="Heading4"/>
        <w:spacing w:line="240" w:lineRule="auto"/>
        <w:ind w:left="138" w:right="108"/>
        <w:jc w:val="left"/>
        <w:rPr>
          <w:b w:val="0"/>
          <w:bCs w:val="0"/>
        </w:rPr>
      </w:pPr>
      <w:r>
        <w:rPr>
          <w:rFonts w:ascii="Calibri" w:hAnsi="Calibri" w:cs="Calibri" w:eastAsia="Calibri" w:hint="default"/>
        </w:rPr>
        <w:t>32.  </w:t>
      </w:r>
      <w:r>
        <w:rPr>
          <w:rFonts w:ascii="Calibri" w:hAnsi="Calibri" w:cs="Calibri" w:eastAsia="Calibri" w:hint="default"/>
          <w:spacing w:val="10"/>
        </w:rPr>
        <w:t> </w:t>
      </w:r>
      <w:r>
        <w:rPr/>
        <w:t>其他重要的会计政策和会计估计</w:t>
      </w:r>
      <w:r>
        <w:rPr>
          <w:b w:val="0"/>
          <w:bCs w:val="0"/>
        </w:rPr>
      </w:r>
    </w:p>
    <w:p>
      <w:pPr>
        <w:pStyle w:val="BodyText"/>
        <w:spacing w:line="355" w:lineRule="auto" w:before="166"/>
        <w:ind w:left="558" w:right="108" w:hanging="420"/>
        <w:jc w:val="left"/>
      </w:pPr>
      <w:r>
        <w:rPr>
          <w:rFonts w:ascii="宋体" w:hAnsi="宋体" w:cs="宋体" w:eastAsia="宋体" w:hint="default"/>
        </w:rPr>
        <w:t>(1)</w:t>
      </w:r>
      <w:r>
        <w:rPr>
          <w:rFonts w:ascii="宋体" w:hAnsi="宋体" w:cs="宋体" w:eastAsia="宋体" w:hint="default"/>
          <w:spacing w:val="-1"/>
        </w:rPr>
        <w:t> </w:t>
      </w:r>
      <w:r>
        <w:rPr/>
        <w:t>维修基金核算方法</w:t>
      </w:r>
      <w:r>
        <w:rPr>
          <w:w w:val="100"/>
        </w:rPr>
        <w:t> </w:t>
      </w:r>
      <w:r>
        <w:rPr>
          <w:spacing w:val="-2"/>
        </w:rPr>
        <w:t>根据开发项目所在地的有关规定，维修基金在开发产品销售</w:t>
      </w:r>
      <w:r>
        <w:rPr>
          <w:rFonts w:ascii="宋体" w:hAnsi="宋体" w:cs="宋体" w:eastAsia="宋体" w:hint="default"/>
          <w:spacing w:val="-2"/>
        </w:rPr>
        <w:t>(</w:t>
      </w:r>
      <w:r>
        <w:rPr>
          <w:spacing w:val="-2"/>
        </w:rPr>
        <w:t>预售</w:t>
      </w:r>
      <w:r>
        <w:rPr>
          <w:rFonts w:ascii="宋体" w:hAnsi="宋体" w:cs="宋体" w:eastAsia="宋体" w:hint="default"/>
          <w:spacing w:val="-2"/>
        </w:rPr>
        <w:t>)</w:t>
      </w:r>
      <w:r>
        <w:rPr>
          <w:spacing w:val="-2"/>
        </w:rPr>
        <w:t>时，向购房人收取或由公</w:t>
      </w:r>
    </w:p>
    <w:p>
      <w:pPr>
        <w:pStyle w:val="BodyText"/>
        <w:spacing w:line="355" w:lineRule="auto" w:before="32"/>
        <w:ind w:left="138" w:right="2305"/>
        <w:jc w:val="left"/>
      </w:pPr>
      <w:r>
        <w:rPr>
          <w:spacing w:val="-2"/>
        </w:rPr>
        <w:t>司计提计入有关开发产品的开发成本，并统一上缴维修基金管理部门。</w:t>
      </w:r>
      <w:r>
        <w:rPr>
          <w:spacing w:val="-45"/>
        </w:rPr>
        <w:t> </w:t>
      </w:r>
      <w:r>
        <w:rPr>
          <w:spacing w:val="-45"/>
        </w:rPr>
      </w:r>
      <w:r>
        <w:rPr>
          <w:rFonts w:ascii="宋体" w:hAnsi="宋体" w:cs="宋体" w:eastAsia="宋体" w:hint="default"/>
        </w:rPr>
        <w:t>(2)</w:t>
      </w:r>
      <w:r>
        <w:rPr>
          <w:rFonts w:ascii="宋体" w:hAnsi="宋体" w:cs="宋体" w:eastAsia="宋体" w:hint="default"/>
          <w:spacing w:val="-1"/>
        </w:rPr>
        <w:t> </w:t>
      </w:r>
      <w:r>
        <w:rPr/>
        <w:t>质量保证金核算方法</w:t>
      </w:r>
    </w:p>
    <w:p>
      <w:pPr>
        <w:pStyle w:val="BodyText"/>
        <w:spacing w:line="355" w:lineRule="auto" w:before="34"/>
        <w:ind w:left="138" w:right="98" w:firstLine="419"/>
        <w:jc w:val="left"/>
      </w:pPr>
      <w:r>
        <w:rPr>
          <w:spacing w:val="-4"/>
          <w:w w:val="100"/>
        </w:rPr>
        <w:t>质量保证金根据施工合同规定从施工单位工程款中预留。在开发产品保修期内发生的维修费，</w:t>
      </w:r>
      <w:r>
        <w:rPr>
          <w:w w:val="100"/>
        </w:rPr>
        <w:t> </w:t>
      </w:r>
      <w:r>
        <w:rPr/>
        <w:t>冲减质量保证金；在开发产品约定的保修期届满，质量保证金余额退还施工单位。</w:t>
      </w:r>
    </w:p>
    <w:p>
      <w:pPr>
        <w:spacing w:line="240" w:lineRule="auto" w:before="0"/>
        <w:rPr>
          <w:rFonts w:ascii="宋体" w:hAnsi="宋体" w:cs="宋体" w:eastAsia="宋体" w:hint="default"/>
          <w:sz w:val="28"/>
          <w:szCs w:val="28"/>
        </w:rPr>
      </w:pPr>
    </w:p>
    <w:p>
      <w:pPr>
        <w:pStyle w:val="Heading4"/>
        <w:spacing w:line="264" w:lineRule="auto" w:before="0"/>
        <w:ind w:left="138" w:right="3971"/>
        <w:jc w:val="left"/>
        <w:rPr>
          <w:b w:val="0"/>
          <w:bCs w:val="0"/>
        </w:rPr>
      </w:pPr>
      <w:r>
        <w:rPr>
          <w:rFonts w:ascii="Calibri" w:hAnsi="Calibri" w:cs="Calibri" w:eastAsia="Calibri" w:hint="default"/>
        </w:rPr>
        <w:t>33.</w:t>
      </w:r>
      <w:r>
        <w:rPr>
          <w:rFonts w:ascii="Calibri" w:hAnsi="Calibri" w:cs="Calibri" w:eastAsia="Calibri" w:hint="default"/>
          <w:spacing w:val="10"/>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37"/>
        <w:ind w:left="138" w:right="10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138" w:right="108"/>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left="138" w:right="10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138" w:right="108"/>
        <w:jc w:val="left"/>
        <w:rPr>
          <w:b w:val="0"/>
          <w:bCs w:val="0"/>
        </w:rPr>
      </w:pPr>
      <w:r>
        <w:rPr>
          <w:rFonts w:ascii="Calibri" w:hAnsi="Calibri" w:cs="Calibri" w:eastAsia="Calibri" w:hint="default"/>
        </w:rPr>
        <w:t>34.  </w:t>
      </w:r>
      <w:r>
        <w:rPr>
          <w:rFonts w:ascii="Calibri" w:hAnsi="Calibri" w:cs="Calibri" w:eastAsia="Calibri" w:hint="default"/>
          <w:spacing w:val="12"/>
        </w:rPr>
        <w:t> </w:t>
      </w:r>
      <w:r>
        <w:rPr/>
        <w:t>其他</w:t>
      </w:r>
      <w:r>
        <w:rPr>
          <w:b w:val="0"/>
          <w:bCs w:val="0"/>
        </w:rPr>
      </w:r>
    </w:p>
    <w:p>
      <w:pPr>
        <w:spacing w:line="240" w:lineRule="auto" w:before="3"/>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660" w:right="1060"/>
        </w:sectPr>
      </w:pPr>
    </w:p>
    <w:p>
      <w:pPr>
        <w:spacing w:line="240" w:lineRule="auto" w:before="1"/>
        <w:rPr>
          <w:rFonts w:ascii="宋体" w:hAnsi="宋体" w:cs="宋体" w:eastAsia="宋体" w:hint="default"/>
          <w:b/>
          <w:bCs/>
          <w:sz w:val="25"/>
          <w:szCs w:val="25"/>
        </w:rPr>
      </w:pPr>
    </w:p>
    <w:p>
      <w:pPr>
        <w:pStyle w:val="Heading4"/>
        <w:spacing w:line="240" w:lineRule="auto"/>
        <w:ind w:right="2940"/>
        <w:jc w:val="left"/>
        <w:rPr>
          <w:b w:val="0"/>
          <w:bCs w:val="0"/>
        </w:rPr>
      </w:pPr>
      <w:r>
        <w:rPr/>
        <w:t>六、税项</w:t>
      </w:r>
      <w:r>
        <w:rPr>
          <w:b w:val="0"/>
          <w:bCs w:val="0"/>
        </w:rPr>
      </w:r>
    </w:p>
    <w:p>
      <w:pPr>
        <w:pStyle w:val="Heading4"/>
        <w:tabs>
          <w:tab w:pos="642" w:val="left" w:leader="none"/>
        </w:tabs>
        <w:spacing w:line="240" w:lineRule="auto" w:before="58"/>
        <w:ind w:right="2940"/>
        <w:jc w:val="left"/>
        <w:rPr>
          <w:b w:val="0"/>
          <w:bCs w:val="0"/>
        </w:rPr>
      </w:pPr>
      <w:r>
        <w:rPr>
          <w:rFonts w:ascii="Calibri" w:hAnsi="Calibri" w:cs="Calibri" w:eastAsia="Calibri" w:hint="default"/>
        </w:rPr>
        <w:t>1.</w:t>
        <w:tab/>
      </w:r>
      <w:r>
        <w:rPr/>
        <w:t>主要税种及税率</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1901"/>
        <w:gridCol w:w="3455"/>
        <w:gridCol w:w="3685"/>
      </w:tblGrid>
      <w:tr>
        <w:trPr>
          <w:trHeight w:val="28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54"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销售货物或提供应税劳务过程中产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生的增值额</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17%</w:t>
            </w:r>
          </w:p>
        </w:tc>
      </w:tr>
      <w:tr>
        <w:trPr>
          <w:trHeight w:val="28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455"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系统集成收入（建筑安装工程合同）按</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w w:val="100"/>
                <w:sz w:val="21"/>
                <w:szCs w:val="21"/>
              </w:rPr>
              <w:t>的</w:t>
            </w:r>
            <w:r>
              <w:rPr>
                <w:rFonts w:ascii="宋体" w:hAnsi="宋体" w:cs="宋体" w:eastAsia="宋体" w:hint="default"/>
                <w:spacing w:val="-3"/>
                <w:w w:val="100"/>
                <w:sz w:val="21"/>
                <w:szCs w:val="21"/>
              </w:rPr>
              <w:t>税</w:t>
            </w:r>
            <w:r>
              <w:rPr>
                <w:rFonts w:ascii="宋体" w:hAnsi="宋体" w:cs="宋体" w:eastAsia="宋体" w:hint="default"/>
                <w:w w:val="100"/>
                <w:sz w:val="21"/>
                <w:szCs w:val="21"/>
              </w:rPr>
              <w:t>率</w:t>
            </w:r>
            <w:r>
              <w:rPr>
                <w:rFonts w:ascii="宋体" w:hAnsi="宋体" w:cs="宋体" w:eastAsia="宋体" w:hint="default"/>
                <w:spacing w:val="-3"/>
                <w:w w:val="100"/>
                <w:sz w:val="21"/>
                <w:szCs w:val="21"/>
              </w:rPr>
              <w:t>计</w:t>
            </w:r>
            <w:r>
              <w:rPr>
                <w:rFonts w:ascii="宋体" w:hAnsi="宋体" w:cs="宋体" w:eastAsia="宋体" w:hint="default"/>
                <w:w w:val="100"/>
                <w:sz w:val="21"/>
                <w:szCs w:val="21"/>
              </w:rPr>
              <w:t>缴</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营</w:t>
            </w:r>
            <w:r>
              <w:rPr>
                <w:rFonts w:ascii="宋体" w:hAnsi="宋体" w:cs="宋体" w:eastAsia="宋体" w:hint="default"/>
                <w:w w:val="100"/>
                <w:sz w:val="21"/>
                <w:szCs w:val="21"/>
              </w:rPr>
              <w:t>业</w:t>
            </w:r>
            <w:r>
              <w:rPr>
                <w:rFonts w:ascii="宋体" w:hAnsi="宋体" w:cs="宋体" w:eastAsia="宋体" w:hint="default"/>
                <w:spacing w:val="-3"/>
                <w:w w:val="100"/>
                <w:sz w:val="21"/>
                <w:szCs w:val="21"/>
              </w:rPr>
              <w:t>税</w:t>
            </w:r>
            <w:r>
              <w:rPr>
                <w:rFonts w:ascii="宋体" w:hAnsi="宋体" w:cs="宋体" w:eastAsia="宋体" w:hint="default"/>
                <w:w w:val="100"/>
                <w:sz w:val="21"/>
                <w:szCs w:val="21"/>
              </w:rPr>
              <w:t>应税</w:t>
            </w:r>
            <w:r>
              <w:rPr>
                <w:rFonts w:ascii="宋体" w:hAnsi="宋体" w:cs="宋体" w:eastAsia="宋体" w:hint="default"/>
                <w:spacing w:val="-3"/>
                <w:w w:val="100"/>
                <w:sz w:val="21"/>
                <w:szCs w:val="21"/>
              </w:rPr>
              <w:t>收</w:t>
            </w:r>
            <w:r>
              <w:rPr>
                <w:rFonts w:ascii="宋体" w:hAnsi="宋体" w:cs="宋体" w:eastAsia="宋体" w:hint="default"/>
                <w:w w:val="100"/>
                <w:sz w:val="21"/>
                <w:szCs w:val="21"/>
              </w:rPr>
              <w:t>入按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的税率计缴。</w:t>
            </w:r>
          </w:p>
        </w:tc>
      </w:tr>
      <w:tr>
        <w:trPr>
          <w:trHeight w:val="28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7%</w:t>
            </w:r>
          </w:p>
        </w:tc>
      </w:tr>
      <w:tr>
        <w:trPr>
          <w:trHeight w:val="555"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见不同税率的纳税主体企业所得税税</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率说明</w:t>
            </w:r>
          </w:p>
        </w:tc>
      </w:tr>
      <w:tr>
        <w:trPr>
          <w:trHeight w:val="1918"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37" w:lineRule="auto"/>
              <w:ind w:left="100" w:right="104"/>
              <w:jc w:val="both"/>
              <w:rPr>
                <w:rFonts w:ascii="宋体" w:hAnsi="宋体" w:cs="宋体" w:eastAsia="宋体" w:hint="default"/>
                <w:sz w:val="21"/>
                <w:szCs w:val="21"/>
              </w:rPr>
            </w:pPr>
            <w:r>
              <w:rPr>
                <w:rFonts w:ascii="宋体" w:hAnsi="宋体" w:cs="宋体" w:eastAsia="宋体" w:hint="default"/>
                <w:spacing w:val="3"/>
                <w:sz w:val="21"/>
                <w:szCs w:val="21"/>
              </w:rPr>
              <w:t>有偿转让国有土地使用权及地上建</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筑物和其他附着物产权产生的增值</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额</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根据国家税务总局国税发〔</w:t>
            </w:r>
            <w:r>
              <w:rPr>
                <w:rFonts w:ascii="宋体" w:hAnsi="宋体" w:cs="宋体" w:eastAsia="宋体" w:hint="default"/>
                <w:spacing w:val="3"/>
                <w:sz w:val="21"/>
                <w:szCs w:val="21"/>
              </w:rPr>
              <w:t>2010</w:t>
            </w:r>
            <w:r>
              <w:rPr>
                <w:rFonts w:ascii="宋体" w:hAnsi="宋体" w:cs="宋体" w:eastAsia="宋体" w:hint="default"/>
                <w:spacing w:val="3"/>
                <w:sz w:val="21"/>
                <w:szCs w:val="21"/>
              </w:rPr>
              <w:t>〕</w:t>
            </w:r>
            <w:r>
              <w:rPr>
                <w:rFonts w:ascii="宋体" w:hAnsi="宋体" w:cs="宋体" w:eastAsia="宋体" w:hint="default"/>
                <w:spacing w:val="3"/>
                <w:sz w:val="21"/>
                <w:szCs w:val="21"/>
              </w:rPr>
              <w:t>53</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3"/>
                <w:sz w:val="21"/>
                <w:szCs w:val="21"/>
              </w:rPr>
              <w:t>号文和房地产项目开发所在地地方税</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8"/>
                <w:w w:val="100"/>
                <w:sz w:val="21"/>
                <w:szCs w:val="21"/>
              </w:rPr>
              <w:t>务局的有关规定，从事房地产开发的子</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3"/>
                <w:sz w:val="21"/>
                <w:szCs w:val="21"/>
              </w:rPr>
              <w:t>公司按房地产销售收入和预收房款的</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8"/>
                <w:w w:val="100"/>
                <w:sz w:val="21"/>
                <w:szCs w:val="21"/>
              </w:rPr>
              <w:t>一定比例计提和预缴土地增值税，待项</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3"/>
                <w:sz w:val="21"/>
                <w:szCs w:val="21"/>
              </w:rPr>
              <w:t>目全部竣工决算并实现销售后向税务</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机关申请清算。</w:t>
            </w:r>
          </w:p>
        </w:tc>
      </w:tr>
      <w:tr>
        <w:trPr>
          <w:trHeight w:val="826"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从价计征的，按房产原值一次减除</w:t>
            </w:r>
          </w:p>
          <w:p>
            <w:pPr>
              <w:pStyle w:val="TableParagraph"/>
              <w:spacing w:line="240" w:lineRule="auto"/>
              <w:ind w:left="100" w:right="102"/>
              <w:jc w:val="left"/>
              <w:rPr>
                <w:rFonts w:ascii="宋体" w:hAnsi="宋体" w:cs="宋体" w:eastAsia="宋体" w:hint="default"/>
                <w:sz w:val="21"/>
                <w:szCs w:val="21"/>
              </w:rPr>
            </w:pPr>
            <w:r>
              <w:rPr>
                <w:rFonts w:ascii="宋体" w:hAnsi="宋体" w:cs="宋体" w:eastAsia="宋体" w:hint="default"/>
                <w:spacing w:val="2"/>
                <w:sz w:val="21"/>
                <w:szCs w:val="21"/>
              </w:rPr>
              <w:t>30%</w:t>
            </w:r>
            <w:r>
              <w:rPr>
                <w:rFonts w:ascii="宋体" w:hAnsi="宋体" w:cs="宋体" w:eastAsia="宋体" w:hint="default"/>
                <w:spacing w:val="2"/>
                <w:sz w:val="21"/>
                <w:szCs w:val="21"/>
              </w:rPr>
              <w:t>后余值的</w:t>
            </w:r>
            <w:r>
              <w:rPr>
                <w:rFonts w:ascii="宋体" w:hAnsi="宋体" w:cs="宋体" w:eastAsia="宋体" w:hint="default"/>
                <w:spacing w:val="38"/>
                <w:sz w:val="21"/>
                <w:szCs w:val="21"/>
              </w:rPr>
              <w:t> </w:t>
            </w:r>
            <w:r>
              <w:rPr>
                <w:rFonts w:ascii="宋体" w:hAnsi="宋体" w:cs="宋体" w:eastAsia="宋体" w:hint="default"/>
                <w:spacing w:val="2"/>
                <w:sz w:val="21"/>
                <w:szCs w:val="21"/>
              </w:rPr>
              <w:t>1.2%</w:t>
            </w:r>
            <w:r>
              <w:rPr>
                <w:rFonts w:ascii="宋体" w:hAnsi="宋体" w:cs="宋体" w:eastAsia="宋体" w:hint="default"/>
                <w:spacing w:val="2"/>
                <w:sz w:val="21"/>
                <w:szCs w:val="21"/>
              </w:rPr>
              <w:t>计缴；从租计征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的，按租金收入的</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z w:val="21"/>
                <w:szCs w:val="21"/>
              </w:rPr>
              <w:t>计缴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w:t>
            </w:r>
          </w:p>
        </w:tc>
      </w:tr>
      <w:tr>
        <w:trPr>
          <w:trHeight w:val="28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w:t>
            </w:r>
          </w:p>
        </w:tc>
      </w:tr>
      <w:tr>
        <w:trPr>
          <w:trHeight w:val="284"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w:t>
            </w:r>
          </w:p>
        </w:tc>
      </w:tr>
      <w:tr>
        <w:trPr>
          <w:trHeight w:val="281"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业务收入扣除广告代理成本的余额</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w:t>
            </w:r>
          </w:p>
        </w:tc>
      </w:tr>
    </w:tbl>
    <w:p>
      <w:pPr>
        <w:spacing w:line="240" w:lineRule="auto" w:before="7"/>
        <w:rPr>
          <w:rFonts w:ascii="宋体" w:hAnsi="宋体" w:cs="宋体" w:eastAsia="宋体" w:hint="default"/>
          <w:b/>
          <w:bCs/>
          <w:sz w:val="15"/>
          <w:szCs w:val="15"/>
        </w:rPr>
      </w:pPr>
    </w:p>
    <w:p>
      <w:pPr>
        <w:pStyle w:val="BodyText"/>
        <w:spacing w:line="273" w:lineRule="exact" w:before="36"/>
        <w:ind w:right="2940"/>
        <w:jc w:val="left"/>
      </w:pPr>
      <w:r>
        <w:rPr/>
        <w:t>存在不同企业所得税税率纳税主体的，披露情况说明</w:t>
      </w:r>
    </w:p>
    <w:p>
      <w:pPr>
        <w:pStyle w:val="BodyText"/>
        <w:spacing w:line="273" w:lineRule="exact"/>
        <w:ind w:right="294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3"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本公司、数据安全、上海聚源</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北京钱塘、杭州云晖</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除上述以外的其他境内子公司纳税主体</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3"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境外子公司日本恒生、香港恒生、美国恒生</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按经营所在地区的规定税率</w:t>
            </w:r>
          </w:p>
        </w:tc>
      </w:tr>
    </w:tbl>
    <w:p>
      <w:pPr>
        <w:spacing w:line="240" w:lineRule="auto" w:before="2"/>
        <w:rPr>
          <w:rFonts w:ascii="宋体" w:hAnsi="宋体" w:cs="宋体" w:eastAsia="宋体" w:hint="default"/>
          <w:sz w:val="20"/>
          <w:szCs w:val="20"/>
        </w:rPr>
      </w:pPr>
    </w:p>
    <w:p>
      <w:pPr>
        <w:pStyle w:val="Heading4"/>
        <w:tabs>
          <w:tab w:pos="642" w:val="left" w:leader="none"/>
        </w:tabs>
        <w:spacing w:line="240" w:lineRule="auto"/>
        <w:ind w:right="2940"/>
        <w:jc w:val="left"/>
        <w:rPr>
          <w:b w:val="0"/>
          <w:bCs w:val="0"/>
        </w:rPr>
      </w:pPr>
      <w:r>
        <w:rPr>
          <w:rFonts w:ascii="Calibri" w:hAnsi="Calibri" w:cs="Calibri" w:eastAsia="Calibri" w:hint="default"/>
        </w:rPr>
        <w:t>2.</w:t>
        <w:tab/>
      </w:r>
      <w:r>
        <w:rPr/>
        <w:t>税收优惠</w:t>
      </w:r>
      <w:r>
        <w:rPr>
          <w:b w:val="0"/>
          <w:bCs w:val="0"/>
        </w:rPr>
      </w:r>
    </w:p>
    <w:p>
      <w:pPr>
        <w:pStyle w:val="BodyText"/>
        <w:spacing w:line="357" w:lineRule="auto" w:before="167"/>
        <w:ind w:right="228" w:firstLine="419"/>
        <w:jc w:val="both"/>
      </w:pPr>
      <w:r>
        <w:rPr>
          <w:rFonts w:ascii="宋体" w:hAnsi="宋体" w:cs="宋体" w:eastAsia="宋体" w:hint="default"/>
        </w:rPr>
        <w:t>(1) </w:t>
      </w:r>
      <w:r>
        <w:rPr>
          <w:spacing w:val="-3"/>
        </w:rPr>
        <w:t>根据财政部、国家税务总局财税〔</w:t>
      </w:r>
      <w:r>
        <w:rPr>
          <w:rFonts w:ascii="宋体" w:hAnsi="宋体" w:cs="宋体" w:eastAsia="宋体" w:hint="default"/>
          <w:spacing w:val="-3"/>
        </w:rPr>
        <w:t>2011</w:t>
      </w:r>
      <w:r>
        <w:rPr>
          <w:spacing w:val="-3"/>
        </w:rPr>
        <w:t>〕</w:t>
      </w:r>
      <w:r>
        <w:rPr>
          <w:rFonts w:ascii="宋体" w:hAnsi="宋体" w:cs="宋体" w:eastAsia="宋体" w:hint="default"/>
          <w:spacing w:val="-3"/>
        </w:rPr>
        <w:t>100</w:t>
      </w:r>
      <w:r>
        <w:rPr>
          <w:rFonts w:ascii="宋体" w:hAnsi="宋体" w:cs="宋体" w:eastAsia="宋体" w:hint="default"/>
          <w:spacing w:val="-39"/>
        </w:rPr>
        <w:t> </w:t>
      </w:r>
      <w:r>
        <w:rPr/>
        <w:t>号文，公司及子公司软件产品销售</w:t>
      </w:r>
      <w:r>
        <w:rPr>
          <w:rFonts w:ascii="宋体" w:hAnsi="宋体" w:cs="宋体" w:eastAsia="宋体" w:hint="default"/>
        </w:rPr>
        <w:t>(</w:t>
      </w:r>
      <w:r>
        <w:rPr/>
        <w:t>销售自</w:t>
      </w:r>
      <w:r>
        <w:rPr>
          <w:w w:val="100"/>
        </w:rPr>
        <w:t> </w:t>
      </w:r>
      <w:r>
        <w:rPr>
          <w:spacing w:val="-3"/>
        </w:rPr>
        <w:t>行开发研制的软件产品且未一并转让著作权、所有权</w:t>
      </w:r>
      <w:r>
        <w:rPr>
          <w:rFonts w:ascii="宋体" w:hAnsi="宋体" w:cs="宋体" w:eastAsia="宋体" w:hint="default"/>
          <w:spacing w:val="-3"/>
        </w:rPr>
        <w:t>)</w:t>
      </w:r>
      <w:r>
        <w:rPr>
          <w:spacing w:val="-3"/>
        </w:rPr>
        <w:t>和软件服务收入</w:t>
      </w:r>
      <w:r>
        <w:rPr>
          <w:rFonts w:ascii="宋体" w:hAnsi="宋体" w:cs="宋体" w:eastAsia="宋体" w:hint="default"/>
          <w:spacing w:val="-3"/>
        </w:rPr>
        <w:t>(</w:t>
      </w:r>
      <w:r>
        <w:rPr>
          <w:spacing w:val="-3"/>
        </w:rPr>
        <w:t>版本升级服务</w:t>
      </w:r>
      <w:r>
        <w:rPr>
          <w:rFonts w:ascii="宋体" w:hAnsi="宋体" w:cs="宋体" w:eastAsia="宋体" w:hint="default"/>
          <w:spacing w:val="-3"/>
        </w:rPr>
        <w:t>)</w:t>
      </w:r>
      <w:r>
        <w:rPr>
          <w:spacing w:val="-3"/>
        </w:rPr>
        <w:t>先按 </w:t>
      </w:r>
      <w:r>
        <w:rPr>
          <w:rFonts w:ascii="宋体" w:hAnsi="宋体" w:cs="宋体" w:eastAsia="宋体" w:hint="default"/>
        </w:rPr>
        <w:t>17%</w:t>
      </w:r>
      <w:r>
        <w:rPr/>
        <w:t>的</w:t>
      </w:r>
      <w:r>
        <w:rPr>
          <w:spacing w:val="-81"/>
        </w:rPr>
        <w:t> </w:t>
      </w:r>
      <w:r>
        <w:rPr>
          <w:spacing w:val="-2"/>
        </w:rPr>
        <w:t>税率计缴，实际税负超过</w:t>
      </w:r>
      <w:r>
        <w:rPr>
          <w:spacing w:val="10"/>
        </w:rPr>
        <w:t> </w:t>
      </w:r>
      <w:r>
        <w:rPr>
          <w:rFonts w:ascii="宋体" w:hAnsi="宋体" w:cs="宋体" w:eastAsia="宋体" w:hint="default"/>
          <w:spacing w:val="-2"/>
        </w:rPr>
        <w:t>3%</w:t>
      </w:r>
      <w:r>
        <w:rPr>
          <w:spacing w:val="-2"/>
        </w:rPr>
        <w:t>部分经主管税务部门审核后实行即征即退政策。</w:t>
      </w:r>
    </w:p>
    <w:p>
      <w:pPr>
        <w:pStyle w:val="BodyText"/>
        <w:spacing w:line="355" w:lineRule="auto" w:before="30"/>
        <w:ind w:right="124" w:firstLine="419"/>
        <w:jc w:val="left"/>
      </w:pPr>
      <w:r>
        <w:rPr>
          <w:rFonts w:ascii="宋体" w:hAnsi="宋体" w:cs="宋体" w:eastAsia="宋体" w:hint="default"/>
        </w:rPr>
        <w:t>(2) </w:t>
      </w:r>
      <w:r>
        <w:rPr/>
        <w:t>根据全国高新技术企业认定管理工作领导小组办公室下发的国科火字〔</w:t>
      </w:r>
      <w:r>
        <w:rPr>
          <w:rFonts w:ascii="宋体" w:hAnsi="宋体" w:cs="宋体" w:eastAsia="宋体" w:hint="default"/>
        </w:rPr>
        <w:t>2015</w:t>
      </w:r>
      <w:r>
        <w:rPr/>
        <w:t>〕</w:t>
      </w:r>
      <w:r>
        <w:rPr>
          <w:rFonts w:ascii="宋体" w:hAnsi="宋体" w:cs="宋体" w:eastAsia="宋体" w:hint="default"/>
        </w:rPr>
        <w:t>31 </w:t>
      </w:r>
      <w:r>
        <w:rPr/>
        <w:t>号文，</w:t>
      </w:r>
      <w:r>
        <w:rPr>
          <w:w w:val="100"/>
        </w:rPr>
        <w:t> </w:t>
      </w:r>
      <w:r>
        <w:rPr/>
        <w:t>公司自</w:t>
      </w:r>
      <w:r>
        <w:rPr>
          <w:spacing w:val="-56"/>
        </w:rPr>
        <w:t> </w:t>
      </w:r>
      <w:r>
        <w:rPr>
          <w:rFonts w:ascii="宋体" w:hAnsi="宋体" w:cs="宋体" w:eastAsia="宋体" w:hint="default"/>
        </w:rPr>
        <w:t>2014</w:t>
      </w:r>
      <w:r>
        <w:rPr>
          <w:rFonts w:ascii="宋体" w:hAnsi="宋体" w:cs="宋体" w:eastAsia="宋体" w:hint="default"/>
          <w:spacing w:val="-56"/>
        </w:rPr>
        <w:t> </w:t>
      </w:r>
      <w:r>
        <w:rPr/>
        <w:t>年起被认定为高新技术企业，有效期三年。本期按</w:t>
      </w:r>
      <w:r>
        <w:rPr>
          <w:spacing w:val="-56"/>
        </w:rPr>
        <w:t> </w:t>
      </w:r>
      <w:r>
        <w:rPr>
          <w:rFonts w:ascii="宋体" w:hAnsi="宋体" w:cs="宋体" w:eastAsia="宋体" w:hint="default"/>
        </w:rPr>
        <w:t>15%</w:t>
      </w:r>
      <w:r>
        <w:rPr/>
        <w:t>的税率计缴企业所得税。</w:t>
      </w:r>
    </w:p>
    <w:p>
      <w:pPr>
        <w:pStyle w:val="BodyText"/>
        <w:spacing w:line="357" w:lineRule="auto" w:before="32"/>
        <w:ind w:right="228" w:firstLine="419"/>
        <w:jc w:val="both"/>
      </w:pPr>
      <w:r>
        <w:rPr>
          <w:rFonts w:ascii="宋体" w:hAnsi="宋体" w:cs="宋体" w:eastAsia="宋体" w:hint="default"/>
        </w:rPr>
        <w:t>(3)</w:t>
      </w:r>
      <w:r>
        <w:rPr>
          <w:rFonts w:ascii="宋体" w:hAnsi="宋体" w:cs="宋体" w:eastAsia="宋体" w:hint="default"/>
          <w:spacing w:val="-3"/>
        </w:rPr>
        <w:t> </w:t>
      </w:r>
      <w:r>
        <w:rPr/>
        <w:t>根据浙江省科学技术厅、浙江省财政厅、浙江省国家税务局和浙江省地方税务局联合发</w:t>
      </w:r>
      <w:r>
        <w:rPr>
          <w:w w:val="100"/>
        </w:rPr>
        <w:t> </w:t>
      </w:r>
      <w:r>
        <w:rPr>
          <w:spacing w:val="-3"/>
        </w:rPr>
        <w:t>布的浙高企认〔</w:t>
      </w:r>
      <w:r>
        <w:rPr>
          <w:rFonts w:ascii="宋体" w:hAnsi="宋体" w:cs="宋体" w:eastAsia="宋体" w:hint="default"/>
          <w:spacing w:val="-3"/>
        </w:rPr>
        <w:t>2015</w:t>
      </w:r>
      <w:r>
        <w:rPr>
          <w:spacing w:val="-3"/>
        </w:rPr>
        <w:t>〕</w:t>
      </w:r>
      <w:r>
        <w:rPr>
          <w:rFonts w:ascii="宋体" w:hAnsi="宋体" w:cs="宋体" w:eastAsia="宋体" w:hint="default"/>
          <w:spacing w:val="-3"/>
        </w:rPr>
        <w:t>2</w:t>
      </w:r>
      <w:r>
        <w:rPr>
          <w:rFonts w:ascii="宋体" w:hAnsi="宋体" w:cs="宋体" w:eastAsia="宋体" w:hint="default"/>
          <w:spacing w:val="-31"/>
        </w:rPr>
        <w:t> </w:t>
      </w:r>
      <w:r>
        <w:rPr>
          <w:spacing w:val="-3"/>
        </w:rPr>
        <w:t>号文，数据安全自</w:t>
      </w:r>
      <w:r>
        <w:rPr>
          <w:spacing w:val="-31"/>
        </w:rPr>
        <w:t> </w:t>
      </w:r>
      <w:r>
        <w:rPr>
          <w:rFonts w:ascii="宋体" w:hAnsi="宋体" w:cs="宋体" w:eastAsia="宋体" w:hint="default"/>
        </w:rPr>
        <w:t>2015</w:t>
      </w:r>
      <w:r>
        <w:rPr>
          <w:rFonts w:ascii="宋体" w:hAnsi="宋体" w:cs="宋体" w:eastAsia="宋体" w:hint="default"/>
          <w:spacing w:val="-31"/>
        </w:rPr>
        <w:t> </w:t>
      </w:r>
      <w:r>
        <w:rPr>
          <w:spacing w:val="-3"/>
        </w:rPr>
        <w:t>年起被认定为高新技术企业，有效期三年。本期</w:t>
      </w:r>
      <w:r>
        <w:rPr>
          <w:spacing w:val="-96"/>
        </w:rPr>
        <w:t> </w:t>
      </w:r>
      <w:r>
        <w:rPr>
          <w:spacing w:val="-96"/>
        </w:rPr>
      </w:r>
      <w:r>
        <w:rPr/>
        <w:t>按</w:t>
      </w:r>
      <w:r>
        <w:rPr>
          <w:spacing w:val="-52"/>
        </w:rPr>
        <w:t> </w:t>
      </w:r>
      <w:r>
        <w:rPr>
          <w:rFonts w:ascii="宋体" w:hAnsi="宋体" w:cs="宋体" w:eastAsia="宋体" w:hint="default"/>
        </w:rPr>
        <w:t>15%</w:t>
      </w:r>
      <w:r>
        <w:rPr/>
        <w:t>的税率计缴企业所得税。</w:t>
      </w:r>
    </w:p>
    <w:p>
      <w:pPr>
        <w:spacing w:after="0" w:line="357" w:lineRule="auto"/>
        <w:jc w:val="both"/>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right="227" w:firstLine="419"/>
        <w:jc w:val="both"/>
      </w:pPr>
      <w:r>
        <w:rPr>
          <w:rFonts w:ascii="宋体" w:hAnsi="宋体" w:cs="宋体" w:eastAsia="宋体" w:hint="default"/>
        </w:rPr>
        <w:t>(4)</w:t>
      </w:r>
      <w:r>
        <w:rPr>
          <w:rFonts w:ascii="宋体" w:hAnsi="宋体" w:cs="宋体" w:eastAsia="宋体" w:hint="default"/>
          <w:spacing w:val="-3"/>
        </w:rPr>
        <w:t> </w:t>
      </w:r>
      <w:r>
        <w:rPr/>
        <w:t>根据上海市科学技术委员会、上海市财政局、上海市国家税务局和上海市地方税务局联</w:t>
      </w:r>
      <w:r>
        <w:rPr>
          <w:w w:val="100"/>
        </w:rPr>
        <w:t> </w:t>
      </w:r>
      <w:r>
        <w:rPr>
          <w:spacing w:val="-3"/>
        </w:rPr>
        <w:t>合批示，上海聚源</w:t>
      </w:r>
      <w:r>
        <w:rPr>
          <w:spacing w:val="-42"/>
        </w:rPr>
        <w:t> </w:t>
      </w:r>
      <w:r>
        <w:rPr>
          <w:rFonts w:ascii="宋体" w:hAnsi="宋体" w:cs="宋体" w:eastAsia="宋体" w:hint="default"/>
        </w:rPr>
        <w:t>2013</w:t>
      </w:r>
      <w:r>
        <w:rPr>
          <w:rFonts w:ascii="宋体" w:hAnsi="宋体" w:cs="宋体" w:eastAsia="宋体" w:hint="default"/>
          <w:spacing w:val="-40"/>
        </w:rPr>
        <w:t> </w:t>
      </w:r>
      <w:r>
        <w:rPr>
          <w:spacing w:val="-3"/>
        </w:rPr>
        <w:t>年度通过高新技术企业复审，有效期三年。本期按</w:t>
      </w:r>
      <w:r>
        <w:rPr>
          <w:spacing w:val="-42"/>
        </w:rPr>
        <w:t> </w:t>
      </w:r>
      <w:r>
        <w:rPr>
          <w:rFonts w:ascii="宋体" w:hAnsi="宋体" w:cs="宋体" w:eastAsia="宋体" w:hint="default"/>
        </w:rPr>
        <w:t>15%</w:t>
      </w:r>
      <w:r>
        <w:rPr/>
        <w:t>的税率计缴企业所</w:t>
      </w:r>
      <w:r>
        <w:rPr>
          <w:spacing w:val="-100"/>
        </w:rPr>
        <w:t> </w:t>
      </w:r>
      <w:r>
        <w:rPr>
          <w:spacing w:val="-100"/>
        </w:rPr>
      </w:r>
      <w:r>
        <w:rPr/>
        <w:t>得税。</w:t>
      </w:r>
    </w:p>
    <w:p>
      <w:pPr>
        <w:pStyle w:val="BodyText"/>
        <w:spacing w:line="355" w:lineRule="auto" w:before="30"/>
        <w:ind w:right="290" w:firstLine="419"/>
        <w:jc w:val="both"/>
      </w:pPr>
      <w:r>
        <w:rPr>
          <w:rFonts w:ascii="宋体" w:hAnsi="宋体" w:cs="宋体" w:eastAsia="宋体" w:hint="default"/>
        </w:rPr>
        <w:t>(5) </w:t>
      </w:r>
      <w:r>
        <w:rPr/>
        <w:t>根据财政部、国家税务总局财税〔</w:t>
      </w:r>
      <w:r>
        <w:rPr>
          <w:rFonts w:ascii="宋体" w:hAnsi="宋体" w:cs="宋体" w:eastAsia="宋体" w:hint="default"/>
        </w:rPr>
        <w:t>2011</w:t>
      </w:r>
      <w:r>
        <w:rPr/>
        <w:t>〕</w:t>
      </w:r>
      <w:r>
        <w:rPr>
          <w:rFonts w:ascii="宋体" w:hAnsi="宋体" w:cs="宋体" w:eastAsia="宋体" w:hint="default"/>
        </w:rPr>
        <w:t>117</w:t>
      </w:r>
      <w:r>
        <w:rPr>
          <w:rFonts w:ascii="宋体" w:hAnsi="宋体" w:cs="宋体" w:eastAsia="宋体" w:hint="default"/>
          <w:spacing w:val="-56"/>
        </w:rPr>
        <w:t> </w:t>
      </w:r>
      <w:r>
        <w:rPr/>
        <w:t>号文，北京钱塘、杭州云晖属小型微利企</w:t>
      </w:r>
      <w:r>
        <w:rPr>
          <w:w w:val="100"/>
        </w:rPr>
        <w:t> </w:t>
      </w:r>
      <w:r>
        <w:rPr/>
        <w:t>业。本期按</w:t>
      </w:r>
      <w:r>
        <w:rPr>
          <w:spacing w:val="-53"/>
        </w:rPr>
        <w:t> </w:t>
      </w:r>
      <w:r>
        <w:rPr>
          <w:rFonts w:ascii="宋体" w:hAnsi="宋体" w:cs="宋体" w:eastAsia="宋体" w:hint="default"/>
        </w:rPr>
        <w:t>10%</w:t>
      </w:r>
      <w:r>
        <w:rPr/>
        <w:t>的税率计缴企业所得税。</w:t>
      </w:r>
    </w:p>
    <w:p>
      <w:pPr>
        <w:pStyle w:val="Heading4"/>
        <w:tabs>
          <w:tab w:pos="642" w:val="left" w:leader="none"/>
        </w:tabs>
        <w:spacing w:line="240" w:lineRule="auto" w:before="92"/>
        <w:ind w:right="2940"/>
        <w:jc w:val="left"/>
        <w:rPr>
          <w:b w:val="0"/>
          <w:bCs w:val="0"/>
        </w:rPr>
      </w:pPr>
      <w:r>
        <w:rPr>
          <w:rFonts w:ascii="宋体" w:hAnsi="宋体" w:cs="宋体" w:eastAsia="宋体" w:hint="default"/>
          <w:w w:val="95"/>
        </w:rPr>
        <w:t>3.</w:t>
        <w:tab/>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90" w:lineRule="auto"/>
        <w:ind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8"/>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4"/>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3097"/>
        <w:gridCol w:w="2806"/>
        <w:gridCol w:w="3037"/>
      </w:tblGrid>
      <w:tr>
        <w:trPr>
          <w:trHeight w:val="288" w:hRule="exact"/>
        </w:trPr>
        <w:tc>
          <w:tcPr>
            <w:tcW w:w="30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205,727.59</w:t>
            </w:r>
          </w:p>
        </w:tc>
        <w:tc>
          <w:tcPr>
            <w:tcW w:w="3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270,234.41</w:t>
            </w:r>
          </w:p>
        </w:tc>
      </w:tr>
      <w:tr>
        <w:trPr>
          <w:trHeight w:val="288" w:hRule="exact"/>
        </w:trPr>
        <w:tc>
          <w:tcPr>
            <w:tcW w:w="3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299,855,073.95</w:t>
            </w:r>
          </w:p>
        </w:tc>
        <w:tc>
          <w:tcPr>
            <w:tcW w:w="3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255,190,558.96</w:t>
            </w:r>
          </w:p>
        </w:tc>
      </w:tr>
      <w:tr>
        <w:trPr>
          <w:trHeight w:val="286" w:hRule="exact"/>
        </w:trPr>
        <w:tc>
          <w:tcPr>
            <w:tcW w:w="3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2,492,130.15</w:t>
            </w:r>
          </w:p>
        </w:tc>
        <w:tc>
          <w:tcPr>
            <w:tcW w:w="3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266,864,771.26</w:t>
            </w:r>
          </w:p>
        </w:tc>
      </w:tr>
      <w:tr>
        <w:trPr>
          <w:trHeight w:val="288" w:hRule="exact"/>
        </w:trPr>
        <w:tc>
          <w:tcPr>
            <w:tcW w:w="30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302,552,931.69</w:t>
            </w:r>
          </w:p>
        </w:tc>
        <w:tc>
          <w:tcPr>
            <w:tcW w:w="30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522,325,564.63</w:t>
            </w:r>
          </w:p>
        </w:tc>
      </w:tr>
      <w:tr>
        <w:trPr>
          <w:trHeight w:val="288" w:hRule="exact"/>
        </w:trPr>
        <w:tc>
          <w:tcPr>
            <w:tcW w:w="3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36,641,063.69</w:t>
            </w:r>
          </w:p>
        </w:tc>
        <w:tc>
          <w:tcPr>
            <w:tcW w:w="3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8,830,922.49</w:t>
            </w:r>
          </w:p>
        </w:tc>
      </w:tr>
    </w:tbl>
    <w:p>
      <w:pPr>
        <w:pStyle w:val="BodyText"/>
        <w:spacing w:line="241" w:lineRule="exact"/>
        <w:ind w:right="2940"/>
        <w:jc w:val="left"/>
      </w:pPr>
      <w:r>
        <w:rPr/>
        <w:t>其他说明</w:t>
      </w:r>
    </w:p>
    <w:p>
      <w:pPr>
        <w:pStyle w:val="BodyText"/>
        <w:spacing w:line="240" w:lineRule="auto" w:before="133"/>
        <w:ind w:left="638" w:right="98"/>
        <w:jc w:val="left"/>
      </w:pPr>
      <w:r>
        <w:rPr>
          <w:w w:val="100"/>
        </w:rPr>
        <w:t>期末</w:t>
      </w:r>
      <w:r>
        <w:rPr>
          <w:spacing w:val="-3"/>
          <w:w w:val="100"/>
        </w:rPr>
        <w:t>其</w:t>
      </w:r>
      <w:r>
        <w:rPr>
          <w:w w:val="100"/>
        </w:rPr>
        <w:t>他</w:t>
      </w:r>
      <w:r>
        <w:rPr>
          <w:spacing w:val="-3"/>
          <w:w w:val="100"/>
        </w:rPr>
        <w:t>货</w:t>
      </w:r>
      <w:r>
        <w:rPr>
          <w:w w:val="100"/>
        </w:rPr>
        <w:t>币</w:t>
      </w:r>
      <w:r>
        <w:rPr>
          <w:spacing w:val="-3"/>
          <w:w w:val="100"/>
        </w:rPr>
        <w:t>资</w:t>
      </w:r>
      <w:r>
        <w:rPr>
          <w:w w:val="100"/>
        </w:rPr>
        <w:t>金</w:t>
      </w:r>
      <w:r>
        <w:rPr>
          <w:spacing w:val="-3"/>
          <w:w w:val="100"/>
        </w:rPr>
        <w:t>中</w:t>
      </w:r>
      <w:r>
        <w:rPr>
          <w:w w:val="100"/>
        </w:rPr>
        <w:t>包</w:t>
      </w:r>
      <w:r>
        <w:rPr>
          <w:spacing w:val="-3"/>
          <w:w w:val="100"/>
        </w:rPr>
        <w:t>括</w:t>
      </w:r>
      <w:r>
        <w:rPr>
          <w:w w:val="100"/>
        </w:rPr>
        <w:t>保函</w:t>
      </w:r>
      <w:r>
        <w:rPr>
          <w:spacing w:val="-3"/>
          <w:w w:val="100"/>
        </w:rPr>
        <w:t>保证</w:t>
      </w:r>
      <w:r>
        <w:rPr>
          <w:w w:val="100"/>
        </w:rPr>
        <w:t>金</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73,</w:t>
      </w:r>
      <w:r>
        <w:rPr>
          <w:rFonts w:ascii="宋体" w:hAnsi="宋体" w:cs="宋体" w:eastAsia="宋体" w:hint="default"/>
          <w:spacing w:val="-3"/>
          <w:w w:val="100"/>
        </w:rPr>
        <w:t>6</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5"/>
        </w:rPr>
        <w:t> </w:t>
      </w:r>
      <w:r>
        <w:rPr>
          <w:w w:val="100"/>
        </w:rPr>
        <w:t>元使</w:t>
      </w:r>
      <w:r>
        <w:rPr>
          <w:spacing w:val="-3"/>
          <w:w w:val="100"/>
        </w:rPr>
        <w:t>用</w:t>
      </w:r>
      <w:r>
        <w:rPr>
          <w:w w:val="100"/>
        </w:rPr>
        <w:t>受</w:t>
      </w:r>
      <w:r>
        <w:rPr>
          <w:spacing w:val="-3"/>
          <w:w w:val="100"/>
        </w:rPr>
        <w:t>限</w:t>
      </w:r>
      <w:r>
        <w:rPr>
          <w:spacing w:val="-94"/>
          <w:w w:val="100"/>
        </w:rPr>
        <w:t>；</w:t>
      </w:r>
      <w:r>
        <w:rPr>
          <w:w w:val="100"/>
        </w:rPr>
        <w:t>期</w:t>
      </w:r>
      <w:r>
        <w:rPr>
          <w:spacing w:val="-3"/>
          <w:w w:val="100"/>
        </w:rPr>
        <w:t>初</w:t>
      </w:r>
      <w:r>
        <w:rPr>
          <w:w w:val="100"/>
        </w:rPr>
        <w:t>其</w:t>
      </w:r>
      <w:r>
        <w:rPr>
          <w:spacing w:val="-3"/>
          <w:w w:val="100"/>
        </w:rPr>
        <w:t>他</w:t>
      </w:r>
      <w:r>
        <w:rPr>
          <w:w w:val="100"/>
        </w:rPr>
        <w:t>货</w:t>
      </w:r>
      <w:r>
        <w:rPr>
          <w:spacing w:val="-3"/>
          <w:w w:val="100"/>
        </w:rPr>
        <w:t>币</w:t>
      </w:r>
      <w:r>
        <w:rPr>
          <w:w w:val="100"/>
        </w:rPr>
        <w:t>资金</w:t>
      </w:r>
      <w:r>
        <w:rPr>
          <w:spacing w:val="-3"/>
          <w:w w:val="100"/>
        </w:rPr>
        <w:t>中</w:t>
      </w:r>
      <w:r>
        <w:rPr>
          <w:w w:val="100"/>
        </w:rPr>
        <w:t>包</w:t>
      </w:r>
      <w:r>
        <w:rPr>
          <w:spacing w:val="-3"/>
          <w:w w:val="100"/>
        </w:rPr>
        <w:t>括</w:t>
      </w:r>
      <w:r>
        <w:rPr>
          <w:w w:val="100"/>
        </w:rPr>
        <w:t>保</w:t>
      </w:r>
    </w:p>
    <w:p>
      <w:pPr>
        <w:pStyle w:val="BodyText"/>
        <w:spacing w:line="240" w:lineRule="auto" w:before="133"/>
        <w:ind w:right="2940"/>
        <w:jc w:val="left"/>
      </w:pPr>
      <w:r>
        <w:rPr/>
        <w:t>函保证金</w:t>
      </w:r>
      <w:r>
        <w:rPr>
          <w:spacing w:val="-53"/>
        </w:rPr>
        <w:t> </w:t>
      </w:r>
      <w:r>
        <w:rPr>
          <w:rFonts w:ascii="宋体" w:hAnsi="宋体" w:cs="宋体" w:eastAsia="宋体" w:hint="default"/>
        </w:rPr>
        <w:t>2,393,950.00</w:t>
      </w:r>
      <w:r>
        <w:rPr>
          <w:rFonts w:ascii="宋体" w:hAnsi="宋体" w:cs="宋体" w:eastAsia="宋体" w:hint="default"/>
          <w:spacing w:val="-55"/>
        </w:rPr>
        <w:t> </w:t>
      </w:r>
      <w:r>
        <w:rPr/>
        <w:t>元使用受限。</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40" w:lineRule="auto" w:before="9"/>
        <w:rPr>
          <w:rFonts w:ascii="宋体" w:hAnsi="宋体" w:cs="宋体" w:eastAsia="宋体" w:hint="default"/>
          <w:sz w:val="15"/>
          <w:szCs w:val="15"/>
        </w:rPr>
      </w:pPr>
    </w:p>
    <w:p>
      <w:pPr>
        <w:pStyle w:val="Heading4"/>
        <w:spacing w:line="240" w:lineRule="auto" w:before="0"/>
        <w:ind w:right="-18"/>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78" w:space="124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33"/>
        <w:gridCol w:w="2900"/>
        <w:gridCol w:w="3017"/>
      </w:tblGrid>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9,371,048.37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124,075,208.81</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17,025,553.10</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97,110.00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107,049,655.71</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衍生金融资产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9,273,938.37</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指定以公允价值计量且其变动</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64,007,598.41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22,440,178.66</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64,007,598.41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22,440,178.66</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73,378,646.78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146,515,387.47</w:t>
            </w:r>
          </w:p>
        </w:tc>
      </w:tr>
    </w:tbl>
    <w:p>
      <w:pPr>
        <w:spacing w:line="240" w:lineRule="auto" w:before="7"/>
        <w:rPr>
          <w:rFonts w:ascii="宋体" w:hAnsi="宋体" w:cs="宋体" w:eastAsia="宋体" w:hint="default"/>
          <w:sz w:val="15"/>
          <w:szCs w:val="15"/>
        </w:rPr>
      </w:pPr>
    </w:p>
    <w:p>
      <w:pPr>
        <w:pStyle w:val="BodyText"/>
        <w:spacing w:line="240" w:lineRule="auto" w:before="36"/>
        <w:ind w:right="294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9"/>
        <w:ind w:right="294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20" w:right="80"/>
        </w:sectPr>
      </w:pPr>
    </w:p>
    <w:p>
      <w:pPr>
        <w:pStyle w:val="Heading4"/>
        <w:spacing w:line="240" w:lineRule="auto"/>
        <w:ind w:left="1678" w:right="-2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4"/>
        <w:spacing w:line="240" w:lineRule="auto" w:before="58"/>
        <w:ind w:left="167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167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2729" w:val="left" w:leader="none"/>
        </w:tabs>
        <w:spacing w:line="240" w:lineRule="auto"/>
        <w:ind w:left="1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 w:right="80"/>
          <w:cols w:num="2" w:equalWidth="0">
            <w:col w:w="3896" w:space="2626"/>
            <w:col w:w="5188"/>
          </w:cols>
        </w:sectPr>
      </w:pPr>
    </w:p>
    <w:p>
      <w:pPr>
        <w:spacing w:line="240" w:lineRule="auto" w:before="4"/>
        <w:rPr>
          <w:rFonts w:ascii="宋体" w:hAnsi="宋体" w:cs="宋体" w:eastAsia="宋体" w:hint="default"/>
          <w:sz w:val="2"/>
          <w:szCs w:val="2"/>
        </w:rPr>
      </w:pPr>
    </w:p>
    <w:tbl>
      <w:tblPr>
        <w:tblW w:w="0" w:type="auto"/>
        <w:jc w:val="left"/>
        <w:tblInd w:w="1529" w:type="dxa"/>
        <w:tblLayout w:type="fixed"/>
        <w:tblCellMar>
          <w:top w:w="0" w:type="dxa"/>
          <w:left w:w="0" w:type="dxa"/>
          <w:bottom w:w="0" w:type="dxa"/>
          <w:right w:w="0" w:type="dxa"/>
        </w:tblCellMar>
        <w:tblLook w:val="01E0"/>
      </w:tblPr>
      <w:tblGrid>
        <w:gridCol w:w="2965"/>
        <w:gridCol w:w="3087"/>
        <w:gridCol w:w="3022"/>
      </w:tblGrid>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63"/>
              <w:jc w:val="right"/>
              <w:rPr>
                <w:rFonts w:ascii="宋体" w:hAnsi="宋体" w:cs="宋体" w:eastAsia="宋体" w:hint="default"/>
                <w:sz w:val="21"/>
                <w:szCs w:val="21"/>
              </w:rPr>
            </w:pPr>
            <w:r>
              <w:rPr>
                <w:rFonts w:ascii="宋体" w:hAnsi="宋体" w:cs="宋体" w:eastAsia="宋体" w:hint="default"/>
                <w:sz w:val="21"/>
                <w:szCs w:val="21"/>
              </w:rPr>
              <w:t>项目</w:t>
            </w:r>
          </w:p>
        </w:tc>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87"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7"/>
              <w:jc w:val="right"/>
              <w:rPr>
                <w:rFonts w:ascii="宋体" w:hAnsi="宋体" w:cs="宋体" w:eastAsia="宋体" w:hint="default"/>
                <w:sz w:val="21"/>
                <w:szCs w:val="21"/>
              </w:rPr>
            </w:pPr>
            <w:r>
              <w:rPr>
                <w:rFonts w:ascii="宋体"/>
                <w:spacing w:val="-1"/>
                <w:sz w:val="21"/>
              </w:rPr>
              <w:t>3,199,000.00</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87"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合计</w:t>
            </w:r>
          </w:p>
        </w:tc>
        <w:tc>
          <w:tcPr>
            <w:tcW w:w="3087"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3,199,000.00</w:t>
            </w:r>
          </w:p>
        </w:tc>
      </w:tr>
    </w:tbl>
    <w:p>
      <w:pPr>
        <w:spacing w:line="240" w:lineRule="auto" w:before="2"/>
        <w:rPr>
          <w:rFonts w:ascii="宋体" w:hAnsi="宋体" w:cs="宋体" w:eastAsia="宋体" w:hint="default"/>
          <w:sz w:val="20"/>
          <w:szCs w:val="20"/>
        </w:rPr>
      </w:pPr>
    </w:p>
    <w:p>
      <w:pPr>
        <w:pStyle w:val="Heading4"/>
        <w:spacing w:line="240" w:lineRule="auto"/>
        <w:ind w:left="1678" w:right="49"/>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6"/>
        <w:ind w:left="1678" w:right="49"/>
        <w:jc w:val="left"/>
      </w:pPr>
      <w:r>
        <w:rPr/>
        <w:t>□适用</w:t>
      </w:r>
      <w:r>
        <w:rPr>
          <w:spacing w:val="-1"/>
        </w:rPr>
        <w:t> </w:t>
      </w:r>
      <w:r>
        <w:rPr/>
        <w:t>√不适用</w:t>
      </w:r>
    </w:p>
    <w:p>
      <w:pPr>
        <w:pStyle w:val="Heading4"/>
        <w:spacing w:line="240" w:lineRule="auto" w:before="59"/>
        <w:ind w:left="1678" w:right="49"/>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1678" w:right="49"/>
        <w:jc w:val="left"/>
      </w:pPr>
      <w:r>
        <w:rPr/>
        <w:t>□适用</w:t>
      </w:r>
      <w:r>
        <w:rPr>
          <w:spacing w:val="-1"/>
        </w:rPr>
        <w:t> </w:t>
      </w:r>
      <w:r>
        <w:rPr/>
        <w:t>√不适用</w:t>
      </w:r>
    </w:p>
    <w:p>
      <w:pPr>
        <w:pStyle w:val="Heading4"/>
        <w:spacing w:line="240" w:lineRule="auto" w:before="58"/>
        <w:ind w:left="1678" w:right="49"/>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left="1678" w:right="8434"/>
        <w:jc w:val="left"/>
      </w:pPr>
      <w:r>
        <w:rPr/>
        <w:t>□适用</w:t>
      </w:r>
      <w:r>
        <w:rPr>
          <w:spacing w:val="-1"/>
        </w:rPr>
        <w:t> </w:t>
      </w:r>
      <w:r>
        <w:rPr/>
        <w:t>√不适用</w:t>
      </w:r>
      <w:r>
        <w:rPr>
          <w:w w:val="100"/>
        </w:rPr>
        <w:t> </w:t>
      </w:r>
      <w:r>
        <w:rPr/>
        <w:t>其他说明</w:t>
      </w:r>
    </w:p>
    <w:p>
      <w:pPr>
        <w:pStyle w:val="BodyText"/>
        <w:spacing w:line="240" w:lineRule="auto" w:before="145"/>
        <w:ind w:left="1678" w:right="49"/>
        <w:jc w:val="left"/>
      </w:pPr>
      <w:r>
        <w:rPr>
          <w:rFonts w:ascii="宋体" w:hAnsi="宋体" w:cs="宋体" w:eastAsia="宋体" w:hint="default"/>
        </w:rPr>
        <w:t>(1)</w:t>
      </w:r>
      <w:r>
        <w:rPr>
          <w:rFonts w:ascii="宋体" w:hAnsi="宋体" w:cs="宋体" w:eastAsia="宋体" w:hint="default"/>
          <w:spacing w:val="-4"/>
        </w:rPr>
        <w:t> </w:t>
      </w:r>
      <w:r>
        <w:rPr/>
        <w:t>期末公司不存在已背书或贴现且在资产负债表日尚未到期的应收票据。</w:t>
      </w:r>
    </w:p>
    <w:p>
      <w:pPr>
        <w:pStyle w:val="BodyText"/>
        <w:spacing w:line="240" w:lineRule="auto" w:before="145"/>
        <w:ind w:left="1678" w:right="49"/>
        <w:jc w:val="left"/>
      </w:pPr>
      <w:r>
        <w:rPr>
          <w:rFonts w:ascii="宋体" w:hAnsi="宋体" w:cs="宋体" w:eastAsia="宋体" w:hint="default"/>
        </w:rPr>
        <w:t>(2)</w:t>
      </w:r>
      <w:r>
        <w:rPr>
          <w:rFonts w:ascii="宋体" w:hAnsi="宋体" w:cs="宋体" w:eastAsia="宋体" w:hint="default"/>
          <w:spacing w:val="-5"/>
        </w:rPr>
        <w:t> </w:t>
      </w:r>
      <w:r>
        <w:rPr/>
        <w:t>期末公司不存在因出票人未履约而将其转应收账款的票据情况。</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20" w:right="80"/>
        </w:sectPr>
      </w:pPr>
    </w:p>
    <w:p>
      <w:pPr>
        <w:pStyle w:val="Heading4"/>
        <w:spacing w:line="240" w:lineRule="auto"/>
        <w:ind w:left="1678"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4"/>
        <w:spacing w:line="240" w:lineRule="auto" w:before="56"/>
        <w:ind w:left="1678"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729" w:val="left" w:leader="none"/>
        </w:tabs>
        <w:spacing w:line="240" w:lineRule="auto" w:before="178"/>
        <w:ind w:left="1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 w:right="80"/>
          <w:cols w:num="2" w:equalWidth="0">
            <w:col w:w="3942" w:space="2477"/>
            <w:col w:w="5291"/>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850"/>
        <w:gridCol w:w="1421"/>
        <w:gridCol w:w="533"/>
        <w:gridCol w:w="1450"/>
        <w:gridCol w:w="566"/>
        <w:gridCol w:w="1421"/>
        <w:gridCol w:w="1416"/>
        <w:gridCol w:w="566"/>
        <w:gridCol w:w="1306"/>
        <w:gridCol w:w="581"/>
        <w:gridCol w:w="1366"/>
      </w:tblGrid>
      <w:tr>
        <w:trPr>
          <w:trHeight w:val="269" w:hRule="exact"/>
        </w:trPr>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53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2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850" w:type="dxa"/>
            <w:vMerge/>
            <w:tcBorders>
              <w:left w:val="single" w:sz="4" w:space="0" w:color="000000"/>
              <w:right w:val="single" w:sz="4" w:space="0" w:color="000000"/>
            </w:tcBorders>
          </w:tcPr>
          <w:p>
            <w:pPr/>
          </w:p>
        </w:tc>
        <w:tc>
          <w:tcPr>
            <w:tcW w:w="19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523" w:right="526"/>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96" w:right="497"/>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0" w:hRule="exact"/>
        </w:trPr>
        <w:tc>
          <w:tcPr>
            <w:tcW w:w="850"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4" w:right="79"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3"/>
              <w:ind w:left="141" w:right="96"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421"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39" w:right="98"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3"/>
              <w:ind w:left="148" w:right="103"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66" w:type="dxa"/>
            <w:vMerge/>
            <w:tcBorders>
              <w:left w:val="single" w:sz="4" w:space="0" w:color="000000"/>
              <w:bottom w:val="single" w:sz="4" w:space="0" w:color="000000"/>
              <w:right w:val="single" w:sz="4" w:space="0" w:color="000000"/>
            </w:tcBorders>
          </w:tcPr>
          <w:p>
            <w:pPr/>
          </w:p>
        </w:tc>
      </w:tr>
      <w:tr>
        <w:trPr>
          <w:trHeight w:val="117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pacing w:val="15"/>
                <w:sz w:val="18"/>
                <w:szCs w:val="18"/>
              </w:rPr>
              <w:t>单项金额</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7" w:lineRule="auto"/>
              <w:ind w:left="26" w:right="5"/>
              <w:jc w:val="both"/>
              <w:rPr>
                <w:rFonts w:ascii="宋体" w:hAnsi="宋体" w:cs="宋体" w:eastAsia="宋体" w:hint="default"/>
                <w:sz w:val="18"/>
                <w:szCs w:val="18"/>
              </w:rPr>
            </w:pPr>
            <w:r>
              <w:rPr>
                <w:rFonts w:ascii="宋体" w:hAnsi="宋体" w:cs="宋体" w:eastAsia="宋体" w:hint="default"/>
                <w:spacing w:val="15"/>
                <w:sz w:val="18"/>
                <w:szCs w:val="18"/>
              </w:rPr>
              <w:t>重大并单</w:t>
            </w:r>
            <w:r>
              <w:rPr>
                <w:rFonts w:ascii="宋体" w:hAnsi="宋体" w:cs="宋体" w:eastAsia="宋体" w:hint="default"/>
                <w:spacing w:val="-87"/>
                <w:sz w:val="18"/>
                <w:szCs w:val="18"/>
              </w:rPr>
              <w:t> </w:t>
            </w:r>
            <w:r>
              <w:rPr>
                <w:rFonts w:ascii="宋体" w:hAnsi="宋体" w:cs="宋体" w:eastAsia="宋体" w:hint="default"/>
                <w:spacing w:val="15"/>
                <w:sz w:val="18"/>
                <w:szCs w:val="18"/>
              </w:rPr>
              <w:t>独计提坏</w:t>
            </w:r>
            <w:r>
              <w:rPr>
                <w:rFonts w:ascii="宋体" w:hAnsi="宋体" w:cs="宋体" w:eastAsia="宋体" w:hint="default"/>
                <w:spacing w:val="-87"/>
                <w:sz w:val="18"/>
                <w:szCs w:val="18"/>
              </w:rPr>
              <w:t> </w:t>
            </w:r>
            <w:r>
              <w:rPr>
                <w:rFonts w:ascii="宋体" w:hAnsi="宋体" w:cs="宋体" w:eastAsia="宋体" w:hint="default"/>
                <w:spacing w:val="15"/>
                <w:sz w:val="18"/>
                <w:szCs w:val="18"/>
              </w:rPr>
              <w:t>账准备的</w:t>
            </w:r>
            <w:r>
              <w:rPr>
                <w:rFonts w:ascii="宋体" w:hAnsi="宋体" w:cs="宋体" w:eastAsia="宋体" w:hint="default"/>
                <w:spacing w:val="-87"/>
                <w:sz w:val="18"/>
                <w:szCs w:val="18"/>
              </w:rPr>
              <w:t> </w:t>
            </w:r>
            <w:r>
              <w:rPr>
                <w:rFonts w:ascii="宋体" w:hAnsi="宋体" w:cs="宋体" w:eastAsia="宋体" w:hint="default"/>
                <w:sz w:val="18"/>
                <w:szCs w:val="18"/>
              </w:rPr>
              <w:t>应收账款</w:t>
            </w:r>
          </w:p>
        </w:tc>
        <w:tc>
          <w:tcPr>
            <w:tcW w:w="142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pacing w:val="15"/>
                <w:sz w:val="18"/>
                <w:szCs w:val="18"/>
              </w:rPr>
              <w:t>按信用风</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7" w:lineRule="auto" w:before="2"/>
              <w:ind w:left="26" w:right="5"/>
              <w:jc w:val="both"/>
              <w:rPr>
                <w:rFonts w:ascii="宋体" w:hAnsi="宋体" w:cs="宋体" w:eastAsia="宋体" w:hint="default"/>
                <w:sz w:val="18"/>
                <w:szCs w:val="18"/>
              </w:rPr>
            </w:pPr>
            <w:r>
              <w:rPr>
                <w:rFonts w:ascii="宋体" w:hAnsi="宋体" w:cs="宋体" w:eastAsia="宋体" w:hint="default"/>
                <w:spacing w:val="15"/>
                <w:sz w:val="18"/>
                <w:szCs w:val="18"/>
              </w:rPr>
              <w:t>险特征组</w:t>
            </w:r>
            <w:r>
              <w:rPr>
                <w:rFonts w:ascii="宋体" w:hAnsi="宋体" w:cs="宋体" w:eastAsia="宋体" w:hint="default"/>
                <w:spacing w:val="-87"/>
                <w:sz w:val="18"/>
                <w:szCs w:val="18"/>
              </w:rPr>
              <w:t> </w:t>
            </w:r>
            <w:r>
              <w:rPr>
                <w:rFonts w:ascii="宋体" w:hAnsi="宋体" w:cs="宋体" w:eastAsia="宋体" w:hint="default"/>
                <w:spacing w:val="15"/>
                <w:sz w:val="18"/>
                <w:szCs w:val="18"/>
              </w:rPr>
              <w:t>合计提坏</w:t>
            </w:r>
            <w:r>
              <w:rPr>
                <w:rFonts w:ascii="宋体" w:hAnsi="宋体" w:cs="宋体" w:eastAsia="宋体" w:hint="default"/>
                <w:spacing w:val="-87"/>
                <w:sz w:val="18"/>
                <w:szCs w:val="18"/>
              </w:rPr>
              <w:t> </w:t>
            </w:r>
            <w:r>
              <w:rPr>
                <w:rFonts w:ascii="宋体" w:hAnsi="宋体" w:cs="宋体" w:eastAsia="宋体" w:hint="default"/>
                <w:spacing w:val="15"/>
                <w:sz w:val="18"/>
                <w:szCs w:val="18"/>
              </w:rPr>
              <w:t>账准备的</w:t>
            </w:r>
            <w:r>
              <w:rPr>
                <w:rFonts w:ascii="宋体" w:hAnsi="宋体" w:cs="宋体" w:eastAsia="宋体" w:hint="default"/>
                <w:spacing w:val="-87"/>
                <w:sz w:val="18"/>
                <w:szCs w:val="18"/>
              </w:rPr>
              <w:t> </w:t>
            </w:r>
            <w:r>
              <w:rPr>
                <w:rFonts w:ascii="宋体" w:hAnsi="宋体" w:cs="宋体" w:eastAsia="宋体" w:hint="default"/>
                <w:sz w:val="18"/>
                <w:szCs w:val="18"/>
              </w:rPr>
              <w:t>应收账款</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261,409,378.07</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sz w:val="18"/>
              </w:rPr>
              <w:t>69.83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40,418,012.14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15.46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220,991,365.93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196,594,201.10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99.43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31,476,114.38</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165,118,086.72</w:t>
            </w:r>
          </w:p>
        </w:tc>
      </w:tr>
      <w:tr>
        <w:trPr>
          <w:trHeight w:val="140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pacing w:val="15"/>
                <w:sz w:val="18"/>
                <w:szCs w:val="18"/>
              </w:rPr>
              <w:t>单项金额</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7" w:lineRule="auto"/>
              <w:ind w:left="26" w:right="5"/>
              <w:jc w:val="both"/>
              <w:rPr>
                <w:rFonts w:ascii="宋体" w:hAnsi="宋体" w:cs="宋体" w:eastAsia="宋体" w:hint="default"/>
                <w:sz w:val="18"/>
                <w:szCs w:val="18"/>
              </w:rPr>
            </w:pPr>
            <w:r>
              <w:rPr>
                <w:rFonts w:ascii="宋体" w:hAnsi="宋体" w:cs="宋体" w:eastAsia="宋体" w:hint="default"/>
                <w:spacing w:val="15"/>
                <w:sz w:val="18"/>
                <w:szCs w:val="18"/>
              </w:rPr>
              <w:t>不重大但</w:t>
            </w:r>
            <w:r>
              <w:rPr>
                <w:rFonts w:ascii="宋体" w:hAnsi="宋体" w:cs="宋体" w:eastAsia="宋体" w:hint="default"/>
                <w:spacing w:val="-87"/>
                <w:sz w:val="18"/>
                <w:szCs w:val="18"/>
              </w:rPr>
              <w:t> </w:t>
            </w:r>
            <w:r>
              <w:rPr>
                <w:rFonts w:ascii="宋体" w:hAnsi="宋体" w:cs="宋体" w:eastAsia="宋体" w:hint="default"/>
                <w:spacing w:val="15"/>
                <w:sz w:val="18"/>
                <w:szCs w:val="18"/>
              </w:rPr>
              <w:t>单独计提</w:t>
            </w:r>
            <w:r>
              <w:rPr>
                <w:rFonts w:ascii="宋体" w:hAnsi="宋体" w:cs="宋体" w:eastAsia="宋体" w:hint="default"/>
                <w:spacing w:val="-87"/>
                <w:sz w:val="18"/>
                <w:szCs w:val="18"/>
              </w:rPr>
              <w:t> </w:t>
            </w:r>
            <w:r>
              <w:rPr>
                <w:rFonts w:ascii="宋体" w:hAnsi="宋体" w:cs="宋体" w:eastAsia="宋体" w:hint="default"/>
                <w:spacing w:val="15"/>
                <w:sz w:val="18"/>
                <w:szCs w:val="18"/>
              </w:rPr>
              <w:t>坏账准备</w:t>
            </w:r>
            <w:r>
              <w:rPr>
                <w:rFonts w:ascii="宋体" w:hAnsi="宋体" w:cs="宋体" w:eastAsia="宋体" w:hint="default"/>
                <w:spacing w:val="-87"/>
                <w:sz w:val="18"/>
                <w:szCs w:val="18"/>
              </w:rPr>
              <w:t> </w:t>
            </w:r>
            <w:r>
              <w:rPr>
                <w:rFonts w:ascii="宋体" w:hAnsi="宋体" w:cs="宋体" w:eastAsia="宋体" w:hint="default"/>
                <w:spacing w:val="15"/>
                <w:sz w:val="18"/>
                <w:szCs w:val="18"/>
              </w:rPr>
              <w:t>的应收账</w:t>
            </w:r>
            <w:r>
              <w:rPr>
                <w:rFonts w:ascii="宋体" w:hAnsi="宋体" w:cs="宋体" w:eastAsia="宋体" w:hint="default"/>
                <w:spacing w:val="-87"/>
                <w:sz w:val="18"/>
                <w:szCs w:val="18"/>
              </w:rPr>
              <w:t> </w:t>
            </w:r>
            <w:r>
              <w:rPr>
                <w:rFonts w:ascii="宋体" w:hAnsi="宋体" w:cs="宋体" w:eastAsia="宋体" w:hint="default"/>
                <w:sz w:val="18"/>
                <w:szCs w:val="18"/>
              </w:rPr>
              <w:t>款</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112,943,004.55</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sz w:val="18"/>
              </w:rPr>
              <w:t>30.17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112,943,004.55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1,122,500.00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5"/>
              <w:jc w:val="right"/>
              <w:rPr>
                <w:rFonts w:ascii="宋体" w:hAnsi="宋体" w:cs="宋体" w:eastAsia="宋体" w:hint="default"/>
                <w:sz w:val="18"/>
                <w:szCs w:val="18"/>
              </w:rPr>
            </w:pPr>
            <w:r>
              <w:rPr>
                <w:rFonts w:ascii="宋体"/>
                <w:sz w:val="18"/>
              </w:rPr>
              <w:t>0.57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1,122,500.00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374,352,382.62</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153,361,016.69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7"/>
              <w:jc w:val="right"/>
              <w:rPr>
                <w:rFonts w:ascii="宋体" w:hAnsi="宋体" w:cs="宋体" w:eastAsia="宋体" w:hint="default"/>
                <w:sz w:val="18"/>
                <w:szCs w:val="18"/>
              </w:rPr>
            </w:pPr>
            <w:r>
              <w:rPr>
                <w:rFonts w:ascii="宋体"/>
                <w:spacing w:val="-1"/>
                <w:sz w:val="18"/>
              </w:rPr>
              <w:t>220,991,365.93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197,716,701.10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center"/>
              <w:rPr>
                <w:rFonts w:ascii="宋体" w:hAnsi="宋体" w:cs="宋体" w:eastAsia="宋体" w:hint="default"/>
                <w:sz w:val="18"/>
                <w:szCs w:val="18"/>
              </w:rPr>
            </w:pPr>
            <w:r>
              <w:rPr>
                <w:rFonts w:ascii="宋体"/>
                <w:sz w:val="18"/>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32,598,614.38</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165,118,086.72</w:t>
            </w:r>
          </w:p>
        </w:tc>
      </w:tr>
    </w:tbl>
    <w:p>
      <w:pPr>
        <w:spacing w:line="240" w:lineRule="auto" w:before="5"/>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120" w:bottom="1380" w:left="120" w:right="80"/>
        </w:sectPr>
      </w:pPr>
    </w:p>
    <w:p>
      <w:pPr>
        <w:pStyle w:val="BodyText"/>
        <w:spacing w:line="274" w:lineRule="exact" w:before="36"/>
        <w:ind w:left="1678" w:right="0"/>
        <w:jc w:val="left"/>
      </w:pPr>
      <w:r>
        <w:rPr>
          <w:spacing w:val="-2"/>
        </w:rPr>
        <w:t>期末单项金额重大并单项计提坏帐准备的应收账款</w:t>
      </w:r>
    </w:p>
    <w:p>
      <w:pPr>
        <w:pStyle w:val="BodyText"/>
        <w:spacing w:line="272" w:lineRule="exact" w:before="27"/>
        <w:ind w:left="1678"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9" w:lineRule="exact"/>
        <w:ind w:left="167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tabs>
          <w:tab w:pos="2729" w:val="left" w:leader="none"/>
        </w:tabs>
        <w:spacing w:line="240" w:lineRule="auto"/>
        <w:ind w:left="1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 w:right="80"/>
          <w:cols w:num="2" w:equalWidth="0">
            <w:col w:w="6304" w:space="218"/>
            <w:col w:w="518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302" w:type="dxa"/>
        <w:tblLayout w:type="fixed"/>
        <w:tblCellMar>
          <w:top w:w="0" w:type="dxa"/>
          <w:left w:w="0" w:type="dxa"/>
          <w:bottom w:w="0" w:type="dxa"/>
          <w:right w:w="0" w:type="dxa"/>
        </w:tblCellMar>
        <w:tblLook w:val="01E0"/>
      </w:tblPr>
      <w:tblGrid>
        <w:gridCol w:w="2048"/>
        <w:gridCol w:w="2282"/>
        <w:gridCol w:w="2316"/>
        <w:gridCol w:w="2249"/>
      </w:tblGrid>
      <w:tr>
        <w:trPr>
          <w:trHeight w:val="284"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212,440,467.97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10,622,023.40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11,185,310.22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1,118,531.02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13,008,774.51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3,902,632.35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24,774,825.37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24,774,825.37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261,409,378.07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40,418,012.14</w:t>
            </w:r>
          </w:p>
        </w:tc>
        <w:tc>
          <w:tcPr>
            <w:tcW w:w="224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338" w:right="2081"/>
        <w:jc w:val="left"/>
      </w:pPr>
      <w:r>
        <w:rPr/>
        <w:t>确定该组合依据的说明：</w:t>
      </w:r>
    </w:p>
    <w:p>
      <w:pPr>
        <w:spacing w:line="240" w:lineRule="auto" w:before="11"/>
        <w:rPr>
          <w:rFonts w:ascii="宋体" w:hAnsi="宋体" w:cs="宋体" w:eastAsia="宋体" w:hint="default"/>
          <w:sz w:val="20"/>
          <w:szCs w:val="20"/>
        </w:rPr>
      </w:pPr>
    </w:p>
    <w:p>
      <w:pPr>
        <w:spacing w:line="20" w:lineRule="exact"/>
        <w:ind w:left="3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6"/>
          <w:szCs w:val="16"/>
        </w:rPr>
      </w:pPr>
    </w:p>
    <w:p>
      <w:pPr>
        <w:pStyle w:val="BodyText"/>
        <w:spacing w:line="273" w:lineRule="exact" w:before="36"/>
        <w:ind w:left="338" w:right="2081"/>
        <w:jc w:val="left"/>
      </w:pPr>
      <w:r>
        <w:rPr/>
        <w:t>组合中，采用余额百分比法计提坏账准备的应收账款：</w:t>
      </w:r>
    </w:p>
    <w:p>
      <w:pPr>
        <w:pStyle w:val="BodyText"/>
        <w:spacing w:line="273" w:lineRule="exact"/>
        <w:ind w:left="338" w:right="2081"/>
        <w:jc w:val="left"/>
      </w:pPr>
      <w:r>
        <w:rPr/>
        <w:t>□适用√不适用</w:t>
      </w:r>
    </w:p>
    <w:p>
      <w:pPr>
        <w:spacing w:line="240" w:lineRule="auto" w:before="8"/>
        <w:rPr>
          <w:rFonts w:ascii="宋体" w:hAnsi="宋体" w:cs="宋体" w:eastAsia="宋体" w:hint="default"/>
          <w:sz w:val="20"/>
          <w:szCs w:val="20"/>
        </w:rPr>
      </w:pPr>
    </w:p>
    <w:p>
      <w:pPr>
        <w:pStyle w:val="BodyText"/>
        <w:spacing w:line="355" w:lineRule="auto"/>
        <w:ind w:left="652" w:right="2081" w:hanging="315"/>
        <w:jc w:val="left"/>
      </w:pPr>
      <w:r>
        <w:rPr/>
        <w:t>组合中，采用其他方法计提坏账准备的应收账款：</w:t>
      </w:r>
      <w:r>
        <w:rPr>
          <w:w w:val="100"/>
        </w:rPr>
        <w:t> </w:t>
      </w:r>
      <w:r>
        <w:rPr>
          <w:spacing w:val="-2"/>
        </w:rPr>
        <w:t>单项金额不重大但单项计提坏账准备的应收账款</w:t>
      </w:r>
    </w:p>
    <w:p>
      <w:pPr>
        <w:spacing w:line="240" w:lineRule="auto" w:before="3"/>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810"/>
        <w:gridCol w:w="1810"/>
        <w:gridCol w:w="1810"/>
        <w:gridCol w:w="1812"/>
        <w:gridCol w:w="1810"/>
      </w:tblGrid>
      <w:tr>
        <w:trPr>
          <w:trHeight w:val="45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641"/>
              <w:jc w:val="right"/>
              <w:rPr>
                <w:rFonts w:ascii="宋体" w:hAnsi="宋体" w:cs="宋体" w:eastAsia="宋体" w:hint="default"/>
                <w:sz w:val="21"/>
                <w:szCs w:val="21"/>
              </w:rPr>
            </w:pPr>
            <w:r>
              <w:rPr>
                <w:rFonts w:ascii="宋体" w:hAnsi="宋体" w:cs="宋体" w:eastAsia="宋体" w:hint="default"/>
                <w:spacing w:val="-1"/>
                <w:sz w:val="21"/>
                <w:szCs w:val="21"/>
              </w:rPr>
              <w:t>款项内容</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40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41"/>
              <w:jc w:val="right"/>
              <w:rPr>
                <w:rFonts w:ascii="宋体" w:hAnsi="宋体" w:cs="宋体" w:eastAsia="宋体" w:hint="default"/>
                <w:sz w:val="21"/>
                <w:szCs w:val="21"/>
              </w:rPr>
            </w:pPr>
            <w:r>
              <w:rPr>
                <w:rFonts w:ascii="宋体" w:hAnsi="宋体" w:cs="宋体" w:eastAsia="宋体" w:hint="default"/>
                <w:spacing w:val="-1"/>
                <w:sz w:val="21"/>
                <w:szCs w:val="21"/>
              </w:rPr>
              <w:t>软件销售款</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112,043,004.55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112,043,004.55</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100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71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99"/>
              <w:jc w:val="left"/>
              <w:rPr>
                <w:rFonts w:ascii="宋体" w:hAnsi="宋体" w:cs="宋体" w:eastAsia="宋体" w:hint="default"/>
                <w:sz w:val="21"/>
                <w:szCs w:val="21"/>
              </w:rPr>
            </w:pPr>
            <w:r>
              <w:rPr>
                <w:rFonts w:ascii="宋体" w:hAnsi="宋体" w:cs="宋体" w:eastAsia="宋体" w:hint="default"/>
                <w:spacing w:val="15"/>
                <w:sz w:val="21"/>
                <w:szCs w:val="21"/>
              </w:rPr>
              <w:t>北京特许经营权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交易所有限公司</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900,000.00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900,000.00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100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2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tabs>
                <w:tab w:pos="736" w:val="left" w:leader="none"/>
              </w:tabs>
              <w:spacing w:line="240" w:lineRule="auto" w:before="38"/>
              <w:ind w:left="31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pacing w:val="-1"/>
                <w:sz w:val="21"/>
              </w:rPr>
              <w:t>112,943,004.55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pacing w:val="-1"/>
                <w:sz w:val="21"/>
              </w:rPr>
              <w:t>112,943,004.55</w:t>
            </w:r>
          </w:p>
        </w:tc>
        <w:tc>
          <w:tcPr>
            <w:tcW w:w="1812"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spacing w:line="408" w:lineRule="auto" w:before="36"/>
        <w:ind w:left="338" w:right="2081"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预计无法收回，详见本财务报表附注十六其他重要事项之说明。</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44"/>
          <w:sz w:val="21"/>
          <w:szCs w:val="21"/>
        </w:rPr>
        <w:t> </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pStyle w:val="BodyText"/>
        <w:spacing w:line="240" w:lineRule="auto" w:before="46"/>
        <w:ind w:left="758" w:right="0"/>
        <w:jc w:val="left"/>
      </w:pPr>
      <w:r>
        <w:rPr/>
        <w:t>本期计提坏账准备金额</w:t>
      </w:r>
      <w:r>
        <w:rPr>
          <w:spacing w:val="-53"/>
        </w:rPr>
        <w:t> </w:t>
      </w:r>
      <w:r>
        <w:rPr>
          <w:rFonts w:ascii="宋体" w:hAnsi="宋体" w:cs="宋体" w:eastAsia="宋体" w:hint="default"/>
        </w:rPr>
        <w:t>121,604,777.04</w:t>
      </w:r>
      <w:r>
        <w:rPr>
          <w:rFonts w:ascii="宋体" w:hAnsi="宋体" w:cs="宋体" w:eastAsia="宋体" w:hint="default"/>
          <w:spacing w:val="-56"/>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6"/>
        </w:rPr>
        <w:t> </w:t>
      </w:r>
      <w:r>
        <w:rPr/>
        <w:t>元。</w:t>
      </w:r>
    </w:p>
    <w:p>
      <w:pPr>
        <w:spacing w:line="240" w:lineRule="auto" w:before="8"/>
        <w:rPr>
          <w:rFonts w:ascii="宋体" w:hAnsi="宋体" w:cs="宋体" w:eastAsia="宋体" w:hint="default"/>
          <w:sz w:val="20"/>
          <w:szCs w:val="20"/>
        </w:rPr>
      </w:pPr>
    </w:p>
    <w:p>
      <w:pPr>
        <w:pStyle w:val="BodyText"/>
        <w:spacing w:line="274" w:lineRule="exact"/>
        <w:ind w:left="338" w:right="2081"/>
        <w:jc w:val="left"/>
      </w:pPr>
      <w:r>
        <w:rPr/>
        <w:t>其中本期坏账准备收回或转回金额重要的：</w:t>
      </w:r>
    </w:p>
    <w:p>
      <w:pPr>
        <w:pStyle w:val="BodyText"/>
        <w:spacing w:line="274" w:lineRule="exact"/>
        <w:ind w:left="338" w:right="208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0"/>
        <w:ind w:left="338" w:right="2081"/>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6"/>
        <w:ind w:left="338" w:right="208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338" w:right="2081"/>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spacing w:line="240" w:lineRule="auto" w:before="11"/>
        <w:rPr>
          <w:rFonts w:ascii="宋体" w:hAnsi="宋体" w:cs="宋体" w:eastAsia="宋体" w:hint="default"/>
          <w:b/>
          <w:bCs/>
          <w:sz w:val="27"/>
          <w:szCs w:val="27"/>
        </w:rPr>
      </w:pPr>
    </w:p>
    <w:tbl>
      <w:tblPr>
        <w:tblW w:w="0" w:type="auto"/>
        <w:jc w:val="left"/>
        <w:tblInd w:w="333" w:type="dxa"/>
        <w:tblLayout w:type="fixed"/>
        <w:tblCellMar>
          <w:top w:w="0" w:type="dxa"/>
          <w:left w:w="0" w:type="dxa"/>
          <w:bottom w:w="0" w:type="dxa"/>
          <w:right w:w="0" w:type="dxa"/>
        </w:tblCellMar>
        <w:tblLook w:val="01E0"/>
      </w:tblPr>
      <w:tblGrid>
        <w:gridCol w:w="1810"/>
        <w:gridCol w:w="1810"/>
        <w:gridCol w:w="1810"/>
        <w:gridCol w:w="1659"/>
        <w:gridCol w:w="1812"/>
      </w:tblGrid>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3"/>
                <w:sz w:val="21"/>
                <w:szCs w:val="21"/>
              </w:rPr>
              <w:t> </w:t>
            </w:r>
            <w:r>
              <w:rPr>
                <w:rFonts w:ascii="宋体" w:hAnsi="宋体" w:cs="宋体" w:eastAsia="宋体" w:hint="default"/>
                <w:sz w:val="21"/>
                <w:szCs w:val="21"/>
              </w:rPr>
              <w:t>龄</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7" w:right="0" w:hanging="53"/>
              <w:jc w:val="left"/>
              <w:rPr>
                <w:rFonts w:ascii="宋体" w:hAnsi="宋体" w:cs="宋体" w:eastAsia="宋体" w:hint="default"/>
                <w:sz w:val="21"/>
                <w:szCs w:val="21"/>
              </w:rPr>
            </w:pPr>
            <w:r>
              <w:rPr>
                <w:rFonts w:ascii="宋体" w:hAnsi="宋体" w:cs="宋体" w:eastAsia="宋体" w:hint="default"/>
                <w:sz w:val="21"/>
                <w:szCs w:val="21"/>
              </w:rPr>
              <w:t>占应收账款余</w:t>
            </w:r>
          </w:p>
          <w:p>
            <w:pPr>
              <w:pStyle w:val="TableParagraph"/>
              <w:spacing w:line="273" w:lineRule="exact"/>
              <w:ind w:left="247" w:right="0"/>
              <w:jc w:val="left"/>
              <w:rPr>
                <w:rFonts w:ascii="宋体" w:hAnsi="宋体" w:cs="宋体" w:eastAsia="宋体" w:hint="default"/>
                <w:sz w:val="21"/>
                <w:szCs w:val="21"/>
              </w:rPr>
            </w:pPr>
            <w:r>
              <w:rPr>
                <w:rFonts w:ascii="宋体" w:hAnsi="宋体" w:cs="宋体" w:eastAsia="宋体" w:hint="default"/>
                <w:sz w:val="21"/>
                <w:szCs w:val="21"/>
              </w:rPr>
              <w:t>额的比例</w:t>
            </w:r>
            <w:r>
              <w:rPr>
                <w:rFonts w:ascii="宋体" w:hAnsi="宋体" w:cs="宋体" w:eastAsia="宋体" w:hint="default"/>
                <w:sz w:val="21"/>
                <w:szCs w:val="21"/>
              </w:rPr>
              <w:t>(%)</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11,673,410.00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583,670.50</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10,823,421.23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2.89</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541,171.06</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10,000,020.00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2.67</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3,000,006.00</w:t>
            </w: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8,216,750.00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2.19</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410,837.50</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5,735,783.35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1.53</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286,789.17</w:t>
            </w:r>
          </w:p>
        </w:tc>
      </w:tr>
    </w:tbl>
    <w:p>
      <w:pPr>
        <w:spacing w:after="0" w:line="241" w:lineRule="exact"/>
        <w:jc w:val="right"/>
        <w:rPr>
          <w:rFonts w:ascii="宋体" w:hAnsi="宋体" w:cs="宋体" w:eastAsia="宋体" w:hint="default"/>
          <w:sz w:val="21"/>
          <w:szCs w:val="21"/>
        </w:rPr>
        <w:sectPr>
          <w:pgSz w:w="11910" w:h="16840"/>
          <w:pgMar w:header="882" w:footer="1195" w:top="1120" w:bottom="1380" w:left="1460" w:right="108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213" w:type="dxa"/>
        <w:tblLayout w:type="fixed"/>
        <w:tblCellMar>
          <w:top w:w="0" w:type="dxa"/>
          <w:left w:w="0" w:type="dxa"/>
          <w:bottom w:w="0" w:type="dxa"/>
          <w:right w:w="0" w:type="dxa"/>
        </w:tblCellMar>
        <w:tblLook w:val="01E0"/>
      </w:tblPr>
      <w:tblGrid>
        <w:gridCol w:w="1810"/>
        <w:gridCol w:w="1810"/>
        <w:gridCol w:w="1810"/>
        <w:gridCol w:w="1659"/>
        <w:gridCol w:w="1812"/>
      </w:tblGrid>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tabs>
                <w:tab w:pos="1005" w:val="left" w:leader="none"/>
              </w:tabs>
              <w:spacing w:line="244" w:lineRule="exact"/>
              <w:ind w:left="58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29" w:right="0"/>
              <w:jc w:val="left"/>
              <w:rPr>
                <w:rFonts w:ascii="宋体" w:hAnsi="宋体" w:cs="宋体" w:eastAsia="宋体" w:hint="default"/>
                <w:sz w:val="21"/>
                <w:szCs w:val="21"/>
              </w:rPr>
            </w:pPr>
            <w:r>
              <w:rPr>
                <w:rFonts w:ascii="宋体"/>
                <w:sz w:val="21"/>
              </w:rPr>
              <w:t>46,449,384.58</w:t>
            </w:r>
          </w:p>
        </w:tc>
        <w:tc>
          <w:tcPr>
            <w:tcW w:w="1810"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20" w:right="0"/>
              <w:jc w:val="left"/>
              <w:rPr>
                <w:rFonts w:ascii="宋体" w:hAnsi="宋体" w:cs="宋体" w:eastAsia="宋体" w:hint="default"/>
                <w:sz w:val="21"/>
                <w:szCs w:val="21"/>
              </w:rPr>
            </w:pPr>
            <w:r>
              <w:rPr>
                <w:rFonts w:ascii="宋体"/>
                <w:sz w:val="21"/>
              </w:rPr>
              <w:t>12.40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36" w:right="0"/>
              <w:jc w:val="left"/>
              <w:rPr>
                <w:rFonts w:ascii="宋体" w:hAnsi="宋体" w:cs="宋体" w:eastAsia="宋体" w:hint="default"/>
                <w:sz w:val="21"/>
                <w:szCs w:val="21"/>
              </w:rPr>
            </w:pPr>
            <w:r>
              <w:rPr>
                <w:rFonts w:ascii="宋体"/>
                <w:sz w:val="21"/>
              </w:rPr>
              <w:t>4,822,474.23</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right="2940"/>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spacing w:line="240" w:lineRule="auto" w:before="6"/>
        <w:rPr>
          <w:rFonts w:ascii="宋体" w:hAnsi="宋体" w:cs="宋体" w:eastAsia="宋体" w:hint="default"/>
          <w:b/>
          <w:bCs/>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18"/>
          <w:szCs w:val="18"/>
        </w:rPr>
      </w:pPr>
    </w:p>
    <w:p>
      <w:pPr>
        <w:pStyle w:val="Heading4"/>
        <w:spacing w:line="240" w:lineRule="auto"/>
        <w:ind w:right="2940"/>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spacing w:line="240" w:lineRule="auto" w:before="8"/>
        <w:rPr>
          <w:rFonts w:ascii="宋体" w:hAnsi="宋体" w:cs="宋体" w:eastAsia="宋体" w:hint="default"/>
          <w:b/>
          <w:bCs/>
          <w:sz w:val="23"/>
          <w:szCs w:val="2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3"/>
          <w:szCs w:val="13"/>
        </w:rPr>
      </w:pPr>
    </w:p>
    <w:p>
      <w:pPr>
        <w:pStyle w:val="BodyText"/>
        <w:spacing w:line="240" w:lineRule="auto" w:before="36"/>
        <w:ind w:left="112" w:right="2940"/>
        <w:jc w:val="left"/>
      </w:pPr>
      <w:r>
        <w:rPr/>
        <w:t>其他说明：</w:t>
      </w:r>
    </w:p>
    <w:p>
      <w:pPr>
        <w:pStyle w:val="BodyText"/>
        <w:spacing w:line="357" w:lineRule="auto" w:before="135"/>
        <w:ind w:left="112" w:right="238" w:firstLine="419"/>
        <w:jc w:val="left"/>
      </w:pPr>
      <w:r>
        <w:rPr/>
        <w:t>因杭州数米基金销售有限公司本期不再纳入合并范围转出坏账准备</w:t>
      </w:r>
      <w:r>
        <w:rPr>
          <w:spacing w:val="-57"/>
        </w:rPr>
        <w:t> </w:t>
      </w:r>
      <w:r>
        <w:rPr>
          <w:rFonts w:ascii="宋体" w:hAnsi="宋体" w:cs="宋体" w:eastAsia="宋体" w:hint="default"/>
        </w:rPr>
        <w:t>842,374.73</w:t>
      </w:r>
      <w:r>
        <w:rPr>
          <w:rFonts w:ascii="宋体" w:hAnsi="宋体" w:cs="宋体" w:eastAsia="宋体" w:hint="default"/>
          <w:spacing w:val="-56"/>
        </w:rPr>
        <w:t> </w:t>
      </w:r>
      <w:r>
        <w:rPr/>
        <w:t>元。无收回或</w:t>
      </w:r>
      <w:r>
        <w:rPr>
          <w:w w:val="100"/>
        </w:rPr>
        <w:t> </w:t>
      </w:r>
      <w:r>
        <w:rPr/>
        <w:t>转回坏账准备的情况。</w:t>
      </w: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36"/>
          <w:pgSz w:w="11910" w:h="16840"/>
          <w:pgMar w:footer="1195" w:header="882" w:top="1120" w:bottom="1380" w:left="1580" w:right="1040"/>
        </w:sectPr>
      </w:pPr>
    </w:p>
    <w:p>
      <w:pPr>
        <w:pStyle w:val="Heading4"/>
        <w:spacing w:line="240" w:lineRule="auto"/>
        <w:ind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4"/>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36" w:space="3786"/>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8"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11,071,037.49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z w:val="21"/>
              </w:rPr>
              <w:t>100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6,508,876.33</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z w:val="21"/>
              </w:rPr>
              <w:t>100</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11,071,037.49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100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6,508,876.33</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100</w:t>
            </w:r>
          </w:p>
        </w:tc>
      </w:tr>
    </w:tbl>
    <w:p>
      <w:pPr>
        <w:spacing w:line="240" w:lineRule="auto" w:before="7"/>
        <w:rPr>
          <w:rFonts w:ascii="宋体" w:hAnsi="宋体" w:cs="宋体" w:eastAsia="宋体" w:hint="default"/>
          <w:sz w:val="15"/>
          <w:szCs w:val="15"/>
        </w:rPr>
      </w:pPr>
    </w:p>
    <w:p>
      <w:pPr>
        <w:pStyle w:val="BodyText"/>
        <w:spacing w:line="240" w:lineRule="auto" w:before="36"/>
        <w:ind w:right="2940"/>
        <w:jc w:val="left"/>
      </w:pPr>
      <w:r>
        <w:rPr/>
        <w:t>账龄超过</w:t>
      </w:r>
      <w:r>
        <w:rPr>
          <w:spacing w:val="-52"/>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spacing w:line="240" w:lineRule="auto" w:before="11"/>
        <w:rPr>
          <w:rFonts w:ascii="宋体" w:hAnsi="宋体" w:cs="宋体" w:eastAsia="宋体" w:hint="default"/>
          <w:b/>
          <w:bCs/>
          <w:sz w:val="27"/>
          <w:szCs w:val="27"/>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占预付款项余额的比例</w:t>
            </w:r>
            <w:r>
              <w:rPr>
                <w:rFonts w:ascii="宋体" w:hAnsi="宋体" w:cs="宋体" w:eastAsia="宋体" w:hint="default"/>
                <w:sz w:val="21"/>
                <w:szCs w:val="21"/>
              </w:rPr>
              <w:t>(%)</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4,097,945.75</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37.02</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1,273,584.87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11.50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488,093.12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4.41</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461,503.68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4.17</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412,716.60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3.73</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6,733,844.02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60.83</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spacing w:line="240" w:lineRule="auto" w:before="36"/>
        <w:ind w:right="294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BodyText"/>
        <w:spacing w:line="240" w:lineRule="auto" w:before="58"/>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right="2940"/>
        <w:jc w:val="left"/>
        <w:rPr>
          <w:b w:val="0"/>
          <w:bCs w:val="0"/>
        </w:rPr>
      </w:pPr>
      <w:r>
        <w:rPr>
          <w:rFonts w:ascii="宋体" w:hAnsi="宋体" w:cs="宋体" w:eastAsia="宋体" w:hint="default"/>
        </w:rPr>
        <w:t>8</w:t>
      </w:r>
      <w:r>
        <w:rPr/>
        <w:t>、</w:t>
      </w:r>
      <w:r>
        <w:rPr>
          <w:spacing w:val="-2"/>
        </w:rPr>
        <w:t> </w:t>
      </w:r>
      <w:r>
        <w:rPr/>
        <w:t>应收股利</w:t>
      </w:r>
      <w:r>
        <w:rPr>
          <w:b w:val="0"/>
          <w:bCs w:val="0"/>
        </w:rPr>
      </w:r>
    </w:p>
    <w:p>
      <w:pPr>
        <w:pStyle w:val="BodyText"/>
        <w:spacing w:line="240" w:lineRule="auto" w:before="59"/>
        <w:ind w:right="294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7"/>
          <w:pgSz w:w="11910" w:h="16840"/>
          <w:pgMar w:footer="1195" w:header="882" w:top="1120" w:bottom="1380" w:left="120" w:right="220"/>
          <w:pgNumType w:start="91"/>
        </w:sectPr>
      </w:pPr>
    </w:p>
    <w:p>
      <w:pPr>
        <w:pStyle w:val="Heading4"/>
        <w:spacing w:line="240" w:lineRule="auto" w:before="175"/>
        <w:ind w:left="1678" w:right="-19"/>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4"/>
        <w:spacing w:line="240" w:lineRule="auto" w:before="56"/>
        <w:ind w:left="1678"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pStyle w:val="BodyText"/>
        <w:tabs>
          <w:tab w:pos="2729" w:val="left" w:leader="none"/>
        </w:tabs>
        <w:spacing w:line="240" w:lineRule="auto"/>
        <w:ind w:left="1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 w:right="220"/>
          <w:cols w:num="2" w:equalWidth="0">
            <w:col w:w="4167" w:space="2251"/>
            <w:col w:w="5152"/>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277"/>
        <w:gridCol w:w="1567"/>
        <w:gridCol w:w="545"/>
        <w:gridCol w:w="1304"/>
        <w:gridCol w:w="547"/>
        <w:gridCol w:w="1284"/>
        <w:gridCol w:w="1248"/>
        <w:gridCol w:w="595"/>
        <w:gridCol w:w="1143"/>
        <w:gridCol w:w="593"/>
        <w:gridCol w:w="1234"/>
      </w:tblGrid>
      <w:tr>
        <w:trPr>
          <w:trHeight w:val="293"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2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1277" w:type="dxa"/>
            <w:vMerge/>
            <w:tcBorders>
              <w:left w:val="single" w:sz="4" w:space="0" w:color="000000"/>
              <w:right w:val="single" w:sz="4" w:space="0" w:color="000000"/>
            </w:tcBorders>
          </w:tcPr>
          <w:p>
            <w:pPr/>
          </w:p>
        </w:tc>
        <w:tc>
          <w:tcPr>
            <w:tcW w:w="2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56" w:right="456"/>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0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31" w:right="430"/>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0" w:hRule="exact"/>
        </w:trPr>
        <w:tc>
          <w:tcPr>
            <w:tcW w:w="1277" w:type="dxa"/>
            <w:vMerge/>
            <w:tcBorders>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31" w:right="86"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8"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ind w:left="132" w:right="86"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84" w:type="dxa"/>
            <w:vMerge/>
            <w:tcBorders>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53" w:right="113"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ind w:left="153" w:right="110"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34" w:type="dxa"/>
            <w:vMerge/>
            <w:tcBorders>
              <w:left w:val="single" w:sz="4" w:space="0" w:color="000000"/>
              <w:bottom w:val="single" w:sz="4" w:space="0" w:color="000000"/>
              <w:right w:val="single" w:sz="4" w:space="0" w:color="000000"/>
            </w:tcBorders>
          </w:tcPr>
          <w:p>
            <w:pPr/>
          </w:p>
        </w:tc>
      </w:tr>
      <w:tr>
        <w:trPr>
          <w:trHeight w:val="94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单项金额重大</w:t>
            </w:r>
          </w:p>
          <w:p>
            <w:pPr>
              <w:pStyle w:val="TableParagraph"/>
              <w:spacing w:line="237" w:lineRule="auto"/>
              <w:ind w:left="26" w:right="159"/>
              <w:jc w:val="both"/>
              <w:rPr>
                <w:rFonts w:ascii="宋体" w:hAnsi="宋体" w:cs="宋体" w:eastAsia="宋体" w:hint="default"/>
                <w:sz w:val="18"/>
                <w:szCs w:val="18"/>
              </w:rPr>
            </w:pPr>
            <w:r>
              <w:rPr>
                <w:rFonts w:ascii="宋体" w:hAnsi="宋体" w:cs="宋体" w:eastAsia="宋体" w:hint="default"/>
                <w:sz w:val="18"/>
                <w:szCs w:val="18"/>
              </w:rPr>
              <w:t>并单独计提坏 账准备的其他 应收款</w:t>
            </w:r>
          </w:p>
        </w:tc>
        <w:tc>
          <w:tcPr>
            <w:tcW w:w="1567"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29,131,319.84</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6"/>
              <w:jc w:val="right"/>
              <w:rPr>
                <w:rFonts w:ascii="宋体" w:hAnsi="宋体" w:cs="宋体" w:eastAsia="宋体" w:hint="default"/>
                <w:sz w:val="18"/>
                <w:szCs w:val="18"/>
              </w:rPr>
            </w:pPr>
            <w:r>
              <w:rPr>
                <w:rFonts w:ascii="宋体"/>
                <w:sz w:val="18"/>
              </w:rPr>
              <w:t>60.50</w:t>
            </w:r>
          </w:p>
        </w:tc>
        <w:tc>
          <w:tcPr>
            <w:tcW w:w="1143"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29,131,319.84</w:t>
            </w:r>
          </w:p>
        </w:tc>
      </w:tr>
      <w:tr>
        <w:trPr>
          <w:trHeight w:val="94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按信用风险特</w:t>
            </w:r>
          </w:p>
          <w:p>
            <w:pPr>
              <w:pStyle w:val="TableParagraph"/>
              <w:spacing w:line="237" w:lineRule="auto"/>
              <w:ind w:left="26" w:right="159"/>
              <w:jc w:val="both"/>
              <w:rPr>
                <w:rFonts w:ascii="宋体" w:hAnsi="宋体" w:cs="宋体" w:eastAsia="宋体" w:hint="default"/>
                <w:sz w:val="18"/>
                <w:szCs w:val="18"/>
              </w:rPr>
            </w:pPr>
            <w:r>
              <w:rPr>
                <w:rFonts w:ascii="宋体" w:hAnsi="宋体" w:cs="宋体" w:eastAsia="宋体" w:hint="default"/>
                <w:sz w:val="18"/>
                <w:szCs w:val="18"/>
              </w:rPr>
              <w:t>征组合计提坏 账准备的其他 应收款</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27,327,344.18</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1" w:right="0"/>
              <w:jc w:val="center"/>
              <w:rPr>
                <w:rFonts w:ascii="宋体" w:hAnsi="宋体" w:cs="宋体" w:eastAsia="宋体" w:hint="default"/>
                <w:sz w:val="18"/>
                <w:szCs w:val="18"/>
              </w:rPr>
            </w:pPr>
            <w:r>
              <w:rPr>
                <w:rFonts w:ascii="宋体"/>
                <w:sz w:val="18"/>
              </w:rPr>
              <w:t>98.62</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7,670,194.38</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28.07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0" w:right="0"/>
              <w:jc w:val="center"/>
              <w:rPr>
                <w:rFonts w:ascii="宋体" w:hAnsi="宋体" w:cs="宋体" w:eastAsia="宋体" w:hint="default"/>
                <w:sz w:val="18"/>
                <w:szCs w:val="18"/>
              </w:rPr>
            </w:pPr>
            <w:r>
              <w:rPr>
                <w:rFonts w:ascii="宋体"/>
                <w:sz w:val="18"/>
              </w:rPr>
              <w:t>19,657,149.80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18,636,257.96</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6"/>
              <w:jc w:val="right"/>
              <w:rPr>
                <w:rFonts w:ascii="宋体" w:hAnsi="宋体" w:cs="宋体" w:eastAsia="宋体" w:hint="default"/>
                <w:sz w:val="18"/>
                <w:szCs w:val="18"/>
              </w:rPr>
            </w:pPr>
            <w:r>
              <w:rPr>
                <w:rFonts w:ascii="宋体"/>
                <w:sz w:val="18"/>
              </w:rPr>
              <w:t>38.70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6,384,010.84</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34.26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12,252,247.12</w:t>
            </w:r>
          </w:p>
        </w:tc>
      </w:tr>
      <w:tr>
        <w:trPr>
          <w:trHeight w:val="94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单项金额不重</w:t>
            </w:r>
          </w:p>
          <w:p>
            <w:pPr>
              <w:pStyle w:val="TableParagraph"/>
              <w:spacing w:line="232" w:lineRule="exact" w:before="24"/>
              <w:ind w:left="26" w:right="159"/>
              <w:jc w:val="both"/>
              <w:rPr>
                <w:rFonts w:ascii="宋体" w:hAnsi="宋体" w:cs="宋体" w:eastAsia="宋体" w:hint="default"/>
                <w:sz w:val="18"/>
                <w:szCs w:val="18"/>
              </w:rPr>
            </w:pPr>
            <w:r>
              <w:rPr>
                <w:rFonts w:ascii="宋体" w:hAnsi="宋体" w:cs="宋体" w:eastAsia="宋体" w:hint="default"/>
                <w:sz w:val="18"/>
                <w:szCs w:val="18"/>
              </w:rPr>
              <w:t>大但单独计提 坏账准备的其 他应收款</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383,333.33</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3" w:right="0"/>
              <w:jc w:val="center"/>
              <w:rPr>
                <w:rFonts w:ascii="宋体" w:hAnsi="宋体" w:cs="宋体" w:eastAsia="宋体" w:hint="default"/>
                <w:sz w:val="18"/>
                <w:szCs w:val="18"/>
              </w:rPr>
            </w:pPr>
            <w:r>
              <w:rPr>
                <w:rFonts w:ascii="宋体"/>
                <w:sz w:val="18"/>
              </w:rPr>
              <w:t>1.38</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383,333.33</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383,333.33</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5"/>
              <w:jc w:val="right"/>
              <w:rPr>
                <w:rFonts w:ascii="宋体" w:hAnsi="宋体" w:cs="宋体" w:eastAsia="宋体" w:hint="default"/>
                <w:sz w:val="18"/>
                <w:szCs w:val="18"/>
              </w:rPr>
            </w:pPr>
            <w:r>
              <w:rPr>
                <w:rFonts w:ascii="宋体"/>
                <w:sz w:val="18"/>
              </w:rPr>
              <w:t>0.80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383,333.33</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27,710,677.51</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8,053,527.71</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0" w:right="0"/>
              <w:jc w:val="center"/>
              <w:rPr>
                <w:rFonts w:ascii="宋体" w:hAnsi="宋体" w:cs="宋体" w:eastAsia="宋体" w:hint="default"/>
                <w:sz w:val="18"/>
                <w:szCs w:val="18"/>
              </w:rPr>
            </w:pPr>
            <w:r>
              <w:rPr>
                <w:rFonts w:ascii="宋体"/>
                <w:sz w:val="18"/>
              </w:rPr>
              <w:t>19,657,149.80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48,150,911.13</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center"/>
              <w:rPr>
                <w:rFonts w:ascii="宋体" w:hAnsi="宋体" w:cs="宋体" w:eastAsia="宋体" w:hint="default"/>
                <w:sz w:val="18"/>
                <w:szCs w:val="18"/>
              </w:rPr>
            </w:pPr>
            <w:r>
              <w:rPr>
                <w:rFonts w:ascii="宋体"/>
                <w:sz w:val="18"/>
              </w:rPr>
              <w:t>/</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6,767,344.17</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41,383,566.96</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20" w:right="220"/>
        </w:sectPr>
      </w:pPr>
    </w:p>
    <w:p>
      <w:pPr>
        <w:pStyle w:val="BodyText"/>
        <w:spacing w:line="273" w:lineRule="exact" w:before="36"/>
        <w:ind w:left="1678" w:right="0"/>
        <w:jc w:val="left"/>
      </w:pPr>
      <w:r>
        <w:rPr>
          <w:spacing w:val="-2"/>
        </w:rPr>
        <w:t>期末单项金额重大并单项计提坏帐准备的其他应收款</w:t>
      </w:r>
    </w:p>
    <w:p>
      <w:pPr>
        <w:pStyle w:val="BodyText"/>
        <w:spacing w:line="240" w:lineRule="auto"/>
        <w:ind w:left="1678"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71" w:lineRule="exact"/>
        <w:ind w:left="167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tabs>
          <w:tab w:pos="2699" w:val="left" w:leader="none"/>
        </w:tabs>
        <w:spacing w:line="240" w:lineRule="auto"/>
        <w:ind w:left="1647" w:right="0"/>
        <w:jc w:val="left"/>
      </w:pPr>
      <w:r>
        <w:rPr>
          <w:spacing w:val="-1"/>
        </w:rPr>
        <w:t>单位：元</w:t>
        <w:tab/>
      </w:r>
      <w:r>
        <w:rPr>
          <w:spacing w:val="-2"/>
        </w:rPr>
        <w:t>币种：人民币</w:t>
      </w:r>
    </w:p>
    <w:p>
      <w:pPr>
        <w:spacing w:after="0" w:line="240" w:lineRule="auto"/>
        <w:jc w:val="left"/>
        <w:sectPr>
          <w:type w:val="continuous"/>
          <w:pgSz w:w="11910" w:h="16840"/>
          <w:pgMar w:top="1120" w:bottom="1380" w:left="120" w:right="220"/>
          <w:cols w:num="2" w:equalWidth="0">
            <w:col w:w="6513" w:space="40"/>
            <w:col w:w="5017"/>
          </w:cols>
        </w:sectPr>
      </w:pPr>
    </w:p>
    <w:p>
      <w:pPr>
        <w:spacing w:line="240" w:lineRule="auto" w:before="7"/>
        <w:rPr>
          <w:rFonts w:ascii="宋体" w:hAnsi="宋体" w:cs="宋体" w:eastAsia="宋体" w:hint="default"/>
          <w:sz w:val="2"/>
          <w:szCs w:val="2"/>
        </w:rPr>
      </w:pPr>
    </w:p>
    <w:tbl>
      <w:tblPr>
        <w:tblW w:w="0" w:type="auto"/>
        <w:jc w:val="left"/>
        <w:tblInd w:w="1642" w:type="dxa"/>
        <w:tblLayout w:type="fixed"/>
        <w:tblCellMar>
          <w:top w:w="0" w:type="dxa"/>
          <w:left w:w="0" w:type="dxa"/>
          <w:bottom w:w="0" w:type="dxa"/>
          <w:right w:w="0" w:type="dxa"/>
        </w:tblCellMar>
        <w:tblLook w:val="01E0"/>
      </w:tblPr>
      <w:tblGrid>
        <w:gridCol w:w="2374"/>
        <w:gridCol w:w="2203"/>
        <w:gridCol w:w="2131"/>
        <w:gridCol w:w="2187"/>
      </w:tblGrid>
      <w:tr>
        <w:trPr>
          <w:trHeight w:val="283"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15,828,545.71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791,427.28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3,407,612.01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340,761.21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2,218,829.39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665,648.82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5,872,357.07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5,872,357.07</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27,327,344.18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7,670,194.38</w:t>
            </w:r>
          </w:p>
        </w:tc>
        <w:tc>
          <w:tcPr>
            <w:tcW w:w="21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1678" w:right="0"/>
        <w:jc w:val="left"/>
      </w:pPr>
      <w:r>
        <w:rPr/>
        <w:t>确定该组合依据的说明：</w:t>
      </w:r>
    </w:p>
    <w:p>
      <w:pPr>
        <w:spacing w:line="240" w:lineRule="auto" w:before="9"/>
        <w:rPr>
          <w:rFonts w:ascii="宋体" w:hAnsi="宋体" w:cs="宋体" w:eastAsia="宋体" w:hint="default"/>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74" w:lineRule="exact" w:before="36"/>
        <w:ind w:left="1678" w:right="0"/>
        <w:jc w:val="left"/>
      </w:pPr>
      <w:r>
        <w:rPr/>
        <w:t>组合中，采用余额百分比法计提坏账准备的其他应收款：</w:t>
      </w:r>
    </w:p>
    <w:p>
      <w:pPr>
        <w:pStyle w:val="BodyText"/>
        <w:spacing w:line="274" w:lineRule="exact"/>
        <w:ind w:left="1678" w:right="0"/>
        <w:jc w:val="left"/>
      </w:pPr>
      <w:r>
        <w:rPr/>
        <w:t>□适用√不适用</w:t>
      </w:r>
    </w:p>
    <w:p>
      <w:pPr>
        <w:spacing w:line="240" w:lineRule="auto" w:before="8"/>
        <w:rPr>
          <w:rFonts w:ascii="宋体" w:hAnsi="宋体" w:cs="宋体" w:eastAsia="宋体" w:hint="default"/>
          <w:sz w:val="20"/>
          <w:szCs w:val="20"/>
        </w:rPr>
      </w:pPr>
    </w:p>
    <w:p>
      <w:pPr>
        <w:pStyle w:val="BodyText"/>
        <w:spacing w:line="273" w:lineRule="exact"/>
        <w:ind w:left="1678" w:right="0"/>
        <w:jc w:val="left"/>
      </w:pPr>
      <w:r>
        <w:rPr/>
        <w:t>组合中，采用其他方法计提坏账准备的其他应收款：</w:t>
      </w:r>
    </w:p>
    <w:p>
      <w:pPr>
        <w:pStyle w:val="BodyText"/>
        <w:spacing w:line="273" w:lineRule="exact"/>
        <w:ind w:left="167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678" w:right="0"/>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40" w:lineRule="auto" w:before="58"/>
        <w:ind w:left="2098" w:right="0"/>
        <w:jc w:val="left"/>
      </w:pPr>
      <w:r>
        <w:rPr/>
        <w:t>本期计提坏账准备金额</w:t>
      </w:r>
      <w:r>
        <w:rPr>
          <w:spacing w:val="-54"/>
        </w:rPr>
        <w:t> </w:t>
      </w:r>
      <w:r>
        <w:rPr>
          <w:rFonts w:ascii="宋体" w:hAnsi="宋体" w:cs="宋体" w:eastAsia="宋体" w:hint="default"/>
        </w:rPr>
        <w:t>1,429,392.04</w:t>
      </w:r>
      <w:r>
        <w:rPr>
          <w:rFonts w:ascii="宋体" w:hAnsi="宋体" w:cs="宋体" w:eastAsia="宋体" w:hint="default"/>
          <w:spacing w:val="-55"/>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5"/>
        </w:rPr>
        <w:t> </w:t>
      </w:r>
      <w:r>
        <w:rPr>
          <w:spacing w:val="-3"/>
        </w:rPr>
        <w:t>元。</w:t>
      </w:r>
      <w:r>
        <w:rPr/>
      </w:r>
    </w:p>
    <w:p>
      <w:pPr>
        <w:pStyle w:val="BodyText"/>
        <w:spacing w:line="273" w:lineRule="exact" w:before="133"/>
        <w:ind w:left="1678" w:right="0"/>
        <w:jc w:val="left"/>
      </w:pPr>
      <w:r>
        <w:rPr/>
        <w:t>其中本期坏账准备转回或收回金额重要的：</w:t>
      </w:r>
    </w:p>
    <w:p>
      <w:pPr>
        <w:pStyle w:val="BodyText"/>
        <w:spacing w:line="273" w:lineRule="exact"/>
        <w:ind w:left="1678" w:right="0"/>
        <w:jc w:val="left"/>
      </w:pPr>
      <w:r>
        <w:rPr/>
        <w:t>□适用</w:t>
      </w:r>
      <w:r>
        <w:rPr>
          <w:spacing w:val="-1"/>
        </w:rPr>
        <w:t> </w:t>
      </w:r>
      <w:r>
        <w:rPr/>
        <w:t>√不适用</w:t>
      </w:r>
    </w:p>
    <w:p>
      <w:pPr>
        <w:spacing w:after="0" w:line="273" w:lineRule="exact"/>
        <w:jc w:val="left"/>
        <w:sectPr>
          <w:type w:val="continuous"/>
          <w:pgSz w:w="11910" w:h="16840"/>
          <w:pgMar w:top="1120" w:bottom="1380" w:left="120" w:right="220"/>
        </w:sectPr>
      </w:pP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880"/>
        </w:sectPr>
      </w:pPr>
    </w:p>
    <w:p>
      <w:pPr>
        <w:pStyle w:val="Heading4"/>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880"/>
          <w:cols w:num="2" w:equalWidth="0">
            <w:col w:w="3759" w:space="2753"/>
            <w:col w:w="293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14,251,392.57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11,733,093.61</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8,151,873.63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4,423,235.76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2,096,591.81</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应收基金销售支付结算机构款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18,529,647.69</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应收代付的基金交易款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10,601,672.15</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2"/>
                <w:sz w:val="21"/>
                <w:szCs w:val="21"/>
              </w:rPr>
              <w:t> </w:t>
            </w:r>
            <w:r>
              <w:rPr>
                <w:rFonts w:ascii="宋体" w:hAnsi="宋体" w:cs="宋体" w:eastAsia="宋体" w:hint="default"/>
                <w:sz w:val="21"/>
                <w:szCs w:val="21"/>
              </w:rPr>
              <w:t>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307,411.31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766,670.11</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27,710,677.51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48,150,911.13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880"/>
        </w:sectPr>
      </w:pPr>
    </w:p>
    <w:p>
      <w:pPr>
        <w:pStyle w:val="Heading4"/>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880"/>
          <w:cols w:num="2" w:equalWidth="0">
            <w:col w:w="5655" w:space="867"/>
            <w:col w:w="292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166"/>
        <w:gridCol w:w="1297"/>
        <w:gridCol w:w="1553"/>
        <w:gridCol w:w="2271"/>
        <w:gridCol w:w="1426"/>
        <w:gridCol w:w="1416"/>
      </w:tblGrid>
      <w:tr>
        <w:trPr>
          <w:trHeight w:val="833"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9"/>
              <w:jc w:val="center"/>
              <w:rPr>
                <w:rFonts w:ascii="宋体" w:hAnsi="宋体" w:cs="宋体" w:eastAsia="宋体" w:hint="default"/>
                <w:sz w:val="21"/>
                <w:szCs w:val="21"/>
              </w:rPr>
            </w:pPr>
            <w:r>
              <w:rPr>
                <w:rFonts w:ascii="宋体" w:hAnsi="宋体" w:cs="宋体" w:eastAsia="宋体" w:hint="default"/>
                <w:sz w:val="21"/>
                <w:szCs w:val="21"/>
              </w:rPr>
              <w:t>账龄</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2" w:lineRule="exact" w:before="27"/>
              <w:ind w:left="127" w:right="72"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280" w:right="276"/>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6"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暂借款</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5,000,000.00</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18.04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250,000.00</w:t>
            </w:r>
          </w:p>
        </w:tc>
      </w:tr>
      <w:tr>
        <w:trPr>
          <w:trHeight w:val="833"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1,169,170.26</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tabs>
                <w:tab w:pos="1421" w:val="left" w:leader="none"/>
                <w:tab w:pos="1951"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 中 账</w:t>
            </w:r>
            <w:r>
              <w:rPr>
                <w:rFonts w:ascii="宋体" w:hAnsi="宋体" w:cs="宋体" w:eastAsia="宋体" w:hint="default"/>
                <w:spacing w:val="21"/>
                <w:sz w:val="21"/>
                <w:szCs w:val="21"/>
              </w:rPr>
              <w:t> </w:t>
            </w:r>
            <w:r>
              <w:rPr>
                <w:rFonts w:ascii="宋体" w:hAnsi="宋体" w:cs="宋体" w:eastAsia="宋体" w:hint="default"/>
                <w:sz w:val="21"/>
                <w:szCs w:val="21"/>
              </w:rPr>
              <w:t>龄</w:t>
              <w:tab/>
            </w:r>
            <w:r>
              <w:rPr>
                <w:rFonts w:ascii="宋体" w:hAnsi="宋体" w:cs="宋体" w:eastAsia="宋体" w:hint="default"/>
                <w:spacing w:val="-1"/>
                <w:sz w:val="21"/>
                <w:szCs w:val="21"/>
              </w:rPr>
              <w:t>1-2</w:t>
              <w:tab/>
            </w:r>
            <w:r>
              <w:rPr>
                <w:rFonts w:ascii="宋体" w:hAnsi="宋体" w:cs="宋体" w:eastAsia="宋体" w:hint="default"/>
                <w:sz w:val="21"/>
                <w:szCs w:val="21"/>
              </w:rPr>
              <w:t>年</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1,012,015.26</w:t>
            </w:r>
            <w:r>
              <w:rPr>
                <w:rFonts w:ascii="宋体" w:hAnsi="宋体" w:cs="宋体" w:eastAsia="宋体" w:hint="default"/>
                <w:spacing w:val="-49"/>
                <w:sz w:val="21"/>
                <w:szCs w:val="21"/>
              </w:rPr>
              <w:t> </w:t>
            </w:r>
            <w:r>
              <w:rPr>
                <w:rFonts w:ascii="宋体" w:hAnsi="宋体" w:cs="宋体" w:eastAsia="宋体" w:hint="default"/>
                <w:spacing w:val="-5"/>
                <w:sz w:val="21"/>
                <w:szCs w:val="21"/>
              </w:rPr>
              <w:t>元，账龄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157,155.00</w:t>
            </w:r>
            <w:r>
              <w:rPr>
                <w:rFonts w:ascii="宋体" w:hAnsi="宋体" w:cs="宋体" w:eastAsia="宋体" w:hint="default"/>
                <w:spacing w:val="-54"/>
                <w:sz w:val="21"/>
                <w:szCs w:val="21"/>
              </w:rPr>
              <w:t> </w:t>
            </w:r>
            <w:r>
              <w:rPr>
                <w:rFonts w:ascii="宋体" w:hAnsi="宋体" w:cs="宋体" w:eastAsia="宋体" w:hint="default"/>
                <w:sz w:val="21"/>
                <w:szCs w:val="21"/>
              </w:rPr>
              <w:t>元。</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5"/>
              <w:jc w:val="right"/>
              <w:rPr>
                <w:rFonts w:ascii="宋体" w:hAnsi="宋体" w:cs="宋体" w:eastAsia="宋体" w:hint="default"/>
                <w:sz w:val="21"/>
                <w:szCs w:val="21"/>
              </w:rPr>
            </w:pPr>
            <w:r>
              <w:rPr>
                <w:rFonts w:ascii="宋体"/>
                <w:sz w:val="21"/>
              </w:rPr>
              <w:t>4.22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148,348.03</w:t>
            </w:r>
          </w:p>
        </w:tc>
      </w:tr>
      <w:tr>
        <w:trPr>
          <w:trHeight w:val="833"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783,660.00</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tabs>
                <w:tab w:pos="1421" w:val="left" w:leader="none"/>
                <w:tab w:pos="1951" w:val="left" w:leader="none"/>
              </w:tabs>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其 中 账</w:t>
            </w:r>
            <w:r>
              <w:rPr>
                <w:rFonts w:ascii="宋体" w:hAnsi="宋体" w:cs="宋体" w:eastAsia="宋体" w:hint="default"/>
                <w:spacing w:val="21"/>
                <w:sz w:val="21"/>
                <w:szCs w:val="21"/>
              </w:rPr>
              <w:t> </w:t>
            </w:r>
            <w:r>
              <w:rPr>
                <w:rFonts w:ascii="宋体" w:hAnsi="宋体" w:cs="宋体" w:eastAsia="宋体" w:hint="default"/>
                <w:sz w:val="21"/>
                <w:szCs w:val="21"/>
              </w:rPr>
              <w:t>龄</w:t>
              <w:tab/>
            </w:r>
            <w:r>
              <w:rPr>
                <w:rFonts w:ascii="宋体" w:hAnsi="宋体" w:cs="宋体" w:eastAsia="宋体" w:hint="default"/>
                <w:spacing w:val="-1"/>
                <w:sz w:val="21"/>
                <w:szCs w:val="21"/>
              </w:rPr>
              <w:t>2-3</w:t>
              <w:tab/>
            </w:r>
            <w:r>
              <w:rPr>
                <w:rFonts w:ascii="宋体" w:hAnsi="宋体" w:cs="宋体" w:eastAsia="宋体" w:hint="default"/>
                <w:sz w:val="21"/>
                <w:szCs w:val="21"/>
              </w:rPr>
              <w:t>年</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270,684.00 </w:t>
            </w:r>
            <w:r>
              <w:rPr>
                <w:rFonts w:ascii="宋体" w:hAnsi="宋体" w:cs="宋体" w:eastAsia="宋体" w:hint="default"/>
                <w:sz w:val="21"/>
                <w:szCs w:val="21"/>
              </w:rPr>
              <w:t>元，账龄</w:t>
            </w:r>
            <w:r>
              <w:rPr>
                <w:rFonts w:ascii="宋体" w:hAnsi="宋体" w:cs="宋体" w:eastAsia="宋体" w:hint="default"/>
                <w:spacing w:val="-69"/>
                <w:sz w:val="21"/>
                <w:szCs w:val="21"/>
              </w:rPr>
              <w:t> </w:t>
            </w:r>
            <w:r>
              <w:rPr>
                <w:rFonts w:ascii="宋体" w:hAnsi="宋体" w:cs="宋体" w:eastAsia="宋体" w:hint="default"/>
                <w:sz w:val="21"/>
                <w:szCs w:val="21"/>
              </w:rPr>
              <w:t>3</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年以上</w:t>
            </w:r>
            <w:r>
              <w:rPr>
                <w:rFonts w:ascii="宋体" w:hAnsi="宋体" w:cs="宋体" w:eastAsia="宋体" w:hint="default"/>
                <w:spacing w:val="-52"/>
                <w:sz w:val="21"/>
                <w:szCs w:val="21"/>
              </w:rPr>
              <w:t> </w:t>
            </w:r>
            <w:r>
              <w:rPr>
                <w:rFonts w:ascii="宋体" w:hAnsi="宋体" w:cs="宋体" w:eastAsia="宋体" w:hint="default"/>
                <w:sz w:val="21"/>
                <w:szCs w:val="21"/>
              </w:rPr>
              <w:t>512,976.00</w:t>
            </w:r>
            <w:r>
              <w:rPr>
                <w:rFonts w:ascii="宋体" w:hAnsi="宋体" w:cs="宋体" w:eastAsia="宋体" w:hint="default"/>
                <w:spacing w:val="-55"/>
                <w:sz w:val="21"/>
                <w:szCs w:val="21"/>
              </w:rPr>
              <w:t> </w:t>
            </w:r>
            <w:r>
              <w:rPr>
                <w:rFonts w:ascii="宋体" w:hAnsi="宋体" w:cs="宋体" w:eastAsia="宋体" w:hint="default"/>
                <w:sz w:val="21"/>
                <w:szCs w:val="21"/>
              </w:rPr>
              <w:t>元</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5"/>
              <w:jc w:val="right"/>
              <w:rPr>
                <w:rFonts w:ascii="宋体" w:hAnsi="宋体" w:cs="宋体" w:eastAsia="宋体" w:hint="default"/>
                <w:sz w:val="21"/>
                <w:szCs w:val="21"/>
              </w:rPr>
            </w:pPr>
            <w:r>
              <w:rPr>
                <w:rFonts w:ascii="宋体"/>
                <w:sz w:val="21"/>
              </w:rPr>
              <w:t>2.83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594,181.20</w:t>
            </w:r>
          </w:p>
        </w:tc>
      </w:tr>
      <w:tr>
        <w:trPr>
          <w:trHeight w:val="286"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773,220.70</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2.79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773,220.70</w:t>
            </w:r>
          </w:p>
        </w:tc>
      </w:tr>
      <w:tr>
        <w:trPr>
          <w:trHeight w:val="1652"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620,240.00</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5"/>
                <w:sz w:val="21"/>
                <w:szCs w:val="21"/>
              </w:rPr>
              <w:t> </w:t>
            </w:r>
            <w:r>
              <w:rPr>
                <w:rFonts w:ascii="宋体" w:hAnsi="宋体" w:cs="宋体" w:eastAsia="宋体" w:hint="default"/>
                <w:sz w:val="21"/>
                <w:szCs w:val="21"/>
              </w:rPr>
              <w:t>中</w:t>
            </w:r>
            <w:r>
              <w:rPr>
                <w:rFonts w:ascii="宋体" w:hAnsi="宋体" w:cs="宋体" w:eastAsia="宋体" w:hint="default"/>
                <w:spacing w:val="-58"/>
                <w:sz w:val="21"/>
                <w:szCs w:val="21"/>
              </w:rPr>
              <w:t> </w:t>
            </w:r>
            <w:r>
              <w:rPr>
                <w:rFonts w:ascii="宋体" w:hAnsi="宋体" w:cs="宋体" w:eastAsia="宋体" w:hint="default"/>
                <w:sz w:val="21"/>
                <w:szCs w:val="21"/>
              </w:rPr>
              <w:t>账</w:t>
            </w:r>
            <w:r>
              <w:rPr>
                <w:rFonts w:ascii="宋体" w:hAnsi="宋体" w:cs="宋体" w:eastAsia="宋体" w:hint="default"/>
                <w:spacing w:val="-58"/>
                <w:sz w:val="21"/>
                <w:szCs w:val="21"/>
              </w:rPr>
              <w:t> </w:t>
            </w:r>
            <w:r>
              <w:rPr>
                <w:rFonts w:ascii="宋体" w:hAnsi="宋体" w:cs="宋体" w:eastAsia="宋体" w:hint="default"/>
                <w:sz w:val="21"/>
                <w:szCs w:val="21"/>
              </w:rPr>
              <w:t>龄</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以</w:t>
            </w:r>
            <w:r>
              <w:rPr>
                <w:rFonts w:ascii="宋体" w:hAnsi="宋体" w:cs="宋体" w:eastAsia="宋体" w:hint="default"/>
                <w:spacing w:val="-58"/>
                <w:sz w:val="21"/>
                <w:szCs w:val="21"/>
              </w:rPr>
              <w:t> </w:t>
            </w:r>
            <w:r>
              <w:rPr>
                <w:rFonts w:ascii="宋体" w:hAnsi="宋体" w:cs="宋体" w:eastAsia="宋体" w:hint="default"/>
                <w:sz w:val="21"/>
                <w:szCs w:val="21"/>
              </w:rPr>
              <w:t>内</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260,390.00</w:t>
            </w:r>
            <w:r>
              <w:rPr>
                <w:rFonts w:ascii="宋体" w:hAnsi="宋体" w:cs="宋体" w:eastAsia="宋体" w:hint="default"/>
                <w:spacing w:val="36"/>
                <w:sz w:val="21"/>
                <w:szCs w:val="21"/>
              </w:rPr>
              <w:t> </w:t>
            </w:r>
            <w:r>
              <w:rPr>
                <w:rFonts w:ascii="宋体" w:hAnsi="宋体" w:cs="宋体" w:eastAsia="宋体" w:hint="default"/>
                <w:sz w:val="21"/>
                <w:szCs w:val="21"/>
              </w:rPr>
              <w:t>元</w:t>
            </w:r>
            <w:r>
              <w:rPr>
                <w:rFonts w:ascii="宋体" w:hAnsi="宋体" w:cs="宋体" w:eastAsia="宋体" w:hint="default"/>
                <w:spacing w:val="-71"/>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账</w:t>
            </w:r>
            <w:r>
              <w:rPr>
                <w:rFonts w:ascii="宋体" w:hAnsi="宋体" w:cs="宋体" w:eastAsia="宋体" w:hint="default"/>
                <w:spacing w:val="-71"/>
                <w:sz w:val="21"/>
                <w:szCs w:val="21"/>
              </w:rPr>
              <w:t> </w:t>
            </w:r>
            <w:r>
              <w:rPr>
                <w:rFonts w:ascii="宋体" w:hAnsi="宋体" w:cs="宋体" w:eastAsia="宋体" w:hint="default"/>
                <w:sz w:val="21"/>
                <w:szCs w:val="21"/>
              </w:rPr>
              <w:t>龄</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184,350.00</w:t>
            </w:r>
            <w:r>
              <w:rPr>
                <w:rFonts w:ascii="宋体" w:hAnsi="宋体" w:cs="宋体" w:eastAsia="宋体" w:hint="default"/>
                <w:spacing w:val="-54"/>
                <w:sz w:val="21"/>
                <w:szCs w:val="21"/>
              </w:rPr>
              <w:t> </w:t>
            </w:r>
            <w:r>
              <w:rPr>
                <w:rFonts w:ascii="宋体" w:hAnsi="宋体" w:cs="宋体" w:eastAsia="宋体" w:hint="default"/>
                <w:sz w:val="21"/>
                <w:szCs w:val="21"/>
              </w:rPr>
              <w:t>元，</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账龄 </w:t>
            </w:r>
            <w:r>
              <w:rPr>
                <w:rFonts w:ascii="宋体" w:hAnsi="宋体" w:cs="宋体" w:eastAsia="宋体" w:hint="default"/>
                <w:sz w:val="21"/>
                <w:szCs w:val="21"/>
              </w:rPr>
              <w:t>2-3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46,000.00</w:t>
            </w:r>
          </w:p>
          <w:p>
            <w:pPr>
              <w:pStyle w:val="TableParagraph"/>
              <w:spacing w:line="272" w:lineRule="exact" w:before="27"/>
              <w:ind w:left="23" w:right="92"/>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pacing w:val="-55"/>
                <w:sz w:val="21"/>
                <w:szCs w:val="21"/>
              </w:rPr>
              <w:t> </w:t>
            </w:r>
            <w:r>
              <w:rPr>
                <w:rFonts w:ascii="宋体" w:hAnsi="宋体" w:cs="宋体" w:eastAsia="宋体" w:hint="default"/>
                <w:sz w:val="21"/>
                <w:szCs w:val="21"/>
              </w:rPr>
              <w:t>，</w:t>
            </w:r>
            <w:r>
              <w:rPr>
                <w:rFonts w:ascii="宋体" w:hAnsi="宋体" w:cs="宋体" w:eastAsia="宋体" w:hint="default"/>
                <w:spacing w:val="-58"/>
                <w:sz w:val="21"/>
                <w:szCs w:val="21"/>
              </w:rPr>
              <w:t> </w:t>
            </w:r>
            <w:r>
              <w:rPr>
                <w:rFonts w:ascii="宋体" w:hAnsi="宋体" w:cs="宋体" w:eastAsia="宋体" w:hint="default"/>
                <w:sz w:val="21"/>
                <w:szCs w:val="21"/>
              </w:rPr>
              <w:t>账</w:t>
            </w:r>
            <w:r>
              <w:rPr>
                <w:rFonts w:ascii="宋体" w:hAnsi="宋体" w:cs="宋体" w:eastAsia="宋体" w:hint="default"/>
                <w:spacing w:val="-58"/>
                <w:sz w:val="21"/>
                <w:szCs w:val="21"/>
              </w:rPr>
              <w:t> </w:t>
            </w:r>
            <w:r>
              <w:rPr>
                <w:rFonts w:ascii="宋体" w:hAnsi="宋体" w:cs="宋体" w:eastAsia="宋体" w:hint="default"/>
                <w:sz w:val="21"/>
                <w:szCs w:val="21"/>
              </w:rPr>
              <w:t>龄</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以</w:t>
            </w:r>
            <w:r>
              <w:rPr>
                <w:rFonts w:ascii="宋体" w:hAnsi="宋体" w:cs="宋体" w:eastAsia="宋体" w:hint="default"/>
                <w:spacing w:val="-58"/>
                <w:sz w:val="21"/>
                <w:szCs w:val="21"/>
              </w:rPr>
              <w:t> </w:t>
            </w:r>
            <w:r>
              <w:rPr>
                <w:rFonts w:ascii="宋体" w:hAnsi="宋体" w:cs="宋体" w:eastAsia="宋体" w:hint="default"/>
                <w:sz w:val="21"/>
                <w:szCs w:val="21"/>
              </w:rPr>
              <w:t>上</w:t>
            </w:r>
            <w:r>
              <w:rPr>
                <w:rFonts w:ascii="宋体" w:hAnsi="宋体" w:cs="宋体" w:eastAsia="宋体" w:hint="default"/>
                <w:w w:val="100"/>
                <w:sz w:val="21"/>
                <w:szCs w:val="21"/>
              </w:rPr>
              <w:t> </w:t>
            </w:r>
            <w:r>
              <w:rPr>
                <w:rFonts w:ascii="宋体" w:hAnsi="宋体" w:cs="宋体" w:eastAsia="宋体" w:hint="default"/>
                <w:sz w:val="21"/>
                <w:szCs w:val="21"/>
              </w:rPr>
              <w:t>129,500.00</w:t>
            </w:r>
            <w:r>
              <w:rPr>
                <w:rFonts w:ascii="宋体" w:hAnsi="宋体" w:cs="宋体" w:eastAsia="宋体" w:hint="default"/>
                <w:spacing w:val="-51"/>
                <w:sz w:val="21"/>
                <w:szCs w:val="21"/>
              </w:rPr>
              <w:t> </w:t>
            </w:r>
            <w:r>
              <w:rPr>
                <w:rFonts w:ascii="宋体" w:hAnsi="宋体" w:cs="宋体" w:eastAsia="宋体" w:hint="default"/>
                <w:sz w:val="21"/>
                <w:szCs w:val="21"/>
              </w:rPr>
              <w:t>元</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25"/>
              <w:jc w:val="right"/>
              <w:rPr>
                <w:rFonts w:ascii="宋体" w:hAnsi="宋体" w:cs="宋体" w:eastAsia="宋体" w:hint="default"/>
                <w:sz w:val="21"/>
                <w:szCs w:val="21"/>
              </w:rPr>
            </w:pPr>
            <w:r>
              <w:rPr>
                <w:rFonts w:ascii="宋体"/>
                <w:sz w:val="21"/>
              </w:rPr>
              <w:t>2.24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174,754.50</w:t>
            </w:r>
          </w:p>
        </w:tc>
      </w:tr>
      <w:tr>
        <w:trPr>
          <w:trHeight w:val="288"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5"/>
              <w:jc w:val="center"/>
              <w:rPr>
                <w:rFonts w:ascii="宋体" w:hAnsi="宋体" w:cs="宋体" w:eastAsia="宋体" w:hint="default"/>
                <w:sz w:val="21"/>
                <w:szCs w:val="21"/>
              </w:rPr>
            </w:pPr>
            <w:r>
              <w:rPr>
                <w:rFonts w:ascii="宋体"/>
                <w:w w:val="100"/>
                <w:sz w:val="21"/>
              </w:rPr>
              <w:t>/</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8,346,290.96</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9"/>
              <w:jc w:val="center"/>
              <w:rPr>
                <w:rFonts w:ascii="宋体" w:hAnsi="宋体" w:cs="宋体" w:eastAsia="宋体" w:hint="default"/>
                <w:sz w:val="21"/>
                <w:szCs w:val="21"/>
              </w:rPr>
            </w:pPr>
            <w:r>
              <w:rPr>
                <w:rFonts w:ascii="宋体"/>
                <w:w w:val="100"/>
                <w:sz w:val="21"/>
              </w:rPr>
              <w:t>/</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30.12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1,940,504.43</w:t>
            </w:r>
          </w:p>
        </w:tc>
      </w:tr>
    </w:tbl>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4"/>
        <w:spacing w:line="240" w:lineRule="auto" w:before="0"/>
        <w:ind w:right="0"/>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right="0"/>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spacing w:line="240" w:lineRule="auto" w:before="4"/>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880"/>
        </w:sectPr>
      </w:pPr>
    </w:p>
    <w:p>
      <w:pPr>
        <w:spacing w:line="240" w:lineRule="auto" w:before="1"/>
        <w:rPr>
          <w:rFonts w:ascii="宋体" w:hAnsi="宋体" w:cs="宋体" w:eastAsia="宋体" w:hint="default"/>
          <w:b/>
          <w:bCs/>
          <w:sz w:val="25"/>
          <w:szCs w:val="25"/>
        </w:rPr>
      </w:pPr>
    </w:p>
    <w:p>
      <w:pPr>
        <w:pStyle w:val="BodyText"/>
        <w:spacing w:line="240" w:lineRule="auto" w:before="36"/>
        <w:ind w:left="1258" w:right="0"/>
        <w:jc w:val="left"/>
      </w:pPr>
      <w:r>
        <w:rPr/>
        <w:t>其他说明：</w:t>
      </w:r>
    </w:p>
    <w:p>
      <w:pPr>
        <w:pStyle w:val="BodyText"/>
        <w:spacing w:line="240" w:lineRule="auto" w:before="135"/>
        <w:ind w:left="1678" w:right="0"/>
        <w:jc w:val="left"/>
      </w:pPr>
      <w:r>
        <w:rPr/>
        <w:t>因杭州数米基金销售有限公司本期不再纳入合并范围转出坏账准备</w:t>
      </w:r>
      <w:r>
        <w:rPr>
          <w:spacing w:val="-56"/>
        </w:rPr>
        <w:t> </w:t>
      </w:r>
      <w:r>
        <w:rPr>
          <w:rFonts w:ascii="宋体" w:hAnsi="宋体" w:cs="宋体" w:eastAsia="宋体" w:hint="default"/>
        </w:rPr>
        <w:t>143,208.50</w:t>
      </w:r>
      <w:r>
        <w:rPr>
          <w:rFonts w:ascii="宋体" w:hAnsi="宋体" w:cs="宋体" w:eastAsia="宋体" w:hint="default"/>
          <w:spacing w:val="-55"/>
        </w:rPr>
        <w:t> </w:t>
      </w:r>
      <w:r>
        <w:rPr>
          <w:spacing w:val="-3"/>
        </w:rPr>
        <w:t>元。</w:t>
      </w:r>
      <w:r>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540" w:right="360"/>
        </w:sectPr>
      </w:pPr>
    </w:p>
    <w:p>
      <w:pPr>
        <w:spacing w:line="240" w:lineRule="auto" w:before="6"/>
        <w:rPr>
          <w:rFonts w:ascii="宋体" w:hAnsi="宋体" w:cs="宋体" w:eastAsia="宋体" w:hint="default"/>
          <w:sz w:val="15"/>
          <w:szCs w:val="15"/>
        </w:rPr>
      </w:pPr>
    </w:p>
    <w:p>
      <w:pPr>
        <w:pStyle w:val="Heading4"/>
        <w:tabs>
          <w:tab w:pos="1889" w:val="left" w:leader="none"/>
          <w:tab w:pos="2097" w:val="left" w:leader="none"/>
        </w:tabs>
        <w:spacing w:line="290" w:lineRule="auto" w:before="0"/>
        <w:ind w:left="1258" w:right="0"/>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360"/>
          <w:cols w:num="2" w:equalWidth="0">
            <w:col w:w="2735" w:space="3787"/>
            <w:col w:w="4488"/>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985"/>
        <w:gridCol w:w="1433"/>
        <w:gridCol w:w="1414"/>
        <w:gridCol w:w="1433"/>
        <w:gridCol w:w="1553"/>
        <w:gridCol w:w="1414"/>
        <w:gridCol w:w="1498"/>
      </w:tblGrid>
      <w:tr>
        <w:trPr>
          <w:trHeight w:val="286" w:hRule="exact"/>
        </w:trPr>
        <w:tc>
          <w:tcPr>
            <w:tcW w:w="1985" w:type="dxa"/>
            <w:vMerge w:val="restart"/>
            <w:tcBorders>
              <w:top w:val="single" w:sz="6" w:space="0" w:color="000000"/>
              <w:left w:val="single" w:sz="6" w:space="0" w:color="000000"/>
              <w:right w:val="single" w:sz="6"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2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6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985" w:type="dxa"/>
            <w:vMerge/>
            <w:tcBorders>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5"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33"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33"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18,238,473.05</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1,677,286.15</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16,561,186.90</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13,278,898.91</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1,843,985.26</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11,434,913.65</w:t>
            </w:r>
          </w:p>
        </w:tc>
      </w:tr>
      <w:tr>
        <w:trPr>
          <w:trHeight w:val="28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29"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33"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433"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433"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开发产品</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41,860,258.74</w:t>
            </w:r>
          </w:p>
        </w:tc>
        <w:tc>
          <w:tcPr>
            <w:tcW w:w="1414"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41,860,258.74</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45,812,355.83</w:t>
            </w:r>
          </w:p>
        </w:tc>
        <w:tc>
          <w:tcPr>
            <w:tcW w:w="141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45,812,355.83</w:t>
            </w:r>
          </w:p>
        </w:tc>
      </w:tr>
      <w:tr>
        <w:trPr>
          <w:trHeight w:val="286"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库存材料</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4,088.70</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817.74</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3,270.96</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1,572.66</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629.06</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943.60</w:t>
            </w:r>
          </w:p>
        </w:tc>
      </w:tr>
      <w:tr>
        <w:trPr>
          <w:trHeight w:val="28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29"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232,200.38</w:t>
            </w:r>
          </w:p>
        </w:tc>
        <w:tc>
          <w:tcPr>
            <w:tcW w:w="1414"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7"/>
              <w:jc w:val="right"/>
              <w:rPr>
                <w:rFonts w:ascii="宋体" w:hAnsi="宋体" w:cs="宋体" w:eastAsia="宋体" w:hint="default"/>
                <w:sz w:val="21"/>
                <w:szCs w:val="21"/>
              </w:rPr>
            </w:pPr>
            <w:r>
              <w:rPr>
                <w:rFonts w:ascii="宋体"/>
                <w:spacing w:val="-1"/>
                <w:sz w:val="21"/>
              </w:rPr>
              <w:t>232,200.38</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113,786.11</w:t>
            </w:r>
          </w:p>
        </w:tc>
        <w:tc>
          <w:tcPr>
            <w:tcW w:w="141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113,786.11</w:t>
            </w:r>
          </w:p>
        </w:tc>
      </w:tr>
      <w:tr>
        <w:trPr>
          <w:trHeight w:val="28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60,335,020.87</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1,678,103.89</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58,656,916.98</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59,206,613.51</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1,844,614.32</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57,361,999.19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1889" w:val="left" w:leader="none"/>
        </w:tabs>
        <w:spacing w:line="240" w:lineRule="auto"/>
        <w:ind w:left="1258" w:right="0"/>
        <w:jc w:val="left"/>
        <w:rPr>
          <w:b w:val="0"/>
          <w:bCs w:val="0"/>
        </w:rPr>
      </w:pPr>
      <w:r>
        <w:rPr>
          <w:rFonts w:ascii="宋体" w:hAnsi="宋体" w:cs="宋体" w:eastAsia="宋体" w:hint="default"/>
          <w:w w:val="95"/>
        </w:rPr>
        <w:t>(2).</w:t>
        <w:tab/>
      </w:r>
      <w:r>
        <w:rPr/>
        <w:t>存货跌价准备</w:t>
      </w:r>
      <w:r>
        <w:rPr>
          <w:b w:val="0"/>
          <w:bCs w:val="0"/>
        </w:rPr>
      </w:r>
    </w:p>
    <w:p>
      <w:pPr>
        <w:pStyle w:val="BodyText"/>
        <w:tabs>
          <w:tab w:pos="1051" w:val="left" w:leader="none"/>
        </w:tabs>
        <w:spacing w:line="240" w:lineRule="auto" w:before="58"/>
        <w:ind w:left="0" w:right="91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985"/>
        <w:gridCol w:w="1561"/>
        <w:gridCol w:w="1315"/>
        <w:gridCol w:w="1239"/>
        <w:gridCol w:w="1558"/>
        <w:gridCol w:w="1419"/>
        <w:gridCol w:w="1695"/>
      </w:tblGrid>
      <w:tr>
        <w:trPr>
          <w:trHeight w:val="283"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122"/>
              <w:ind w:left="35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695" w:type="dxa"/>
            <w:vMerge w:val="restart"/>
            <w:tcBorders>
              <w:top w:val="single" w:sz="4" w:space="0" w:color="000000"/>
              <w:left w:val="single" w:sz="4" w:space="0" w:color="000000"/>
              <w:right w:val="single" w:sz="4" w:space="0" w:color="000000"/>
            </w:tcBorders>
          </w:tcPr>
          <w:p>
            <w:pPr>
              <w:pStyle w:val="TableParagraph"/>
              <w:spacing w:line="240" w:lineRule="auto" w:before="122"/>
              <w:ind w:left="42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0" w:hRule="exact"/>
        </w:trPr>
        <w:tc>
          <w:tcPr>
            <w:tcW w:w="1985"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47"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695" w:type="dxa"/>
            <w:vMerge/>
            <w:tcBorders>
              <w:left w:val="single" w:sz="4" w:space="0" w:color="000000"/>
              <w:bottom w:val="single" w:sz="4" w:space="0" w:color="000000"/>
              <w:right w:val="single" w:sz="4" w:space="0" w:color="000000"/>
            </w:tcBorders>
          </w:tcPr>
          <w:p>
            <w:pP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1,843,985.26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958,620.90</w:t>
            </w:r>
          </w:p>
        </w:tc>
        <w:tc>
          <w:tcPr>
            <w:tcW w:w="123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1,125,320.01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1,677,286.15</w:t>
            </w: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建造合同形成的已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库存材料</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629.06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817.74</w:t>
            </w:r>
          </w:p>
        </w:tc>
        <w:tc>
          <w:tcPr>
            <w:tcW w:w="123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629.06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z w:val="21"/>
              </w:rPr>
              <w:t>817.74</w:t>
            </w: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1,844,614.32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959,438.64</w:t>
            </w:r>
          </w:p>
        </w:tc>
        <w:tc>
          <w:tcPr>
            <w:tcW w:w="123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1,125,949.07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1,678,103.89</w:t>
            </w:r>
          </w:p>
        </w:tc>
      </w:tr>
    </w:tbl>
    <w:p>
      <w:pPr>
        <w:spacing w:line="240" w:lineRule="auto" w:before="2"/>
        <w:rPr>
          <w:rFonts w:ascii="宋体" w:hAnsi="宋体" w:cs="宋体" w:eastAsia="宋体" w:hint="default"/>
          <w:sz w:val="20"/>
          <w:szCs w:val="20"/>
        </w:rPr>
      </w:pPr>
    </w:p>
    <w:p>
      <w:pPr>
        <w:pStyle w:val="Heading4"/>
        <w:tabs>
          <w:tab w:pos="1889" w:val="left" w:leader="none"/>
        </w:tabs>
        <w:spacing w:line="240" w:lineRule="auto"/>
        <w:ind w:left="1258" w:right="0"/>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1678" w:right="0"/>
        <w:jc w:val="left"/>
      </w:pPr>
      <w:r>
        <w:rPr/>
        <w:t>存货期末余额中含有的借款费用资本化金额</w:t>
      </w:r>
      <w:r>
        <w:rPr>
          <w:spacing w:val="-55"/>
        </w:rPr>
        <w:t> </w:t>
      </w:r>
      <w:r>
        <w:rPr>
          <w:rFonts w:ascii="宋体" w:hAnsi="宋体" w:cs="宋体" w:eastAsia="宋体" w:hint="default"/>
        </w:rPr>
        <w:t>2,389,634.12</w:t>
      </w:r>
      <w:r>
        <w:rPr>
          <w:rFonts w:ascii="宋体" w:hAnsi="宋体" w:cs="宋体" w:eastAsia="宋体" w:hint="default"/>
          <w:spacing w:val="-55"/>
        </w:rPr>
        <w:t> </w:t>
      </w:r>
      <w:r>
        <w:rPr>
          <w:spacing w:val="-3"/>
        </w:rPr>
        <w:t>元。</w:t>
      </w:r>
      <w:r>
        <w:rPr/>
      </w:r>
    </w:p>
    <w:p>
      <w:pPr>
        <w:spacing w:line="240" w:lineRule="auto" w:before="3"/>
        <w:rPr>
          <w:rFonts w:ascii="宋体" w:hAnsi="宋体" w:cs="宋体" w:eastAsia="宋体" w:hint="default"/>
          <w:sz w:val="25"/>
          <w:szCs w:val="25"/>
        </w:rPr>
      </w:pPr>
    </w:p>
    <w:p>
      <w:pPr>
        <w:pStyle w:val="Heading4"/>
        <w:tabs>
          <w:tab w:pos="1889" w:val="left" w:leader="none"/>
        </w:tabs>
        <w:spacing w:line="240" w:lineRule="auto" w:before="0"/>
        <w:ind w:left="1258" w:right="0"/>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40" w:lineRule="auto" w:before="56"/>
        <w:ind w:left="12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1258" w:right="0"/>
        <w:jc w:val="left"/>
        <w:rPr>
          <w:b w:val="0"/>
          <w:bCs w:val="0"/>
        </w:rPr>
      </w:pPr>
      <w:r>
        <w:rPr>
          <w:rFonts w:ascii="宋体" w:hAnsi="宋体" w:cs="宋体" w:eastAsia="宋体" w:hint="default"/>
        </w:rPr>
        <w:t>11</w:t>
      </w:r>
      <w:r>
        <w:rPr/>
        <w:t>、</w:t>
      </w:r>
      <w:r>
        <w:rPr>
          <w:spacing w:val="-26"/>
        </w:rPr>
        <w:t> </w:t>
      </w:r>
      <w:r>
        <w:rPr/>
        <w:t>划分为持有待售的资产</w:t>
      </w:r>
      <w:r>
        <w:rPr>
          <w:b w:val="0"/>
          <w:bCs w:val="0"/>
        </w:rPr>
      </w:r>
    </w:p>
    <w:p>
      <w:pPr>
        <w:pStyle w:val="BodyText"/>
        <w:spacing w:line="240" w:lineRule="auto" w:before="56"/>
        <w:ind w:left="1258" w:right="0"/>
        <w:jc w:val="left"/>
      </w:pPr>
      <w:r>
        <w:rPr/>
        <w:t>□适用</w:t>
      </w:r>
      <w:r>
        <w:rPr>
          <w:spacing w:val="-1"/>
        </w:rPr>
        <w:t> </w:t>
      </w:r>
      <w:r>
        <w:rPr/>
        <w:t>√不适用</w:t>
      </w:r>
    </w:p>
    <w:p>
      <w:pPr>
        <w:spacing w:after="0" w:line="240" w:lineRule="auto"/>
        <w:jc w:val="left"/>
        <w:sectPr>
          <w:type w:val="continuous"/>
          <w:pgSz w:w="11910" w:h="16840"/>
          <w:pgMar w:top="1120" w:bottom="1380" w:left="540" w:right="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left="1398" w:right="0"/>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tabs>
          <w:tab w:pos="1051" w:val="left" w:leader="none"/>
        </w:tabs>
        <w:spacing w:line="240" w:lineRule="auto" w:before="56"/>
        <w:ind w:left="0" w:right="1139"/>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285" w:type="dxa"/>
        <w:tblLayout w:type="fixed"/>
        <w:tblCellMar>
          <w:top w:w="0" w:type="dxa"/>
          <w:left w:w="0" w:type="dxa"/>
          <w:bottom w:w="0" w:type="dxa"/>
          <w:right w:w="0" w:type="dxa"/>
        </w:tblCellMar>
        <w:tblLook w:val="01E0"/>
      </w:tblPr>
      <w:tblGrid>
        <w:gridCol w:w="3289"/>
        <w:gridCol w:w="2897"/>
        <w:gridCol w:w="2864"/>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1398" w:right="0"/>
        <w:jc w:val="left"/>
      </w:pPr>
      <w:r>
        <w:rPr/>
        <w:t>其他说明</w:t>
      </w:r>
    </w:p>
    <w:p>
      <w:pPr>
        <w:spacing w:line="240" w:lineRule="auto" w:before="9"/>
        <w:rPr>
          <w:rFonts w:ascii="宋体" w:hAnsi="宋体" w:cs="宋体" w:eastAsia="宋体" w:hint="default"/>
          <w:sz w:val="20"/>
          <w:szCs w:val="20"/>
        </w:rPr>
      </w:pPr>
    </w:p>
    <w:p>
      <w:pPr>
        <w:spacing w:line="20" w:lineRule="exact"/>
        <w:ind w:left="139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left="1398" w:right="0"/>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tabs>
          <w:tab w:pos="1051" w:val="left" w:leader="none"/>
        </w:tabs>
        <w:spacing w:line="240" w:lineRule="auto" w:before="57"/>
        <w:ind w:left="0" w:right="9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285"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待抵扣税金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34,979,367.55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3,096,318.00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预缴税金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5,009,354.99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3,623,058.49</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556,700,000.00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80,900,000.00</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信托计划</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652,000,000.00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831,000,000.00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1,248,688,722.54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918,619,376.49</w:t>
            </w:r>
          </w:p>
        </w:tc>
      </w:tr>
    </w:tbl>
    <w:p>
      <w:pPr>
        <w:spacing w:line="240" w:lineRule="auto" w:before="5"/>
        <w:rPr>
          <w:rFonts w:ascii="宋体" w:hAnsi="宋体" w:cs="宋体" w:eastAsia="宋体" w:hint="default"/>
          <w:sz w:val="15"/>
          <w:szCs w:val="15"/>
        </w:rPr>
      </w:pPr>
    </w:p>
    <w:p>
      <w:pPr>
        <w:pStyle w:val="BodyText"/>
        <w:spacing w:line="240" w:lineRule="auto" w:before="36"/>
        <w:ind w:left="1398" w:right="0"/>
        <w:jc w:val="left"/>
      </w:pPr>
      <w:r>
        <w:rPr/>
        <w:t>其他说明</w:t>
      </w:r>
    </w:p>
    <w:p>
      <w:pPr>
        <w:spacing w:line="240" w:lineRule="auto" w:before="11"/>
        <w:rPr>
          <w:rFonts w:ascii="宋体" w:hAnsi="宋体" w:cs="宋体" w:eastAsia="宋体" w:hint="default"/>
          <w:sz w:val="20"/>
          <w:szCs w:val="20"/>
        </w:rPr>
      </w:pPr>
    </w:p>
    <w:p>
      <w:pPr>
        <w:spacing w:line="20" w:lineRule="exact"/>
        <w:ind w:left="139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400" w:right="340"/>
        </w:sectPr>
      </w:pPr>
    </w:p>
    <w:p>
      <w:pPr>
        <w:pStyle w:val="Heading4"/>
        <w:spacing w:line="240" w:lineRule="auto"/>
        <w:ind w:left="1398" w:right="-9"/>
        <w:jc w:val="left"/>
        <w:rPr>
          <w:b w:val="0"/>
          <w:bCs w:val="0"/>
        </w:rPr>
      </w:pPr>
      <w:r>
        <w:rPr>
          <w:rFonts w:ascii="宋体" w:hAnsi="宋体" w:cs="宋体" w:eastAsia="宋体" w:hint="default"/>
        </w:rPr>
        <w:t>14</w:t>
      </w:r>
      <w:r>
        <w:rPr/>
        <w:t>、</w:t>
      </w:r>
      <w:r>
        <w:rPr>
          <w:spacing w:val="-24"/>
        </w:rPr>
        <w:t> </w:t>
      </w:r>
      <w:r>
        <w:rPr/>
        <w:t>可供出售金融资产</w:t>
      </w:r>
      <w:r>
        <w:rPr>
          <w:b w:val="0"/>
          <w:bCs w:val="0"/>
        </w:rPr>
      </w:r>
    </w:p>
    <w:p>
      <w:pPr>
        <w:pStyle w:val="BodyText"/>
        <w:spacing w:line="240" w:lineRule="auto" w:before="56"/>
        <w:ind w:left="1398" w:right="-9"/>
        <w:jc w:val="left"/>
      </w:pPr>
      <w:r>
        <w:rPr/>
        <w:t>√适用</w:t>
      </w:r>
      <w:r>
        <w:rPr>
          <w:spacing w:val="-1"/>
        </w:rPr>
        <w:t> </w:t>
      </w:r>
      <w:r>
        <w:rPr/>
        <w:t>□不适用</w:t>
      </w:r>
    </w:p>
    <w:p>
      <w:pPr>
        <w:pStyle w:val="Heading4"/>
        <w:tabs>
          <w:tab w:pos="2041" w:val="left" w:leader="none"/>
        </w:tabs>
        <w:spacing w:line="240" w:lineRule="auto" w:before="58"/>
        <w:ind w:left="1398" w:right="-9"/>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2449" w:val="left" w:leader="none"/>
        </w:tabs>
        <w:spacing w:line="240" w:lineRule="auto"/>
        <w:ind w:left="1398" w:right="0"/>
        <w:jc w:val="left"/>
      </w:pPr>
      <w:r>
        <w:rPr>
          <w:spacing w:val="-1"/>
        </w:rPr>
        <w:t>单位：元</w:t>
        <w:tab/>
      </w:r>
      <w:r>
        <w:rPr>
          <w:spacing w:val="-2"/>
        </w:rPr>
        <w:t>币种：人民币</w:t>
      </w:r>
    </w:p>
    <w:p>
      <w:pPr>
        <w:spacing w:after="0" w:line="240" w:lineRule="auto"/>
        <w:jc w:val="left"/>
        <w:sectPr>
          <w:type w:val="continuous"/>
          <w:pgSz w:w="11910" w:h="16840"/>
          <w:pgMar w:top="1120" w:bottom="1380" w:left="400" w:right="340"/>
          <w:cols w:num="2" w:equalWidth="0">
            <w:col w:w="4151" w:space="2370"/>
            <w:col w:w="4649"/>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136"/>
        <w:gridCol w:w="1532"/>
        <w:gridCol w:w="1248"/>
        <w:gridCol w:w="1532"/>
        <w:gridCol w:w="1591"/>
        <w:gridCol w:w="1198"/>
        <w:gridCol w:w="1678"/>
      </w:tblGrid>
      <w:tr>
        <w:trPr>
          <w:trHeight w:val="288" w:hRule="exact"/>
        </w:trPr>
        <w:tc>
          <w:tcPr>
            <w:tcW w:w="2136"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31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136" w:type="dxa"/>
            <w:vMerge/>
            <w:tcBorders>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29"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532"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664,372,698.68</w:t>
            </w:r>
          </w:p>
        </w:tc>
        <w:tc>
          <w:tcPr>
            <w:tcW w:w="124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664,372,698.68</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277,332,872.68</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600,000.00</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276,732,872.68</w:t>
            </w:r>
          </w:p>
        </w:tc>
      </w:tr>
      <w:tr>
        <w:trPr>
          <w:trHeight w:val="286"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134,497,839.67</w:t>
            </w:r>
          </w:p>
        </w:tc>
        <w:tc>
          <w:tcPr>
            <w:tcW w:w="124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134,497,839.67</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19,543,427.36</w:t>
            </w:r>
          </w:p>
        </w:tc>
        <w:tc>
          <w:tcPr>
            <w:tcW w:w="119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19,543,427.36</w:t>
            </w:r>
          </w:p>
        </w:tc>
      </w:tr>
      <w:tr>
        <w:trPr>
          <w:trHeight w:val="288"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38"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529,874,859.01</w:t>
            </w:r>
          </w:p>
        </w:tc>
        <w:tc>
          <w:tcPr>
            <w:tcW w:w="124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529,874,859.01</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257,789,445.32</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600,000.00</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257,189,445.32</w:t>
            </w:r>
          </w:p>
        </w:tc>
      </w:tr>
      <w:tr>
        <w:trPr>
          <w:trHeight w:val="288"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资金信托计划</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188,429,277.96</w:t>
            </w:r>
          </w:p>
        </w:tc>
        <w:tc>
          <w:tcPr>
            <w:tcW w:w="124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188,429,277.96</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147,130,375.37</w:t>
            </w:r>
          </w:p>
        </w:tc>
        <w:tc>
          <w:tcPr>
            <w:tcW w:w="119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147,130,375.37</w:t>
            </w:r>
          </w:p>
        </w:tc>
      </w:tr>
      <w:tr>
        <w:trPr>
          <w:trHeight w:val="289"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852,801,976.64</w:t>
            </w:r>
          </w:p>
        </w:tc>
        <w:tc>
          <w:tcPr>
            <w:tcW w:w="124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852,801,976.64</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424,463,248.05</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600,000.00</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423,863,248.05</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400" w:right="340"/>
        </w:sectPr>
      </w:pPr>
    </w:p>
    <w:p>
      <w:pPr>
        <w:pStyle w:val="Heading4"/>
        <w:tabs>
          <w:tab w:pos="2041" w:val="left" w:leader="none"/>
        </w:tabs>
        <w:spacing w:line="240" w:lineRule="auto"/>
        <w:ind w:left="1398" w:right="0"/>
        <w:jc w:val="left"/>
        <w:rPr>
          <w:b w:val="0"/>
          <w:bCs w:val="0"/>
        </w:rPr>
      </w:pPr>
      <w:r>
        <w:rPr>
          <w:rFonts w:ascii="宋体" w:hAnsi="宋体" w:cs="宋体" w:eastAsia="宋体" w:hint="default"/>
          <w:w w:val="95"/>
        </w:rPr>
        <w:t>(2).</w:t>
        <w:tab/>
      </w:r>
      <w:r>
        <w:rPr>
          <w:spacing w:val="-1"/>
        </w:rPr>
        <w:t>期末按公允价值计量的可供出售金融资产</w:t>
      </w:r>
      <w:r>
        <w:rPr>
          <w:b w:val="0"/>
          <w:bCs w:val="0"/>
          <w:spacing w:val="-1"/>
        </w:rPr>
      </w:r>
    </w:p>
    <w:p>
      <w:pPr>
        <w:pStyle w:val="BodyText"/>
        <w:spacing w:line="240" w:lineRule="auto" w:before="58"/>
        <w:ind w:left="139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449" w:val="left" w:leader="none"/>
        </w:tabs>
        <w:spacing w:line="240" w:lineRule="auto"/>
        <w:ind w:left="1398" w:right="0"/>
        <w:jc w:val="left"/>
      </w:pPr>
      <w:r>
        <w:rPr>
          <w:spacing w:val="-1"/>
        </w:rPr>
        <w:t>单位：元</w:t>
        <w:tab/>
      </w:r>
      <w:r>
        <w:rPr>
          <w:spacing w:val="-2"/>
        </w:rPr>
        <w:t>币种：人民币</w:t>
      </w:r>
    </w:p>
    <w:p>
      <w:pPr>
        <w:spacing w:after="0" w:line="240" w:lineRule="auto"/>
        <w:jc w:val="left"/>
        <w:sectPr>
          <w:type w:val="continuous"/>
          <w:pgSz w:w="11910" w:h="16840"/>
          <w:pgMar w:top="1120" w:bottom="1380" w:left="400" w:right="340"/>
          <w:cols w:num="2" w:equalWidth="0">
            <w:col w:w="5839" w:space="683"/>
            <w:col w:w="4648"/>
          </w:cols>
        </w:sectPr>
      </w:pPr>
    </w:p>
    <w:p>
      <w:pPr>
        <w:spacing w:line="240" w:lineRule="auto" w:before="7"/>
        <w:rPr>
          <w:rFonts w:ascii="宋体" w:hAnsi="宋体" w:cs="宋体" w:eastAsia="宋体" w:hint="default"/>
          <w:sz w:val="2"/>
          <w:szCs w:val="2"/>
        </w:rPr>
      </w:pPr>
    </w:p>
    <w:tbl>
      <w:tblPr>
        <w:tblW w:w="0" w:type="auto"/>
        <w:jc w:val="left"/>
        <w:tblInd w:w="1285" w:type="dxa"/>
        <w:tblLayout w:type="fixed"/>
        <w:tblCellMar>
          <w:top w:w="0" w:type="dxa"/>
          <w:left w:w="0" w:type="dxa"/>
          <w:bottom w:w="0" w:type="dxa"/>
          <w:right w:w="0" w:type="dxa"/>
        </w:tblCellMar>
        <w:tblLook w:val="01E0"/>
      </w:tblPr>
      <w:tblGrid>
        <w:gridCol w:w="2657"/>
        <w:gridCol w:w="1687"/>
        <w:gridCol w:w="1520"/>
        <w:gridCol w:w="1501"/>
        <w:gridCol w:w="1685"/>
      </w:tblGrid>
      <w:tr>
        <w:trPr>
          <w:trHeight w:val="55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3"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0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宋体" w:hAnsi="宋体" w:cs="宋体" w:eastAsia="宋体" w:hint="default"/>
                <w:sz w:val="21"/>
                <w:szCs w:val="21"/>
              </w:rPr>
              <w:t>/</w:t>
            </w:r>
            <w:r>
              <w:rPr>
                <w:rFonts w:ascii="宋体" w:hAnsi="宋体" w:cs="宋体" w:eastAsia="宋体" w:hint="default"/>
                <w:sz w:val="21"/>
                <w:szCs w:val="21"/>
              </w:rPr>
              <w:t>债务工具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的摊余成本</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159,940,213.90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159,940,213.90</w:t>
            </w:r>
          </w:p>
        </w:tc>
      </w:tr>
      <w:tr>
        <w:trPr>
          <w:trHeight w:val="283"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162,986,903.73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162,986,903.73</w:t>
            </w:r>
          </w:p>
        </w:tc>
      </w:tr>
      <w:tr>
        <w:trPr>
          <w:trHeight w:val="555"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公允价值变动金额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138,538,868.17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138,538,868.17</w:t>
            </w:r>
          </w:p>
        </w:tc>
      </w:tr>
      <w:tr>
        <w:trPr>
          <w:trHeight w:val="283"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400" w:right="3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20" w:right="200"/>
        </w:sectPr>
      </w:pPr>
    </w:p>
    <w:p>
      <w:pPr>
        <w:pStyle w:val="Heading4"/>
        <w:tabs>
          <w:tab w:pos="2321" w:val="left" w:leader="none"/>
        </w:tabs>
        <w:spacing w:line="240" w:lineRule="auto"/>
        <w:ind w:left="1678" w:right="-3"/>
        <w:jc w:val="left"/>
        <w:rPr>
          <w:b w:val="0"/>
          <w:bCs w:val="0"/>
        </w:rPr>
      </w:pPr>
      <w:r>
        <w:rPr>
          <w:rFonts w:ascii="宋体" w:hAnsi="宋体" w:cs="宋体" w:eastAsia="宋体" w:hint="default"/>
          <w:w w:val="95"/>
        </w:rPr>
        <w:t>(3).</w:t>
        <w:tab/>
      </w:r>
      <w:r>
        <w:rPr>
          <w:spacing w:val="-1"/>
        </w:rPr>
        <w:t>期末按成本计量的可供出售金融资产</w:t>
      </w:r>
      <w:r>
        <w:rPr>
          <w:b w:val="0"/>
          <w:bCs w:val="0"/>
          <w:spacing w:val="-1"/>
        </w:rPr>
      </w:r>
    </w:p>
    <w:p>
      <w:pPr>
        <w:pStyle w:val="BodyText"/>
        <w:spacing w:line="240" w:lineRule="auto" w:before="58"/>
        <w:ind w:left="1678"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14" w:val="left" w:leader="none"/>
        </w:tabs>
        <w:spacing w:line="274" w:lineRule="exact"/>
        <w:ind w:left="0" w:right="1176"/>
        <w:jc w:val="right"/>
      </w:pPr>
      <w:r>
        <w:rPr>
          <w:spacing w:val="-11"/>
        </w:rPr>
        <w:t>单位：万元</w:t>
        <w:tab/>
        <w:t>币种：人民</w:t>
      </w:r>
      <w:r>
        <w:rPr/>
      </w:r>
    </w:p>
    <w:p>
      <w:pPr>
        <w:pStyle w:val="BodyText"/>
        <w:spacing w:line="274" w:lineRule="exact"/>
        <w:ind w:left="0" w:right="1176"/>
        <w:jc w:val="right"/>
      </w:pPr>
      <w:r>
        <w:rPr>
          <w:w w:val="100"/>
        </w:rPr>
        <w:t>币</w:t>
      </w:r>
    </w:p>
    <w:p>
      <w:pPr>
        <w:spacing w:after="0" w:line="274" w:lineRule="exact"/>
        <w:jc w:val="right"/>
        <w:sectPr>
          <w:type w:val="continuous"/>
          <w:pgSz w:w="11910" w:h="16840"/>
          <w:pgMar w:top="1120" w:bottom="1380" w:left="120" w:right="200"/>
          <w:cols w:num="2" w:equalWidth="0">
            <w:col w:w="5696" w:space="816"/>
            <w:col w:w="5078"/>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268"/>
        <w:gridCol w:w="1135"/>
        <w:gridCol w:w="1141"/>
        <w:gridCol w:w="1128"/>
        <w:gridCol w:w="1148"/>
        <w:gridCol w:w="708"/>
        <w:gridCol w:w="562"/>
        <w:gridCol w:w="706"/>
        <w:gridCol w:w="725"/>
        <w:gridCol w:w="833"/>
        <w:gridCol w:w="989"/>
      </w:tblGrid>
      <w:tr>
        <w:trPr>
          <w:trHeight w:val="718"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859" w:right="857"/>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45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83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37" w:lineRule="auto"/>
              <w:ind w:left="141" w:right="139"/>
              <w:jc w:val="both"/>
              <w:rPr>
                <w:rFonts w:ascii="宋体" w:hAnsi="宋体" w:cs="宋体" w:eastAsia="宋体" w:hint="default"/>
                <w:sz w:val="18"/>
                <w:szCs w:val="18"/>
              </w:rPr>
            </w:pPr>
            <w:r>
              <w:rPr>
                <w:rFonts w:ascii="宋体" w:hAnsi="宋体" w:cs="宋体" w:eastAsia="宋体" w:hint="default"/>
                <w:sz w:val="18"/>
                <w:szCs w:val="18"/>
              </w:rPr>
              <w:t>在被投 资单位 持股比 例</w:t>
            </w:r>
            <w:r>
              <w:rPr>
                <w:rFonts w:ascii="宋体" w:hAnsi="宋体" w:cs="宋体" w:eastAsia="宋体" w:hint="default"/>
                <w:sz w:val="18"/>
                <w:szCs w:val="18"/>
              </w:rPr>
              <w:t>(%)</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09" w:right="129"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946" w:hRule="exact"/>
        </w:trPr>
        <w:tc>
          <w:tcPr>
            <w:tcW w:w="2268"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82" w:right="386"/>
              <w:jc w:val="center"/>
              <w:rPr>
                <w:rFonts w:ascii="宋体" w:hAnsi="宋体" w:cs="宋体" w:eastAsia="宋体" w:hint="default"/>
                <w:sz w:val="18"/>
                <w:szCs w:val="18"/>
              </w:rPr>
            </w:pPr>
            <w:r>
              <w:rPr>
                <w:rFonts w:ascii="宋体" w:hAnsi="宋体" w:cs="宋体" w:eastAsia="宋体" w:hint="default"/>
                <w:sz w:val="18"/>
                <w:szCs w:val="18"/>
              </w:rPr>
              <w:t>本期 增加</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79" w:right="377"/>
              <w:jc w:val="center"/>
              <w:rPr>
                <w:rFonts w:ascii="宋体" w:hAnsi="宋体" w:cs="宋体" w:eastAsia="宋体" w:hint="default"/>
                <w:sz w:val="18"/>
                <w:szCs w:val="18"/>
              </w:rPr>
            </w:pPr>
            <w:r>
              <w:rPr>
                <w:rFonts w:ascii="宋体" w:hAnsi="宋体" w:cs="宋体" w:eastAsia="宋体" w:hint="default"/>
                <w:sz w:val="18"/>
                <w:szCs w:val="18"/>
              </w:rPr>
              <w:t>本期 减少</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期末</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2" w:lineRule="exact" w:before="23"/>
              <w:ind w:left="184" w:right="185"/>
              <w:jc w:val="both"/>
              <w:rPr>
                <w:rFonts w:ascii="宋体" w:hAnsi="宋体" w:cs="宋体" w:eastAsia="宋体" w:hint="default"/>
                <w:sz w:val="18"/>
                <w:szCs w:val="18"/>
              </w:rPr>
            </w:pPr>
            <w:r>
              <w:rPr>
                <w:rFonts w:ascii="宋体" w:hAnsi="宋体" w:cs="宋体" w:eastAsia="宋体" w:hint="default"/>
                <w:sz w:val="18"/>
                <w:szCs w:val="18"/>
              </w:rPr>
              <w:t>期 增 加</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67" w:right="16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33"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r>
      <w:tr>
        <w:trPr>
          <w:trHeight w:val="47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中证信用增进股份有限公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10,000.00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2.44</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浙江远传信息技术股份有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pacing w:val="-1"/>
                <w:sz w:val="18"/>
              </w:rPr>
              <w:t>3,000.00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pacing w:val="-1"/>
                <w:sz w:val="18"/>
              </w:rPr>
              <w:t>3,000.00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6.52</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证通股份有限公司</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宋体" w:hAnsi="宋体" w:cs="宋体" w:eastAsia="宋体" w:hint="default"/>
                <w:sz w:val="18"/>
                <w:szCs w:val="18"/>
              </w:rPr>
            </w:pPr>
            <w:r>
              <w:rPr>
                <w:rFonts w:ascii="宋体"/>
                <w:spacing w:val="-1"/>
                <w:sz w:val="18"/>
              </w:rPr>
              <w:t>2,500.00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宋体" w:hAnsi="宋体" w:cs="宋体" w:eastAsia="宋体" w:hint="default"/>
                <w:sz w:val="18"/>
                <w:szCs w:val="18"/>
              </w:rPr>
            </w:pPr>
            <w:r>
              <w:rPr>
                <w:rFonts w:ascii="宋体"/>
                <w:spacing w:val="-1"/>
                <w:sz w:val="18"/>
              </w:rPr>
              <w:t>2,500.00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8"/>
                <w:szCs w:val="18"/>
              </w:rPr>
            </w:pPr>
            <w:r>
              <w:rPr>
                <w:rFonts w:ascii="宋体"/>
                <w:sz w:val="18"/>
              </w:rPr>
              <w:t>0.99</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和略电子商务</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1,765.00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1,765.00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15.00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杭州恒生数字设备科技有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1,439.70</w:t>
            </w:r>
          </w:p>
        </w:tc>
        <w:tc>
          <w:tcPr>
            <w:tcW w:w="114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1,439.70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14.33</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星环信息科技</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1,006.75</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87.84</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1,094.59</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5.70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北京义云清洁技术创业投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1,500.00</w:t>
            </w:r>
          </w:p>
        </w:tc>
        <w:tc>
          <w:tcPr>
            <w:tcW w:w="114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500.00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1,000.00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400.00</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杭州国家软件产业基地有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200.00</w:t>
            </w:r>
          </w:p>
        </w:tc>
        <w:tc>
          <w:tcPr>
            <w:tcW w:w="114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200.00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10.00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江西省联交运金融服务有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90.00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90.00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9.00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浙江现代资本与产业研究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院</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3.00</w:t>
            </w:r>
          </w:p>
        </w:tc>
        <w:tc>
          <w:tcPr>
            <w:tcW w:w="114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6.00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杭州易诺科技有限公司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z w:val="18"/>
              </w:rPr>
              <w:t>2.20</w:t>
            </w:r>
          </w:p>
        </w:tc>
        <w:tc>
          <w:tcPr>
            <w:tcW w:w="114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z w:val="18"/>
              </w:rPr>
              <w:t>2.20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8"/>
                <w:szCs w:val="18"/>
              </w:rPr>
            </w:pPr>
            <w:r>
              <w:rPr>
                <w:rFonts w:ascii="宋体"/>
                <w:sz w:val="18"/>
              </w:rPr>
              <w:t>3.06</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青岛银行股份有限公司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5,200.00</w:t>
            </w:r>
          </w:p>
        </w:tc>
        <w:tc>
          <w:tcPr>
            <w:tcW w:w="114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pacing w:val="-1"/>
                <w:sz w:val="18"/>
              </w:rPr>
              <w:t>5,200.00</w:t>
            </w:r>
          </w:p>
        </w:tc>
        <w:tc>
          <w:tcPr>
            <w:tcW w:w="11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z w:val="18"/>
              </w:rPr>
              <w:t>0.50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pacing w:val="-1"/>
                <w:sz w:val="18"/>
              </w:rPr>
              <w:t>500.00</w:t>
            </w:r>
          </w:p>
        </w:tc>
      </w:tr>
      <w:tr>
        <w:trPr>
          <w:trHeight w:val="43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深圳市嘉资投资有限公司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z w:val="18"/>
              </w:rPr>
              <w:t>60.00</w:t>
            </w:r>
          </w:p>
        </w:tc>
        <w:tc>
          <w:tcPr>
            <w:tcW w:w="114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8"/>
                <w:szCs w:val="18"/>
              </w:rPr>
            </w:pPr>
            <w:r>
              <w:rPr>
                <w:rFonts w:ascii="宋体"/>
                <w:sz w:val="18"/>
              </w:rPr>
              <w:t>60.00</w:t>
            </w:r>
          </w:p>
        </w:tc>
        <w:tc>
          <w:tcPr>
            <w:tcW w:w="11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43" w:right="0"/>
              <w:jc w:val="left"/>
              <w:rPr>
                <w:rFonts w:ascii="宋体" w:hAnsi="宋体" w:cs="宋体" w:eastAsia="宋体" w:hint="default"/>
                <w:sz w:val="18"/>
                <w:szCs w:val="18"/>
              </w:rPr>
            </w:pPr>
            <w:r>
              <w:rPr>
                <w:rFonts w:ascii="宋体"/>
                <w:sz w:val="18"/>
              </w:rPr>
              <w:t>60.00</w:t>
            </w: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41" w:right="0"/>
              <w:jc w:val="left"/>
              <w:rPr>
                <w:rFonts w:ascii="宋体" w:hAnsi="宋体" w:cs="宋体" w:eastAsia="宋体" w:hint="default"/>
                <w:sz w:val="18"/>
                <w:szCs w:val="18"/>
              </w:rPr>
            </w:pPr>
            <w:r>
              <w:rPr>
                <w:rFonts w:ascii="宋体"/>
                <w:sz w:val="18"/>
              </w:rPr>
              <w:t>60.00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天津鼎晖股权投资一期基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6,838.78</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pacing w:val="-1"/>
                <w:sz w:val="18"/>
              </w:rPr>
              <w:t>104.41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2,627.51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4,315.68</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2.51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4,486.07</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天津鼎晖恒瑞股权投资基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1,264.12</w:t>
            </w:r>
          </w:p>
        </w:tc>
        <w:tc>
          <w:tcPr>
            <w:tcW w:w="114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41.05</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1,223.07</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4.73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100.87</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天津鼎晖嘉瑞股权投资基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pacing w:val="-1"/>
                <w:sz w:val="18"/>
              </w:rPr>
              <w:t>470.39</w:t>
            </w:r>
          </w:p>
        </w:tc>
        <w:tc>
          <w:tcPr>
            <w:tcW w:w="114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21.20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pacing w:val="-1"/>
                <w:sz w:val="18"/>
              </w:rPr>
              <w:t>449.19</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8.65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10.93</w:t>
            </w:r>
          </w:p>
        </w:tc>
      </w:tr>
      <w:tr>
        <w:trPr>
          <w:trHeight w:val="47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杭州复朴共进投资合伙企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3,100.00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36.47</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苏州方广创业投资合伙企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2,400.00</w:t>
            </w:r>
          </w:p>
        </w:tc>
        <w:tc>
          <w:tcPr>
            <w:tcW w:w="114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2,400.00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5.72</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宁波市科发股权投资基金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2,000.00</w:t>
            </w:r>
          </w:p>
        </w:tc>
        <w:tc>
          <w:tcPr>
            <w:tcW w:w="114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16.49</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嘉兴极地信天壹期投资合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1,200.00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800.00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11.48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78.52</w:t>
            </w:r>
          </w:p>
        </w:tc>
      </w:tr>
      <w:tr>
        <w:trPr>
          <w:trHeight w:val="47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苏州工业园区八二五新媒</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体投资</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1,400.00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pacing w:val="-1"/>
                <w:sz w:val="18"/>
              </w:rPr>
              <w:t>600.00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2,000.00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2.63</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杭州天璞创业投资合伙企</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700.00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300.00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20.00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宁波云汉投资管理合伙企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32.00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15,103.35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4,319.05</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10,816.30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66.32</w:t>
            </w:r>
          </w:p>
        </w:tc>
        <w:tc>
          <w:tcPr>
            <w:tcW w:w="9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0" w:right="2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2268"/>
        <w:gridCol w:w="1135"/>
        <w:gridCol w:w="1141"/>
        <w:gridCol w:w="1128"/>
        <w:gridCol w:w="1148"/>
        <w:gridCol w:w="708"/>
        <w:gridCol w:w="562"/>
        <w:gridCol w:w="706"/>
        <w:gridCol w:w="725"/>
        <w:gridCol w:w="833"/>
        <w:gridCol w:w="989"/>
      </w:tblGrid>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宁波云夏股权投资管理合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 [</w:t>
            </w:r>
            <w:r>
              <w:rPr>
                <w:rFonts w:ascii="宋体" w:hAnsi="宋体" w:cs="宋体" w:eastAsia="宋体" w:hint="default"/>
                <w:sz w:val="18"/>
                <w:szCs w:val="18"/>
              </w:rPr>
              <w:t>注</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1,981.01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1,981.01</w:t>
            </w:r>
          </w:p>
        </w:tc>
        <w:tc>
          <w:tcPr>
            <w:tcW w:w="11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48.20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宁波云银股权投资管理合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 [</w:t>
            </w:r>
            <w:r>
              <w:rPr>
                <w:rFonts w:ascii="宋体" w:hAnsi="宋体" w:cs="宋体" w:eastAsia="宋体" w:hint="default"/>
                <w:sz w:val="18"/>
                <w:szCs w:val="18"/>
              </w:rPr>
              <w:t>注</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788.62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788.62</w:t>
            </w:r>
          </w:p>
        </w:tc>
        <w:tc>
          <w:tcPr>
            <w:tcW w:w="11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55.15</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宁波云晋股权投资管理合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 [</w:t>
            </w:r>
            <w:r>
              <w:rPr>
                <w:rFonts w:ascii="宋体" w:hAnsi="宋体" w:cs="宋体" w:eastAsia="宋体" w:hint="default"/>
                <w:sz w:val="18"/>
                <w:szCs w:val="18"/>
              </w:rPr>
              <w:t>注</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536.00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536.00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50.47</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宁波云秦投资管理合伙企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31.00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pacing w:val="-1"/>
                <w:sz w:val="18"/>
              </w:rPr>
              <w:t>455.45</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pacing w:val="-1"/>
                <w:sz w:val="18"/>
              </w:rPr>
              <w:t>486.45</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51.59</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宁波云明股权投资管理合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 [</w:t>
            </w:r>
            <w:r>
              <w:rPr>
                <w:rFonts w:ascii="宋体" w:hAnsi="宋体" w:cs="宋体" w:eastAsia="宋体" w:hint="default"/>
                <w:sz w:val="18"/>
                <w:szCs w:val="18"/>
              </w:rPr>
              <w:t>注</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404.29</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404.29</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51.50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宁波云唐投资管理合伙企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31.00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361.03</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392.03</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55.69</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宁波云魏股权投资管理合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 [</w:t>
            </w:r>
            <w:r>
              <w:rPr>
                <w:rFonts w:ascii="宋体" w:hAnsi="宋体" w:cs="宋体" w:eastAsia="宋体" w:hint="default"/>
                <w:sz w:val="18"/>
                <w:szCs w:val="18"/>
              </w:rPr>
              <w:t>注</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pacing w:val="-1"/>
                <w:sz w:val="18"/>
              </w:rPr>
              <w:t>269.94</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pacing w:val="-1"/>
                <w:sz w:val="18"/>
              </w:rPr>
              <w:t>269.94</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50.95</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宁波云蜀股权投资管理合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 [</w:t>
            </w:r>
            <w:r>
              <w:rPr>
                <w:rFonts w:ascii="宋体" w:hAnsi="宋体" w:cs="宋体" w:eastAsia="宋体" w:hint="default"/>
                <w:sz w:val="18"/>
                <w:szCs w:val="18"/>
              </w:rPr>
              <w:t>注</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pacing w:val="-1"/>
                <w:sz w:val="18"/>
              </w:rPr>
              <w:t>183.39</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pacing w:val="-1"/>
                <w:sz w:val="18"/>
              </w:rPr>
              <w:t>183.39</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54.05</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宁波云吴股权投资管理合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 [</w:t>
            </w:r>
            <w:r>
              <w:rPr>
                <w:rFonts w:ascii="宋体" w:hAnsi="宋体" w:cs="宋体" w:eastAsia="宋体" w:hint="default"/>
                <w:sz w:val="18"/>
                <w:szCs w:val="18"/>
              </w:rPr>
              <w:t>注</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174.70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174.70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54.68</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宁波云宋股权投资管理合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 [</w:t>
            </w:r>
            <w:r>
              <w:rPr>
                <w:rFonts w:ascii="宋体" w:hAnsi="宋体" w:cs="宋体" w:eastAsia="宋体" w:hint="default"/>
                <w:sz w:val="18"/>
                <w:szCs w:val="18"/>
              </w:rPr>
              <w:t>注</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pacing w:val="-1"/>
                <w:sz w:val="18"/>
              </w:rPr>
              <w:t>142.00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pacing w:val="-1"/>
                <w:sz w:val="18"/>
              </w:rPr>
              <w:t>142.00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56.35</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3"/>
              <w:jc w:val="right"/>
              <w:rPr>
                <w:rFonts w:ascii="宋体" w:hAnsi="宋体" w:cs="宋体" w:eastAsia="宋体" w:hint="default"/>
                <w:sz w:val="18"/>
                <w:szCs w:val="18"/>
              </w:rPr>
            </w:pPr>
            <w:r>
              <w:rPr>
                <w:rFonts w:ascii="宋体"/>
                <w:spacing w:val="-1"/>
                <w:sz w:val="18"/>
              </w:rPr>
              <w:t>25,778.94</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3"/>
              <w:jc w:val="right"/>
              <w:rPr>
                <w:rFonts w:ascii="宋体" w:hAnsi="宋体" w:cs="宋体" w:eastAsia="宋体" w:hint="default"/>
                <w:sz w:val="18"/>
                <w:szCs w:val="18"/>
              </w:rPr>
            </w:pPr>
            <w:r>
              <w:rPr>
                <w:rFonts w:ascii="宋体"/>
                <w:spacing w:val="-1"/>
                <w:sz w:val="18"/>
              </w:rPr>
              <w:t>42,747.03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15,538.44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3"/>
              <w:jc w:val="right"/>
              <w:rPr>
                <w:rFonts w:ascii="宋体" w:hAnsi="宋体" w:cs="宋体" w:eastAsia="宋体" w:hint="default"/>
                <w:sz w:val="18"/>
                <w:szCs w:val="18"/>
              </w:rPr>
            </w:pPr>
            <w:r>
              <w:rPr>
                <w:rFonts w:ascii="宋体"/>
                <w:spacing w:val="-1"/>
                <w:sz w:val="18"/>
              </w:rPr>
              <w:t>52,987.53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43" w:right="0"/>
              <w:jc w:val="left"/>
              <w:rPr>
                <w:rFonts w:ascii="宋体" w:hAnsi="宋体" w:cs="宋体" w:eastAsia="宋体" w:hint="default"/>
                <w:sz w:val="18"/>
                <w:szCs w:val="18"/>
              </w:rPr>
            </w:pPr>
            <w:r>
              <w:rPr>
                <w:rFonts w:ascii="宋体"/>
                <w:sz w:val="18"/>
              </w:rPr>
              <w:t>60.00</w:t>
            </w:r>
          </w:p>
        </w:tc>
        <w:tc>
          <w:tcPr>
            <w:tcW w:w="5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41" w:right="0"/>
              <w:jc w:val="left"/>
              <w:rPr>
                <w:rFonts w:ascii="宋体" w:hAnsi="宋体" w:cs="宋体" w:eastAsia="宋体" w:hint="default"/>
                <w:sz w:val="18"/>
                <w:szCs w:val="18"/>
              </w:rPr>
            </w:pPr>
            <w:r>
              <w:rPr>
                <w:rFonts w:ascii="宋体"/>
                <w:sz w:val="18"/>
              </w:rPr>
              <w:t>60.00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56" w:right="0"/>
              <w:jc w:val="left"/>
              <w:rPr>
                <w:rFonts w:ascii="宋体" w:hAnsi="宋体" w:cs="宋体" w:eastAsia="宋体" w:hint="default"/>
                <w:sz w:val="18"/>
                <w:szCs w:val="18"/>
              </w:rPr>
            </w:pPr>
            <w:r>
              <w:rPr>
                <w:rFonts w:ascii="宋体"/>
                <w:sz w:val="18"/>
              </w:rPr>
              <w:t>5,576.39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20" w:right="200"/>
        </w:sectPr>
      </w:pPr>
    </w:p>
    <w:p>
      <w:pPr>
        <w:pStyle w:val="Heading4"/>
        <w:tabs>
          <w:tab w:pos="2321" w:val="left" w:leader="none"/>
        </w:tabs>
        <w:spacing w:line="240" w:lineRule="auto"/>
        <w:ind w:left="1678" w:right="0"/>
        <w:jc w:val="left"/>
        <w:rPr>
          <w:b w:val="0"/>
          <w:bCs w:val="0"/>
        </w:rPr>
      </w:pPr>
      <w:r>
        <w:rPr>
          <w:rFonts w:ascii="宋体" w:hAnsi="宋体" w:cs="宋体" w:eastAsia="宋体" w:hint="default"/>
          <w:w w:val="95"/>
        </w:rPr>
        <w:t>(4).</w:t>
        <w:tab/>
      </w:r>
      <w:r>
        <w:rPr>
          <w:spacing w:val="-1"/>
        </w:rPr>
        <w:t>报告期内可供出售金融资产减值的变动情况</w:t>
      </w:r>
      <w:r>
        <w:rPr>
          <w:b w:val="0"/>
          <w:bCs w:val="0"/>
          <w:spacing w:val="-1"/>
        </w:rPr>
      </w:r>
    </w:p>
    <w:p>
      <w:pPr>
        <w:pStyle w:val="BodyText"/>
        <w:spacing w:line="240" w:lineRule="auto" w:before="56"/>
        <w:ind w:left="16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729" w:val="left" w:leader="none"/>
        </w:tabs>
        <w:spacing w:line="240" w:lineRule="auto"/>
        <w:ind w:left="1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 w:right="200"/>
          <w:cols w:num="2" w:equalWidth="0">
            <w:col w:w="6330" w:space="192"/>
            <w:col w:w="5068"/>
          </w:cols>
        </w:sectPr>
      </w:pPr>
    </w:p>
    <w:p>
      <w:pPr>
        <w:spacing w:line="240" w:lineRule="auto" w:before="4"/>
        <w:rPr>
          <w:rFonts w:ascii="宋体" w:hAnsi="宋体" w:cs="宋体" w:eastAsia="宋体" w:hint="default"/>
          <w:sz w:val="2"/>
          <w:szCs w:val="2"/>
        </w:rPr>
      </w:pPr>
    </w:p>
    <w:tbl>
      <w:tblPr>
        <w:tblW w:w="0" w:type="auto"/>
        <w:jc w:val="left"/>
        <w:tblInd w:w="1565" w:type="dxa"/>
        <w:tblLayout w:type="fixed"/>
        <w:tblCellMar>
          <w:top w:w="0" w:type="dxa"/>
          <w:left w:w="0" w:type="dxa"/>
          <w:bottom w:w="0" w:type="dxa"/>
          <w:right w:w="0" w:type="dxa"/>
        </w:tblCellMar>
        <w:tblLook w:val="01E0"/>
      </w:tblPr>
      <w:tblGrid>
        <w:gridCol w:w="2449"/>
        <w:gridCol w:w="1692"/>
        <w:gridCol w:w="1724"/>
        <w:gridCol w:w="1585"/>
        <w:gridCol w:w="1601"/>
      </w:tblGrid>
      <w:tr>
        <w:trPr>
          <w:trHeight w:val="555"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68"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600,000.00</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600,000.00</w:t>
            </w:r>
          </w:p>
        </w:tc>
      </w:tr>
      <w:tr>
        <w:trPr>
          <w:trHeight w:val="283"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其中：从其他综合收益转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600,000.00</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600,000.00</w:t>
            </w:r>
          </w:p>
        </w:tc>
      </w:tr>
      <w:tr>
        <w:trPr>
          <w:trHeight w:val="554"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其中：期后公允价值回升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w w:val="100"/>
                <w:sz w:val="21"/>
              </w:rPr>
              <w:t>/</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tabs>
          <w:tab w:pos="2321" w:val="left" w:leader="none"/>
        </w:tabs>
        <w:spacing w:line="240" w:lineRule="auto"/>
        <w:ind w:left="1678" w:right="0"/>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40" w:lineRule="auto" w:before="56"/>
        <w:ind w:left="1678" w:right="8314"/>
        <w:jc w:val="left"/>
      </w:pPr>
      <w:r>
        <w:rPr/>
        <w:t>□适用</w:t>
      </w:r>
      <w:r>
        <w:rPr>
          <w:spacing w:val="-1"/>
        </w:rPr>
        <w:t> </w:t>
      </w:r>
      <w:r>
        <w:rPr/>
        <w:t>√不适用</w:t>
      </w:r>
      <w:r>
        <w:rPr>
          <w:w w:val="100"/>
        </w:rPr>
        <w:t> </w:t>
      </w:r>
      <w:r>
        <w:rPr/>
        <w:t>其他说明</w:t>
      </w:r>
    </w:p>
    <w:p>
      <w:pPr>
        <w:pStyle w:val="BodyText"/>
        <w:spacing w:line="357" w:lineRule="auto" w:before="133"/>
        <w:ind w:left="1678" w:right="0" w:firstLine="419"/>
        <w:jc w:val="left"/>
      </w:pPr>
      <w:r>
        <w:rPr>
          <w:rFonts w:ascii="宋体" w:hAnsi="宋体" w:cs="宋体" w:eastAsia="宋体" w:hint="default"/>
        </w:rPr>
        <w:t>[</w:t>
      </w:r>
      <w:r>
        <w:rPr/>
        <w:t>注</w:t>
      </w:r>
      <w:r>
        <w:rPr>
          <w:rFonts w:ascii="宋体" w:hAnsi="宋体" w:cs="宋体" w:eastAsia="宋体" w:hint="default"/>
        </w:rPr>
        <w:t>]</w:t>
      </w:r>
      <w:r>
        <w:rPr/>
        <w:t>：根据公司</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6"/>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17</w:t>
      </w:r>
      <w:r>
        <w:rPr>
          <w:rFonts w:ascii="宋体" w:hAnsi="宋体" w:cs="宋体" w:eastAsia="宋体" w:hint="default"/>
          <w:spacing w:val="-56"/>
        </w:rPr>
        <w:t> </w:t>
      </w:r>
      <w:r>
        <w:rPr/>
        <w:t>日五届十三次董事会决议，公司与部分公司核心员工、子公</w:t>
      </w:r>
      <w:r>
        <w:rPr>
          <w:w w:val="100"/>
        </w:rPr>
        <w:t> </w:t>
      </w:r>
      <w:r>
        <w:rPr/>
        <w:t>司骨干员工共同投资设立宁波云汉投资管理合伙企业</w:t>
      </w:r>
      <w:r>
        <w:rPr>
          <w:rFonts w:ascii="宋体" w:hAnsi="宋体" w:cs="宋体" w:eastAsia="宋体" w:hint="default"/>
        </w:rPr>
        <w:t>(</w:t>
      </w:r>
      <w:r>
        <w:rPr/>
        <w:t>有限合伙</w:t>
      </w:r>
      <w:r>
        <w:rPr>
          <w:rFonts w:ascii="宋体" w:hAnsi="宋体" w:cs="宋体" w:eastAsia="宋体" w:hint="default"/>
        </w:rPr>
        <w:t>)</w:t>
      </w:r>
      <w:r>
        <w:rPr/>
        <w:t>、宁波云夏股权投资管理合伙企</w:t>
      </w:r>
      <w:r>
        <w:rPr>
          <w:w w:val="100"/>
        </w:rPr>
        <w:t> </w:t>
      </w:r>
      <w:r>
        <w:rPr>
          <w:spacing w:val="-4"/>
        </w:rPr>
        <w:t>业</w:t>
      </w:r>
      <w:r>
        <w:rPr>
          <w:rFonts w:ascii="宋体" w:hAnsi="宋体" w:cs="宋体" w:eastAsia="宋体" w:hint="default"/>
          <w:spacing w:val="-4"/>
        </w:rPr>
        <w:t>(</w:t>
      </w:r>
      <w:r>
        <w:rPr>
          <w:spacing w:val="-4"/>
        </w:rPr>
        <w:t>有限合伙</w:t>
      </w:r>
      <w:r>
        <w:rPr>
          <w:rFonts w:ascii="宋体" w:hAnsi="宋体" w:cs="宋体" w:eastAsia="宋体" w:hint="default"/>
          <w:spacing w:val="-4"/>
        </w:rPr>
        <w:t>)</w:t>
      </w:r>
      <w:r>
        <w:rPr>
          <w:spacing w:val="-4"/>
        </w:rPr>
        <w:t>、宁波云银股权投资管理合伙企业</w:t>
      </w:r>
      <w:r>
        <w:rPr>
          <w:rFonts w:ascii="宋体" w:hAnsi="宋体" w:cs="宋体" w:eastAsia="宋体" w:hint="default"/>
          <w:spacing w:val="-4"/>
        </w:rPr>
        <w:t>(</w:t>
      </w:r>
      <w:r>
        <w:rPr>
          <w:spacing w:val="-4"/>
        </w:rPr>
        <w:t>有限合伙</w:t>
      </w:r>
      <w:r>
        <w:rPr>
          <w:rFonts w:ascii="宋体" w:hAnsi="宋体" w:cs="宋体" w:eastAsia="宋体" w:hint="default"/>
          <w:spacing w:val="-4"/>
        </w:rPr>
        <w:t>)</w:t>
      </w:r>
      <w:r>
        <w:rPr>
          <w:spacing w:val="-4"/>
        </w:rPr>
        <w:t>、宁波云晋股权投资管理合伙企业</w:t>
      </w:r>
      <w:r>
        <w:rPr>
          <w:rFonts w:ascii="宋体" w:hAnsi="宋体" w:cs="宋体" w:eastAsia="宋体" w:hint="default"/>
          <w:spacing w:val="-4"/>
        </w:rPr>
        <w:t>(</w:t>
      </w:r>
      <w:r>
        <w:rPr>
          <w:spacing w:val="-4"/>
        </w:rPr>
        <w:t>有</w:t>
      </w:r>
      <w:r>
        <w:rPr>
          <w:spacing w:val="-30"/>
        </w:rPr>
        <w:t> </w:t>
      </w:r>
      <w:r>
        <w:rPr>
          <w:spacing w:val="-2"/>
        </w:rPr>
        <w:t>限合伙</w:t>
      </w:r>
      <w:r>
        <w:rPr>
          <w:rFonts w:ascii="宋体" w:hAnsi="宋体" w:cs="宋体" w:eastAsia="宋体" w:hint="default"/>
          <w:spacing w:val="-2"/>
        </w:rPr>
        <w:t>)</w:t>
      </w:r>
      <w:r>
        <w:rPr>
          <w:spacing w:val="-2"/>
        </w:rPr>
        <w:t>、宁波云秦投资管理合伙企业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、宁波云明股权投资管理合伙企业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w:t>
      </w:r>
      <w:r>
        <w:rPr>
          <w:spacing w:val="-14"/>
        </w:rPr>
        <w:t> </w:t>
      </w:r>
      <w:r>
        <w:rPr/>
        <w:t>宁波云唐投资管理合伙企业</w:t>
      </w:r>
      <w:r>
        <w:rPr>
          <w:rFonts w:ascii="宋体" w:hAnsi="宋体" w:cs="宋体" w:eastAsia="宋体" w:hint="default"/>
        </w:rPr>
        <w:t>(</w:t>
      </w:r>
      <w:r>
        <w:rPr/>
        <w:t>有限合伙</w:t>
      </w:r>
      <w:r>
        <w:rPr>
          <w:rFonts w:ascii="宋体" w:hAnsi="宋体" w:cs="宋体" w:eastAsia="宋体" w:hint="default"/>
        </w:rPr>
        <w:t>)</w:t>
      </w:r>
      <w:r>
        <w:rPr/>
        <w:t>、宁波云魏股权投资管理合伙企业</w:t>
      </w:r>
      <w:r>
        <w:rPr>
          <w:rFonts w:ascii="宋体" w:hAnsi="宋体" w:cs="宋体" w:eastAsia="宋体" w:hint="default"/>
        </w:rPr>
        <w:t>(</w:t>
      </w:r>
      <w:r>
        <w:rPr/>
        <w:t>有限合伙</w:t>
      </w:r>
      <w:r>
        <w:rPr>
          <w:rFonts w:ascii="宋体" w:hAnsi="宋体" w:cs="宋体" w:eastAsia="宋体" w:hint="default"/>
        </w:rPr>
        <w:t>)</w:t>
      </w:r>
      <w:r>
        <w:rPr/>
        <w:t>、宁波云蜀</w:t>
      </w:r>
      <w:r>
        <w:rPr>
          <w:w w:val="100"/>
        </w:rPr>
        <w:t> </w:t>
      </w:r>
      <w:r>
        <w:rPr/>
        <w:t>股权投资管理合伙企业</w:t>
      </w:r>
      <w:r>
        <w:rPr>
          <w:rFonts w:ascii="宋体" w:hAnsi="宋体" w:cs="宋体" w:eastAsia="宋体" w:hint="default"/>
        </w:rPr>
        <w:t>(</w:t>
      </w:r>
      <w:r>
        <w:rPr/>
        <w:t>有限合伙</w:t>
      </w:r>
      <w:r>
        <w:rPr>
          <w:rFonts w:ascii="宋体" w:hAnsi="宋体" w:cs="宋体" w:eastAsia="宋体" w:hint="default"/>
        </w:rPr>
        <w:t>)</w:t>
      </w:r>
      <w:r>
        <w:rPr/>
        <w:t>、宁波云吴股权投资管理合伙企业</w:t>
      </w:r>
      <w:r>
        <w:rPr>
          <w:rFonts w:ascii="宋体" w:hAnsi="宋体" w:cs="宋体" w:eastAsia="宋体" w:hint="default"/>
        </w:rPr>
        <w:t>(</w:t>
      </w:r>
      <w:r>
        <w:rPr/>
        <w:t>有限合伙</w:t>
      </w:r>
      <w:r>
        <w:rPr>
          <w:rFonts w:ascii="宋体" w:hAnsi="宋体" w:cs="宋体" w:eastAsia="宋体" w:hint="default"/>
        </w:rPr>
        <w:t>)</w:t>
      </w:r>
      <w:r>
        <w:rPr/>
        <w:t>、宁波云宋股权</w:t>
      </w:r>
      <w:r>
        <w:rPr>
          <w:w w:val="100"/>
        </w:rPr>
        <w:t> </w:t>
      </w:r>
      <w:r>
        <w:rPr>
          <w:spacing w:val="-4"/>
          <w:w w:val="100"/>
        </w:rPr>
        <w:t>投资管理合伙企业</w:t>
      </w:r>
      <w:r>
        <w:rPr>
          <w:rFonts w:ascii="宋体" w:hAnsi="宋体" w:cs="宋体" w:eastAsia="宋体" w:hint="default"/>
          <w:spacing w:val="-4"/>
          <w:w w:val="100"/>
        </w:rPr>
        <w:t>(</w:t>
      </w:r>
      <w:r>
        <w:rPr>
          <w:spacing w:val="-4"/>
          <w:w w:val="100"/>
        </w:rPr>
        <w:t>有限合伙</w:t>
      </w:r>
      <w:r>
        <w:rPr>
          <w:rFonts w:ascii="宋体" w:hAnsi="宋体" w:cs="宋体" w:eastAsia="宋体" w:hint="default"/>
          <w:spacing w:val="-4"/>
          <w:w w:val="100"/>
        </w:rPr>
        <w:t>)(</w:t>
      </w:r>
      <w:r>
        <w:rPr>
          <w:spacing w:val="-4"/>
          <w:w w:val="100"/>
        </w:rPr>
        <w:t>以下简称员工持股平台，公司持有对上述员工持股平台的投资比例</w:t>
      </w:r>
    </w:p>
    <w:p>
      <w:pPr>
        <w:spacing w:after="0" w:line="357" w:lineRule="auto"/>
        <w:jc w:val="left"/>
        <w:sectPr>
          <w:type w:val="continuous"/>
          <w:pgSz w:w="11910" w:h="16840"/>
          <w:pgMar w:top="1120" w:bottom="1380" w:left="120" w:right="200"/>
        </w:sectPr>
      </w:pPr>
    </w:p>
    <w:p>
      <w:pPr>
        <w:spacing w:line="240" w:lineRule="auto" w:before="1"/>
        <w:rPr>
          <w:rFonts w:ascii="宋体" w:hAnsi="宋体" w:cs="宋体" w:eastAsia="宋体" w:hint="default"/>
          <w:sz w:val="25"/>
          <w:szCs w:val="25"/>
        </w:rPr>
      </w:pPr>
    </w:p>
    <w:p>
      <w:pPr>
        <w:pStyle w:val="BodyText"/>
        <w:spacing w:line="357" w:lineRule="auto" w:before="36"/>
        <w:ind w:left="1678" w:right="0"/>
        <w:jc w:val="left"/>
      </w:pPr>
      <w:r>
        <w:rPr>
          <w:spacing w:val="-4"/>
          <w:w w:val="100"/>
        </w:rPr>
        <w:t>将随员工入股的实际情况变化</w:t>
      </w:r>
      <w:r>
        <w:rPr>
          <w:rFonts w:ascii="宋体" w:hAnsi="宋体" w:cs="宋体" w:eastAsia="宋体" w:hint="default"/>
          <w:spacing w:val="-4"/>
          <w:w w:val="100"/>
        </w:rPr>
        <w:t>)</w:t>
      </w:r>
      <w:r>
        <w:rPr>
          <w:spacing w:val="-4"/>
          <w:w w:val="100"/>
        </w:rPr>
        <w:t>。本期投资成本减少系综合考虑上述员工持股平台持有合并范围内</w:t>
      </w:r>
      <w:r>
        <w:rPr>
          <w:spacing w:val="-85"/>
          <w:w w:val="100"/>
        </w:rPr>
        <w:t> </w:t>
      </w:r>
      <w:r>
        <w:rPr>
          <w:spacing w:val="-85"/>
          <w:w w:val="100"/>
        </w:rPr>
      </w:r>
      <w:r>
        <w:rPr/>
        <w:t>子公司投资成本的抵消情况。</w:t>
      </w: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20" w:right="120"/>
        </w:sectPr>
      </w:pPr>
    </w:p>
    <w:p>
      <w:pPr>
        <w:pStyle w:val="Heading4"/>
        <w:spacing w:line="240" w:lineRule="auto"/>
        <w:ind w:left="1678" w:right="-17"/>
        <w:jc w:val="left"/>
        <w:rPr>
          <w:b w:val="0"/>
          <w:bCs w:val="0"/>
        </w:rPr>
      </w:pPr>
      <w:r>
        <w:rPr>
          <w:rFonts w:ascii="宋体" w:hAnsi="宋体" w:cs="宋体" w:eastAsia="宋体" w:hint="default"/>
        </w:rPr>
        <w:t>15</w:t>
      </w:r>
      <w:r>
        <w:rPr/>
        <w:t>、</w:t>
      </w:r>
      <w:r>
        <w:rPr>
          <w:spacing w:val="-24"/>
        </w:rPr>
        <w:t> </w:t>
      </w:r>
      <w:r>
        <w:rPr/>
        <w:t>持有至到期投资</w:t>
      </w:r>
      <w:r>
        <w:rPr>
          <w:b w:val="0"/>
          <w:bCs w:val="0"/>
        </w:rPr>
      </w:r>
    </w:p>
    <w:p>
      <w:pPr>
        <w:spacing w:line="272" w:lineRule="exact" w:before="86"/>
        <w:ind w:left="1678" w:right="-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p>
      <w:pPr>
        <w:pStyle w:val="BodyText"/>
        <w:tabs>
          <w:tab w:pos="2729" w:val="left" w:leader="none"/>
        </w:tabs>
        <w:spacing w:line="240" w:lineRule="auto"/>
        <w:ind w:left="1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 w:right="120"/>
          <w:cols w:num="2" w:equalWidth="0">
            <w:col w:w="4213" w:space="2309"/>
            <w:col w:w="5148"/>
          </w:cols>
        </w:sectPr>
      </w:pPr>
    </w:p>
    <w:p>
      <w:pPr>
        <w:spacing w:line="240" w:lineRule="auto" w:before="4"/>
        <w:rPr>
          <w:rFonts w:ascii="宋体" w:hAnsi="宋体" w:cs="宋体" w:eastAsia="宋体" w:hint="default"/>
          <w:sz w:val="2"/>
          <w:szCs w:val="2"/>
        </w:rPr>
      </w:pPr>
    </w:p>
    <w:tbl>
      <w:tblPr>
        <w:tblW w:w="0" w:type="auto"/>
        <w:jc w:val="left"/>
        <w:tblInd w:w="1639" w:type="dxa"/>
        <w:tblLayout w:type="fixed"/>
        <w:tblCellMar>
          <w:top w:w="0" w:type="dxa"/>
          <w:left w:w="0" w:type="dxa"/>
          <w:bottom w:w="0" w:type="dxa"/>
          <w:right w:w="0" w:type="dxa"/>
        </w:tblCellMar>
        <w:tblLook w:val="01E0"/>
      </w:tblPr>
      <w:tblGrid>
        <w:gridCol w:w="1759"/>
        <w:gridCol w:w="1261"/>
        <w:gridCol w:w="1130"/>
        <w:gridCol w:w="1179"/>
        <w:gridCol w:w="1248"/>
        <w:gridCol w:w="1155"/>
        <w:gridCol w:w="1164"/>
      </w:tblGrid>
      <w:tr>
        <w:trPr>
          <w:trHeight w:val="288" w:hRule="exact"/>
        </w:trPr>
        <w:tc>
          <w:tcPr>
            <w:tcW w:w="1759" w:type="dxa"/>
            <w:vMerge w:val="restart"/>
            <w:tcBorders>
              <w:top w:val="single" w:sz="6" w:space="0" w:color="000000"/>
              <w:left w:val="single" w:sz="6" w:space="0" w:color="000000"/>
              <w:right w:val="single" w:sz="6"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759" w:type="dxa"/>
            <w:vMerge/>
            <w:tcBorders>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6" w:hRule="exact"/>
        </w:trPr>
        <w:tc>
          <w:tcPr>
            <w:tcW w:w="1759"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1759"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1"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20" w:right="120"/>
        </w:sectPr>
      </w:pPr>
    </w:p>
    <w:p>
      <w:pPr>
        <w:pStyle w:val="Heading4"/>
        <w:spacing w:line="273" w:lineRule="exact"/>
        <w:ind w:left="1678" w:right="-2"/>
        <w:jc w:val="left"/>
        <w:rPr>
          <w:b w:val="0"/>
          <w:bCs w:val="0"/>
        </w:rPr>
      </w:pPr>
      <w:r>
        <w:rPr>
          <w:rFonts w:ascii="宋体" w:hAnsi="宋体" w:cs="宋体" w:eastAsia="宋体" w:hint="default"/>
          <w:spacing w:val="-1"/>
        </w:rPr>
        <w:t>(2).</w:t>
      </w:r>
      <w:r>
        <w:rPr>
          <w:spacing w:val="-1"/>
        </w:rPr>
        <w:t>期末重要的持有至到期投资：</w:t>
      </w:r>
      <w:r>
        <w:rPr>
          <w:b w:val="0"/>
          <w:bCs w:val="0"/>
          <w:spacing w:val="-1"/>
        </w:rPr>
      </w:r>
    </w:p>
    <w:p>
      <w:pPr>
        <w:pStyle w:val="BodyText"/>
        <w:spacing w:line="273" w:lineRule="exact"/>
        <w:ind w:left="167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729" w:val="left" w:leader="none"/>
        </w:tabs>
        <w:spacing w:line="240" w:lineRule="auto"/>
        <w:ind w:left="1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 w:right="120"/>
          <w:cols w:num="2" w:equalWidth="0">
            <w:col w:w="4844" w:space="1677"/>
            <w:col w:w="5149"/>
          </w:cols>
        </w:sectPr>
      </w:pPr>
    </w:p>
    <w:p>
      <w:pPr>
        <w:spacing w:line="240" w:lineRule="auto" w:before="4"/>
        <w:rPr>
          <w:rFonts w:ascii="宋体" w:hAnsi="宋体" w:cs="宋体" w:eastAsia="宋体" w:hint="default"/>
          <w:sz w:val="2"/>
          <w:szCs w:val="2"/>
        </w:rPr>
      </w:pPr>
    </w:p>
    <w:tbl>
      <w:tblPr>
        <w:tblW w:w="0" w:type="auto"/>
        <w:jc w:val="left"/>
        <w:tblInd w:w="1639" w:type="dxa"/>
        <w:tblLayout w:type="fixed"/>
        <w:tblCellMar>
          <w:top w:w="0" w:type="dxa"/>
          <w:left w:w="0" w:type="dxa"/>
          <w:bottom w:w="0" w:type="dxa"/>
          <w:right w:w="0" w:type="dxa"/>
        </w:tblCellMar>
        <w:tblLook w:val="01E0"/>
      </w:tblPr>
      <w:tblGrid>
        <w:gridCol w:w="2708"/>
        <w:gridCol w:w="1567"/>
        <w:gridCol w:w="1455"/>
        <w:gridCol w:w="1474"/>
        <w:gridCol w:w="1692"/>
      </w:tblGrid>
      <w:tr>
        <w:trPr>
          <w:trHeight w:val="288"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债券项目</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票面利率</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实际利率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到期日</w:t>
            </w:r>
          </w:p>
        </w:tc>
      </w:tr>
      <w:tr>
        <w:trPr>
          <w:trHeight w:val="286" w:hRule="exact"/>
        </w:trPr>
        <w:tc>
          <w:tcPr>
            <w:tcW w:w="270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0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7"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Heading4"/>
        <w:spacing w:line="240" w:lineRule="auto"/>
        <w:ind w:left="1678" w:right="4492"/>
        <w:jc w:val="left"/>
        <w:rPr>
          <w:b w:val="0"/>
          <w:bCs w:val="0"/>
        </w:rPr>
      </w:pPr>
      <w:r>
        <w:rPr>
          <w:rFonts w:ascii="宋体" w:hAnsi="宋体" w:cs="宋体" w:eastAsia="宋体" w:hint="default"/>
        </w:rPr>
        <w:t>(3).</w:t>
      </w:r>
      <w:r>
        <w:rPr/>
        <w:t>本期重分类的持有至到期投资：</w:t>
      </w:r>
      <w:r>
        <w:rPr>
          <w:b w:val="0"/>
          <w:bCs w:val="0"/>
        </w:rPr>
      </w:r>
    </w:p>
    <w:p>
      <w:pPr>
        <w:spacing w:line="240" w:lineRule="auto" w:before="9"/>
        <w:rPr>
          <w:rFonts w:ascii="宋体" w:hAnsi="宋体" w:cs="宋体" w:eastAsia="宋体" w:hint="default"/>
          <w:b/>
          <w:bCs/>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6"/>
          <w:szCs w:val="16"/>
        </w:rPr>
      </w:pPr>
    </w:p>
    <w:p>
      <w:pPr>
        <w:pStyle w:val="BodyText"/>
        <w:spacing w:line="240" w:lineRule="auto" w:before="36"/>
        <w:ind w:left="1678" w:right="4492"/>
        <w:jc w:val="left"/>
      </w:pPr>
      <w:r>
        <w:rPr/>
        <w:t>其他说明：</w:t>
      </w:r>
    </w:p>
    <w:p>
      <w:pPr>
        <w:spacing w:line="240" w:lineRule="auto" w:before="11"/>
        <w:rPr>
          <w:rFonts w:ascii="宋体" w:hAnsi="宋体" w:cs="宋体" w:eastAsia="宋体" w:hint="default"/>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left="1678" w:right="4492"/>
        <w:jc w:val="left"/>
        <w:rPr>
          <w:b w:val="0"/>
          <w:bCs w:val="0"/>
        </w:rPr>
      </w:pPr>
      <w:r>
        <w:rPr>
          <w:rFonts w:ascii="宋体" w:hAnsi="宋体" w:cs="宋体" w:eastAsia="宋体" w:hint="default"/>
        </w:rPr>
        <w:t>16</w:t>
      </w:r>
      <w:r>
        <w:rPr/>
        <w:t>、</w:t>
      </w:r>
      <w:r>
        <w:rPr>
          <w:spacing w:val="-25"/>
        </w:rPr>
        <w:t> </w:t>
      </w:r>
      <w:r>
        <w:rPr/>
        <w:t>长期应收款</w:t>
      </w:r>
      <w:r>
        <w:rPr>
          <w:b w:val="0"/>
          <w:bCs w:val="0"/>
        </w:rPr>
      </w:r>
    </w:p>
    <w:p>
      <w:pPr>
        <w:pStyle w:val="BodyText"/>
        <w:spacing w:line="240" w:lineRule="auto" w:before="56"/>
        <w:ind w:left="1678" w:right="449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20" w:right="120"/>
        </w:sectPr>
      </w:pPr>
    </w:p>
    <w:p>
      <w:pPr>
        <w:pStyle w:val="Heading4"/>
        <w:spacing w:line="240" w:lineRule="auto"/>
        <w:ind w:left="1678" w:right="-18"/>
        <w:jc w:val="left"/>
        <w:rPr>
          <w:b w:val="0"/>
          <w:bCs w:val="0"/>
        </w:rPr>
      </w:pPr>
      <w:r>
        <w:rPr>
          <w:rFonts w:ascii="宋体" w:hAnsi="宋体" w:cs="宋体" w:eastAsia="宋体" w:hint="default"/>
        </w:rPr>
        <w:t>17</w:t>
      </w:r>
      <w:r>
        <w:rPr/>
        <w:t>、</w:t>
      </w:r>
      <w:r>
        <w:rPr>
          <w:spacing w:val="-24"/>
        </w:rPr>
        <w:t> </w:t>
      </w:r>
      <w:r>
        <w:rPr/>
        <w:t>长期股权投资</w:t>
      </w:r>
      <w:r>
        <w:rPr>
          <w:b w:val="0"/>
          <w:bCs w:val="0"/>
        </w:rPr>
      </w:r>
    </w:p>
    <w:p>
      <w:pPr>
        <w:pStyle w:val="BodyText"/>
        <w:spacing w:line="240" w:lineRule="auto" w:before="58"/>
        <w:ind w:left="1678"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940" w:val="left" w:leader="none"/>
        </w:tabs>
        <w:spacing w:line="240" w:lineRule="auto"/>
        <w:ind w:left="167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20" w:right="120"/>
          <w:cols w:num="2" w:equalWidth="0">
            <w:col w:w="3450" w:space="2861"/>
            <w:col w:w="5359"/>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133"/>
        <w:gridCol w:w="1123"/>
        <w:gridCol w:w="1133"/>
        <w:gridCol w:w="435"/>
        <w:gridCol w:w="1178"/>
        <w:gridCol w:w="667"/>
        <w:gridCol w:w="1145"/>
        <w:gridCol w:w="1003"/>
        <w:gridCol w:w="703"/>
        <w:gridCol w:w="1095"/>
        <w:gridCol w:w="1162"/>
        <w:gridCol w:w="648"/>
      </w:tblGrid>
      <w:tr>
        <w:trPr>
          <w:trHeight w:val="269"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60" w:lineRule="exact"/>
              <w:ind w:left="460" w:right="164" w:hanging="300"/>
              <w:jc w:val="left"/>
              <w:rPr>
                <w:rFonts w:ascii="宋体" w:hAnsi="宋体" w:cs="宋体" w:eastAsia="宋体" w:hint="default"/>
                <w:sz w:val="20"/>
                <w:szCs w:val="20"/>
              </w:rPr>
            </w:pPr>
            <w:r>
              <w:rPr>
                <w:rFonts w:ascii="宋体" w:hAnsi="宋体" w:cs="宋体" w:eastAsia="宋体" w:hint="default"/>
                <w:sz w:val="20"/>
                <w:szCs w:val="20"/>
              </w:rPr>
              <w:t>被投资单</w:t>
            </w:r>
            <w:r>
              <w:rPr>
                <w:rFonts w:ascii="宋体" w:hAnsi="宋体" w:cs="宋体" w:eastAsia="宋体" w:hint="default"/>
                <w:w w:val="99"/>
                <w:sz w:val="20"/>
                <w:szCs w:val="20"/>
              </w:rPr>
              <w:t> </w:t>
            </w:r>
            <w:r>
              <w:rPr>
                <w:rFonts w:ascii="宋体" w:hAnsi="宋体" w:cs="宋体" w:eastAsia="宋体" w:hint="default"/>
                <w:sz w:val="20"/>
                <w:szCs w:val="20"/>
              </w:rPr>
              <w:t>位</w:t>
            </w: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60" w:lineRule="exact"/>
              <w:ind w:left="352" w:right="360"/>
              <w:jc w:val="left"/>
              <w:rPr>
                <w:rFonts w:ascii="宋体" w:hAnsi="宋体" w:cs="宋体" w:eastAsia="宋体" w:hint="default"/>
                <w:sz w:val="20"/>
                <w:szCs w:val="20"/>
              </w:rPr>
            </w:pPr>
            <w:r>
              <w:rPr>
                <w:rFonts w:ascii="宋体" w:hAnsi="宋体" w:cs="宋体" w:eastAsia="宋体" w:hint="default"/>
                <w:sz w:val="20"/>
                <w:szCs w:val="20"/>
              </w:rPr>
              <w:t>期初</w:t>
            </w:r>
            <w:r>
              <w:rPr>
                <w:rFonts w:ascii="宋体" w:hAnsi="宋体" w:cs="宋体" w:eastAsia="宋体" w:hint="default"/>
                <w:w w:val="99"/>
                <w:sz w:val="20"/>
                <w:szCs w:val="20"/>
              </w:rPr>
              <w:t> </w:t>
            </w:r>
            <w:r>
              <w:rPr>
                <w:rFonts w:ascii="宋体" w:hAnsi="宋体" w:cs="宋体" w:eastAsia="宋体" w:hint="default"/>
                <w:sz w:val="20"/>
                <w:szCs w:val="20"/>
              </w:rPr>
              <w:t>余额</w:t>
            </w:r>
          </w:p>
        </w:tc>
        <w:tc>
          <w:tcPr>
            <w:tcW w:w="73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本期增减变动</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60" w:lineRule="exact"/>
              <w:ind w:left="374" w:right="377"/>
              <w:jc w:val="left"/>
              <w:rPr>
                <w:rFonts w:ascii="宋体" w:hAnsi="宋体" w:cs="宋体" w:eastAsia="宋体" w:hint="default"/>
                <w:sz w:val="20"/>
                <w:szCs w:val="20"/>
              </w:rPr>
            </w:pPr>
            <w:r>
              <w:rPr>
                <w:rFonts w:ascii="宋体" w:hAnsi="宋体" w:cs="宋体" w:eastAsia="宋体" w:hint="default"/>
                <w:sz w:val="20"/>
                <w:szCs w:val="20"/>
              </w:rPr>
              <w:t>期末</w:t>
            </w:r>
            <w:r>
              <w:rPr>
                <w:rFonts w:ascii="宋体" w:hAnsi="宋体" w:cs="宋体" w:eastAsia="宋体" w:hint="default"/>
                <w:w w:val="99"/>
                <w:sz w:val="20"/>
                <w:szCs w:val="20"/>
              </w:rPr>
              <w:t> </w:t>
            </w:r>
            <w:r>
              <w:rPr>
                <w:rFonts w:ascii="宋体" w:hAnsi="宋体" w:cs="宋体" w:eastAsia="宋体" w:hint="default"/>
                <w:sz w:val="20"/>
                <w:szCs w:val="20"/>
              </w:rPr>
              <w:t>余额</w:t>
            </w:r>
          </w:p>
        </w:tc>
        <w:tc>
          <w:tcPr>
            <w:tcW w:w="648" w:type="dxa"/>
            <w:vMerge w:val="restart"/>
            <w:tcBorders>
              <w:top w:val="single" w:sz="4" w:space="0" w:color="000000"/>
              <w:left w:val="single" w:sz="4" w:space="0" w:color="000000"/>
              <w:right w:val="single" w:sz="4" w:space="0" w:color="000000"/>
            </w:tcBorders>
          </w:tcPr>
          <w:p>
            <w:pPr>
              <w:pStyle w:val="TableParagraph"/>
              <w:spacing w:line="260" w:lineRule="exact" w:before="128"/>
              <w:ind w:left="117" w:right="120"/>
              <w:jc w:val="both"/>
              <w:rPr>
                <w:rFonts w:ascii="宋体" w:hAnsi="宋体" w:cs="宋体" w:eastAsia="宋体" w:hint="default"/>
                <w:sz w:val="20"/>
                <w:szCs w:val="20"/>
              </w:rPr>
            </w:pPr>
            <w:r>
              <w:rPr>
                <w:rFonts w:ascii="宋体" w:hAnsi="宋体" w:cs="宋体" w:eastAsia="宋体" w:hint="default"/>
                <w:sz w:val="20"/>
                <w:szCs w:val="20"/>
              </w:rPr>
              <w:t>减值</w:t>
            </w:r>
            <w:r>
              <w:rPr>
                <w:rFonts w:ascii="宋体" w:hAnsi="宋体" w:cs="宋体" w:eastAsia="宋体" w:hint="default"/>
                <w:w w:val="99"/>
                <w:sz w:val="20"/>
                <w:szCs w:val="20"/>
              </w:rPr>
              <w:t> </w:t>
            </w:r>
            <w:r>
              <w:rPr>
                <w:rFonts w:ascii="宋体" w:hAnsi="宋体" w:cs="宋体" w:eastAsia="宋体" w:hint="default"/>
                <w:sz w:val="20"/>
                <w:szCs w:val="20"/>
              </w:rPr>
              <w:t>准备</w:t>
            </w:r>
            <w:r>
              <w:rPr>
                <w:rFonts w:ascii="宋体" w:hAnsi="宋体" w:cs="宋体" w:eastAsia="宋体" w:hint="default"/>
                <w:w w:val="99"/>
                <w:sz w:val="20"/>
                <w:szCs w:val="20"/>
              </w:rPr>
              <w:t> </w:t>
            </w:r>
            <w:r>
              <w:rPr>
                <w:rFonts w:ascii="宋体" w:hAnsi="宋体" w:cs="宋体" w:eastAsia="宋体" w:hint="default"/>
                <w:sz w:val="20"/>
                <w:szCs w:val="20"/>
              </w:rPr>
              <w:t>期末</w:t>
            </w:r>
            <w:r>
              <w:rPr>
                <w:rFonts w:ascii="宋体" w:hAnsi="宋体" w:cs="宋体" w:eastAsia="宋体" w:hint="default"/>
                <w:w w:val="99"/>
                <w:sz w:val="20"/>
                <w:szCs w:val="20"/>
              </w:rPr>
              <w:t> </w:t>
            </w:r>
            <w:r>
              <w:rPr>
                <w:rFonts w:ascii="宋体" w:hAnsi="宋体" w:cs="宋体" w:eastAsia="宋体" w:hint="default"/>
                <w:sz w:val="20"/>
                <w:szCs w:val="20"/>
              </w:rPr>
              <w:t>余额</w:t>
            </w:r>
          </w:p>
        </w:tc>
      </w:tr>
      <w:tr>
        <w:trPr>
          <w:trHeight w:val="1049" w:hRule="exact"/>
        </w:trPr>
        <w:tc>
          <w:tcPr>
            <w:tcW w:w="1133" w:type="dxa"/>
            <w:vMerge/>
            <w:tcBorders>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60" w:right="0"/>
              <w:jc w:val="left"/>
              <w:rPr>
                <w:rFonts w:ascii="宋体" w:hAnsi="宋体" w:cs="宋体" w:eastAsia="宋体" w:hint="default"/>
                <w:sz w:val="20"/>
                <w:szCs w:val="20"/>
              </w:rPr>
            </w:pPr>
            <w:r>
              <w:rPr>
                <w:rFonts w:ascii="宋体" w:hAnsi="宋体" w:cs="宋体" w:eastAsia="宋体" w:hint="default"/>
                <w:sz w:val="20"/>
                <w:szCs w:val="20"/>
              </w:rPr>
              <w:t>追加投资</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12" w:right="0"/>
              <w:jc w:val="both"/>
              <w:rPr>
                <w:rFonts w:ascii="宋体" w:hAnsi="宋体" w:cs="宋体" w:eastAsia="宋体" w:hint="default"/>
                <w:sz w:val="20"/>
                <w:szCs w:val="20"/>
              </w:rPr>
            </w:pPr>
            <w:r>
              <w:rPr>
                <w:rFonts w:ascii="宋体" w:hAnsi="宋体" w:cs="宋体" w:eastAsia="宋体" w:hint="default"/>
                <w:w w:val="99"/>
                <w:sz w:val="20"/>
                <w:szCs w:val="20"/>
              </w:rPr>
              <w:t>减</w:t>
            </w:r>
            <w:r>
              <w:rPr>
                <w:rFonts w:ascii="宋体" w:hAnsi="宋体" w:cs="宋体" w:eastAsia="宋体" w:hint="default"/>
                <w:sz w:val="20"/>
                <w:szCs w:val="20"/>
              </w:rPr>
            </w:r>
          </w:p>
          <w:p>
            <w:pPr>
              <w:pStyle w:val="TableParagraph"/>
              <w:spacing w:line="260" w:lineRule="exact" w:before="24"/>
              <w:ind w:left="112" w:right="111"/>
              <w:jc w:val="both"/>
              <w:rPr>
                <w:rFonts w:ascii="宋体" w:hAnsi="宋体" w:cs="宋体" w:eastAsia="宋体" w:hint="default"/>
                <w:sz w:val="20"/>
                <w:szCs w:val="20"/>
              </w:rPr>
            </w:pPr>
            <w:r>
              <w:rPr>
                <w:rFonts w:ascii="宋体" w:hAnsi="宋体" w:cs="宋体" w:eastAsia="宋体" w:hint="default"/>
                <w:sz w:val="20"/>
                <w:szCs w:val="20"/>
              </w:rPr>
              <w:t>少</w:t>
            </w:r>
            <w:r>
              <w:rPr>
                <w:rFonts w:ascii="宋体" w:hAnsi="宋体" w:cs="宋体" w:eastAsia="宋体" w:hint="default"/>
                <w:w w:val="99"/>
                <w:sz w:val="20"/>
                <w:szCs w:val="20"/>
              </w:rPr>
              <w:t> </w:t>
            </w:r>
            <w:r>
              <w:rPr>
                <w:rFonts w:ascii="宋体" w:hAnsi="宋体" w:cs="宋体" w:eastAsia="宋体" w:hint="default"/>
                <w:sz w:val="20"/>
                <w:szCs w:val="20"/>
              </w:rPr>
              <w:t>投</w:t>
            </w:r>
            <w:r>
              <w:rPr>
                <w:rFonts w:ascii="宋体" w:hAnsi="宋体" w:cs="宋体" w:eastAsia="宋体" w:hint="default"/>
                <w:w w:val="99"/>
                <w:sz w:val="20"/>
                <w:szCs w:val="20"/>
              </w:rPr>
              <w:t> </w:t>
            </w:r>
            <w:r>
              <w:rPr>
                <w:rFonts w:ascii="宋体" w:hAnsi="宋体" w:cs="宋体" w:eastAsia="宋体" w:hint="default"/>
                <w:sz w:val="20"/>
                <w:szCs w:val="20"/>
              </w:rPr>
              <w:t>资</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84" w:right="185"/>
              <w:jc w:val="both"/>
              <w:rPr>
                <w:rFonts w:ascii="宋体" w:hAnsi="宋体" w:cs="宋体" w:eastAsia="宋体" w:hint="default"/>
                <w:sz w:val="20"/>
                <w:szCs w:val="20"/>
              </w:rPr>
            </w:pPr>
            <w:r>
              <w:rPr>
                <w:rFonts w:ascii="宋体" w:hAnsi="宋体" w:cs="宋体" w:eastAsia="宋体" w:hint="default"/>
                <w:sz w:val="20"/>
                <w:szCs w:val="20"/>
              </w:rPr>
              <w:t>权益法下</w:t>
            </w:r>
            <w:r>
              <w:rPr>
                <w:rFonts w:ascii="宋体" w:hAnsi="宋体" w:cs="宋体" w:eastAsia="宋体" w:hint="default"/>
                <w:w w:val="99"/>
                <w:sz w:val="20"/>
                <w:szCs w:val="20"/>
              </w:rPr>
              <w:t> </w:t>
            </w:r>
            <w:r>
              <w:rPr>
                <w:rFonts w:ascii="宋体" w:hAnsi="宋体" w:cs="宋体" w:eastAsia="宋体" w:hint="default"/>
                <w:sz w:val="20"/>
                <w:szCs w:val="20"/>
              </w:rPr>
              <w:t>确认的投</w:t>
            </w:r>
            <w:r>
              <w:rPr>
                <w:rFonts w:ascii="宋体" w:hAnsi="宋体" w:cs="宋体" w:eastAsia="宋体" w:hint="default"/>
                <w:w w:val="99"/>
                <w:sz w:val="20"/>
                <w:szCs w:val="20"/>
              </w:rPr>
              <w:t> </w:t>
            </w:r>
            <w:r>
              <w:rPr>
                <w:rFonts w:ascii="宋体" w:hAnsi="宋体" w:cs="宋体" w:eastAsia="宋体" w:hint="default"/>
                <w:sz w:val="20"/>
                <w:szCs w:val="20"/>
              </w:rPr>
              <w:t>资损益</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27" w:right="0"/>
              <w:jc w:val="both"/>
              <w:rPr>
                <w:rFonts w:ascii="宋体" w:hAnsi="宋体" w:cs="宋体" w:eastAsia="宋体" w:hint="default"/>
                <w:sz w:val="20"/>
                <w:szCs w:val="20"/>
              </w:rPr>
            </w:pPr>
            <w:r>
              <w:rPr>
                <w:rFonts w:ascii="宋体" w:hAnsi="宋体" w:cs="宋体" w:eastAsia="宋体" w:hint="default"/>
                <w:sz w:val="20"/>
                <w:szCs w:val="20"/>
              </w:rPr>
              <w:t>其他</w:t>
            </w:r>
          </w:p>
          <w:p>
            <w:pPr>
              <w:pStyle w:val="TableParagraph"/>
              <w:spacing w:line="260" w:lineRule="exact" w:before="24"/>
              <w:ind w:left="127" w:right="131"/>
              <w:jc w:val="both"/>
              <w:rPr>
                <w:rFonts w:ascii="宋体" w:hAnsi="宋体" w:cs="宋体" w:eastAsia="宋体" w:hint="default"/>
                <w:sz w:val="20"/>
                <w:szCs w:val="20"/>
              </w:rPr>
            </w:pPr>
            <w:r>
              <w:rPr>
                <w:rFonts w:ascii="宋体" w:hAnsi="宋体" w:cs="宋体" w:eastAsia="宋体" w:hint="default"/>
                <w:sz w:val="20"/>
                <w:szCs w:val="20"/>
              </w:rPr>
              <w:t>综合</w:t>
            </w:r>
            <w:r>
              <w:rPr>
                <w:rFonts w:ascii="宋体" w:hAnsi="宋体" w:cs="宋体" w:eastAsia="宋体" w:hint="default"/>
                <w:w w:val="99"/>
                <w:sz w:val="20"/>
                <w:szCs w:val="20"/>
              </w:rPr>
              <w:t> </w:t>
            </w:r>
            <w:r>
              <w:rPr>
                <w:rFonts w:ascii="宋体" w:hAnsi="宋体" w:cs="宋体" w:eastAsia="宋体" w:hint="default"/>
                <w:sz w:val="20"/>
                <w:szCs w:val="20"/>
              </w:rPr>
              <w:t>收益</w:t>
            </w:r>
            <w:r>
              <w:rPr>
                <w:rFonts w:ascii="宋体" w:hAnsi="宋体" w:cs="宋体" w:eastAsia="宋体" w:hint="default"/>
                <w:w w:val="99"/>
                <w:sz w:val="20"/>
                <w:szCs w:val="20"/>
              </w:rPr>
              <w:t> </w:t>
            </w:r>
            <w:r>
              <w:rPr>
                <w:rFonts w:ascii="宋体" w:hAnsi="宋体" w:cs="宋体" w:eastAsia="宋体" w:hint="default"/>
                <w:sz w:val="20"/>
                <w:szCs w:val="20"/>
              </w:rPr>
              <w:t>调整</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367" w:right="168" w:hanging="200"/>
              <w:jc w:val="left"/>
              <w:rPr>
                <w:rFonts w:ascii="宋体" w:hAnsi="宋体" w:cs="宋体" w:eastAsia="宋体" w:hint="default"/>
                <w:sz w:val="20"/>
                <w:szCs w:val="20"/>
              </w:rPr>
            </w:pPr>
            <w:r>
              <w:rPr>
                <w:rFonts w:ascii="宋体" w:hAnsi="宋体" w:cs="宋体" w:eastAsia="宋体" w:hint="default"/>
                <w:sz w:val="20"/>
                <w:szCs w:val="20"/>
              </w:rPr>
              <w:t>其他权益</w:t>
            </w:r>
            <w:r>
              <w:rPr>
                <w:rFonts w:ascii="宋体" w:hAnsi="宋体" w:cs="宋体" w:eastAsia="宋体" w:hint="default"/>
                <w:w w:val="99"/>
                <w:sz w:val="20"/>
                <w:szCs w:val="20"/>
              </w:rPr>
              <w:t> </w:t>
            </w:r>
            <w:r>
              <w:rPr>
                <w:rFonts w:ascii="宋体" w:hAnsi="宋体" w:cs="宋体" w:eastAsia="宋体" w:hint="default"/>
                <w:sz w:val="20"/>
                <w:szCs w:val="20"/>
              </w:rPr>
              <w:t>变动</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96" w:right="0"/>
              <w:jc w:val="both"/>
              <w:rPr>
                <w:rFonts w:ascii="宋体" w:hAnsi="宋体" w:cs="宋体" w:eastAsia="宋体" w:hint="default"/>
                <w:sz w:val="20"/>
                <w:szCs w:val="20"/>
              </w:rPr>
            </w:pPr>
            <w:r>
              <w:rPr>
                <w:rFonts w:ascii="宋体" w:hAnsi="宋体" w:cs="宋体" w:eastAsia="宋体" w:hint="default"/>
                <w:sz w:val="20"/>
                <w:szCs w:val="20"/>
              </w:rPr>
              <w:t>宣告发</w:t>
            </w:r>
          </w:p>
          <w:p>
            <w:pPr>
              <w:pStyle w:val="TableParagraph"/>
              <w:spacing w:line="260" w:lineRule="exact" w:before="24"/>
              <w:ind w:left="196" w:right="197"/>
              <w:jc w:val="both"/>
              <w:rPr>
                <w:rFonts w:ascii="宋体" w:hAnsi="宋体" w:cs="宋体" w:eastAsia="宋体" w:hint="default"/>
                <w:sz w:val="20"/>
                <w:szCs w:val="20"/>
              </w:rPr>
            </w:pPr>
            <w:r>
              <w:rPr>
                <w:rFonts w:ascii="宋体" w:hAnsi="宋体" w:cs="宋体" w:eastAsia="宋体" w:hint="default"/>
                <w:sz w:val="20"/>
                <w:szCs w:val="20"/>
              </w:rPr>
              <w:t>放现金</w:t>
            </w:r>
            <w:r>
              <w:rPr>
                <w:rFonts w:ascii="宋体" w:hAnsi="宋体" w:cs="宋体" w:eastAsia="宋体" w:hint="default"/>
                <w:w w:val="99"/>
                <w:sz w:val="20"/>
                <w:szCs w:val="20"/>
              </w:rPr>
              <w:t> </w:t>
            </w:r>
            <w:r>
              <w:rPr>
                <w:rFonts w:ascii="宋体" w:hAnsi="宋体" w:cs="宋体" w:eastAsia="宋体" w:hint="default"/>
                <w:sz w:val="20"/>
                <w:szCs w:val="20"/>
              </w:rPr>
              <w:t>股利或</w:t>
            </w:r>
            <w:r>
              <w:rPr>
                <w:rFonts w:ascii="宋体" w:hAnsi="宋体" w:cs="宋体" w:eastAsia="宋体" w:hint="default"/>
                <w:w w:val="99"/>
                <w:sz w:val="20"/>
                <w:szCs w:val="20"/>
              </w:rPr>
              <w:t> </w:t>
            </w:r>
            <w:r>
              <w:rPr>
                <w:rFonts w:ascii="宋体" w:hAnsi="宋体" w:cs="宋体" w:eastAsia="宋体" w:hint="default"/>
                <w:sz w:val="20"/>
                <w:szCs w:val="20"/>
              </w:rPr>
              <w:t>利润</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46" w:right="146"/>
              <w:jc w:val="both"/>
              <w:rPr>
                <w:rFonts w:ascii="宋体" w:hAnsi="宋体" w:cs="宋体" w:eastAsia="宋体" w:hint="default"/>
                <w:sz w:val="20"/>
                <w:szCs w:val="20"/>
              </w:rPr>
            </w:pPr>
            <w:r>
              <w:rPr>
                <w:rFonts w:ascii="宋体" w:hAnsi="宋体" w:cs="宋体" w:eastAsia="宋体" w:hint="default"/>
                <w:sz w:val="20"/>
                <w:szCs w:val="20"/>
              </w:rPr>
              <w:t>计提</w:t>
            </w:r>
            <w:r>
              <w:rPr>
                <w:rFonts w:ascii="宋体" w:hAnsi="宋体" w:cs="宋体" w:eastAsia="宋体" w:hint="default"/>
                <w:w w:val="99"/>
                <w:sz w:val="20"/>
                <w:szCs w:val="20"/>
              </w:rPr>
              <w:t> </w:t>
            </w:r>
            <w:r>
              <w:rPr>
                <w:rFonts w:ascii="宋体" w:hAnsi="宋体" w:cs="宋体" w:eastAsia="宋体" w:hint="default"/>
                <w:sz w:val="20"/>
                <w:szCs w:val="20"/>
              </w:rPr>
              <w:t>减值</w:t>
            </w:r>
            <w:r>
              <w:rPr>
                <w:rFonts w:ascii="宋体" w:hAnsi="宋体" w:cs="宋体" w:eastAsia="宋体" w:hint="default"/>
                <w:w w:val="99"/>
                <w:sz w:val="20"/>
                <w:szCs w:val="20"/>
              </w:rPr>
              <w:t> </w:t>
            </w:r>
            <w:r>
              <w:rPr>
                <w:rFonts w:ascii="宋体" w:hAnsi="宋体" w:cs="宋体" w:eastAsia="宋体" w:hint="default"/>
                <w:sz w:val="20"/>
                <w:szCs w:val="20"/>
              </w:rPr>
              <w:t>准备</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341"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162"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52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一</w:t>
            </w:r>
            <w:r>
              <w:rPr>
                <w:rFonts w:ascii="宋体" w:hAnsi="宋体" w:cs="宋体" w:eastAsia="宋体" w:hint="default"/>
                <w:spacing w:val="-85"/>
                <w:w w:val="99"/>
                <w:sz w:val="20"/>
                <w:szCs w:val="20"/>
              </w:rPr>
              <w:t>、</w:t>
            </w:r>
            <w:r>
              <w:rPr>
                <w:rFonts w:ascii="宋体" w:hAnsi="宋体" w:cs="宋体" w:eastAsia="宋体" w:hint="default"/>
                <w:w w:val="99"/>
                <w:sz w:val="20"/>
                <w:szCs w:val="20"/>
              </w:rPr>
              <w:t>合</w:t>
            </w:r>
            <w:r>
              <w:rPr>
                <w:rFonts w:ascii="宋体" w:hAnsi="宋体" w:cs="宋体" w:eastAsia="宋体" w:hint="default"/>
                <w:spacing w:val="2"/>
                <w:w w:val="99"/>
                <w:sz w:val="20"/>
                <w:szCs w:val="20"/>
              </w:rPr>
              <w:t>营</w:t>
            </w:r>
            <w:r>
              <w:rPr>
                <w:rFonts w:ascii="宋体" w:hAnsi="宋体" w:cs="宋体" w:eastAsia="宋体" w:hint="default"/>
                <w:w w:val="99"/>
                <w:sz w:val="20"/>
                <w:szCs w:val="20"/>
              </w:rPr>
              <w:t>企</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业</w:t>
            </w:r>
            <w:r>
              <w:rPr>
                <w:rFonts w:ascii="宋体" w:hAnsi="宋体" w:cs="宋体" w:eastAsia="宋体" w:hint="default"/>
                <w:sz w:val="20"/>
                <w:szCs w:val="20"/>
              </w:rPr>
            </w:r>
          </w:p>
        </w:tc>
        <w:tc>
          <w:tcPr>
            <w:tcW w:w="11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13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13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二</w:t>
            </w:r>
            <w:r>
              <w:rPr>
                <w:rFonts w:ascii="宋体" w:hAnsi="宋体" w:cs="宋体" w:eastAsia="宋体" w:hint="default"/>
                <w:spacing w:val="-85"/>
                <w:w w:val="99"/>
                <w:sz w:val="20"/>
                <w:szCs w:val="20"/>
              </w:rPr>
              <w:t>、</w:t>
            </w:r>
            <w:r>
              <w:rPr>
                <w:rFonts w:ascii="宋体" w:hAnsi="宋体" w:cs="宋体" w:eastAsia="宋体" w:hint="default"/>
                <w:w w:val="99"/>
                <w:sz w:val="20"/>
                <w:szCs w:val="20"/>
              </w:rPr>
              <w:t>联</w:t>
            </w:r>
            <w:r>
              <w:rPr>
                <w:rFonts w:ascii="宋体" w:hAnsi="宋体" w:cs="宋体" w:eastAsia="宋体" w:hint="default"/>
                <w:spacing w:val="2"/>
                <w:w w:val="99"/>
                <w:sz w:val="20"/>
                <w:szCs w:val="20"/>
              </w:rPr>
              <w:t>营</w:t>
            </w:r>
            <w:r>
              <w:rPr>
                <w:rFonts w:ascii="宋体" w:hAnsi="宋体" w:cs="宋体" w:eastAsia="宋体" w:hint="default"/>
                <w:w w:val="99"/>
                <w:sz w:val="20"/>
                <w:szCs w:val="20"/>
              </w:rPr>
              <w:t>企</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业</w:t>
            </w:r>
            <w:r>
              <w:rPr>
                <w:rFonts w:ascii="宋体" w:hAnsi="宋体" w:cs="宋体" w:eastAsia="宋体" w:hint="default"/>
                <w:sz w:val="20"/>
                <w:szCs w:val="20"/>
              </w:rPr>
            </w:r>
          </w:p>
        </w:tc>
        <w:tc>
          <w:tcPr>
            <w:tcW w:w="11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杭州恒生</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鼎汇科技</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7" w:right="0"/>
              <w:jc w:val="left"/>
              <w:rPr>
                <w:rFonts w:ascii="宋体" w:hAnsi="宋体" w:cs="宋体" w:eastAsia="宋体" w:hint="default"/>
                <w:sz w:val="20"/>
                <w:szCs w:val="20"/>
              </w:rPr>
            </w:pPr>
            <w:r>
              <w:rPr>
                <w:rFonts w:ascii="宋体"/>
                <w:sz w:val="20"/>
              </w:rPr>
              <w:t>18,619.01</w:t>
            </w:r>
          </w:p>
        </w:tc>
        <w:tc>
          <w:tcPr>
            <w:tcW w:w="113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6" w:right="0"/>
              <w:jc w:val="left"/>
              <w:rPr>
                <w:rFonts w:ascii="宋体" w:hAnsi="宋体" w:cs="宋体" w:eastAsia="宋体" w:hint="default"/>
                <w:sz w:val="20"/>
                <w:szCs w:val="20"/>
              </w:rPr>
            </w:pPr>
            <w:r>
              <w:rPr>
                <w:rFonts w:ascii="宋体"/>
                <w:sz w:val="20"/>
              </w:rPr>
              <w:t>1,403.51</w:t>
            </w:r>
          </w:p>
        </w:tc>
        <w:tc>
          <w:tcPr>
            <w:tcW w:w="66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8" w:right="0"/>
              <w:jc w:val="left"/>
              <w:rPr>
                <w:rFonts w:ascii="宋体" w:hAnsi="宋体" w:cs="宋体" w:eastAsia="宋体" w:hint="default"/>
                <w:sz w:val="20"/>
                <w:szCs w:val="20"/>
              </w:rPr>
            </w:pPr>
            <w:r>
              <w:rPr>
                <w:rFonts w:ascii="宋体"/>
                <w:sz w:val="20"/>
              </w:rPr>
              <w:t>20,022.52</w:t>
            </w: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0" w:right="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133"/>
        <w:gridCol w:w="1123"/>
        <w:gridCol w:w="1133"/>
        <w:gridCol w:w="435"/>
        <w:gridCol w:w="1178"/>
        <w:gridCol w:w="667"/>
        <w:gridCol w:w="1145"/>
        <w:gridCol w:w="1003"/>
        <w:gridCol w:w="703"/>
        <w:gridCol w:w="1095"/>
        <w:gridCol w:w="1162"/>
        <w:gridCol w:w="648"/>
      </w:tblGrid>
      <w:tr>
        <w:trPr>
          <w:trHeight w:val="27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杭州恒生</w:t>
            </w:r>
          </w:p>
          <w:p>
            <w:pPr>
              <w:pStyle w:val="TableParagraph"/>
              <w:spacing w:line="260" w:lineRule="exact" w:before="24"/>
              <w:ind w:left="103" w:right="221"/>
              <w:jc w:val="left"/>
              <w:rPr>
                <w:rFonts w:ascii="宋体" w:hAnsi="宋体" w:cs="宋体" w:eastAsia="宋体" w:hint="default"/>
                <w:sz w:val="20"/>
                <w:szCs w:val="20"/>
              </w:rPr>
            </w:pPr>
            <w:r>
              <w:rPr>
                <w:rFonts w:ascii="宋体" w:hAnsi="宋体" w:cs="宋体" w:eastAsia="宋体" w:hint="default"/>
                <w:sz w:val="20"/>
                <w:szCs w:val="20"/>
              </w:rPr>
              <w:t>世纪实业</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w w:val="95"/>
                <w:sz w:val="20"/>
              </w:rPr>
              <w:t>3,719.16</w:t>
            </w:r>
            <w:r>
              <w:rPr>
                <w:rFonts w:ascii="宋体"/>
                <w:sz w:val="20"/>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-89.09</w:t>
            </w:r>
            <w:r>
              <w:rPr>
                <w:rFonts w:ascii="宋体"/>
                <w:sz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w w:val="95"/>
                <w:sz w:val="20"/>
              </w:rPr>
              <w:t>3,630.07</w:t>
            </w:r>
            <w:r>
              <w:rPr>
                <w:rFonts w:ascii="宋体"/>
                <w:sz w:val="20"/>
              </w:rPr>
            </w: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浙江维尔</w:t>
            </w:r>
          </w:p>
          <w:p>
            <w:pPr>
              <w:pStyle w:val="TableParagraph"/>
              <w:spacing w:line="260" w:lineRule="exact" w:before="24"/>
              <w:ind w:left="103" w:right="221"/>
              <w:jc w:val="left"/>
              <w:rPr>
                <w:rFonts w:ascii="宋体" w:hAnsi="宋体" w:cs="宋体" w:eastAsia="宋体" w:hint="default"/>
                <w:sz w:val="20"/>
                <w:szCs w:val="20"/>
              </w:rPr>
            </w:pPr>
            <w:r>
              <w:rPr>
                <w:rFonts w:ascii="宋体" w:hAnsi="宋体" w:cs="宋体" w:eastAsia="宋体" w:hint="default"/>
                <w:sz w:val="20"/>
                <w:szCs w:val="20"/>
              </w:rPr>
              <w:t>科技股份</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w w:val="95"/>
                <w:sz w:val="20"/>
              </w:rPr>
              <w:t>2,631.88</w:t>
            </w:r>
            <w:r>
              <w:rPr>
                <w:rFonts w:ascii="宋体"/>
                <w:sz w:val="20"/>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w w:val="95"/>
                <w:sz w:val="20"/>
              </w:rPr>
              <w:t>1,138.70</w:t>
            </w:r>
            <w:r>
              <w:rPr>
                <w:rFonts w:ascii="宋体"/>
                <w:sz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94.36</w:t>
            </w:r>
            <w:r>
              <w:rPr>
                <w:rFonts w:ascii="宋体"/>
                <w:sz w:val="20"/>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z w:val="20"/>
              </w:rPr>
              <w:t>-670.50</w:t>
            </w:r>
          </w:p>
        </w:tc>
        <w:tc>
          <w:tcPr>
            <w:tcW w:w="703"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w w:val="95"/>
                <w:sz w:val="20"/>
              </w:rPr>
              <w:t>3,194.44</w:t>
            </w:r>
            <w:r>
              <w:rPr>
                <w:rFonts w:ascii="宋体"/>
                <w:sz w:val="20"/>
              </w:rPr>
            </w: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杭州恒生</w:t>
            </w:r>
          </w:p>
          <w:p>
            <w:pPr>
              <w:pStyle w:val="TableParagraph"/>
              <w:spacing w:line="260" w:lineRule="exact" w:before="24"/>
              <w:ind w:left="103" w:right="221"/>
              <w:jc w:val="left"/>
              <w:rPr>
                <w:rFonts w:ascii="宋体" w:hAnsi="宋体" w:cs="宋体" w:eastAsia="宋体" w:hint="default"/>
                <w:sz w:val="20"/>
                <w:szCs w:val="20"/>
              </w:rPr>
            </w:pPr>
            <w:r>
              <w:rPr>
                <w:rFonts w:ascii="宋体" w:hAnsi="宋体" w:cs="宋体" w:eastAsia="宋体" w:hint="default"/>
                <w:sz w:val="20"/>
                <w:szCs w:val="20"/>
              </w:rPr>
              <w:t>百川科技</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5"/>
                <w:sz w:val="20"/>
              </w:rPr>
              <w:t>7,216.63</w:t>
            </w:r>
            <w:r>
              <w:rPr>
                <w:rFonts w:ascii="宋体"/>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w w:val="95"/>
                <w:sz w:val="20"/>
              </w:rPr>
              <w:t>1,750.00</w:t>
            </w:r>
            <w:r>
              <w:rPr>
                <w:rFonts w:ascii="宋体"/>
                <w:sz w:val="20"/>
              </w:rPr>
            </w:r>
          </w:p>
        </w:tc>
        <w:tc>
          <w:tcPr>
            <w:tcW w:w="43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993.94</w:t>
            </w:r>
            <w:r>
              <w:rPr>
                <w:rFonts w:ascii="宋体"/>
                <w:sz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w w:val="95"/>
                <w:sz w:val="20"/>
              </w:rPr>
              <w:t>9,960.57</w:t>
            </w:r>
            <w:r>
              <w:rPr>
                <w:rFonts w:ascii="宋体"/>
                <w:sz w:val="20"/>
              </w:rPr>
            </w: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杭州数米</w:t>
            </w:r>
          </w:p>
          <w:p>
            <w:pPr>
              <w:pStyle w:val="TableParagraph"/>
              <w:spacing w:line="240" w:lineRule="auto"/>
              <w:ind w:left="103" w:right="221"/>
              <w:jc w:val="left"/>
              <w:rPr>
                <w:rFonts w:ascii="宋体" w:hAnsi="宋体" w:cs="宋体" w:eastAsia="宋体" w:hint="default"/>
                <w:sz w:val="20"/>
                <w:szCs w:val="20"/>
              </w:rPr>
            </w:pPr>
            <w:r>
              <w:rPr>
                <w:rFonts w:ascii="宋体" w:hAnsi="宋体" w:cs="宋体" w:eastAsia="宋体" w:hint="default"/>
                <w:sz w:val="20"/>
                <w:szCs w:val="20"/>
              </w:rPr>
              <w:t>基金销售</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10.52</w:t>
            </w:r>
            <w:r>
              <w:rPr>
                <w:rFonts w:ascii="宋体"/>
                <w:sz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w w:val="95"/>
                <w:sz w:val="20"/>
              </w:rPr>
              <w:t>2,819.25</w:t>
            </w:r>
            <w:r>
              <w:rPr>
                <w:rFonts w:ascii="宋体"/>
                <w:sz w:val="20"/>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w w:val="95"/>
                <w:sz w:val="20"/>
              </w:rPr>
              <w:t>5,075.35</w:t>
            </w:r>
            <w:r>
              <w:rPr>
                <w:rFonts w:ascii="宋体"/>
                <w:sz w:val="20"/>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w w:val="95"/>
                <w:sz w:val="20"/>
              </w:rPr>
              <w:t>7,905.12</w:t>
            </w:r>
            <w:r>
              <w:rPr>
                <w:rFonts w:ascii="宋体"/>
                <w:sz w:val="20"/>
              </w:rPr>
            </w: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深圳开拓</w:t>
            </w:r>
          </w:p>
          <w:p>
            <w:pPr>
              <w:pStyle w:val="TableParagraph"/>
              <w:spacing w:line="240" w:lineRule="auto"/>
              <w:ind w:left="103" w:right="221"/>
              <w:jc w:val="left"/>
              <w:rPr>
                <w:rFonts w:ascii="宋体" w:hAnsi="宋体" w:cs="宋体" w:eastAsia="宋体" w:hint="default"/>
                <w:sz w:val="20"/>
                <w:szCs w:val="20"/>
              </w:rPr>
            </w:pPr>
            <w:r>
              <w:rPr>
                <w:rFonts w:ascii="宋体" w:hAnsi="宋体" w:cs="宋体" w:eastAsia="宋体" w:hint="default"/>
                <w:sz w:val="20"/>
                <w:szCs w:val="20"/>
              </w:rPr>
              <w:t>者科技有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w w:val="95"/>
                <w:sz w:val="20"/>
              </w:rPr>
              <w:t>7,200.00</w:t>
            </w:r>
            <w:r>
              <w:rPr>
                <w:rFonts w:ascii="宋体"/>
                <w:sz w:val="20"/>
              </w:rPr>
            </w:r>
          </w:p>
        </w:tc>
        <w:tc>
          <w:tcPr>
            <w:tcW w:w="43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767.82</w:t>
            </w:r>
            <w:r>
              <w:rPr>
                <w:rFonts w:ascii="宋体"/>
                <w:sz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895.13</w:t>
            </w:r>
            <w:r>
              <w:rPr>
                <w:rFonts w:ascii="宋体"/>
                <w:sz w:val="20"/>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w w:val="95"/>
                <w:sz w:val="20"/>
              </w:rPr>
              <w:t>8,862.95</w:t>
            </w:r>
            <w:r>
              <w:rPr>
                <w:rFonts w:ascii="宋体"/>
                <w:sz w:val="20"/>
              </w:rPr>
            </w: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杭州融都</w:t>
            </w:r>
          </w:p>
          <w:p>
            <w:pPr>
              <w:pStyle w:val="TableParagraph"/>
              <w:spacing w:line="260" w:lineRule="exact" w:before="24"/>
              <w:ind w:left="103" w:right="221"/>
              <w:jc w:val="left"/>
              <w:rPr>
                <w:rFonts w:ascii="宋体" w:hAnsi="宋体" w:cs="宋体" w:eastAsia="宋体" w:hint="default"/>
                <w:sz w:val="20"/>
                <w:szCs w:val="20"/>
              </w:rPr>
            </w:pPr>
            <w:r>
              <w:rPr>
                <w:rFonts w:ascii="宋体" w:hAnsi="宋体" w:cs="宋体" w:eastAsia="宋体" w:hint="default"/>
                <w:sz w:val="20"/>
                <w:szCs w:val="20"/>
              </w:rPr>
              <w:t>科技有限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w w:val="95"/>
                <w:sz w:val="20"/>
              </w:rPr>
              <w:t>4,250.00</w:t>
            </w:r>
            <w:r>
              <w:rPr>
                <w:rFonts w:ascii="宋体"/>
                <w:sz w:val="20"/>
              </w:rPr>
            </w:r>
          </w:p>
        </w:tc>
        <w:tc>
          <w:tcPr>
            <w:tcW w:w="43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z w:val="20"/>
              </w:rPr>
              <w:t>-246.63</w:t>
            </w:r>
          </w:p>
        </w:tc>
        <w:tc>
          <w:tcPr>
            <w:tcW w:w="66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12.04</w:t>
            </w:r>
            <w:r>
              <w:rPr>
                <w:rFonts w:ascii="宋体"/>
                <w:sz w:val="20"/>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w w:val="95"/>
                <w:sz w:val="20"/>
              </w:rPr>
              <w:t>4,015.41</w:t>
            </w:r>
            <w:r>
              <w:rPr>
                <w:rFonts w:ascii="宋体"/>
                <w:sz w:val="20"/>
              </w:rPr>
            </w: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30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z w:val="20"/>
                <w:szCs w:val="20"/>
              </w:rPr>
              <w:t>浙江互联</w:t>
            </w:r>
          </w:p>
          <w:p>
            <w:pPr>
              <w:pStyle w:val="TableParagraph"/>
              <w:spacing w:line="260" w:lineRule="exact" w:before="24"/>
              <w:ind w:left="103" w:right="221"/>
              <w:jc w:val="both"/>
              <w:rPr>
                <w:rFonts w:ascii="宋体" w:hAnsi="宋体" w:cs="宋体" w:eastAsia="宋体" w:hint="default"/>
                <w:sz w:val="20"/>
                <w:szCs w:val="20"/>
              </w:rPr>
            </w:pPr>
            <w:r>
              <w:rPr>
                <w:rFonts w:ascii="宋体" w:hAnsi="宋体" w:cs="宋体" w:eastAsia="宋体" w:hint="default"/>
                <w:sz w:val="20"/>
                <w:szCs w:val="20"/>
              </w:rPr>
              <w:t>网金融资</w:t>
            </w:r>
            <w:r>
              <w:rPr>
                <w:rFonts w:ascii="宋体" w:hAnsi="宋体" w:cs="宋体" w:eastAsia="宋体" w:hint="default"/>
                <w:w w:val="99"/>
                <w:sz w:val="20"/>
                <w:szCs w:val="20"/>
              </w:rPr>
              <w:t> </w:t>
            </w:r>
            <w:r>
              <w:rPr>
                <w:rFonts w:ascii="宋体" w:hAnsi="宋体" w:cs="宋体" w:eastAsia="宋体" w:hint="default"/>
                <w:sz w:val="20"/>
                <w:szCs w:val="20"/>
              </w:rPr>
              <w:t>产交易中</w:t>
            </w:r>
            <w:r>
              <w:rPr>
                <w:rFonts w:ascii="宋体" w:hAnsi="宋体" w:cs="宋体" w:eastAsia="宋体" w:hint="default"/>
                <w:w w:val="99"/>
                <w:sz w:val="20"/>
                <w:szCs w:val="20"/>
              </w:rPr>
              <w:t> </w:t>
            </w:r>
            <w:r>
              <w:rPr>
                <w:rFonts w:ascii="宋体" w:hAnsi="宋体" w:cs="宋体" w:eastAsia="宋体" w:hint="default"/>
                <w:sz w:val="20"/>
                <w:szCs w:val="20"/>
              </w:rPr>
              <w:t>心股份有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w w:val="95"/>
                <w:sz w:val="20"/>
              </w:rPr>
              <w:t>1,087.50</w:t>
            </w:r>
            <w:r>
              <w:rPr>
                <w:rFonts w:ascii="宋体"/>
                <w:sz w:val="20"/>
              </w:rPr>
            </w:r>
          </w:p>
        </w:tc>
        <w:tc>
          <w:tcPr>
            <w:tcW w:w="43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z w:val="20"/>
              </w:rPr>
              <w:t>-217.06</w:t>
            </w:r>
          </w:p>
        </w:tc>
        <w:tc>
          <w:tcPr>
            <w:tcW w:w="66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870.44</w:t>
            </w:r>
            <w:r>
              <w:rPr>
                <w:rFonts w:ascii="宋体"/>
                <w:sz w:val="20"/>
              </w:rPr>
            </w: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4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both"/>
              <w:rPr>
                <w:rFonts w:ascii="宋体" w:hAnsi="宋体" w:cs="宋体" w:eastAsia="宋体" w:hint="default"/>
                <w:sz w:val="20"/>
                <w:szCs w:val="20"/>
              </w:rPr>
            </w:pPr>
            <w:r>
              <w:rPr>
                <w:rFonts w:ascii="宋体" w:hAnsi="宋体" w:cs="宋体" w:eastAsia="宋体" w:hint="default"/>
                <w:sz w:val="20"/>
                <w:szCs w:val="20"/>
              </w:rPr>
              <w:t>浙江恒生</w:t>
            </w:r>
          </w:p>
          <w:p>
            <w:pPr>
              <w:pStyle w:val="TableParagraph"/>
              <w:spacing w:line="260" w:lineRule="exact" w:before="24"/>
              <w:ind w:left="103" w:right="221"/>
              <w:jc w:val="both"/>
              <w:rPr>
                <w:rFonts w:ascii="宋体" w:hAnsi="宋体" w:cs="宋体" w:eastAsia="宋体" w:hint="default"/>
                <w:sz w:val="20"/>
                <w:szCs w:val="20"/>
              </w:rPr>
            </w:pPr>
            <w:r>
              <w:rPr>
                <w:rFonts w:ascii="宋体" w:hAnsi="宋体" w:cs="宋体" w:eastAsia="宋体" w:hint="default"/>
                <w:sz w:val="20"/>
                <w:szCs w:val="20"/>
              </w:rPr>
              <w:t>长运网络</w:t>
            </w:r>
            <w:r>
              <w:rPr>
                <w:rFonts w:ascii="宋体" w:hAnsi="宋体" w:cs="宋体" w:eastAsia="宋体" w:hint="default"/>
                <w:w w:val="99"/>
                <w:sz w:val="20"/>
                <w:szCs w:val="20"/>
              </w:rPr>
              <w:t> </w:t>
            </w:r>
            <w:r>
              <w:rPr>
                <w:rFonts w:ascii="宋体" w:hAnsi="宋体" w:cs="宋体" w:eastAsia="宋体" w:hint="default"/>
                <w:sz w:val="20"/>
                <w:szCs w:val="20"/>
              </w:rPr>
              <w:t>科技有限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661.50</w:t>
            </w:r>
            <w:r>
              <w:rPr>
                <w:rFonts w:ascii="宋体"/>
                <w:sz w:val="20"/>
              </w:rPr>
            </w:r>
          </w:p>
        </w:tc>
        <w:tc>
          <w:tcPr>
            <w:tcW w:w="43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-43.44</w:t>
            </w:r>
            <w:r>
              <w:rPr>
                <w:rFonts w:ascii="宋体"/>
                <w:sz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618.06</w:t>
            </w:r>
            <w:r>
              <w:rPr>
                <w:rFonts w:ascii="宋体"/>
                <w:sz w:val="20"/>
              </w:rPr>
            </w: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z w:val="20"/>
                <w:szCs w:val="20"/>
              </w:rPr>
              <w:t>杭州恒生</w:t>
            </w:r>
          </w:p>
          <w:p>
            <w:pPr>
              <w:pStyle w:val="TableParagraph"/>
              <w:spacing w:line="260" w:lineRule="exact" w:before="24"/>
              <w:ind w:left="103" w:right="221"/>
              <w:jc w:val="both"/>
              <w:rPr>
                <w:rFonts w:ascii="宋体" w:hAnsi="宋体" w:cs="宋体" w:eastAsia="宋体" w:hint="default"/>
                <w:sz w:val="20"/>
                <w:szCs w:val="20"/>
              </w:rPr>
            </w:pPr>
            <w:r>
              <w:rPr>
                <w:rFonts w:ascii="宋体" w:hAnsi="宋体" w:cs="宋体" w:eastAsia="宋体" w:hint="default"/>
                <w:sz w:val="20"/>
                <w:szCs w:val="20"/>
              </w:rPr>
              <w:t>芸泰网络</w:t>
            </w:r>
            <w:r>
              <w:rPr>
                <w:rFonts w:ascii="宋体" w:hAnsi="宋体" w:cs="宋体" w:eastAsia="宋体" w:hint="default"/>
                <w:w w:val="99"/>
                <w:sz w:val="20"/>
                <w:szCs w:val="20"/>
              </w:rPr>
              <w:t> </w:t>
            </w:r>
            <w:r>
              <w:rPr>
                <w:rFonts w:ascii="宋体" w:hAnsi="宋体" w:cs="宋体" w:eastAsia="宋体" w:hint="default"/>
                <w:sz w:val="20"/>
                <w:szCs w:val="20"/>
              </w:rPr>
              <w:t>科技有限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200.00</w:t>
            </w:r>
            <w:r>
              <w:rPr>
                <w:rFonts w:ascii="宋体"/>
                <w:sz w:val="20"/>
              </w:rPr>
            </w:r>
          </w:p>
        </w:tc>
        <w:tc>
          <w:tcPr>
            <w:tcW w:w="43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w w:val="95"/>
                <w:sz w:val="20"/>
              </w:rPr>
              <w:t>-1,272.90</w:t>
            </w:r>
            <w:r>
              <w:rPr>
                <w:rFonts w:ascii="宋体"/>
                <w:sz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w w:val="95"/>
                <w:sz w:val="20"/>
              </w:rPr>
              <w:t>3,030.00</w:t>
            </w:r>
            <w:r>
              <w:rPr>
                <w:rFonts w:ascii="宋体"/>
                <w:sz w:val="20"/>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w w:val="95"/>
                <w:sz w:val="20"/>
              </w:rPr>
              <w:t>1,957.10</w:t>
            </w:r>
            <w:r>
              <w:rPr>
                <w:rFonts w:ascii="宋体"/>
                <w:sz w:val="20"/>
              </w:rPr>
            </w: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4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both"/>
              <w:rPr>
                <w:rFonts w:ascii="宋体" w:hAnsi="宋体" w:cs="宋体" w:eastAsia="宋体" w:hint="default"/>
                <w:sz w:val="20"/>
                <w:szCs w:val="20"/>
              </w:rPr>
            </w:pPr>
            <w:r>
              <w:rPr>
                <w:rFonts w:ascii="宋体" w:hAnsi="宋体" w:cs="宋体" w:eastAsia="宋体" w:hint="default"/>
                <w:sz w:val="20"/>
                <w:szCs w:val="20"/>
              </w:rPr>
              <w:t>广东粤财</w:t>
            </w:r>
          </w:p>
          <w:p>
            <w:pPr>
              <w:pStyle w:val="TableParagraph"/>
              <w:spacing w:line="260" w:lineRule="exact" w:before="24"/>
              <w:ind w:left="103" w:right="221"/>
              <w:jc w:val="both"/>
              <w:rPr>
                <w:rFonts w:ascii="宋体" w:hAnsi="宋体" w:cs="宋体" w:eastAsia="宋体" w:hint="default"/>
                <w:sz w:val="20"/>
                <w:szCs w:val="20"/>
              </w:rPr>
            </w:pPr>
            <w:r>
              <w:rPr>
                <w:rFonts w:ascii="宋体" w:hAnsi="宋体" w:cs="宋体" w:eastAsia="宋体" w:hint="default"/>
                <w:sz w:val="20"/>
                <w:szCs w:val="20"/>
              </w:rPr>
              <w:t>互联网金</w:t>
            </w:r>
            <w:r>
              <w:rPr>
                <w:rFonts w:ascii="宋体" w:hAnsi="宋体" w:cs="宋体" w:eastAsia="宋体" w:hint="default"/>
                <w:w w:val="99"/>
                <w:sz w:val="20"/>
                <w:szCs w:val="20"/>
              </w:rPr>
              <w:t> </w:t>
            </w:r>
            <w:r>
              <w:rPr>
                <w:rFonts w:ascii="宋体" w:hAnsi="宋体" w:cs="宋体" w:eastAsia="宋体" w:hint="default"/>
                <w:sz w:val="20"/>
                <w:szCs w:val="20"/>
              </w:rPr>
              <w:t>融股份有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w w:val="95"/>
                <w:sz w:val="20"/>
              </w:rPr>
              <w:t>1,000.00</w:t>
            </w:r>
            <w:r>
              <w:rPr>
                <w:rFonts w:ascii="宋体"/>
                <w:sz w:val="20"/>
              </w:rPr>
            </w:r>
          </w:p>
        </w:tc>
        <w:tc>
          <w:tcPr>
            <w:tcW w:w="43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-16.07</w:t>
            </w:r>
            <w:r>
              <w:rPr>
                <w:rFonts w:ascii="宋体"/>
                <w:sz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983.93</w:t>
            </w:r>
            <w:r>
              <w:rPr>
                <w:rFonts w:ascii="宋体"/>
                <w:sz w:val="20"/>
              </w:rPr>
            </w: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32,186.68</w:t>
            </w:r>
            <w:r>
              <w:rPr>
                <w:rFonts w:ascii="宋体"/>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16,149.00</w:t>
            </w:r>
            <w:r>
              <w:rPr>
                <w:rFonts w:ascii="宋体"/>
                <w:sz w:val="20"/>
              </w:rPr>
            </w:r>
          </w:p>
        </w:tc>
        <w:tc>
          <w:tcPr>
            <w:tcW w:w="43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2,429.30</w:t>
            </w:r>
            <w:r>
              <w:rPr>
                <w:rFonts w:ascii="宋体"/>
                <w:sz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6,850.78</w:t>
            </w:r>
            <w:r>
              <w:rPr>
                <w:rFonts w:ascii="宋体"/>
                <w:sz w:val="20"/>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-670.50</w:t>
            </w:r>
          </w:p>
        </w:tc>
        <w:tc>
          <w:tcPr>
            <w:tcW w:w="703"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5,075.35</w:t>
            </w:r>
            <w:r>
              <w:rPr>
                <w:rFonts w:ascii="宋体"/>
                <w:sz w:val="20"/>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62,020.61</w:t>
            </w:r>
            <w:r>
              <w:rPr>
                <w:rFonts w:ascii="宋体"/>
                <w:sz w:val="20"/>
              </w:rPr>
            </w: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6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32,186.68</w:t>
            </w:r>
            <w:r>
              <w:rPr>
                <w:rFonts w:ascii="宋体"/>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16,149.00</w:t>
            </w:r>
            <w:r>
              <w:rPr>
                <w:rFonts w:ascii="宋体"/>
                <w:sz w:val="20"/>
              </w:rPr>
            </w:r>
          </w:p>
        </w:tc>
        <w:tc>
          <w:tcPr>
            <w:tcW w:w="43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2,429.30</w:t>
            </w:r>
            <w:r>
              <w:rPr>
                <w:rFonts w:ascii="宋体"/>
                <w:sz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6,850.78</w:t>
            </w:r>
            <w:r>
              <w:rPr>
                <w:rFonts w:ascii="宋体"/>
                <w:sz w:val="20"/>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-670.50</w:t>
            </w:r>
          </w:p>
        </w:tc>
        <w:tc>
          <w:tcPr>
            <w:tcW w:w="703"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5,075.35</w:t>
            </w:r>
            <w:r>
              <w:rPr>
                <w:rFonts w:ascii="宋体"/>
                <w:sz w:val="20"/>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62,020.61</w:t>
            </w:r>
            <w:r>
              <w:rPr>
                <w:rFonts w:ascii="宋体"/>
                <w:sz w:val="20"/>
              </w:rPr>
            </w: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1678" w:right="4492"/>
        <w:jc w:val="left"/>
      </w:pPr>
      <w:r>
        <w:rPr/>
        <w:t>其他说明</w:t>
      </w:r>
    </w:p>
    <w:p>
      <w:pPr>
        <w:spacing w:line="240" w:lineRule="auto" w:before="9"/>
        <w:rPr>
          <w:rFonts w:ascii="宋体" w:hAnsi="宋体" w:cs="宋体" w:eastAsia="宋体" w:hint="default"/>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20" w:right="120"/>
        </w:sectPr>
      </w:pPr>
    </w:p>
    <w:p>
      <w:pPr>
        <w:pStyle w:val="Heading4"/>
        <w:spacing w:line="240" w:lineRule="auto"/>
        <w:ind w:left="1678" w:right="147"/>
        <w:jc w:val="left"/>
        <w:rPr>
          <w:b w:val="0"/>
          <w:bCs w:val="0"/>
        </w:rPr>
      </w:pPr>
      <w:r>
        <w:rPr>
          <w:rFonts w:ascii="宋体" w:hAnsi="宋体" w:cs="宋体" w:eastAsia="宋体" w:hint="default"/>
        </w:rPr>
        <w:t>18</w:t>
      </w:r>
      <w:r>
        <w:rPr/>
        <w:t>、</w:t>
      </w:r>
      <w:r>
        <w:rPr>
          <w:spacing w:val="-24"/>
        </w:rPr>
        <w:t> </w:t>
      </w:r>
      <w:r>
        <w:rPr/>
        <w:t>投资性房地产</w:t>
      </w:r>
      <w:r>
        <w:rPr>
          <w:b w:val="0"/>
          <w:bCs w:val="0"/>
        </w:rPr>
      </w:r>
    </w:p>
    <w:p>
      <w:pPr>
        <w:pStyle w:val="BodyText"/>
        <w:spacing w:line="272" w:lineRule="exact" w:before="86"/>
        <w:ind w:left="1678" w:right="147"/>
        <w:jc w:val="left"/>
      </w:pPr>
      <w:r>
        <w:rPr/>
        <w:t>√适用</w:t>
      </w:r>
      <w:r>
        <w:rPr>
          <w:spacing w:val="-2"/>
        </w:rPr>
        <w:t> </w:t>
      </w:r>
      <w:r>
        <w:rPr/>
        <w:t>□不适用</w:t>
      </w:r>
      <w:r>
        <w:rPr>
          <w:w w:val="100"/>
        </w:rPr>
        <w:t> </w:t>
      </w:r>
      <w:r>
        <w:rPr>
          <w:spacing w:val="-2"/>
        </w:rPr>
        <w:t>投资性房地产计量模式</w:t>
      </w:r>
    </w:p>
    <w:p>
      <w:pPr>
        <w:pStyle w:val="Heading4"/>
        <w:spacing w:line="240" w:lineRule="auto" w:before="34"/>
        <w:ind w:left="1678" w:right="-18"/>
        <w:jc w:val="left"/>
        <w:rPr>
          <w:b w:val="0"/>
          <w:bCs w:val="0"/>
        </w:rPr>
      </w:pPr>
      <w:r>
        <w:rPr>
          <w:rFonts w:ascii="宋体" w:hAnsi="宋体" w:cs="宋体" w:eastAsia="宋体" w:hint="default"/>
        </w:rPr>
        <w:t>(1).</w:t>
      </w:r>
      <w:r>
        <w:rPr>
          <w:rFonts w:ascii="宋体" w:hAnsi="宋体" w:cs="宋体" w:eastAsia="宋体" w:hint="default"/>
          <w:spacing w:val="86"/>
        </w:rPr>
        <w:t> </w:t>
      </w:r>
      <w:r>
        <w:rPr/>
        <w:t>采用成本计量模式的投资性房地产</w:t>
      </w:r>
      <w:r>
        <w:rPr>
          <w:b w:val="0"/>
          <w:bCs w:val="0"/>
        </w:rPr>
      </w:r>
    </w:p>
    <w:p>
      <w:pPr>
        <w:pStyle w:val="BodyText"/>
        <w:spacing w:line="240" w:lineRule="auto" w:before="56"/>
        <w:ind w:left="1678" w:right="14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tabs>
          <w:tab w:pos="2729" w:val="left" w:leader="none"/>
        </w:tabs>
        <w:spacing w:line="240" w:lineRule="auto"/>
        <w:ind w:left="1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 w:right="120"/>
          <w:cols w:num="2" w:equalWidth="0">
            <w:col w:w="5459" w:space="1063"/>
            <w:col w:w="5148"/>
          </w:cols>
        </w:sectPr>
      </w:pPr>
    </w:p>
    <w:p>
      <w:pPr>
        <w:spacing w:line="240" w:lineRule="auto" w:before="4"/>
        <w:rPr>
          <w:rFonts w:ascii="宋体" w:hAnsi="宋体" w:cs="宋体" w:eastAsia="宋体" w:hint="default"/>
          <w:sz w:val="2"/>
          <w:szCs w:val="2"/>
        </w:rPr>
      </w:pPr>
    </w:p>
    <w:tbl>
      <w:tblPr>
        <w:tblW w:w="0" w:type="auto"/>
        <w:jc w:val="left"/>
        <w:tblInd w:w="537" w:type="dxa"/>
        <w:tblLayout w:type="fixed"/>
        <w:tblCellMar>
          <w:top w:w="0" w:type="dxa"/>
          <w:left w:w="0" w:type="dxa"/>
          <w:bottom w:w="0" w:type="dxa"/>
          <w:right w:w="0" w:type="dxa"/>
        </w:tblCellMar>
        <w:tblLook w:val="01E0"/>
      </w:tblPr>
      <w:tblGrid>
        <w:gridCol w:w="3973"/>
        <w:gridCol w:w="1702"/>
        <w:gridCol w:w="1700"/>
        <w:gridCol w:w="1539"/>
        <w:gridCol w:w="1723"/>
      </w:tblGrid>
      <w:tr>
        <w:trPr>
          <w:trHeight w:val="284"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22,731,127.65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1" w:right="0"/>
              <w:jc w:val="left"/>
              <w:rPr>
                <w:rFonts w:ascii="宋体" w:hAnsi="宋体" w:cs="宋体" w:eastAsia="宋体" w:hint="default"/>
                <w:sz w:val="21"/>
                <w:szCs w:val="21"/>
              </w:rPr>
            </w:pPr>
            <w:r>
              <w:rPr>
                <w:rFonts w:ascii="宋体"/>
                <w:sz w:val="21"/>
              </w:rPr>
              <w:t>65,952.53</w:t>
            </w: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4" w:right="0"/>
              <w:jc w:val="left"/>
              <w:rPr>
                <w:rFonts w:ascii="宋体" w:hAnsi="宋体" w:cs="宋体" w:eastAsia="宋体" w:hint="default"/>
                <w:sz w:val="21"/>
                <w:szCs w:val="21"/>
              </w:rPr>
            </w:pPr>
            <w:r>
              <w:rPr>
                <w:rFonts w:ascii="宋体"/>
                <w:sz w:val="21"/>
              </w:rPr>
              <w:t>22,797,080.18</w:t>
            </w:r>
          </w:p>
        </w:tc>
      </w:tr>
    </w:tbl>
    <w:p>
      <w:pPr>
        <w:spacing w:after="0" w:line="241" w:lineRule="exact"/>
        <w:jc w:val="left"/>
        <w:rPr>
          <w:rFonts w:ascii="宋体" w:hAnsi="宋体" w:cs="宋体" w:eastAsia="宋体" w:hint="default"/>
          <w:sz w:val="21"/>
          <w:szCs w:val="21"/>
        </w:rPr>
        <w:sectPr>
          <w:type w:val="continuous"/>
          <w:pgSz w:w="11910" w:h="16840"/>
          <w:pgMar w:top="1120" w:bottom="1380" w:left="120" w:right="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57" w:type="dxa"/>
        <w:tblLayout w:type="fixed"/>
        <w:tblCellMar>
          <w:top w:w="0" w:type="dxa"/>
          <w:left w:w="0" w:type="dxa"/>
          <w:bottom w:w="0" w:type="dxa"/>
          <w:right w:w="0" w:type="dxa"/>
        </w:tblCellMar>
        <w:tblLook w:val="01E0"/>
      </w:tblPr>
      <w:tblGrid>
        <w:gridCol w:w="3973"/>
        <w:gridCol w:w="1702"/>
        <w:gridCol w:w="1700"/>
        <w:gridCol w:w="1539"/>
        <w:gridCol w:w="1723"/>
      </w:tblGrid>
      <w:tr>
        <w:trPr>
          <w:trHeight w:val="284"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21,467,114.30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329,210.97</w:t>
            </w: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21,796,325.27</w:t>
            </w:r>
          </w:p>
        </w:tc>
      </w:tr>
      <w:tr>
        <w:trPr>
          <w:trHeight w:val="283"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在建工程转入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21,467,114.30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329,210.97</w:t>
            </w: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21,796,325.27</w:t>
            </w:r>
          </w:p>
        </w:tc>
      </w:tr>
      <w:tr>
        <w:trPr>
          <w:trHeight w:val="281"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44,198,241.95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395,163.50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44,593,405.45</w:t>
            </w:r>
          </w:p>
        </w:tc>
      </w:tr>
      <w:tr>
        <w:trPr>
          <w:trHeight w:val="283"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5,382,818.48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13,970.42</w:t>
            </w: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5,396,788.90</w:t>
            </w:r>
          </w:p>
        </w:tc>
      </w:tr>
      <w:tr>
        <w:trPr>
          <w:trHeight w:val="283"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1,796,503.76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78,234.08</w:t>
            </w: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1,874,737.84</w:t>
            </w:r>
          </w:p>
        </w:tc>
      </w:tr>
      <w:tr>
        <w:trPr>
          <w:trHeight w:val="283"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982,325.44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78,234.08</w:t>
            </w: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1,060,559.52</w:t>
            </w:r>
          </w:p>
        </w:tc>
      </w:tr>
      <w:tr>
        <w:trPr>
          <w:trHeight w:val="281"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）折旧及摊销转入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814,178.32</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814,178.32</w:t>
            </w:r>
          </w:p>
        </w:tc>
      </w:tr>
      <w:tr>
        <w:trPr>
          <w:trHeight w:val="283" w:hRule="exact"/>
        </w:trPr>
        <w:tc>
          <w:tcPr>
            <w:tcW w:w="397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7,179,322.24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92,204.50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7,271,526.74</w:t>
            </w:r>
          </w:p>
        </w:tc>
      </w:tr>
      <w:tr>
        <w:trPr>
          <w:trHeight w:val="281"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37,018,919.71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302,959.00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37,321,878.71</w:t>
            </w:r>
          </w:p>
        </w:tc>
      </w:tr>
      <w:tr>
        <w:trPr>
          <w:trHeight w:val="300" w:hRule="exact"/>
        </w:trPr>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17,348,309.17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51,982.11</w:t>
            </w:r>
          </w:p>
        </w:tc>
        <w:tc>
          <w:tcPr>
            <w:tcW w:w="1539"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17,400,291.28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spacing w:line="240" w:lineRule="auto"/>
        <w:ind w:left="1398" w:right="0"/>
        <w:jc w:val="left"/>
        <w:rPr>
          <w:b w:val="0"/>
          <w:bCs w:val="0"/>
        </w:rPr>
      </w:pPr>
      <w:r>
        <w:rPr>
          <w:rFonts w:ascii="宋体" w:hAnsi="宋体" w:cs="宋体" w:eastAsia="宋体" w:hint="default"/>
        </w:rPr>
        <w:t>(2).</w:t>
      </w:r>
      <w:r>
        <w:rPr>
          <w:rFonts w:ascii="宋体" w:hAnsi="宋体" w:cs="宋体" w:eastAsia="宋体" w:hint="default"/>
          <w:spacing w:val="87"/>
        </w:rPr>
        <w:t> </w:t>
      </w:r>
      <w:r>
        <w:rPr/>
        <w:t>未办妥产权证书的投资性房地产情况：</w:t>
      </w:r>
      <w:r>
        <w:rPr>
          <w:b w:val="0"/>
          <w:bCs w:val="0"/>
        </w:rPr>
      </w:r>
    </w:p>
    <w:p>
      <w:pPr>
        <w:pStyle w:val="BodyText"/>
        <w:spacing w:line="240" w:lineRule="auto" w:before="56"/>
        <w:ind w:left="1354" w:right="8295" w:firstLine="43"/>
        <w:jc w:val="left"/>
      </w:pPr>
      <w:r>
        <w:rPr/>
        <w:t>□适用</w:t>
      </w:r>
      <w:r>
        <w:rPr>
          <w:spacing w:val="-1"/>
        </w:rPr>
        <w:t> </w:t>
      </w:r>
      <w:r>
        <w:rPr/>
        <w:t>√不适用</w:t>
      </w:r>
      <w:r>
        <w:rPr>
          <w:w w:val="100"/>
        </w:rPr>
        <w:t> </w:t>
      </w:r>
      <w:r>
        <w:rPr/>
        <w:t>其他说明</w:t>
      </w:r>
    </w:p>
    <w:p>
      <w:pPr>
        <w:pStyle w:val="BodyText"/>
        <w:spacing w:line="240" w:lineRule="auto" w:before="133"/>
        <w:ind w:left="1774" w:right="0"/>
        <w:jc w:val="left"/>
      </w:pPr>
      <w:r>
        <w:rPr/>
        <w:t>期末无未办妥产权证书的投资性房地产情况。</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400" w:right="220"/>
        </w:sectPr>
      </w:pPr>
    </w:p>
    <w:p>
      <w:pPr>
        <w:pStyle w:val="Heading4"/>
        <w:spacing w:line="240" w:lineRule="auto"/>
        <w:ind w:left="1398" w:right="-19"/>
        <w:jc w:val="left"/>
        <w:rPr>
          <w:b w:val="0"/>
          <w:bCs w:val="0"/>
        </w:rPr>
      </w:pPr>
      <w:r>
        <w:rPr>
          <w:rFonts w:ascii="宋体" w:hAnsi="宋体" w:cs="宋体" w:eastAsia="宋体" w:hint="default"/>
        </w:rPr>
        <w:t>19</w:t>
      </w:r>
      <w:r>
        <w:rPr/>
        <w:t>、</w:t>
      </w:r>
      <w:r>
        <w:rPr>
          <w:spacing w:val="-25"/>
        </w:rPr>
        <w:t> </w:t>
      </w:r>
      <w:r>
        <w:rPr/>
        <w:t>固定资产</w:t>
      </w:r>
      <w:r>
        <w:rPr>
          <w:b w:val="0"/>
          <w:bCs w:val="0"/>
        </w:rPr>
      </w:r>
    </w:p>
    <w:p>
      <w:pPr>
        <w:pStyle w:val="Heading4"/>
        <w:spacing w:line="240" w:lineRule="auto" w:before="56"/>
        <w:ind w:left="1398"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449" w:val="left" w:leader="none"/>
        </w:tabs>
        <w:spacing w:line="240" w:lineRule="auto" w:before="177"/>
        <w:ind w:left="1398" w:right="0"/>
        <w:jc w:val="left"/>
      </w:pPr>
      <w:r>
        <w:rPr>
          <w:spacing w:val="-1"/>
        </w:rPr>
        <w:t>单位：元</w:t>
        <w:tab/>
      </w:r>
      <w:r>
        <w:rPr>
          <w:spacing w:val="-2"/>
        </w:rPr>
        <w:t>币种：人民币</w:t>
      </w:r>
    </w:p>
    <w:p>
      <w:pPr>
        <w:spacing w:after="0" w:line="240" w:lineRule="auto"/>
        <w:jc w:val="left"/>
        <w:sectPr>
          <w:type w:val="continuous"/>
          <w:pgSz w:w="11910" w:h="16840"/>
          <w:pgMar w:top="1120" w:bottom="1380" w:left="400" w:right="220"/>
          <w:cols w:num="2" w:equalWidth="0">
            <w:col w:w="3254" w:space="3268"/>
            <w:col w:w="4768"/>
          </w:cols>
        </w:sectPr>
      </w:pP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120"/>
        <w:gridCol w:w="1604"/>
        <w:gridCol w:w="1563"/>
        <w:gridCol w:w="1517"/>
        <w:gridCol w:w="1558"/>
        <w:gridCol w:w="1688"/>
      </w:tblGrid>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6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5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84,523,293.77</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68,193,551.22</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 w:right="0"/>
              <w:jc w:val="center"/>
              <w:rPr>
                <w:rFonts w:ascii="宋体" w:hAnsi="宋体" w:cs="宋体" w:eastAsia="宋体" w:hint="default"/>
                <w:sz w:val="21"/>
                <w:szCs w:val="21"/>
              </w:rPr>
            </w:pPr>
            <w:r>
              <w:rPr>
                <w:rFonts w:ascii="宋体"/>
                <w:sz w:val="21"/>
              </w:rPr>
              <w:t>11,852,768.08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sz w:val="21"/>
              </w:rPr>
              <w:t>18,093,932.83</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182,663,545.90</w:t>
            </w:r>
          </w:p>
        </w:tc>
      </w:tr>
    </w:tbl>
    <w:p>
      <w:pPr>
        <w:spacing w:after="0" w:line="241" w:lineRule="exact"/>
        <w:jc w:val="left"/>
        <w:rPr>
          <w:rFonts w:ascii="宋体" w:hAnsi="宋体" w:cs="宋体" w:eastAsia="宋体" w:hint="default"/>
          <w:sz w:val="21"/>
          <w:szCs w:val="21"/>
        </w:rPr>
        <w:sectPr>
          <w:type w:val="continuous"/>
          <w:pgSz w:w="11910" w:h="16840"/>
          <w:pgMar w:top="1120" w:bottom="1380" w:left="400" w:right="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3120"/>
        <w:gridCol w:w="1604"/>
        <w:gridCol w:w="1563"/>
        <w:gridCol w:w="1517"/>
        <w:gridCol w:w="1558"/>
        <w:gridCol w:w="1688"/>
      </w:tblGrid>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4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20"/>
              <w:jc w:val="right"/>
              <w:rPr>
                <w:rFonts w:ascii="宋体" w:hAnsi="宋体" w:cs="宋体" w:eastAsia="宋体" w:hint="default"/>
                <w:sz w:val="21"/>
                <w:szCs w:val="21"/>
              </w:rPr>
            </w:pPr>
            <w:r>
              <w:rPr>
                <w:rFonts w:ascii="宋体"/>
                <w:spacing w:val="-1"/>
                <w:sz w:val="21"/>
              </w:rPr>
              <w:t>189,215,113.35</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41" w:right="0"/>
              <w:jc w:val="center"/>
              <w:rPr>
                <w:rFonts w:ascii="宋体" w:hAnsi="宋体" w:cs="宋体" w:eastAsia="宋体" w:hint="default"/>
                <w:sz w:val="21"/>
                <w:szCs w:val="21"/>
              </w:rPr>
            </w:pPr>
            <w:r>
              <w:rPr>
                <w:rFonts w:ascii="宋体"/>
                <w:sz w:val="21"/>
              </w:rPr>
              <w:t>66,628,854.33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3,442,601.29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20"/>
              <w:jc w:val="right"/>
              <w:rPr>
                <w:rFonts w:ascii="宋体" w:hAnsi="宋体" w:cs="宋体" w:eastAsia="宋体" w:hint="default"/>
                <w:sz w:val="21"/>
                <w:szCs w:val="21"/>
              </w:rPr>
            </w:pPr>
            <w:r>
              <w:rPr>
                <w:rFonts w:ascii="宋体"/>
                <w:spacing w:val="-1"/>
                <w:sz w:val="21"/>
              </w:rPr>
              <w:t>22,733,960.59</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282,020,529.56</w:t>
            </w: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6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 w:right="0"/>
              <w:jc w:val="center"/>
              <w:rPr>
                <w:rFonts w:ascii="宋体" w:hAnsi="宋体" w:cs="宋体" w:eastAsia="宋体" w:hint="default"/>
                <w:sz w:val="21"/>
                <w:szCs w:val="21"/>
              </w:rPr>
            </w:pPr>
            <w:r>
              <w:rPr>
                <w:rFonts w:ascii="宋体"/>
                <w:sz w:val="21"/>
              </w:rPr>
              <w:t>66,628,854.33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3,442,601.29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3,983,558.27</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74,055,013.89</w:t>
            </w: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）在建工程转入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189,215,113.35</w:t>
            </w:r>
          </w:p>
        </w:tc>
        <w:tc>
          <w:tcPr>
            <w:tcW w:w="1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18,750,402.32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207,965,515.67</w:t>
            </w:r>
          </w:p>
        </w:tc>
      </w:tr>
      <w:tr>
        <w:trPr>
          <w:trHeight w:val="286"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6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21,703,929.49</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 w:right="0"/>
              <w:jc w:val="center"/>
              <w:rPr>
                <w:rFonts w:ascii="宋体" w:hAnsi="宋体" w:cs="宋体" w:eastAsia="宋体" w:hint="default"/>
                <w:sz w:val="21"/>
                <w:szCs w:val="21"/>
              </w:rPr>
            </w:pPr>
            <w:r>
              <w:rPr>
                <w:rFonts w:ascii="宋体"/>
                <w:sz w:val="21"/>
              </w:rPr>
              <w:t>12,983,483.66</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4,712,917.50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1,780,336.83</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41,180,667.48</w:t>
            </w: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236,815.19</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6" w:right="0"/>
              <w:jc w:val="center"/>
              <w:rPr>
                <w:rFonts w:ascii="宋体" w:hAnsi="宋体" w:cs="宋体" w:eastAsia="宋体" w:hint="default"/>
                <w:sz w:val="21"/>
                <w:szCs w:val="21"/>
              </w:rPr>
            </w:pPr>
            <w:r>
              <w:rPr>
                <w:rFonts w:ascii="宋体"/>
                <w:sz w:val="21"/>
              </w:rPr>
              <w:t>7,353,371.12</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4,712,917.50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1,780,336.83</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14,083,440.64</w:t>
            </w:r>
          </w:p>
        </w:tc>
      </w:tr>
      <w:tr>
        <w:trPr>
          <w:trHeight w:val="286"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）转出至投资性房地产</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21,467,114.30</w:t>
            </w:r>
          </w:p>
        </w:tc>
        <w:tc>
          <w:tcPr>
            <w:tcW w:w="1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21,467,114.30</w:t>
            </w: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）不合并转出</w:t>
            </w:r>
          </w:p>
        </w:tc>
        <w:tc>
          <w:tcPr>
            <w:tcW w:w="16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6" w:right="0"/>
              <w:jc w:val="center"/>
              <w:rPr>
                <w:rFonts w:ascii="宋体" w:hAnsi="宋体" w:cs="宋体" w:eastAsia="宋体" w:hint="default"/>
                <w:sz w:val="21"/>
                <w:szCs w:val="21"/>
              </w:rPr>
            </w:pPr>
            <w:r>
              <w:rPr>
                <w:rFonts w:ascii="宋体"/>
                <w:sz w:val="21"/>
              </w:rPr>
              <w:t>5,630,112.54</w:t>
            </w:r>
          </w:p>
        </w:tc>
        <w:tc>
          <w:tcPr>
            <w:tcW w:w="151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5,630,112.54</w:t>
            </w: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252,034,477.63</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 w:right="0"/>
              <w:jc w:val="center"/>
              <w:rPr>
                <w:rFonts w:ascii="宋体" w:hAnsi="宋体" w:cs="宋体" w:eastAsia="宋体" w:hint="default"/>
                <w:sz w:val="21"/>
                <w:szCs w:val="21"/>
              </w:rPr>
            </w:pPr>
            <w:r>
              <w:rPr>
                <w:rFonts w:ascii="宋体"/>
                <w:sz w:val="21"/>
              </w:rPr>
              <w:t>121,838,921.89</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10,582,451.87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39,047,556.59</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423,503,407.98</w:t>
            </w:r>
          </w:p>
        </w:tc>
      </w:tr>
      <w:tr>
        <w:trPr>
          <w:trHeight w:val="289"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6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32,364,543.72</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 w:right="0"/>
              <w:jc w:val="center"/>
              <w:rPr>
                <w:rFonts w:ascii="宋体" w:hAnsi="宋体" w:cs="宋体" w:eastAsia="宋体" w:hint="default"/>
                <w:sz w:val="21"/>
                <w:szCs w:val="21"/>
              </w:rPr>
            </w:pPr>
            <w:r>
              <w:rPr>
                <w:rFonts w:ascii="宋体"/>
                <w:sz w:val="21"/>
              </w:rPr>
              <w:t>38,128,637.45</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7,573,967.33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15,167,127.71</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93,234,276.21</w:t>
            </w: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13,301,360.55</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 w:right="0"/>
              <w:jc w:val="center"/>
              <w:rPr>
                <w:rFonts w:ascii="宋体" w:hAnsi="宋体" w:cs="宋体" w:eastAsia="宋体" w:hint="default"/>
                <w:sz w:val="21"/>
                <w:szCs w:val="21"/>
              </w:rPr>
            </w:pPr>
            <w:r>
              <w:rPr>
                <w:rFonts w:ascii="宋体"/>
                <w:sz w:val="21"/>
              </w:rPr>
              <w:t>15,185,787.71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1,109,461.63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3,395,961.57</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32,992,571.46</w:t>
            </w:r>
          </w:p>
        </w:tc>
      </w:tr>
      <w:tr>
        <w:trPr>
          <w:trHeight w:val="286"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13,301,360.55</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 w:right="0"/>
              <w:jc w:val="center"/>
              <w:rPr>
                <w:rFonts w:ascii="宋体" w:hAnsi="宋体" w:cs="宋体" w:eastAsia="宋体" w:hint="default"/>
                <w:sz w:val="21"/>
                <w:szCs w:val="21"/>
              </w:rPr>
            </w:pPr>
            <w:r>
              <w:rPr>
                <w:rFonts w:ascii="宋体"/>
                <w:sz w:val="21"/>
              </w:rPr>
              <w:t>15,185,787.71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1,109,461.63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3,395,961.57</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32,992,571.46</w:t>
            </w: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831,290.48</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 w:right="0"/>
              <w:jc w:val="center"/>
              <w:rPr>
                <w:rFonts w:ascii="宋体" w:hAnsi="宋体" w:cs="宋体" w:eastAsia="宋体" w:hint="default"/>
                <w:sz w:val="21"/>
                <w:szCs w:val="21"/>
              </w:rPr>
            </w:pPr>
            <w:r>
              <w:rPr>
                <w:rFonts w:ascii="宋体"/>
                <w:sz w:val="21"/>
              </w:rPr>
              <w:t>11,221,649.54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4,645,164.17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1,518,945.26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18,217,049.45</w:t>
            </w:r>
          </w:p>
        </w:tc>
      </w:tr>
      <w:tr>
        <w:trPr>
          <w:trHeight w:val="286"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6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6" w:right="0"/>
              <w:jc w:val="center"/>
              <w:rPr>
                <w:rFonts w:ascii="宋体" w:hAnsi="宋体" w:cs="宋体" w:eastAsia="宋体" w:hint="default"/>
                <w:sz w:val="21"/>
                <w:szCs w:val="21"/>
              </w:rPr>
            </w:pPr>
            <w:r>
              <w:rPr>
                <w:rFonts w:ascii="宋体"/>
                <w:sz w:val="21"/>
              </w:rPr>
              <w:t>6,718,722.37</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4,645,164.17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1,518,945.26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12,882,831.80</w:t>
            </w: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1"/>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）转出至投资性房地产</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831,290.48</w:t>
            </w:r>
          </w:p>
        </w:tc>
        <w:tc>
          <w:tcPr>
            <w:tcW w:w="1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831,290.48</w:t>
            </w: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）不合并转出</w:t>
            </w:r>
          </w:p>
        </w:tc>
        <w:tc>
          <w:tcPr>
            <w:tcW w:w="16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6" w:right="0"/>
              <w:jc w:val="center"/>
              <w:rPr>
                <w:rFonts w:ascii="宋体" w:hAnsi="宋体" w:cs="宋体" w:eastAsia="宋体" w:hint="default"/>
                <w:sz w:val="21"/>
                <w:szCs w:val="21"/>
              </w:rPr>
            </w:pPr>
            <w:r>
              <w:rPr>
                <w:rFonts w:ascii="宋体"/>
                <w:sz w:val="21"/>
              </w:rPr>
              <w:t>4,502,927.17</w:t>
            </w:r>
          </w:p>
        </w:tc>
        <w:tc>
          <w:tcPr>
            <w:tcW w:w="151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4,502,927.17</w:t>
            </w: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44,834,613.79</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 w:right="0"/>
              <w:jc w:val="center"/>
              <w:rPr>
                <w:rFonts w:ascii="宋体" w:hAnsi="宋体" w:cs="宋体" w:eastAsia="宋体" w:hint="default"/>
                <w:sz w:val="21"/>
                <w:szCs w:val="21"/>
              </w:rPr>
            </w:pPr>
            <w:r>
              <w:rPr>
                <w:rFonts w:ascii="宋体"/>
                <w:sz w:val="21"/>
              </w:rPr>
              <w:t>42,092,775.62</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4,038,264.79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17,044,144.02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108,009,798.22</w:t>
            </w: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483.83</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483.83</w:t>
            </w: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6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483.83</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483.83</w:t>
            </w: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207,199,863.84</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 w:right="0"/>
              <w:jc w:val="center"/>
              <w:rPr>
                <w:rFonts w:ascii="宋体" w:hAnsi="宋体" w:cs="宋体" w:eastAsia="宋体" w:hint="default"/>
                <w:sz w:val="21"/>
                <w:szCs w:val="21"/>
              </w:rPr>
            </w:pPr>
            <w:r>
              <w:rPr>
                <w:rFonts w:ascii="宋体"/>
                <w:sz w:val="21"/>
              </w:rPr>
              <w:t>79,746,146.27</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6,544,187.08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22,002,928.74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315,493,125.93</w:t>
            </w: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52,158,750.05</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41" w:right="0"/>
              <w:jc w:val="center"/>
              <w:rPr>
                <w:rFonts w:ascii="宋体" w:hAnsi="宋体" w:cs="宋体" w:eastAsia="宋体" w:hint="default"/>
                <w:sz w:val="21"/>
                <w:szCs w:val="21"/>
              </w:rPr>
            </w:pPr>
            <w:r>
              <w:rPr>
                <w:rFonts w:ascii="宋体"/>
                <w:sz w:val="21"/>
              </w:rPr>
              <w:t>30,064,913.77</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4,278,800.75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2,926,321.29</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89,428,785.86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spacing w:line="240" w:lineRule="auto"/>
        <w:ind w:left="1398" w:right="0"/>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8"/>
        <w:ind w:left="1398" w:right="0"/>
        <w:jc w:val="left"/>
      </w:pPr>
      <w:r>
        <w:rPr/>
        <w:t>□适用</w:t>
      </w:r>
      <w:r>
        <w:rPr>
          <w:spacing w:val="-1"/>
        </w:rPr>
        <w:t> </w:t>
      </w:r>
      <w:r>
        <w:rPr/>
        <w:t>√不适用</w:t>
      </w:r>
    </w:p>
    <w:p>
      <w:pPr>
        <w:pStyle w:val="Heading4"/>
        <w:spacing w:line="240" w:lineRule="auto" w:before="56"/>
        <w:ind w:left="1398" w:right="0"/>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8"/>
        <w:ind w:left="1398" w:right="0"/>
        <w:jc w:val="left"/>
      </w:pPr>
      <w:r>
        <w:rPr/>
        <w:t>□适用</w:t>
      </w:r>
      <w:r>
        <w:rPr>
          <w:spacing w:val="-1"/>
        </w:rPr>
        <w:t> </w:t>
      </w:r>
      <w:r>
        <w:rPr/>
        <w:t>√不适用</w:t>
      </w:r>
    </w:p>
    <w:p>
      <w:pPr>
        <w:pStyle w:val="Heading4"/>
        <w:spacing w:line="240" w:lineRule="auto" w:before="56"/>
        <w:ind w:left="1398" w:right="0"/>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8"/>
        <w:ind w:left="1398" w:right="0"/>
        <w:jc w:val="left"/>
      </w:pPr>
      <w:r>
        <w:rPr/>
        <w:t>□适用</w:t>
      </w:r>
      <w:r>
        <w:rPr>
          <w:spacing w:val="-1"/>
        </w:rPr>
        <w:t> </w:t>
      </w:r>
      <w:r>
        <w:rPr/>
        <w:t>√不适用</w:t>
      </w:r>
    </w:p>
    <w:p>
      <w:pPr>
        <w:pStyle w:val="Heading4"/>
        <w:spacing w:line="240" w:lineRule="auto" w:before="56"/>
        <w:ind w:left="1398" w:right="0"/>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72" w:lineRule="exact" w:before="86"/>
        <w:ind w:left="1398" w:right="8294"/>
        <w:jc w:val="left"/>
      </w:pPr>
      <w:r>
        <w:rPr/>
        <w:t>□适用</w:t>
      </w:r>
      <w:r>
        <w:rPr>
          <w:spacing w:val="-1"/>
        </w:rPr>
        <w:t> </w:t>
      </w:r>
      <w:r>
        <w:rPr/>
        <w:t>√不适用</w:t>
      </w:r>
      <w:r>
        <w:rPr>
          <w:w w:val="100"/>
        </w:rPr>
        <w:t> </w:t>
      </w:r>
      <w:r>
        <w:rPr/>
        <w:t>其他说明：</w:t>
      </w:r>
    </w:p>
    <w:p>
      <w:pPr>
        <w:pStyle w:val="BodyText"/>
        <w:spacing w:line="240" w:lineRule="auto" w:before="108"/>
        <w:ind w:left="1818" w:right="0"/>
        <w:jc w:val="left"/>
      </w:pPr>
      <w:r>
        <w:rPr/>
        <w:t>期末无未办妥产权证书的固定资产的情况。</w:t>
      </w:r>
    </w:p>
    <w:p>
      <w:pPr>
        <w:spacing w:after="0" w:line="240" w:lineRule="auto"/>
        <w:jc w:val="left"/>
        <w:sectPr>
          <w:footerReference w:type="default" r:id="rId38"/>
          <w:pgSz w:w="11910" w:h="16840"/>
          <w:pgMar w:footer="1195" w:header="882" w:top="1120" w:bottom="1380" w:left="400" w:right="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9"/>
          <w:pgSz w:w="11910" w:h="16840"/>
          <w:pgMar w:footer="1195" w:header="882" w:top="1120" w:bottom="1380" w:left="120" w:right="20"/>
          <w:pgNumType w:start="101"/>
        </w:sectPr>
      </w:pPr>
    </w:p>
    <w:p>
      <w:pPr>
        <w:pStyle w:val="Heading4"/>
        <w:spacing w:line="240" w:lineRule="auto" w:before="175"/>
        <w:ind w:left="1678" w:right="-19"/>
        <w:jc w:val="left"/>
        <w:rPr>
          <w:b w:val="0"/>
          <w:bCs w:val="0"/>
        </w:rPr>
      </w:pPr>
      <w:r>
        <w:rPr>
          <w:rFonts w:ascii="宋体" w:hAnsi="宋体" w:cs="宋体" w:eastAsia="宋体" w:hint="default"/>
        </w:rPr>
        <w:t>20</w:t>
      </w:r>
      <w:r>
        <w:rPr/>
        <w:t>、</w:t>
      </w:r>
      <w:r>
        <w:rPr>
          <w:spacing w:val="-25"/>
        </w:rPr>
        <w:t> </w:t>
      </w:r>
      <w:r>
        <w:rPr/>
        <w:t>在建工程</w:t>
      </w:r>
      <w:r>
        <w:rPr>
          <w:b w:val="0"/>
          <w:bCs w:val="0"/>
        </w:rPr>
      </w:r>
    </w:p>
    <w:p>
      <w:pPr>
        <w:spacing w:line="290" w:lineRule="auto" w:before="56"/>
        <w:ind w:left="167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pStyle w:val="BodyText"/>
        <w:tabs>
          <w:tab w:pos="2729" w:val="left" w:leader="none"/>
        </w:tabs>
        <w:spacing w:line="240" w:lineRule="auto"/>
        <w:ind w:left="1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 w:right="20"/>
          <w:cols w:num="2" w:equalWidth="0">
            <w:col w:w="3534" w:space="2988"/>
            <w:col w:w="5248"/>
          </w:cols>
        </w:sectPr>
      </w:pPr>
    </w:p>
    <w:p>
      <w:pPr>
        <w:spacing w:line="240" w:lineRule="auto" w:before="7"/>
        <w:rPr>
          <w:rFonts w:ascii="宋体" w:hAnsi="宋体" w:cs="宋体" w:eastAsia="宋体" w:hint="default"/>
          <w:sz w:val="2"/>
          <w:szCs w:val="2"/>
        </w:rPr>
      </w:pPr>
    </w:p>
    <w:tbl>
      <w:tblPr>
        <w:tblW w:w="0" w:type="auto"/>
        <w:jc w:val="left"/>
        <w:tblInd w:w="818" w:type="dxa"/>
        <w:tblLayout w:type="fixed"/>
        <w:tblCellMar>
          <w:top w:w="0" w:type="dxa"/>
          <w:left w:w="0" w:type="dxa"/>
          <w:bottom w:w="0" w:type="dxa"/>
          <w:right w:w="0" w:type="dxa"/>
        </w:tblCellMar>
        <w:tblLook w:val="01E0"/>
      </w:tblPr>
      <w:tblGrid>
        <w:gridCol w:w="1712"/>
        <w:gridCol w:w="1541"/>
        <w:gridCol w:w="1142"/>
        <w:gridCol w:w="1556"/>
        <w:gridCol w:w="1558"/>
        <w:gridCol w:w="1030"/>
        <w:gridCol w:w="1534"/>
      </w:tblGrid>
      <w:tr>
        <w:trPr>
          <w:trHeight w:val="288" w:hRule="exact"/>
        </w:trPr>
        <w:tc>
          <w:tcPr>
            <w:tcW w:w="1712" w:type="dxa"/>
            <w:vMerge w:val="restart"/>
            <w:tcBorders>
              <w:top w:val="single" w:sz="6" w:space="0" w:color="000000"/>
              <w:left w:val="single" w:sz="6" w:space="0" w:color="000000"/>
              <w:right w:val="single" w:sz="6" w:space="0" w:color="000000"/>
            </w:tcBorders>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2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2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1712" w:type="dxa"/>
            <w:vMerge/>
            <w:tcBorders>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恒生软件园二期</w:t>
            </w:r>
          </w:p>
        </w:tc>
        <w:tc>
          <w:tcPr>
            <w:tcW w:w="1541"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155,392,272.09</w:t>
            </w:r>
          </w:p>
        </w:tc>
        <w:tc>
          <w:tcPr>
            <w:tcW w:w="1030"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155,392,272.09</w:t>
            </w:r>
          </w:p>
        </w:tc>
      </w:tr>
      <w:tr>
        <w:trPr>
          <w:trHeight w:val="288"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零星工程</w:t>
            </w:r>
          </w:p>
        </w:tc>
        <w:tc>
          <w:tcPr>
            <w:tcW w:w="1541"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414,777.78</w:t>
            </w:r>
          </w:p>
        </w:tc>
        <w:tc>
          <w:tcPr>
            <w:tcW w:w="1030"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414,777.78</w:t>
            </w:r>
          </w:p>
        </w:tc>
      </w:tr>
      <w:tr>
        <w:trPr>
          <w:trHeight w:val="288"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41"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155,807,049.87</w:t>
            </w:r>
          </w:p>
        </w:tc>
        <w:tc>
          <w:tcPr>
            <w:tcW w:w="1030"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155,807,049.87</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20" w:right="20"/>
        </w:sectPr>
      </w:pPr>
    </w:p>
    <w:p>
      <w:pPr>
        <w:pStyle w:val="Heading4"/>
        <w:spacing w:line="240" w:lineRule="auto"/>
        <w:ind w:left="1678" w:right="-18"/>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spacing w:line="240" w:lineRule="auto" w:before="58"/>
        <w:ind w:left="16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729" w:val="left" w:leader="none"/>
        </w:tabs>
        <w:spacing w:line="240" w:lineRule="auto"/>
        <w:ind w:left="1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 w:right="20"/>
          <w:cols w:num="2" w:equalWidth="0">
            <w:col w:w="5219" w:space="1303"/>
            <w:col w:w="5248"/>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564"/>
        <w:gridCol w:w="1428"/>
        <w:gridCol w:w="1325"/>
        <w:gridCol w:w="1309"/>
        <w:gridCol w:w="1394"/>
        <w:gridCol w:w="790"/>
        <w:gridCol w:w="564"/>
        <w:gridCol w:w="602"/>
        <w:gridCol w:w="425"/>
        <w:gridCol w:w="1145"/>
        <w:gridCol w:w="962"/>
        <w:gridCol w:w="425"/>
        <w:gridCol w:w="584"/>
      </w:tblGrid>
      <w:tr>
        <w:trPr>
          <w:trHeight w:val="1181"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40" w:right="146"/>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5"/>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422" w:right="527"/>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81" w:right="96" w:hanging="360"/>
              <w:jc w:val="left"/>
              <w:rPr>
                <w:rFonts w:ascii="宋体" w:hAnsi="宋体" w:cs="宋体" w:eastAsia="宋体" w:hint="default"/>
                <w:sz w:val="18"/>
                <w:szCs w:val="18"/>
              </w:rPr>
            </w:pPr>
            <w:r>
              <w:rPr>
                <w:rFonts w:ascii="宋体" w:hAnsi="宋体" w:cs="宋体" w:eastAsia="宋体" w:hint="default"/>
                <w:sz w:val="18"/>
                <w:szCs w:val="18"/>
              </w:rPr>
              <w:t>本期转入固定资 产金额</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82" w:right="15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3" w:right="95" w:firstLine="69"/>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工程累</w:t>
            </w:r>
          </w:p>
          <w:p>
            <w:pPr>
              <w:pStyle w:val="TableParagraph"/>
              <w:spacing w:line="237" w:lineRule="auto"/>
              <w:ind w:left="23" w:right="23"/>
              <w:jc w:val="center"/>
              <w:rPr>
                <w:rFonts w:ascii="宋体" w:hAnsi="宋体" w:cs="宋体" w:eastAsia="宋体" w:hint="default"/>
                <w:sz w:val="18"/>
                <w:szCs w:val="18"/>
              </w:rPr>
            </w:pPr>
            <w:r>
              <w:rPr>
                <w:rFonts w:ascii="宋体" w:hAnsi="宋体" w:cs="宋体" w:eastAsia="宋体" w:hint="default"/>
                <w:sz w:val="18"/>
                <w:szCs w:val="18"/>
              </w:rPr>
              <w:t>计投入 占预算 比例 </w:t>
            </w:r>
            <w:r>
              <w:rPr>
                <w:rFonts w:ascii="宋体" w:hAnsi="宋体" w:cs="宋体" w:eastAsia="宋体" w:hint="default"/>
                <w:sz w:val="18"/>
                <w:szCs w:val="18"/>
              </w:rPr>
              <w:t>(%)</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3" w:right="24"/>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95" w:right="26" w:hanging="272"/>
              <w:jc w:val="left"/>
              <w:rPr>
                <w:rFonts w:ascii="宋体" w:hAnsi="宋体" w:cs="宋体" w:eastAsia="宋体" w:hint="default"/>
                <w:sz w:val="18"/>
                <w:szCs w:val="18"/>
              </w:rPr>
            </w:pPr>
            <w:r>
              <w:rPr>
                <w:rFonts w:ascii="宋体" w:hAnsi="宋体" w:cs="宋体" w:eastAsia="宋体" w:hint="default"/>
                <w:sz w:val="18"/>
                <w:szCs w:val="18"/>
              </w:rPr>
              <w:t>利息资本化累 计金额</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21" w:right="24"/>
              <w:jc w:val="center"/>
              <w:rPr>
                <w:rFonts w:ascii="宋体" w:hAnsi="宋体" w:cs="宋体" w:eastAsia="宋体" w:hint="default"/>
                <w:sz w:val="18"/>
                <w:szCs w:val="18"/>
              </w:rPr>
            </w:pPr>
            <w:r>
              <w:rPr>
                <w:rFonts w:ascii="宋体" w:hAnsi="宋体" w:cs="宋体" w:eastAsia="宋体" w:hint="default"/>
                <w:sz w:val="18"/>
                <w:szCs w:val="18"/>
              </w:rPr>
              <w:t>其中：本期 利息资本化 金额</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both"/>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7" w:lineRule="auto"/>
              <w:ind w:left="24" w:right="24"/>
              <w:jc w:val="both"/>
              <w:rPr>
                <w:rFonts w:ascii="宋体" w:hAnsi="宋体" w:cs="宋体" w:eastAsia="宋体" w:hint="default"/>
                <w:sz w:val="18"/>
                <w:szCs w:val="18"/>
              </w:rPr>
            </w:pPr>
            <w:r>
              <w:rPr>
                <w:rFonts w:ascii="宋体" w:hAnsi="宋体" w:cs="宋体" w:eastAsia="宋体" w:hint="default"/>
                <w:sz w:val="18"/>
                <w:szCs w:val="18"/>
              </w:rPr>
              <w:t>利息 资本 化率 </w:t>
            </w:r>
            <w:r>
              <w:rPr>
                <w:rFonts w:ascii="宋体" w:hAnsi="宋体" w:cs="宋体" w:eastAsia="宋体" w:hint="default"/>
                <w:sz w:val="18"/>
                <w:szCs w:val="18"/>
              </w:rPr>
              <w:t>(%)</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0" w:right="106"/>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948"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both"/>
              <w:rPr>
                <w:rFonts w:ascii="宋体" w:hAnsi="宋体" w:cs="宋体" w:eastAsia="宋体" w:hint="default"/>
                <w:sz w:val="18"/>
                <w:szCs w:val="18"/>
              </w:rPr>
            </w:pPr>
            <w:r>
              <w:rPr>
                <w:rFonts w:ascii="宋体" w:hAnsi="宋体" w:cs="宋体" w:eastAsia="宋体" w:hint="default"/>
                <w:sz w:val="18"/>
                <w:szCs w:val="18"/>
              </w:rPr>
              <w:t>恒生</w:t>
            </w:r>
          </w:p>
          <w:p>
            <w:pPr>
              <w:pStyle w:val="TableParagraph"/>
              <w:spacing w:line="232" w:lineRule="exact" w:before="24"/>
              <w:ind w:left="24" w:right="163"/>
              <w:jc w:val="both"/>
              <w:rPr>
                <w:rFonts w:ascii="宋体" w:hAnsi="宋体" w:cs="宋体" w:eastAsia="宋体" w:hint="default"/>
                <w:sz w:val="18"/>
                <w:szCs w:val="18"/>
              </w:rPr>
            </w:pPr>
            <w:r>
              <w:rPr>
                <w:rFonts w:ascii="宋体" w:hAnsi="宋体" w:cs="宋体" w:eastAsia="宋体" w:hint="default"/>
                <w:sz w:val="18"/>
                <w:szCs w:val="18"/>
              </w:rPr>
              <w:t>软件 园二 期</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5"/>
              <w:jc w:val="center"/>
              <w:rPr>
                <w:rFonts w:ascii="宋体" w:hAnsi="宋体" w:cs="宋体" w:eastAsia="宋体" w:hint="default"/>
                <w:sz w:val="18"/>
                <w:szCs w:val="18"/>
              </w:rPr>
            </w:pPr>
            <w:r>
              <w:rPr>
                <w:rFonts w:ascii="宋体"/>
                <w:sz w:val="18"/>
              </w:rPr>
              <w:t>181,727,500.00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sz w:val="18"/>
              </w:rPr>
              <w:t>155,392,272.09</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sz w:val="18"/>
              </w:rPr>
              <w:t>52,573,243.58</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sz w:val="18"/>
              </w:rPr>
              <w:t>207,965,515.67</w:t>
            </w:r>
          </w:p>
        </w:tc>
        <w:tc>
          <w:tcPr>
            <w:tcW w:w="790"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sz w:val="18"/>
              </w:rPr>
              <w:t>114.37</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sz w:val="18"/>
              </w:rPr>
              <w:t>100%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2,499,379.15</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387,631.40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sz w:val="18"/>
              </w:rPr>
              <w:t>6.15</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70"/>
                <w:sz w:val="18"/>
                <w:szCs w:val="18"/>
              </w:rPr>
              <w:t> </w:t>
            </w:r>
            <w:r>
              <w:rPr>
                <w:rFonts w:ascii="宋体" w:hAnsi="宋体" w:cs="宋体" w:eastAsia="宋体" w:hint="default"/>
                <w:sz w:val="18"/>
                <w:szCs w:val="18"/>
              </w:rPr>
              <w:t>有</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及</w:t>
            </w:r>
          </w:p>
          <w:p>
            <w:pPr>
              <w:pStyle w:val="TableParagraph"/>
              <w:spacing w:line="232" w:lineRule="exact" w:before="23"/>
              <w:ind w:left="21" w:right="24"/>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70"/>
                <w:sz w:val="18"/>
                <w:szCs w:val="18"/>
              </w:rPr>
              <w:t> </w:t>
            </w:r>
            <w:r>
              <w:rPr>
                <w:rFonts w:ascii="宋体" w:hAnsi="宋体" w:cs="宋体" w:eastAsia="宋体" w:hint="default"/>
                <w:sz w:val="18"/>
                <w:szCs w:val="18"/>
              </w:rPr>
              <w:t>融</w:t>
            </w:r>
            <w:r>
              <w:rPr>
                <w:rFonts w:ascii="宋体" w:hAnsi="宋体" w:cs="宋体" w:eastAsia="宋体" w:hint="default"/>
                <w:sz w:val="18"/>
                <w:szCs w:val="18"/>
              </w:rPr>
              <w:t> 机构</w:t>
            </w:r>
          </w:p>
        </w:tc>
      </w:tr>
      <w:tr>
        <w:trPr>
          <w:trHeight w:val="250"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5"/>
              <w:jc w:val="center"/>
              <w:rPr>
                <w:rFonts w:ascii="宋体" w:hAnsi="宋体" w:cs="宋体" w:eastAsia="宋体" w:hint="default"/>
                <w:sz w:val="18"/>
                <w:szCs w:val="18"/>
              </w:rPr>
            </w:pPr>
            <w:r>
              <w:rPr>
                <w:rFonts w:ascii="宋体"/>
                <w:sz w:val="18"/>
              </w:rPr>
              <w:t>181,727,500.00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155,392,272.09</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sz w:val="18"/>
              </w:rPr>
              <w:t>52,573,243.58</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sz w:val="18"/>
              </w:rPr>
              <w:t>207,965,515.67</w:t>
            </w:r>
          </w:p>
        </w:tc>
        <w:tc>
          <w:tcPr>
            <w:tcW w:w="790"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60" w:right="0"/>
              <w:jc w:val="left"/>
              <w:rPr>
                <w:rFonts w:ascii="宋体" w:hAnsi="宋体" w:cs="宋体" w:eastAsia="宋体" w:hint="default"/>
                <w:sz w:val="18"/>
                <w:szCs w:val="18"/>
              </w:rPr>
            </w:pPr>
            <w:r>
              <w:rPr>
                <w:rFonts w:ascii="宋体"/>
                <w:sz w:val="18"/>
              </w:rPr>
              <w:t>/</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71" w:right="0"/>
              <w:jc w:val="left"/>
              <w:rPr>
                <w:rFonts w:ascii="宋体" w:hAnsi="宋体" w:cs="宋体" w:eastAsia="宋体" w:hint="default"/>
                <w:sz w:val="18"/>
                <w:szCs w:val="18"/>
              </w:rPr>
            </w:pPr>
            <w:r>
              <w:rPr>
                <w:rFonts w:ascii="宋体"/>
                <w:sz w:val="18"/>
              </w:rPr>
              <w:t>/</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2,499,379.15</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387,631.40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72" w:right="0"/>
              <w:jc w:val="left"/>
              <w:rPr>
                <w:rFonts w:ascii="宋体" w:hAnsi="宋体" w:cs="宋体" w:eastAsia="宋体" w:hint="default"/>
                <w:sz w:val="18"/>
                <w:szCs w:val="18"/>
              </w:rPr>
            </w:pPr>
            <w:r>
              <w:rPr>
                <w:rFonts w:ascii="宋体"/>
                <w:sz w:val="18"/>
              </w:rPr>
              <w:t>/</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48" w:right="0"/>
              <w:jc w:val="left"/>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20"/>
          <w:szCs w:val="20"/>
        </w:rPr>
      </w:pPr>
    </w:p>
    <w:p>
      <w:pPr>
        <w:pStyle w:val="Heading4"/>
        <w:spacing w:line="240" w:lineRule="auto"/>
        <w:ind w:left="1678" w:right="0"/>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40" w:lineRule="auto" w:before="56"/>
        <w:ind w:left="1678" w:right="8494"/>
        <w:jc w:val="left"/>
      </w:pPr>
      <w:r>
        <w:rPr/>
        <w:t>□适用</w:t>
      </w:r>
      <w:r>
        <w:rPr>
          <w:spacing w:val="-1"/>
        </w:rPr>
        <w:t> </w:t>
      </w:r>
      <w:r>
        <w:rPr/>
        <w:t>√不适用</w:t>
      </w:r>
      <w:r>
        <w:rPr>
          <w:w w:val="100"/>
        </w:rPr>
        <w:t> </w:t>
      </w:r>
      <w:r>
        <w:rPr/>
        <w:t>其他说明</w:t>
      </w:r>
    </w:p>
    <w:p>
      <w:pPr>
        <w:spacing w:line="240" w:lineRule="auto" w:before="9"/>
        <w:rPr>
          <w:rFonts w:ascii="宋体" w:hAnsi="宋体" w:cs="宋体" w:eastAsia="宋体" w:hint="default"/>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left="1678" w:right="0"/>
        <w:jc w:val="left"/>
        <w:rPr>
          <w:b w:val="0"/>
          <w:bCs w:val="0"/>
        </w:rPr>
      </w:pPr>
      <w:r>
        <w:rPr>
          <w:rFonts w:ascii="宋体" w:hAnsi="宋体" w:cs="宋体" w:eastAsia="宋体" w:hint="default"/>
        </w:rPr>
        <w:t>21</w:t>
      </w:r>
      <w:r>
        <w:rPr/>
        <w:t>、</w:t>
      </w:r>
      <w:r>
        <w:rPr>
          <w:spacing w:val="-25"/>
        </w:rPr>
        <w:t> </w:t>
      </w:r>
      <w:r>
        <w:rPr/>
        <w:t>工程物资</w:t>
      </w:r>
      <w:r>
        <w:rPr>
          <w:b w:val="0"/>
          <w:bCs w:val="0"/>
        </w:rPr>
      </w:r>
    </w:p>
    <w:p>
      <w:pPr>
        <w:pStyle w:val="BodyText"/>
        <w:spacing w:line="240" w:lineRule="auto" w:before="58"/>
        <w:ind w:left="167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0"/>
        <w:ind w:left="1678" w:right="0"/>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spacing w:line="240" w:lineRule="auto" w:before="56"/>
        <w:ind w:left="167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1678" w:right="0"/>
        <w:jc w:val="left"/>
        <w:rPr>
          <w:b w:val="0"/>
          <w:bCs w:val="0"/>
        </w:rPr>
      </w:pPr>
      <w:r>
        <w:rPr>
          <w:rFonts w:ascii="宋体" w:hAnsi="宋体" w:cs="宋体" w:eastAsia="宋体" w:hint="default"/>
        </w:rPr>
        <w:t>23</w:t>
      </w:r>
      <w:r>
        <w:rPr/>
        <w:t>、</w:t>
      </w:r>
      <w:r>
        <w:rPr>
          <w:spacing w:val="-24"/>
        </w:rPr>
        <w:t> </w:t>
      </w:r>
      <w:r>
        <w:rPr/>
        <w:t>生产性生物资产</w:t>
      </w:r>
      <w:r>
        <w:rPr>
          <w:b w:val="0"/>
          <w:bCs w:val="0"/>
        </w:rPr>
      </w:r>
    </w:p>
    <w:p>
      <w:pPr>
        <w:pStyle w:val="BodyText"/>
        <w:spacing w:line="240" w:lineRule="auto" w:before="56"/>
        <w:ind w:left="167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1678" w:right="0"/>
        <w:jc w:val="left"/>
        <w:rPr>
          <w:b w:val="0"/>
          <w:bCs w:val="0"/>
        </w:rPr>
      </w:pPr>
      <w:r>
        <w:rPr>
          <w:rFonts w:ascii="宋体" w:hAnsi="宋体" w:cs="宋体" w:eastAsia="宋体" w:hint="default"/>
        </w:rPr>
        <w:t>24</w:t>
      </w:r>
      <w:r>
        <w:rPr/>
        <w:t>、</w:t>
      </w:r>
      <w:r>
        <w:rPr>
          <w:spacing w:val="-25"/>
        </w:rPr>
        <w:t> </w:t>
      </w:r>
      <w:r>
        <w:rPr/>
        <w:t>油气资产</w:t>
      </w:r>
      <w:r>
        <w:rPr>
          <w:b w:val="0"/>
          <w:bCs w:val="0"/>
        </w:rPr>
      </w:r>
    </w:p>
    <w:p>
      <w:pPr>
        <w:pStyle w:val="BodyText"/>
        <w:spacing w:line="240" w:lineRule="auto" w:before="56"/>
        <w:ind w:left="1678" w:right="0"/>
        <w:jc w:val="left"/>
      </w:pPr>
      <w:r>
        <w:rPr/>
        <w:t>□适用</w:t>
      </w:r>
      <w:r>
        <w:rPr>
          <w:spacing w:val="-1"/>
        </w:rPr>
        <w:t> </w:t>
      </w:r>
      <w:r>
        <w:rPr/>
        <w:t>√不适用</w:t>
      </w:r>
    </w:p>
    <w:p>
      <w:pPr>
        <w:spacing w:after="0" w:line="240" w:lineRule="auto"/>
        <w:jc w:val="left"/>
        <w:sectPr>
          <w:type w:val="continuous"/>
          <w:pgSz w:w="11910" w:h="16840"/>
          <w:pgMar w:top="1120" w:bottom="1380" w:left="120" w:right="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260" w:right="20"/>
        </w:sectPr>
      </w:pPr>
    </w:p>
    <w:p>
      <w:pPr>
        <w:pStyle w:val="Heading4"/>
        <w:spacing w:line="240" w:lineRule="auto"/>
        <w:ind w:left="1538" w:right="-20"/>
        <w:jc w:val="left"/>
        <w:rPr>
          <w:b w:val="0"/>
          <w:bCs w:val="0"/>
        </w:rPr>
      </w:pPr>
      <w:r>
        <w:rPr>
          <w:rFonts w:ascii="宋体" w:hAnsi="宋体" w:cs="宋体" w:eastAsia="宋体" w:hint="default"/>
        </w:rPr>
        <w:t>25</w:t>
      </w:r>
      <w:r>
        <w:rPr/>
        <w:t>、</w:t>
      </w:r>
      <w:r>
        <w:rPr>
          <w:spacing w:val="-25"/>
        </w:rPr>
        <w:t> </w:t>
      </w:r>
      <w:r>
        <w:rPr/>
        <w:t>无形资产</w:t>
      </w:r>
      <w:r>
        <w:rPr>
          <w:b w:val="0"/>
          <w:bCs w:val="0"/>
        </w:rPr>
      </w:r>
    </w:p>
    <w:p>
      <w:pPr>
        <w:pStyle w:val="Heading4"/>
        <w:spacing w:line="240" w:lineRule="auto" w:before="58"/>
        <w:ind w:left="1538"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589" w:val="left" w:leader="none"/>
        </w:tabs>
        <w:spacing w:line="240" w:lineRule="auto" w:before="177"/>
        <w:ind w:left="1538" w:right="0"/>
        <w:jc w:val="left"/>
      </w:pPr>
      <w:r>
        <w:rPr>
          <w:spacing w:val="-1"/>
        </w:rPr>
        <w:t>单位：元</w:t>
        <w:tab/>
      </w:r>
      <w:r>
        <w:rPr>
          <w:spacing w:val="-2"/>
        </w:rPr>
        <w:t>币种：人民币</w:t>
      </w:r>
    </w:p>
    <w:p>
      <w:pPr>
        <w:spacing w:after="0" w:line="240" w:lineRule="auto"/>
        <w:jc w:val="left"/>
        <w:sectPr>
          <w:type w:val="continuous"/>
          <w:pgSz w:w="11910" w:h="16840"/>
          <w:pgMar w:top="1120" w:bottom="1380" w:left="260" w:right="20"/>
          <w:cols w:num="2" w:equalWidth="0">
            <w:col w:w="3408" w:space="3114"/>
            <w:col w:w="5108"/>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084"/>
        <w:gridCol w:w="1296"/>
        <w:gridCol w:w="1297"/>
        <w:gridCol w:w="1344"/>
        <w:gridCol w:w="1296"/>
        <w:gridCol w:w="1385"/>
        <w:gridCol w:w="1296"/>
        <w:gridCol w:w="1388"/>
      </w:tblGrid>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7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69"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著作权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3"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6,078,356.73</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3,000,000.00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7,105,263.72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6,946,400.00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47,612,125.81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9,228,273.22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79,970,419.48</w:t>
            </w:r>
          </w:p>
        </w:tc>
      </w:tr>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pacing w:val="-1"/>
                <w:sz w:val="18"/>
              </w:rPr>
              <w:t>391,267.47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391,267.47</w:t>
            </w:r>
          </w:p>
        </w:tc>
      </w:tr>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购置</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pacing w:val="-1"/>
                <w:sz w:val="18"/>
              </w:rPr>
              <w:t>391,267.47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391,267.47</w:t>
            </w:r>
          </w:p>
        </w:tc>
      </w:tr>
      <w:tr>
        <w:trPr>
          <w:trHeight w:val="478"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内部研发</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57"/>
                <w:sz w:val="18"/>
                <w:szCs w:val="18"/>
              </w:rPr>
              <w:t> </w:t>
            </w:r>
            <w:r>
              <w:rPr>
                <w:rFonts w:ascii="宋体" w:hAnsi="宋体" w:cs="宋体" w:eastAsia="宋体" w:hint="default"/>
                <w:sz w:val="18"/>
                <w:szCs w:val="18"/>
              </w:rPr>
              <w:t>企</w:t>
            </w:r>
            <w:r>
              <w:rPr>
                <w:rFonts w:ascii="宋体" w:hAnsi="宋体" w:cs="宋体" w:eastAsia="宋体" w:hint="default"/>
                <w:spacing w:val="-58"/>
                <w:sz w:val="18"/>
                <w:szCs w:val="18"/>
              </w:rPr>
              <w:t> </w:t>
            </w:r>
            <w:r>
              <w:rPr>
                <w:rFonts w:ascii="宋体" w:hAnsi="宋体" w:cs="宋体" w:eastAsia="宋体" w:hint="default"/>
                <w:spacing w:val="23"/>
                <w:sz w:val="18"/>
                <w:szCs w:val="18"/>
              </w:rPr>
              <w:t>业合并增</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329,210.97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300,000.00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2,000,000.00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1,260,000.00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3,889,210.97</w:t>
            </w:r>
          </w:p>
        </w:tc>
      </w:tr>
      <w:tr>
        <w:trPr>
          <w:trHeight w:val="449"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3"/>
              <w:jc w:val="right"/>
              <w:rPr>
                <w:rFonts w:ascii="宋体" w:hAnsi="宋体" w:cs="宋体" w:eastAsia="宋体" w:hint="default"/>
                <w:sz w:val="18"/>
                <w:szCs w:val="18"/>
              </w:rPr>
            </w:pPr>
            <w:r>
              <w:rPr>
                <w:rFonts w:ascii="宋体"/>
                <w:spacing w:val="-1"/>
                <w:sz w:val="18"/>
              </w:rPr>
              <w:t>300,000.00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300,000.00</w:t>
            </w:r>
          </w:p>
        </w:tc>
      </w:tr>
      <w:tr>
        <w:trPr>
          <w:trHeight w:val="478"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0"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转出至投资</w:t>
            </w:r>
          </w:p>
          <w:p>
            <w:pPr>
              <w:pStyle w:val="TableParagraph"/>
              <w:spacing w:line="240" w:lineRule="auto"/>
              <w:ind w:left="485" w:right="0"/>
              <w:jc w:val="center"/>
              <w:rPr>
                <w:rFonts w:ascii="宋体" w:hAnsi="宋体" w:cs="宋体" w:eastAsia="宋体" w:hint="default"/>
                <w:sz w:val="18"/>
                <w:szCs w:val="18"/>
              </w:rPr>
            </w:pPr>
            <w:r>
              <w:rPr>
                <w:rFonts w:ascii="宋体" w:hAnsi="宋体" w:cs="宋体" w:eastAsia="宋体" w:hint="default"/>
                <w:sz w:val="18"/>
                <w:szCs w:val="18"/>
              </w:rPr>
              <w:t>性房地产</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329,210.97</w:t>
            </w: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329,210.97</w:t>
            </w:r>
          </w:p>
        </w:tc>
      </w:tr>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7"/>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不合并转出</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2,000,000.00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1,260,000.00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3,260,000.00</w:t>
            </w:r>
          </w:p>
        </w:tc>
      </w:tr>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5,749,145.76</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2,700,000.00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5,105,263.72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6,946,400.00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47,612,125.81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8,359,540.69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76,472,475.98</w:t>
            </w:r>
          </w:p>
        </w:tc>
      </w:tr>
      <w:tr>
        <w:trPr>
          <w:trHeight w:val="348"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1,263,810.38</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725,000.00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3,611,930.19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6,656,966.78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23,094,670.86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5,078,948.43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40,431,326.64</w:t>
            </w:r>
          </w:p>
        </w:tc>
      </w:tr>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131,683.92</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263,333.37</w:t>
            </w:r>
          </w:p>
        </w:tc>
        <w:tc>
          <w:tcPr>
            <w:tcW w:w="13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289,433.22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8" w:right="0"/>
              <w:jc w:val="center"/>
              <w:rPr>
                <w:rFonts w:ascii="宋体" w:hAnsi="宋体" w:cs="宋体" w:eastAsia="宋体" w:hint="default"/>
                <w:sz w:val="18"/>
                <w:szCs w:val="18"/>
              </w:rPr>
            </w:pPr>
            <w:r>
              <w:rPr>
                <w:rFonts w:ascii="宋体"/>
                <w:sz w:val="18"/>
              </w:rPr>
              <w:t>4,761,212.58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1,462,114.31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6,907,777.40</w:t>
            </w:r>
          </w:p>
        </w:tc>
      </w:tr>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131,683.92</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263,333.37</w:t>
            </w:r>
          </w:p>
        </w:tc>
        <w:tc>
          <w:tcPr>
            <w:tcW w:w="13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289,433.22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4,761,212.58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1,462,114.31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6,907,777.40</w:t>
            </w:r>
          </w:p>
        </w:tc>
      </w:tr>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78,234.08</w:t>
            </w: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1,283,333.30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pacing w:val="-1"/>
                <w:sz w:val="18"/>
              </w:rPr>
              <w:t>882,000.00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2,243,567.38</w:t>
            </w:r>
          </w:p>
        </w:tc>
      </w:tr>
      <w:tr>
        <w:trPr>
          <w:trHeight w:val="348"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00"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转出至投资</w:t>
            </w:r>
          </w:p>
          <w:p>
            <w:pPr>
              <w:pStyle w:val="TableParagraph"/>
              <w:spacing w:line="234" w:lineRule="exact"/>
              <w:ind w:left="485" w:right="0"/>
              <w:jc w:val="center"/>
              <w:rPr>
                <w:rFonts w:ascii="宋体" w:hAnsi="宋体" w:cs="宋体" w:eastAsia="宋体" w:hint="default"/>
                <w:sz w:val="18"/>
                <w:szCs w:val="18"/>
              </w:rPr>
            </w:pPr>
            <w:r>
              <w:rPr>
                <w:rFonts w:ascii="宋体" w:hAnsi="宋体" w:cs="宋体" w:eastAsia="宋体" w:hint="default"/>
                <w:sz w:val="18"/>
                <w:szCs w:val="18"/>
              </w:rPr>
              <w:t>性房地产</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78,234.08</w:t>
            </w: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78,234.08</w:t>
            </w:r>
          </w:p>
        </w:tc>
      </w:tr>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54"/>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不合并转出</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1,283,333.30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pacing w:val="-1"/>
                <w:sz w:val="18"/>
              </w:rPr>
              <w:t>882,000.00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2,165,333.30</w:t>
            </w:r>
          </w:p>
        </w:tc>
      </w:tr>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1,317,260.22</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988,333.37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2,328,596.89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6,946,400.00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27,855,883.44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5,659,062.74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45,095,536.66</w:t>
            </w:r>
          </w:p>
        </w:tc>
      </w:tr>
      <w:tr>
        <w:trPr>
          <w:trHeight w:val="35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3,493,333.53</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3,493,333.53</w:t>
            </w:r>
          </w:p>
        </w:tc>
      </w:tr>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716,666.70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716,666.70</w:t>
            </w:r>
          </w:p>
        </w:tc>
      </w:tr>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00"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转出至投资</w:t>
            </w:r>
          </w:p>
          <w:p>
            <w:pPr>
              <w:pStyle w:val="TableParagraph"/>
              <w:spacing w:line="234" w:lineRule="exact"/>
              <w:ind w:left="485" w:right="0"/>
              <w:jc w:val="center"/>
              <w:rPr>
                <w:rFonts w:ascii="宋体" w:hAnsi="宋体" w:cs="宋体" w:eastAsia="宋体" w:hint="default"/>
                <w:sz w:val="18"/>
                <w:szCs w:val="18"/>
              </w:rPr>
            </w:pPr>
            <w:r>
              <w:rPr>
                <w:rFonts w:ascii="宋体" w:hAnsi="宋体" w:cs="宋体" w:eastAsia="宋体" w:hint="default"/>
                <w:sz w:val="18"/>
                <w:szCs w:val="18"/>
              </w:rPr>
              <w:t>性房地产</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54"/>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不合并转出</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716,666.70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716,666.70</w:t>
            </w:r>
          </w:p>
        </w:tc>
      </w:tr>
      <w:tr>
        <w:trPr>
          <w:trHeight w:val="35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2,776,666.83</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2,776,666.83</w:t>
            </w:r>
          </w:p>
        </w:tc>
      </w:tr>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260" w:right="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2084"/>
        <w:gridCol w:w="1296"/>
        <w:gridCol w:w="1297"/>
        <w:gridCol w:w="1344"/>
        <w:gridCol w:w="1296"/>
        <w:gridCol w:w="1385"/>
        <w:gridCol w:w="1296"/>
        <w:gridCol w:w="1388"/>
      </w:tblGrid>
      <w:tr>
        <w:trPr>
          <w:trHeight w:val="35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46"/>
              <w:jc w:val="righ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期末账面价值</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sz w:val="18"/>
              </w:rPr>
              <w:t>4,431,885.54</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sz w:val="18"/>
              </w:rPr>
              <w:t>1,711,666.63</w:t>
            </w:r>
          </w:p>
        </w:tc>
        <w:tc>
          <w:tcPr>
            <w:tcW w:w="13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19,756,242.37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sz w:val="18"/>
              </w:rPr>
              <w:t>2,700,477.95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28,600,272.49</w:t>
            </w:r>
          </w:p>
        </w:tc>
      </w:tr>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45"/>
              <w:jc w:val="righ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期初账面价值</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sz w:val="18"/>
              </w:rPr>
              <w:t>4,814,546.35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sz w:val="18"/>
              </w:rPr>
              <w:t>2,275,000.00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0" w:right="0"/>
              <w:jc w:val="left"/>
              <w:rPr>
                <w:rFonts w:ascii="宋体" w:hAnsi="宋体" w:cs="宋体" w:eastAsia="宋体" w:hint="default"/>
                <w:sz w:val="18"/>
                <w:szCs w:val="18"/>
              </w:rPr>
            </w:pPr>
            <w:r>
              <w:rPr>
                <w:rFonts w:ascii="宋体"/>
                <w:sz w:val="18"/>
              </w:rPr>
              <w:t>289,433.22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24,517,454.95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sz w:val="18"/>
              </w:rPr>
              <w:t>4,149,324.79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36,045,759.31</w:t>
            </w:r>
          </w:p>
        </w:tc>
      </w:tr>
    </w:tbl>
    <w:p>
      <w:pPr>
        <w:spacing w:line="240" w:lineRule="auto" w:before="7"/>
        <w:rPr>
          <w:rFonts w:ascii="宋体" w:hAnsi="宋体" w:cs="宋体" w:eastAsia="宋体" w:hint="default"/>
          <w:sz w:val="15"/>
          <w:szCs w:val="15"/>
        </w:rPr>
      </w:pPr>
    </w:p>
    <w:p>
      <w:pPr>
        <w:pStyle w:val="BodyText"/>
        <w:tabs>
          <w:tab w:pos="8100" w:val="left" w:leader="none"/>
        </w:tabs>
        <w:spacing w:line="240" w:lineRule="auto" w:before="36"/>
        <w:ind w:left="1538" w:right="0"/>
        <w:jc w:val="left"/>
        <w:rPr>
          <w:rFonts w:ascii="Times New Roman" w:hAnsi="Times New Roman" w:cs="Times New Roman" w:eastAsia="Times New Roman" w:hint="default"/>
        </w:rPr>
      </w:pPr>
      <w:r>
        <w:rPr/>
        <w:t>本期末通过公司内部研发形成的无形资产占无形资产余额的比例</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25"/>
          <w:szCs w:val="25"/>
        </w:rPr>
      </w:pPr>
    </w:p>
    <w:p>
      <w:pPr>
        <w:pStyle w:val="Heading4"/>
        <w:spacing w:line="240" w:lineRule="auto"/>
        <w:ind w:left="1538" w:right="0"/>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56"/>
        <w:ind w:left="1538" w:right="8494"/>
        <w:jc w:val="left"/>
      </w:pPr>
      <w:r>
        <w:rPr/>
        <w:t>□适用</w:t>
      </w:r>
      <w:r>
        <w:rPr>
          <w:spacing w:val="-1"/>
        </w:rPr>
        <w:t> </w:t>
      </w:r>
      <w:r>
        <w:rPr/>
        <w:t>√不适用</w:t>
      </w:r>
      <w:r>
        <w:rPr>
          <w:w w:val="100"/>
        </w:rPr>
        <w:t> </w:t>
      </w:r>
      <w:r>
        <w:rPr/>
        <w:t>其他说明：</w:t>
      </w:r>
    </w:p>
    <w:p>
      <w:pPr>
        <w:spacing w:line="240" w:lineRule="auto" w:before="9"/>
        <w:rPr>
          <w:rFonts w:ascii="宋体" w:hAnsi="宋体" w:cs="宋体" w:eastAsia="宋体" w:hint="default"/>
          <w:sz w:val="20"/>
          <w:szCs w:val="20"/>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left="1538" w:right="0"/>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spacing w:line="240" w:lineRule="auto" w:before="59"/>
        <w:ind w:left="15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260" w:right="20"/>
        </w:sectPr>
      </w:pPr>
    </w:p>
    <w:p>
      <w:pPr>
        <w:pStyle w:val="Heading4"/>
        <w:spacing w:line="240" w:lineRule="auto"/>
        <w:ind w:left="1538" w:right="-19"/>
        <w:jc w:val="left"/>
        <w:rPr>
          <w:b w:val="0"/>
          <w:bCs w:val="0"/>
        </w:rPr>
      </w:pPr>
      <w:r>
        <w:rPr>
          <w:rFonts w:ascii="宋体" w:hAnsi="宋体" w:cs="宋体" w:eastAsia="宋体" w:hint="default"/>
        </w:rPr>
        <w:t>27</w:t>
      </w:r>
      <w:r>
        <w:rPr/>
        <w:t>、</w:t>
      </w:r>
      <w:r>
        <w:rPr>
          <w:spacing w:val="-26"/>
        </w:rPr>
        <w:t> </w:t>
      </w:r>
      <w:r>
        <w:rPr/>
        <w:t>商誉</w:t>
      </w:r>
      <w:r>
        <w:rPr>
          <w:b w:val="0"/>
          <w:bCs w:val="0"/>
        </w:rPr>
      </w:r>
    </w:p>
    <w:p>
      <w:pPr>
        <w:spacing w:line="290" w:lineRule="auto" w:before="56"/>
        <w:ind w:left="153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2589"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120" w:bottom="1380" w:left="260" w:right="20"/>
          <w:cols w:num="2" w:equalWidth="0">
            <w:col w:w="3394" w:space="3128"/>
            <w:col w:w="5108"/>
          </w:cols>
        </w:sectPr>
      </w:pPr>
    </w:p>
    <w:p>
      <w:pPr>
        <w:spacing w:line="240" w:lineRule="auto" w:before="7"/>
        <w:rPr>
          <w:rFonts w:ascii="宋体" w:hAnsi="宋体" w:cs="宋体" w:eastAsia="宋体" w:hint="default"/>
          <w:sz w:val="2"/>
          <w:szCs w:val="2"/>
        </w:rPr>
      </w:pPr>
    </w:p>
    <w:tbl>
      <w:tblPr>
        <w:tblW w:w="0" w:type="auto"/>
        <w:jc w:val="left"/>
        <w:tblInd w:w="1432" w:type="dxa"/>
        <w:tblLayout w:type="fixed"/>
        <w:tblCellMar>
          <w:top w:w="0" w:type="dxa"/>
          <w:left w:w="0" w:type="dxa"/>
          <w:bottom w:w="0" w:type="dxa"/>
          <w:right w:w="0" w:type="dxa"/>
        </w:tblCellMar>
        <w:tblLook w:val="01E0"/>
      </w:tblPr>
      <w:tblGrid>
        <w:gridCol w:w="1668"/>
        <w:gridCol w:w="1616"/>
        <w:gridCol w:w="1080"/>
        <w:gridCol w:w="552"/>
        <w:gridCol w:w="1714"/>
        <w:gridCol w:w="793"/>
        <w:gridCol w:w="1615"/>
      </w:tblGrid>
      <w:tr>
        <w:trPr>
          <w:trHeight w:val="293" w:hRule="exact"/>
        </w:trPr>
        <w:tc>
          <w:tcPr>
            <w:tcW w:w="1668" w:type="dxa"/>
            <w:vMerge w:val="restart"/>
            <w:tcBorders>
              <w:top w:val="single" w:sz="4" w:space="0" w:color="000000"/>
              <w:left w:val="single" w:sz="4" w:space="0" w:color="000000"/>
              <w:right w:val="single" w:sz="4" w:space="0" w:color="000000"/>
            </w:tcBorders>
          </w:tcPr>
          <w:p>
            <w:pPr>
              <w:pStyle w:val="TableParagraph"/>
              <w:spacing w:line="272" w:lineRule="exact" w:before="5"/>
              <w:ind w:left="199" w:right="194"/>
              <w:jc w:val="center"/>
              <w:rPr>
                <w:rFonts w:ascii="宋体" w:hAnsi="宋体" w:cs="宋体" w:eastAsia="宋体" w:hint="default"/>
                <w:sz w:val="21"/>
                <w:szCs w:val="21"/>
              </w:rPr>
            </w:pPr>
            <w:r>
              <w:rPr>
                <w:rFonts w:ascii="宋体" w:hAnsi="宋体" w:cs="宋体" w:eastAsia="宋体" w:hint="default"/>
                <w:spacing w:val="-1"/>
                <w:sz w:val="21"/>
                <w:szCs w:val="21"/>
              </w:rPr>
              <w:t>被投资单位名</w:t>
            </w:r>
            <w:r>
              <w:rPr>
                <w:rFonts w:ascii="宋体" w:hAnsi="宋体" w:cs="宋体" w:eastAsia="宋体" w:hint="default"/>
                <w:w w:val="100"/>
                <w:sz w:val="21"/>
                <w:szCs w:val="21"/>
              </w:rPr>
              <w:t> </w:t>
            </w:r>
            <w:r>
              <w:rPr>
                <w:rFonts w:ascii="宋体" w:hAnsi="宋体" w:cs="宋体" w:eastAsia="宋体" w:hint="default"/>
                <w:spacing w:val="-1"/>
                <w:sz w:val="21"/>
                <w:szCs w:val="21"/>
              </w:rPr>
              <w:t>称或形成商誉</w:t>
            </w:r>
          </w:p>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sz w:val="21"/>
                <w:szCs w:val="21"/>
              </w:rPr>
              <w:t>的事项</w:t>
            </w:r>
          </w:p>
        </w:tc>
        <w:tc>
          <w:tcPr>
            <w:tcW w:w="161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5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2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1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68" w:type="dxa"/>
            <w:vMerge/>
            <w:tcBorders>
              <w:left w:val="single" w:sz="4" w:space="0" w:color="000000"/>
              <w:bottom w:val="single" w:sz="4" w:space="0" w:color="000000"/>
              <w:right w:val="single" w:sz="4" w:space="0" w:color="000000"/>
            </w:tcBorders>
          </w:tcPr>
          <w:p>
            <w:pPr/>
          </w:p>
        </w:tc>
        <w:tc>
          <w:tcPr>
            <w:tcW w:w="1616"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形成的</w:t>
            </w:r>
          </w:p>
        </w:tc>
        <w:tc>
          <w:tcPr>
            <w:tcW w:w="552"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793" w:type="dxa"/>
            <w:tcBorders>
              <w:top w:val="single" w:sz="4" w:space="0" w:color="000000"/>
              <w:left w:val="single" w:sz="4" w:space="0" w:color="000000"/>
              <w:bottom w:val="single" w:sz="4" w:space="0" w:color="000000"/>
              <w:right w:val="single" w:sz="4" w:space="0" w:color="000000"/>
            </w:tcBorders>
          </w:tcPr>
          <w:p>
            <w:pPr/>
          </w:p>
        </w:tc>
        <w:tc>
          <w:tcPr>
            <w:tcW w:w="1615" w:type="dxa"/>
            <w:vMerge/>
            <w:tcBorders>
              <w:left w:val="single" w:sz="4" w:space="0" w:color="000000"/>
              <w:bottom w:val="single" w:sz="4" w:space="0" w:color="000000"/>
              <w:right w:val="single" w:sz="4" w:space="0" w:color="000000"/>
            </w:tcBorders>
          </w:tcPr>
          <w:p>
            <w:pPr/>
          </w:p>
        </w:tc>
      </w:tr>
      <w:tr>
        <w:trPr>
          <w:trHeight w:val="55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Hundsun</w:t>
            </w:r>
            <w:r>
              <w:rPr>
                <w:rFonts w:ascii="宋体"/>
                <w:spacing w:val="-18"/>
                <w:sz w:val="21"/>
              </w:rPr>
              <w:t> </w:t>
            </w:r>
            <w:r>
              <w:rPr>
                <w:rFonts w:ascii="宋体"/>
                <w:sz w:val="21"/>
              </w:rPr>
              <w:t>Global</w:t>
            </w:r>
          </w:p>
          <w:p>
            <w:pPr>
              <w:pStyle w:val="TableParagraph"/>
              <w:spacing w:line="273" w:lineRule="exact"/>
              <w:ind w:left="103" w:right="0"/>
              <w:jc w:val="left"/>
              <w:rPr>
                <w:rFonts w:ascii="宋体" w:hAnsi="宋体" w:cs="宋体" w:eastAsia="宋体" w:hint="default"/>
                <w:sz w:val="21"/>
                <w:szCs w:val="21"/>
              </w:rPr>
            </w:pPr>
            <w:r>
              <w:rPr>
                <w:rFonts w:ascii="宋体"/>
                <w:sz w:val="21"/>
              </w:rPr>
              <w:t>Services</w:t>
            </w:r>
            <w:r>
              <w:rPr>
                <w:rFonts w:ascii="宋体"/>
                <w:spacing w:val="1"/>
                <w:sz w:val="21"/>
              </w:rPr>
              <w:t> </w:t>
            </w:r>
            <w:r>
              <w:rPr>
                <w:rFonts w:ascii="宋体"/>
                <w:sz w:val="21"/>
              </w:rPr>
              <w:t>Inc.</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1,110,721.19</w:t>
            </w:r>
          </w:p>
        </w:tc>
        <w:tc>
          <w:tcPr>
            <w:tcW w:w="108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1,110,721.19</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6"/>
                <w:sz w:val="21"/>
                <w:szCs w:val="21"/>
              </w:rPr>
              <w:t> </w:t>
            </w:r>
            <w:r>
              <w:rPr>
                <w:rFonts w:ascii="宋体" w:hAnsi="宋体" w:cs="宋体" w:eastAsia="宋体" w:hint="default"/>
                <w:sz w:val="21"/>
                <w:szCs w:val="21"/>
              </w:rPr>
              <w:t>州</w:t>
            </w:r>
            <w:r>
              <w:rPr>
                <w:rFonts w:ascii="宋体" w:hAnsi="宋体" w:cs="宋体" w:eastAsia="宋体" w:hint="default"/>
                <w:spacing w:val="-66"/>
                <w:sz w:val="21"/>
                <w:szCs w:val="21"/>
              </w:rPr>
              <w:t> </w:t>
            </w:r>
            <w:r>
              <w:rPr>
                <w:rFonts w:ascii="宋体" w:hAnsi="宋体" w:cs="宋体" w:eastAsia="宋体" w:hint="default"/>
                <w:sz w:val="21"/>
                <w:szCs w:val="21"/>
              </w:rPr>
              <w:t>数</w:t>
            </w:r>
            <w:r>
              <w:rPr>
                <w:rFonts w:ascii="宋体" w:hAnsi="宋体" w:cs="宋体" w:eastAsia="宋体" w:hint="default"/>
                <w:spacing w:val="-69"/>
                <w:sz w:val="21"/>
                <w:szCs w:val="21"/>
              </w:rPr>
              <w:t> </w:t>
            </w:r>
            <w:r>
              <w:rPr>
                <w:rFonts w:ascii="宋体" w:hAnsi="宋体" w:cs="宋体" w:eastAsia="宋体" w:hint="default"/>
                <w:sz w:val="21"/>
                <w:szCs w:val="21"/>
              </w:rPr>
              <w:t>米</w:t>
            </w:r>
            <w:r>
              <w:rPr>
                <w:rFonts w:ascii="宋体" w:hAnsi="宋体" w:cs="宋体" w:eastAsia="宋体" w:hint="default"/>
                <w:spacing w:val="-66"/>
                <w:sz w:val="21"/>
                <w:szCs w:val="21"/>
              </w:rPr>
              <w:t> </w:t>
            </w:r>
            <w:r>
              <w:rPr>
                <w:rFonts w:ascii="宋体" w:hAnsi="宋体" w:cs="宋体" w:eastAsia="宋体" w:hint="default"/>
                <w:sz w:val="21"/>
                <w:szCs w:val="21"/>
              </w:rPr>
              <w:t>基</w:t>
            </w:r>
            <w:r>
              <w:rPr>
                <w:rFonts w:ascii="宋体" w:hAnsi="宋体" w:cs="宋体" w:eastAsia="宋体" w:hint="default"/>
                <w:spacing w:val="-69"/>
                <w:sz w:val="21"/>
                <w:szCs w:val="21"/>
              </w:rPr>
              <w:t> </w:t>
            </w:r>
            <w:r>
              <w:rPr>
                <w:rFonts w:ascii="宋体" w:hAnsi="宋体" w:cs="宋体" w:eastAsia="宋体" w:hint="default"/>
                <w:sz w:val="21"/>
                <w:szCs w:val="21"/>
              </w:rPr>
              <w:t>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11,071,887.53</w:t>
            </w:r>
          </w:p>
        </w:tc>
        <w:tc>
          <w:tcPr>
            <w:tcW w:w="108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11,071,887.53</w:t>
            </w:r>
          </w:p>
        </w:tc>
        <w:tc>
          <w:tcPr>
            <w:tcW w:w="79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12,182,608.72</w:t>
            </w:r>
          </w:p>
        </w:tc>
        <w:tc>
          <w:tcPr>
            <w:tcW w:w="108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11,071,887.53</w:t>
            </w:r>
          </w:p>
        </w:tc>
        <w:tc>
          <w:tcPr>
            <w:tcW w:w="79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1,110,721.19</w:t>
            </w:r>
          </w:p>
        </w:tc>
      </w:tr>
    </w:tbl>
    <w:p>
      <w:pPr>
        <w:spacing w:line="240" w:lineRule="auto" w:before="2"/>
        <w:rPr>
          <w:rFonts w:ascii="宋体" w:hAnsi="宋体" w:cs="宋体" w:eastAsia="宋体" w:hint="default"/>
          <w:sz w:val="20"/>
          <w:szCs w:val="20"/>
        </w:rPr>
      </w:pPr>
    </w:p>
    <w:p>
      <w:pPr>
        <w:pStyle w:val="Heading4"/>
        <w:spacing w:line="240" w:lineRule="auto"/>
        <w:ind w:left="1538" w:right="0"/>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tabs>
          <w:tab w:pos="1051" w:val="left" w:leader="none"/>
        </w:tabs>
        <w:spacing w:line="240" w:lineRule="auto" w:before="56"/>
        <w:ind w:left="0" w:right="12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1812"/>
        <w:gridCol w:w="1477"/>
        <w:gridCol w:w="1075"/>
        <w:gridCol w:w="1044"/>
        <w:gridCol w:w="1058"/>
        <w:gridCol w:w="1107"/>
        <w:gridCol w:w="1476"/>
      </w:tblGrid>
      <w:tr>
        <w:trPr>
          <w:trHeight w:val="281" w:hRule="exact"/>
        </w:trPr>
        <w:tc>
          <w:tcPr>
            <w:tcW w:w="1812" w:type="dxa"/>
            <w:vMerge w:val="restart"/>
            <w:tcBorders>
              <w:top w:val="single" w:sz="4" w:space="0" w:color="000000"/>
              <w:left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被投资单位名称</w:t>
            </w:r>
          </w:p>
          <w:p>
            <w:pPr>
              <w:pStyle w:val="TableParagraph"/>
              <w:spacing w:line="240" w:lineRule="auto"/>
              <w:ind w:left="794" w:right="160" w:hanging="629"/>
              <w:jc w:val="left"/>
              <w:rPr>
                <w:rFonts w:ascii="宋体" w:hAnsi="宋体" w:cs="宋体" w:eastAsia="宋体" w:hint="default"/>
                <w:sz w:val="21"/>
                <w:szCs w:val="21"/>
              </w:rPr>
            </w:pPr>
            <w:r>
              <w:rPr>
                <w:rFonts w:ascii="宋体" w:hAnsi="宋体" w:cs="宋体" w:eastAsia="宋体" w:hint="default"/>
                <w:sz w:val="21"/>
                <w:szCs w:val="21"/>
              </w:rPr>
              <w:t>或形成商誉的事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5" w:hRule="exact"/>
        </w:trPr>
        <w:tc>
          <w:tcPr>
            <w:tcW w:w="1812"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21"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11"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107" w:type="dxa"/>
            <w:tcBorders>
              <w:top w:val="single" w:sz="4" w:space="0" w:color="000000"/>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r>
      <w:tr>
        <w:trPr>
          <w:trHeight w:val="557"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Hundsun</w:t>
            </w:r>
            <w:r>
              <w:rPr>
                <w:rFonts w:ascii="宋体"/>
                <w:spacing w:val="1"/>
                <w:sz w:val="21"/>
              </w:rPr>
              <w:t> </w:t>
            </w:r>
            <w:r>
              <w:rPr>
                <w:rFonts w:ascii="宋体"/>
                <w:sz w:val="21"/>
              </w:rPr>
              <w:t>Global</w:t>
            </w:r>
          </w:p>
          <w:p>
            <w:pPr>
              <w:pStyle w:val="TableParagraph"/>
              <w:spacing w:line="273" w:lineRule="exact"/>
              <w:ind w:left="103" w:right="0"/>
              <w:jc w:val="left"/>
              <w:rPr>
                <w:rFonts w:ascii="宋体" w:hAnsi="宋体" w:cs="宋体" w:eastAsia="宋体" w:hint="default"/>
                <w:sz w:val="21"/>
                <w:szCs w:val="21"/>
              </w:rPr>
            </w:pPr>
            <w:r>
              <w:rPr>
                <w:rFonts w:ascii="宋体"/>
                <w:sz w:val="21"/>
              </w:rPr>
              <w:t>Services</w:t>
            </w:r>
            <w:r>
              <w:rPr>
                <w:rFonts w:ascii="宋体"/>
                <w:spacing w:val="1"/>
                <w:sz w:val="21"/>
              </w:rPr>
              <w:t> </w:t>
            </w:r>
            <w:r>
              <w:rPr>
                <w:rFonts w:ascii="宋体"/>
                <w:sz w:val="21"/>
              </w:rPr>
              <w:t>Inc.</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sz w:val="21"/>
              </w:rPr>
              <w:t>1,110,721.19</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1,110,721.19</w:t>
            </w:r>
          </w:p>
        </w:tc>
      </w:tr>
      <w:tr>
        <w:trPr>
          <w:trHeight w:val="290"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sz w:val="21"/>
              </w:rPr>
              <w:t>1,110,721.19</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sz w:val="21"/>
              </w:rPr>
              <w:t>1,110,721.19</w:t>
            </w:r>
          </w:p>
        </w:tc>
      </w:tr>
    </w:tbl>
    <w:p>
      <w:pPr>
        <w:pStyle w:val="BodyText"/>
        <w:spacing w:line="241" w:lineRule="exact"/>
        <w:ind w:left="1538" w:right="0"/>
        <w:jc w:val="left"/>
      </w:pPr>
      <w:r>
        <w:rPr/>
        <w:t>说明商誉减值测试过程、参数及商誉减值损失的确认方法</w:t>
      </w:r>
    </w:p>
    <w:p>
      <w:pPr>
        <w:pStyle w:val="BodyText"/>
        <w:spacing w:line="355" w:lineRule="auto" w:before="135"/>
        <w:ind w:left="1538" w:right="0" w:firstLine="419"/>
        <w:jc w:val="left"/>
      </w:pPr>
      <w:r>
        <w:rPr>
          <w:spacing w:val="-1"/>
        </w:rPr>
        <w:t>本期已对因企业合并形成的商誉的账面价值自购买日起按照合理的方法分摊至相关的资产组，</w:t>
      </w:r>
      <w:r>
        <w:rPr>
          <w:w w:val="100"/>
        </w:rPr>
        <w:t> </w:t>
      </w:r>
      <w:r>
        <w:rPr/>
        <w:t>并对包含商誉的相关资产组进行减值测试，经测试，除</w:t>
      </w:r>
      <w:r>
        <w:rPr>
          <w:spacing w:val="-54"/>
        </w:rPr>
        <w:t> </w:t>
      </w:r>
      <w:r>
        <w:rPr>
          <w:rFonts w:ascii="宋体" w:hAnsi="宋体" w:cs="宋体" w:eastAsia="宋体" w:hint="default"/>
        </w:rPr>
        <w:t>Hundsun</w:t>
      </w:r>
      <w:r>
        <w:rPr>
          <w:rFonts w:ascii="宋体" w:hAnsi="宋体" w:cs="宋体" w:eastAsia="宋体" w:hint="default"/>
          <w:spacing w:val="-1"/>
        </w:rPr>
        <w:t> </w:t>
      </w:r>
      <w:r>
        <w:rPr>
          <w:rFonts w:ascii="宋体" w:hAnsi="宋体" w:cs="宋体" w:eastAsia="宋体" w:hint="default"/>
        </w:rPr>
        <w:t>Global</w:t>
      </w:r>
      <w:r>
        <w:rPr>
          <w:rFonts w:ascii="宋体" w:hAnsi="宋体" w:cs="宋体" w:eastAsia="宋体" w:hint="default"/>
          <w:spacing w:val="-1"/>
        </w:rPr>
        <w:t> </w:t>
      </w:r>
      <w:r>
        <w:rPr>
          <w:rFonts w:ascii="宋体" w:hAnsi="宋体" w:cs="宋体" w:eastAsia="宋体" w:hint="default"/>
        </w:rPr>
        <w:t>Services</w:t>
      </w:r>
      <w:r>
        <w:rPr>
          <w:rFonts w:ascii="宋体" w:hAnsi="宋体" w:cs="宋体" w:eastAsia="宋体" w:hint="default"/>
          <w:spacing w:val="-3"/>
        </w:rPr>
        <w:t> </w:t>
      </w:r>
      <w:r>
        <w:rPr>
          <w:rFonts w:ascii="宋体" w:hAnsi="宋体" w:cs="宋体" w:eastAsia="宋体" w:hint="default"/>
        </w:rPr>
        <w:t>Inc</w:t>
      </w:r>
      <w:r>
        <w:rPr>
          <w:rFonts w:ascii="宋体" w:hAnsi="宋体" w:cs="宋体" w:eastAsia="宋体" w:hint="default"/>
          <w:spacing w:val="-56"/>
        </w:rPr>
        <w:t> </w:t>
      </w:r>
      <w:r>
        <w:rPr/>
        <w:t>与商誉相</w:t>
      </w:r>
      <w:r>
        <w:rPr>
          <w:w w:val="100"/>
        </w:rPr>
        <w:t> </w:t>
      </w:r>
      <w:r>
        <w:rPr/>
        <w:t>关的资产组存在减值情况，相应计提商誉减值准备</w:t>
      </w:r>
      <w:r>
        <w:rPr>
          <w:spacing w:val="-55"/>
        </w:rPr>
        <w:t> </w:t>
      </w:r>
      <w:r>
        <w:rPr>
          <w:rFonts w:ascii="宋体" w:hAnsi="宋体" w:cs="宋体" w:eastAsia="宋体" w:hint="default"/>
        </w:rPr>
        <w:t>1,110,721.19</w:t>
      </w:r>
      <w:r>
        <w:rPr>
          <w:rFonts w:ascii="宋体" w:hAnsi="宋体" w:cs="宋体" w:eastAsia="宋体" w:hint="default"/>
          <w:spacing w:val="-55"/>
        </w:rPr>
        <w:t> </w:t>
      </w:r>
      <w:r>
        <w:rPr/>
        <w:t>元。</w:t>
      </w:r>
    </w:p>
    <w:p>
      <w:pPr>
        <w:pStyle w:val="BodyText"/>
        <w:spacing w:line="240" w:lineRule="auto" w:before="32"/>
        <w:ind w:left="1538" w:right="0"/>
        <w:jc w:val="left"/>
      </w:pPr>
      <w:r>
        <w:rPr/>
        <w:t>其他说明</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260" w:right="20"/>
        </w:sectPr>
      </w:pPr>
    </w:p>
    <w:p>
      <w:pPr>
        <w:pStyle w:val="Heading4"/>
        <w:spacing w:line="240" w:lineRule="auto"/>
        <w:ind w:left="1538" w:right="-18"/>
        <w:jc w:val="left"/>
        <w:rPr>
          <w:b w:val="0"/>
          <w:bCs w:val="0"/>
        </w:rPr>
      </w:pPr>
      <w:r>
        <w:rPr>
          <w:rFonts w:ascii="宋体" w:hAnsi="宋体" w:cs="宋体" w:eastAsia="宋体" w:hint="default"/>
        </w:rPr>
        <w:t>28</w:t>
      </w:r>
      <w:r>
        <w:rPr/>
        <w:t>、</w:t>
      </w:r>
      <w:r>
        <w:rPr>
          <w:spacing w:val="-24"/>
        </w:rPr>
        <w:t> </w:t>
      </w:r>
      <w:r>
        <w:rPr/>
        <w:t>长期待摊费用</w:t>
      </w:r>
      <w:r>
        <w:rPr>
          <w:b w:val="0"/>
          <w:bCs w:val="0"/>
        </w:rPr>
      </w:r>
    </w:p>
    <w:p>
      <w:pPr>
        <w:pStyle w:val="BodyText"/>
        <w:spacing w:line="240" w:lineRule="auto" w:before="59"/>
        <w:ind w:left="15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589"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120" w:bottom="1380" w:left="260" w:right="20"/>
          <w:cols w:num="2" w:equalWidth="0">
            <w:col w:w="3310" w:space="3212"/>
            <w:col w:w="5108"/>
          </w:cols>
        </w:sectPr>
      </w:pP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1447"/>
        <w:gridCol w:w="1498"/>
        <w:gridCol w:w="1495"/>
        <w:gridCol w:w="1498"/>
        <w:gridCol w:w="1522"/>
        <w:gridCol w:w="1589"/>
      </w:tblGrid>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1" w:lineRule="exact"/>
        <w:jc w:val="left"/>
        <w:rPr>
          <w:rFonts w:ascii="宋体" w:hAnsi="宋体" w:cs="宋体" w:eastAsia="宋体" w:hint="default"/>
          <w:sz w:val="21"/>
          <w:szCs w:val="21"/>
        </w:rPr>
        <w:sectPr>
          <w:type w:val="continuous"/>
          <w:pgSz w:w="11910" w:h="16840"/>
          <w:pgMar w:top="1120" w:bottom="1380" w:left="260" w:right="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447"/>
        <w:gridCol w:w="1498"/>
        <w:gridCol w:w="1495"/>
        <w:gridCol w:w="1498"/>
        <w:gridCol w:w="1522"/>
        <w:gridCol w:w="1589"/>
      </w:tblGrid>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租入固定资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产装修费用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559,934.31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408,487.00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616,668.61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351,752.70</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预付一年以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上房屋租金</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8,291.99</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8,291.99</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568,226.30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408,487.00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616,668.61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8,291.99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351,752.70</w:t>
            </w:r>
          </w:p>
        </w:tc>
      </w:tr>
    </w:tbl>
    <w:p>
      <w:pPr>
        <w:pStyle w:val="BodyText"/>
        <w:spacing w:line="241" w:lineRule="exact"/>
        <w:ind w:right="2940"/>
        <w:jc w:val="left"/>
      </w:pPr>
      <w:r>
        <w:rPr/>
        <w:t>其他说明：</w:t>
      </w:r>
    </w:p>
    <w:p>
      <w:pPr>
        <w:pStyle w:val="BodyText"/>
        <w:spacing w:line="240" w:lineRule="auto" w:before="135"/>
        <w:ind w:left="638" w:right="227"/>
        <w:jc w:val="left"/>
      </w:pPr>
      <w:r>
        <w:rPr/>
        <w:t>预付一年以上房屋租金本期减少系因恒生智能本期不再纳入合并范围转出</w:t>
      </w:r>
      <w:r>
        <w:rPr>
          <w:spacing w:val="-56"/>
        </w:rPr>
        <w:t> </w:t>
      </w:r>
      <w:r>
        <w:rPr>
          <w:rFonts w:ascii="宋体" w:hAnsi="宋体" w:cs="宋体" w:eastAsia="宋体" w:hint="default"/>
        </w:rPr>
        <w:t>8,291.99</w:t>
      </w:r>
      <w:r>
        <w:rPr>
          <w:rFonts w:ascii="宋体" w:hAnsi="宋体" w:cs="宋体" w:eastAsia="宋体" w:hint="default"/>
          <w:spacing w:val="-57"/>
        </w:rPr>
        <w:t> </w:t>
      </w:r>
      <w:r>
        <w:rPr>
          <w:spacing w:val="-3"/>
        </w:rPr>
        <w:t>元。</w:t>
      </w:r>
      <w:r>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spacing w:line="240" w:lineRule="auto" w:before="6"/>
        <w:rPr>
          <w:rFonts w:ascii="宋体" w:hAnsi="宋体" w:cs="宋体" w:eastAsia="宋体" w:hint="default"/>
          <w:sz w:val="15"/>
          <w:szCs w:val="15"/>
        </w:rPr>
      </w:pPr>
    </w:p>
    <w:p>
      <w:pPr>
        <w:pStyle w:val="Heading4"/>
        <w:spacing w:line="290" w:lineRule="auto" w:before="0"/>
        <w:ind w:right="-18"/>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3"/>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89" w:space="263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50"/>
        <w:gridCol w:w="1687"/>
        <w:gridCol w:w="1637"/>
        <w:gridCol w:w="1582"/>
        <w:gridCol w:w="1483"/>
      </w:tblGrid>
      <w:tr>
        <w:trPr>
          <w:trHeight w:val="295" w:hRule="exact"/>
        </w:trPr>
        <w:tc>
          <w:tcPr>
            <w:tcW w:w="265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650"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52,181,462.33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8,036,421.05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29,513,736.33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3,371,473.26</w:t>
            </w:r>
          </w:p>
        </w:tc>
      </w:tr>
      <w:tr>
        <w:trPr>
          <w:trHeight w:val="295"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49,028,641.17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7,354,296.18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34,480,264.37</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3,448,026.44</w:t>
            </w:r>
          </w:p>
        </w:tc>
      </w:tr>
      <w:tr>
        <w:trPr>
          <w:trHeight w:val="295"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32,754,883.93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5,088,720.97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11,445,404.00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1,211,351.00</w:t>
            </w:r>
          </w:p>
        </w:tc>
      </w:tr>
      <w:tr>
        <w:trPr>
          <w:trHeight w:val="295"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预提投资小组理财奖励</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5,205,898.02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520,589.80</w:t>
            </w:r>
          </w:p>
        </w:tc>
      </w:tr>
      <w:tr>
        <w:trPr>
          <w:trHeight w:val="296"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6,016,039.38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903,487.28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4,572,021.75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458,589.05</w:t>
            </w:r>
          </w:p>
        </w:tc>
      </w:tr>
      <w:tr>
        <w:trPr>
          <w:trHeight w:val="295"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预提土地增值税</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40" w:lineRule="auto"/>
              <w:ind w:left="314" w:right="221"/>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资产公允价值变动</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139,981,026.81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21,382,925.48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85,217,324.47</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9,010,029.55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36" w:space="3185"/>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2"/>
        <w:gridCol w:w="1685"/>
        <w:gridCol w:w="1664"/>
        <w:gridCol w:w="1657"/>
        <w:gridCol w:w="1673"/>
      </w:tblGrid>
      <w:tr>
        <w:trPr>
          <w:trHeight w:val="295" w:hRule="exact"/>
        </w:trPr>
        <w:tc>
          <w:tcPr>
            <w:tcW w:w="2372" w:type="dxa"/>
            <w:vMerge w:val="restart"/>
            <w:tcBorders>
              <w:top w:val="single" w:sz="4" w:space="0" w:color="000000"/>
              <w:left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2372"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5"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5"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计入其他综合收益的可</w:t>
            </w:r>
          </w:p>
          <w:p>
            <w:pPr>
              <w:pStyle w:val="TableParagraph"/>
              <w:spacing w:line="240" w:lineRule="auto"/>
              <w:ind w:left="103" w:right="154"/>
              <w:jc w:val="left"/>
              <w:rPr>
                <w:rFonts w:ascii="宋体" w:hAnsi="宋体" w:cs="宋体" w:eastAsia="宋体" w:hint="default"/>
                <w:sz w:val="21"/>
                <w:szCs w:val="21"/>
              </w:rPr>
            </w:pPr>
            <w:r>
              <w:rPr>
                <w:rFonts w:ascii="宋体" w:hAnsi="宋体" w:cs="宋体" w:eastAsia="宋体" w:hint="default"/>
                <w:spacing w:val="-2"/>
                <w:sz w:val="21"/>
                <w:szCs w:val="21"/>
              </w:rPr>
              <w:t>供出售金融资产公允价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值变动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162,986,903.73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3" w:right="0"/>
              <w:jc w:val="center"/>
              <w:rPr>
                <w:rFonts w:ascii="宋体" w:hAnsi="宋体" w:cs="宋体" w:eastAsia="宋体" w:hint="default"/>
                <w:sz w:val="21"/>
                <w:szCs w:val="21"/>
              </w:rPr>
            </w:pPr>
            <w:r>
              <w:rPr>
                <w:rFonts w:ascii="宋体"/>
                <w:sz w:val="21"/>
              </w:rPr>
              <w:t>24,448,035.56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42,683,588.83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4,268,358.88</w:t>
            </w:r>
          </w:p>
        </w:tc>
      </w:tr>
      <w:tr>
        <w:trPr>
          <w:trHeight w:val="828"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2" w:lineRule="exact" w:before="27"/>
              <w:ind w:left="103" w:right="154"/>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资产公允价值变动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7,844,777.22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9" w:right="0"/>
              <w:jc w:val="center"/>
              <w:rPr>
                <w:rFonts w:ascii="宋体" w:hAnsi="宋体" w:cs="宋体" w:eastAsia="宋体" w:hint="default"/>
                <w:sz w:val="21"/>
                <w:szCs w:val="21"/>
              </w:rPr>
            </w:pPr>
            <w:r>
              <w:rPr>
                <w:rFonts w:ascii="宋体"/>
                <w:sz w:val="21"/>
              </w:rPr>
              <w:t>1,176,716.58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9,675,762.95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967,576.29</w:t>
            </w:r>
          </w:p>
        </w:tc>
      </w:tr>
      <w:tr>
        <w:trPr>
          <w:trHeight w:val="296"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170,831,680.95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3" w:right="0"/>
              <w:jc w:val="center"/>
              <w:rPr>
                <w:rFonts w:ascii="宋体" w:hAnsi="宋体" w:cs="宋体" w:eastAsia="宋体" w:hint="default"/>
                <w:sz w:val="21"/>
                <w:szCs w:val="21"/>
              </w:rPr>
            </w:pPr>
            <w:r>
              <w:rPr>
                <w:rFonts w:ascii="宋体"/>
                <w:sz w:val="21"/>
              </w:rPr>
              <w:t>25,624,752.14</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52,359,351.78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5,235,935.17</w:t>
            </w:r>
          </w:p>
        </w:tc>
      </w:tr>
    </w:tbl>
    <w:p>
      <w:pPr>
        <w:spacing w:after="0" w:line="248"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ind w:right="2940"/>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8"/>
        <w:ind w:right="2940"/>
        <w:jc w:val="left"/>
      </w:pPr>
      <w:r>
        <w:rPr/>
        <w:t>□适用</w:t>
      </w:r>
      <w:r>
        <w:rPr>
          <w:spacing w:val="-1"/>
        </w:rPr>
        <w:t> </w:t>
      </w:r>
      <w:r>
        <w:rPr/>
        <w:t>√不适用</w:t>
      </w:r>
    </w:p>
    <w:p>
      <w:pPr>
        <w:pStyle w:val="Heading4"/>
        <w:spacing w:line="240" w:lineRule="auto" w:before="56"/>
        <w:ind w:right="2940"/>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8"/>
        <w:ind w:right="2940"/>
        <w:jc w:val="left"/>
      </w:pPr>
      <w:r>
        <w:rPr/>
        <w:t>□适用</w:t>
      </w:r>
      <w:r>
        <w:rPr>
          <w:spacing w:val="-1"/>
        </w:rPr>
        <w:t> </w:t>
      </w:r>
      <w:r>
        <w:rPr/>
        <w:t>√不适用</w:t>
      </w:r>
    </w:p>
    <w:p>
      <w:pPr>
        <w:pStyle w:val="Heading4"/>
        <w:spacing w:line="240" w:lineRule="auto" w:before="56"/>
        <w:ind w:right="2940"/>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72" w:lineRule="exact" w:before="86"/>
        <w:ind w:right="7474"/>
        <w:jc w:val="left"/>
      </w:pPr>
      <w:r>
        <w:rPr/>
        <w:t>□适用</w:t>
      </w:r>
      <w:r>
        <w:rPr>
          <w:spacing w:val="-1"/>
        </w:rPr>
        <w:t> </w:t>
      </w:r>
      <w:r>
        <w:rPr/>
        <w:t>√不适用</w:t>
      </w:r>
      <w:r>
        <w:rPr>
          <w:w w:val="100"/>
        </w:rPr>
        <w:t> </w:t>
      </w:r>
      <w:r>
        <w:rPr/>
        <w:t>其他说明：</w:t>
      </w:r>
    </w:p>
    <w:p>
      <w:pPr>
        <w:spacing w:line="240" w:lineRule="auto" w:before="12"/>
        <w:rPr>
          <w:rFonts w:ascii="宋体" w:hAnsi="宋体" w:cs="宋体" w:eastAsia="宋体" w:hint="default"/>
          <w:sz w:val="18"/>
          <w:szCs w:val="1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16"/>
        <w:gridCol w:w="3080"/>
        <w:gridCol w:w="3001"/>
      </w:tblGrid>
      <w:tr>
        <w:trPr>
          <w:trHeight w:val="286"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29" w:right="0"/>
              <w:jc w:val="left"/>
              <w:rPr>
                <w:rFonts w:ascii="宋体" w:hAnsi="宋体" w:cs="宋体" w:eastAsia="宋体" w:hint="default"/>
                <w:sz w:val="21"/>
                <w:szCs w:val="21"/>
              </w:rPr>
            </w:pPr>
            <w:r>
              <w:rPr>
                <w:rFonts w:ascii="宋体" w:hAnsi="宋体" w:cs="宋体" w:eastAsia="宋体" w:hint="default"/>
                <w:sz w:val="21"/>
                <w:szCs w:val="21"/>
              </w:rPr>
              <w:t>信托计划</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163,847,499.98</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87,000,000.00</w:t>
            </w: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预付投资款</w:t>
            </w:r>
          </w:p>
        </w:tc>
        <w:tc>
          <w:tcPr>
            <w:tcW w:w="3080" w:type="dxa"/>
            <w:tcBorders>
              <w:top w:val="single" w:sz="6" w:space="0" w:color="000000"/>
              <w:left w:val="single" w:sz="6" w:space="0" w:color="000000"/>
              <w:bottom w:val="single" w:sz="6" w:space="0" w:color="000000"/>
              <w:right w:val="single" w:sz="6" w:space="0" w:color="000000"/>
            </w:tcBorders>
          </w:tcPr>
          <w:p>
            <w:pP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17,500,000.00</w:t>
            </w: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预付长期资产购置款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278,065.12</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195,232.00</w:t>
            </w: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164,125,565.10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104,695,232.00</w:t>
            </w:r>
          </w:p>
        </w:tc>
      </w:tr>
    </w:tbl>
    <w:p>
      <w:pPr>
        <w:spacing w:line="240" w:lineRule="auto" w:before="5"/>
        <w:rPr>
          <w:rFonts w:ascii="宋体" w:hAnsi="宋体" w:cs="宋体" w:eastAsia="宋体" w:hint="default"/>
          <w:sz w:val="15"/>
          <w:szCs w:val="15"/>
        </w:rPr>
      </w:pPr>
    </w:p>
    <w:p>
      <w:pPr>
        <w:pStyle w:val="BodyText"/>
        <w:spacing w:line="273" w:lineRule="exact" w:before="36"/>
        <w:ind w:right="2940"/>
        <w:jc w:val="left"/>
      </w:pPr>
      <w:r>
        <w:rPr/>
        <w:t>其他说明：</w:t>
      </w:r>
    </w:p>
    <w:p>
      <w:pPr>
        <w:pStyle w:val="BodyText"/>
        <w:spacing w:line="273" w:lineRule="exact"/>
        <w:ind w:right="2940"/>
        <w:jc w:val="left"/>
      </w:pPr>
      <w:r>
        <w:rPr>
          <w:rFonts w:ascii="宋体" w:hAnsi="宋体" w:cs="宋体" w:eastAsia="宋体" w:hint="default"/>
        </w:rPr>
        <w:t>[</w:t>
      </w:r>
      <w:r>
        <w:rPr/>
        <w:t>注</w:t>
      </w:r>
      <w:r>
        <w:rPr>
          <w:rFonts w:ascii="宋体" w:hAnsi="宋体" w:cs="宋体" w:eastAsia="宋体" w:hint="default"/>
        </w:rPr>
        <w:t>]</w:t>
      </w:r>
      <w:r>
        <w:rPr/>
        <w:t>：系无市价，预计持有期限</w:t>
      </w:r>
      <w:r>
        <w:rPr>
          <w:spacing w:val="-55"/>
        </w:rPr>
        <w:t> </w:t>
      </w:r>
      <w:r>
        <w:rPr>
          <w:rFonts w:ascii="宋体" w:hAnsi="宋体" w:cs="宋体" w:eastAsia="宋体" w:hint="default"/>
        </w:rPr>
        <w:t>1</w:t>
      </w:r>
      <w:r>
        <w:rPr>
          <w:rFonts w:ascii="宋体" w:hAnsi="宋体" w:cs="宋体" w:eastAsia="宋体" w:hint="default"/>
          <w:spacing w:val="-55"/>
        </w:rPr>
        <w:t> </w:t>
      </w:r>
      <w:r>
        <w:rPr/>
        <w:t>年以上的信托计划。</w:t>
      </w:r>
    </w:p>
    <w:p>
      <w:pPr>
        <w:spacing w:line="240" w:lineRule="auto" w:before="3"/>
        <w:rPr>
          <w:rFonts w:ascii="宋体" w:hAnsi="宋体" w:cs="宋体" w:eastAsia="宋体" w:hint="default"/>
          <w:sz w:val="25"/>
          <w:szCs w:val="25"/>
        </w:rPr>
      </w:pPr>
    </w:p>
    <w:p>
      <w:pPr>
        <w:pStyle w:val="Heading4"/>
        <w:spacing w:line="240" w:lineRule="auto" w:before="0"/>
        <w:ind w:right="2940"/>
        <w:jc w:val="left"/>
        <w:rPr>
          <w:b w:val="0"/>
          <w:bCs w:val="0"/>
        </w:rPr>
      </w:pPr>
      <w:r>
        <w:rPr>
          <w:rFonts w:ascii="宋体" w:hAnsi="宋体" w:cs="宋体" w:eastAsia="宋体" w:hint="default"/>
        </w:rPr>
        <w:t>31</w:t>
      </w:r>
      <w:r>
        <w:rPr/>
        <w:t>、</w:t>
      </w:r>
      <w:r>
        <w:rPr>
          <w:spacing w:val="-25"/>
        </w:rPr>
        <w:t> </w:t>
      </w:r>
      <w:r>
        <w:rPr/>
        <w:t>短期借款</w:t>
      </w:r>
      <w:r>
        <w:rPr>
          <w:b w:val="0"/>
          <w:bCs w:val="0"/>
        </w:rPr>
      </w:r>
    </w:p>
    <w:p>
      <w:pPr>
        <w:pStyle w:val="BodyText"/>
        <w:spacing w:line="240" w:lineRule="auto" w:before="58"/>
        <w:ind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940"/>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940"/>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940"/>
        <w:jc w:val="left"/>
        <w:rPr>
          <w:b w:val="0"/>
          <w:bCs w:val="0"/>
        </w:rPr>
      </w:pPr>
      <w:r>
        <w:rPr>
          <w:rFonts w:ascii="宋体" w:hAnsi="宋体" w:cs="宋体" w:eastAsia="宋体" w:hint="default"/>
        </w:rPr>
        <w:t>34</w:t>
      </w:r>
      <w:r>
        <w:rPr/>
        <w:t>、</w:t>
      </w:r>
      <w:r>
        <w:rPr>
          <w:spacing w:val="-25"/>
        </w:rPr>
        <w:t> </w:t>
      </w:r>
      <w:r>
        <w:rPr/>
        <w:t>应付票据</w:t>
      </w:r>
      <w:r>
        <w:rPr>
          <w:b w:val="0"/>
          <w:bCs w:val="0"/>
        </w:rPr>
      </w:r>
    </w:p>
    <w:p>
      <w:pPr>
        <w:pStyle w:val="BodyText"/>
        <w:spacing w:line="240" w:lineRule="auto" w:before="57"/>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4"/>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商品及材料采购款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11,524,129.76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16,508,008.08</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长期资产款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45,899,407.96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18,986,207.70</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费用性款项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5,810,351.18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1,737,284.53</w:t>
            </w:r>
          </w:p>
        </w:tc>
      </w:tr>
      <w:tr>
        <w:trPr>
          <w:trHeight w:val="2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63,233,888.90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37,231,500.31</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72" w:lineRule="exact" w:before="69"/>
        <w:ind w:right="7734"/>
        <w:jc w:val="left"/>
      </w:pPr>
      <w:r>
        <w:rPr/>
        <w:t>□适用</w:t>
      </w:r>
      <w:r>
        <w:rPr>
          <w:spacing w:val="-1"/>
        </w:rPr>
        <w:t> </w:t>
      </w:r>
      <w:r>
        <w:rPr/>
        <w:t>√不适用</w:t>
      </w:r>
      <w:r>
        <w:rPr>
          <w:w w:val="100"/>
        </w:rPr>
        <w:t> </w:t>
      </w:r>
      <w:r>
        <w:rPr/>
        <w:t>其他说明</w:t>
      </w:r>
    </w:p>
    <w:p>
      <w:pPr>
        <w:spacing w:line="240" w:lineRule="auto" w:before="12"/>
        <w:rPr>
          <w:rFonts w:ascii="宋体" w:hAnsi="宋体" w:cs="宋体" w:eastAsia="宋体" w:hint="default"/>
          <w:sz w:val="18"/>
          <w:szCs w:val="1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780"/>
        </w:sectPr>
      </w:pPr>
    </w:p>
    <w:p>
      <w:pPr>
        <w:pStyle w:val="Heading4"/>
        <w:spacing w:line="240" w:lineRule="auto"/>
        <w:ind w:right="-19"/>
        <w:jc w:val="left"/>
        <w:rPr>
          <w:b w:val="0"/>
          <w:bCs w:val="0"/>
        </w:rPr>
      </w:pPr>
      <w:r>
        <w:rPr>
          <w:rFonts w:ascii="宋体" w:hAnsi="宋体" w:cs="宋体" w:eastAsia="宋体" w:hint="default"/>
        </w:rPr>
        <w:t>36</w:t>
      </w:r>
      <w:r>
        <w:rPr/>
        <w:t>、</w:t>
      </w:r>
      <w:r>
        <w:rPr>
          <w:spacing w:val="-25"/>
        </w:rPr>
        <w:t> </w:t>
      </w:r>
      <w:r>
        <w:rPr/>
        <w:t>预收款项</w:t>
      </w:r>
      <w:r>
        <w:rPr>
          <w:b w:val="0"/>
          <w:bCs w:val="0"/>
        </w:rPr>
      </w:r>
    </w:p>
    <w:p>
      <w:pPr>
        <w:pStyle w:val="Heading4"/>
        <w:spacing w:line="240" w:lineRule="auto" w:before="56"/>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780"/>
          <w:cols w:num="2" w:equalWidth="0">
            <w:col w:w="2225" w:space="4297"/>
            <w:col w:w="302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w:t>
              <w:tab/>
              <w:t>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779,147,392.41</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454,716,313.45</w:t>
            </w:r>
          </w:p>
        </w:tc>
      </w:tr>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科技园售房款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3,213,703.00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10,229,746.00</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782,361,095.41</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464,946,059.45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780"/>
        </w:sectPr>
      </w:pPr>
    </w:p>
    <w:p>
      <w:pPr>
        <w:pStyle w:val="Heading4"/>
        <w:spacing w:line="240" w:lineRule="auto"/>
        <w:ind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39"/>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780"/>
          <w:cols w:num="2" w:equalWidth="0">
            <w:col w:w="3507" w:space="3015"/>
            <w:col w:w="302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89"/>
        <w:gridCol w:w="3012"/>
        <w:gridCol w:w="3049"/>
      </w:tblGrid>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国金道富投资服务有限公司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3,449,900.00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未竣工</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张建华</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2,900,000.00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未交付</w:t>
            </w:r>
          </w:p>
        </w:tc>
      </w:tr>
      <w:tr>
        <w:trPr>
          <w:trHeight w:val="55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中国电建集团华东勘测设计研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究院有限公司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2,752,158.90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未竣工</w:t>
            </w:r>
          </w:p>
        </w:tc>
      </w:tr>
      <w:tr>
        <w:trPr>
          <w:trHeight w:val="28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9,102,058.90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72" w:lineRule="exact" w:before="86"/>
        <w:ind w:right="7734"/>
        <w:jc w:val="left"/>
      </w:pPr>
      <w:r>
        <w:rPr/>
        <w:t>□适用</w:t>
      </w:r>
      <w:r>
        <w:rPr>
          <w:spacing w:val="-1"/>
        </w:rPr>
        <w:t> </w:t>
      </w:r>
      <w:r>
        <w:rPr/>
        <w:t>√不适用</w:t>
      </w:r>
      <w:r>
        <w:rPr>
          <w:w w:val="100"/>
        </w:rPr>
        <w:t> </w:t>
      </w:r>
      <w:r>
        <w:rPr/>
        <w:t>其他说明</w:t>
      </w:r>
    </w:p>
    <w:p>
      <w:pPr>
        <w:spacing w:line="240" w:lineRule="auto" w:before="12"/>
        <w:rPr>
          <w:rFonts w:ascii="宋体" w:hAnsi="宋体" w:cs="宋体" w:eastAsia="宋体" w:hint="default"/>
          <w:sz w:val="18"/>
          <w:szCs w:val="1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780"/>
        </w:sectPr>
      </w:pPr>
    </w:p>
    <w:p>
      <w:pPr>
        <w:pStyle w:val="Heading4"/>
        <w:spacing w:line="290" w:lineRule="auto"/>
        <w:ind w:right="-16"/>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4"/>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780"/>
          <w:cols w:num="2" w:equalWidth="0">
            <w:col w:w="2544" w:space="3978"/>
            <w:col w:w="302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951"/>
        <w:gridCol w:w="1760"/>
        <w:gridCol w:w="1925"/>
        <w:gridCol w:w="1702"/>
        <w:gridCol w:w="1699"/>
      </w:tblGrid>
      <w:tr>
        <w:trPr>
          <w:trHeight w:val="288" w:hRule="exact"/>
        </w:trPr>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5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3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129,930,787.52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1,009,135,095.20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870,733,862.15</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268,332,020.57</w:t>
            </w:r>
          </w:p>
        </w:tc>
      </w:tr>
      <w:tr>
        <w:trPr>
          <w:trHeight w:val="559" w:hRule="exact"/>
        </w:trPr>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二、离职后福利</w:t>
            </w:r>
            <w:r>
              <w:rPr>
                <w:rFonts w:ascii="宋体" w:hAnsi="宋体" w:cs="宋体" w:eastAsia="宋体" w:hint="default"/>
                <w:spacing w:val="-7"/>
                <w:sz w:val="21"/>
                <w:szCs w:val="21"/>
              </w:rPr>
              <w:t>-</w:t>
            </w:r>
            <w:r>
              <w:rPr>
                <w:rFonts w:ascii="宋体" w:hAnsi="宋体" w:cs="宋体" w:eastAsia="宋体" w:hint="default"/>
                <w:spacing w:val="-7"/>
                <w:sz w:val="21"/>
                <w:szCs w:val="21"/>
              </w:rPr>
              <w:t>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定提存计划</w:t>
            </w:r>
          </w:p>
        </w:tc>
        <w:tc>
          <w:tcPr>
            <w:tcW w:w="176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1,022,484.22</w:t>
            </w:r>
          </w:p>
        </w:tc>
        <w:tc>
          <w:tcPr>
            <w:tcW w:w="192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27,987,736.23</w:t>
            </w:r>
          </w:p>
        </w:tc>
        <w:tc>
          <w:tcPr>
            <w:tcW w:w="170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27,455,824.26</w:t>
            </w:r>
          </w:p>
        </w:tc>
        <w:tc>
          <w:tcPr>
            <w:tcW w:w="169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1,554,396.19</w:t>
            </w:r>
          </w:p>
        </w:tc>
      </w:tr>
      <w:tr>
        <w:trPr>
          <w:trHeight w:val="288" w:hRule="exact"/>
        </w:trPr>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760" w:type="dxa"/>
            <w:tcBorders>
              <w:top w:val="single" w:sz="4" w:space="0" w:color="000000"/>
              <w:left w:val="single" w:sz="6"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1,941,038.30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275,665.50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1,665,372.80</w:t>
            </w:r>
          </w:p>
        </w:tc>
      </w:tr>
      <w:tr>
        <w:trPr>
          <w:trHeight w:val="559" w:hRule="exact"/>
        </w:trPr>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四、一年内到期的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其他福利</w:t>
            </w:r>
          </w:p>
        </w:tc>
        <w:tc>
          <w:tcPr>
            <w:tcW w:w="1760" w:type="dxa"/>
            <w:tcBorders>
              <w:top w:val="single" w:sz="4" w:space="0" w:color="000000"/>
              <w:left w:val="single" w:sz="6"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60"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130,953,271.74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1,039,063,869.73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898,465,351.91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271,551,789.56</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780"/>
        </w:sectPr>
      </w:pPr>
    </w:p>
    <w:p>
      <w:pPr>
        <w:pStyle w:val="Heading4"/>
        <w:spacing w:line="240" w:lineRule="auto"/>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9"/>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780"/>
          <w:cols w:num="2" w:equalWidth="0">
            <w:col w:w="2122" w:space="4506"/>
            <w:col w:w="292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5"/>
        <w:gridCol w:w="1699"/>
        <w:gridCol w:w="1988"/>
        <w:gridCol w:w="1702"/>
        <w:gridCol w:w="1697"/>
      </w:tblGrid>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35"/>
        <w:gridCol w:w="1699"/>
        <w:gridCol w:w="1988"/>
        <w:gridCol w:w="1702"/>
        <w:gridCol w:w="1697"/>
      </w:tblGrid>
      <w:tr>
        <w:trPr>
          <w:trHeight w:val="55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一、工资、奖金、津贴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和补贴</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98,561,825.90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871,211,613.74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739,042,523.38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230,730,916.26</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99"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19,466,451.97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19,466,451.97</w:t>
            </w: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837,191.05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21,059,093.74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20,582,138.29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1,314,146.50</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734,910.53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18,312,784.46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17,893,589.09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1,154,105.90</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25,594.20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771,831.19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756,402.71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41,022.68</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76,686.32</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1,974,478.09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1,932,146.49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119,017.92</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62,527,895.24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62,527,825.24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1,260.00</w:t>
            </w:r>
          </w:p>
        </w:tc>
      </w:tr>
      <w:tr>
        <w:trPr>
          <w:trHeight w:val="55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5"/>
                <w:w w:val="100"/>
                <w:sz w:val="21"/>
                <w:szCs w:val="21"/>
              </w:rPr>
              <w:t>、</w:t>
            </w:r>
            <w:r>
              <w:rPr>
                <w:rFonts w:ascii="宋体" w:hAnsi="宋体" w:cs="宋体" w:eastAsia="宋体" w:hint="default"/>
                <w:w w:val="100"/>
                <w:sz w:val="21"/>
                <w:szCs w:val="21"/>
              </w:rPr>
              <w:t>工</w:t>
            </w:r>
            <w:r>
              <w:rPr>
                <w:rFonts w:ascii="宋体" w:hAnsi="宋体" w:cs="宋体" w:eastAsia="宋体" w:hint="default"/>
                <w:spacing w:val="-3"/>
                <w:w w:val="100"/>
                <w:sz w:val="21"/>
                <w:szCs w:val="21"/>
              </w:rPr>
              <w:t>会</w:t>
            </w:r>
            <w:r>
              <w:rPr>
                <w:rFonts w:ascii="宋体" w:hAnsi="宋体" w:cs="宋体" w:eastAsia="宋体" w:hint="default"/>
                <w:w w:val="100"/>
                <w:sz w:val="21"/>
                <w:szCs w:val="21"/>
              </w:rPr>
              <w:t>经</w:t>
            </w:r>
            <w:r>
              <w:rPr>
                <w:rFonts w:ascii="宋体" w:hAnsi="宋体" w:cs="宋体" w:eastAsia="宋体" w:hint="default"/>
                <w:spacing w:val="-3"/>
                <w:w w:val="100"/>
                <w:sz w:val="21"/>
                <w:szCs w:val="21"/>
              </w:rPr>
              <w:t>费</w:t>
            </w:r>
            <w:r>
              <w:rPr>
                <w:rFonts w:ascii="宋体" w:hAnsi="宋体" w:cs="宋体" w:eastAsia="宋体" w:hint="default"/>
                <w:w w:val="100"/>
                <w:sz w:val="21"/>
                <w:szCs w:val="21"/>
              </w:rPr>
              <w:t>和</w:t>
            </w:r>
            <w:r>
              <w:rPr>
                <w:rFonts w:ascii="宋体" w:hAnsi="宋体" w:cs="宋体" w:eastAsia="宋体" w:hint="default"/>
                <w:spacing w:val="-3"/>
                <w:w w:val="100"/>
                <w:sz w:val="21"/>
                <w:szCs w:val="21"/>
              </w:rPr>
              <w:t>职</w:t>
            </w:r>
            <w:r>
              <w:rPr>
                <w:rFonts w:ascii="宋体" w:hAnsi="宋体" w:cs="宋体" w:eastAsia="宋体" w:hint="default"/>
                <w:w w:val="100"/>
                <w:sz w:val="21"/>
                <w:szCs w:val="21"/>
              </w:rPr>
              <w:t>工教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育经费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30,530,580.57</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34,870,040.51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29,114,923.27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36,285,697.81</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99"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七</w:t>
            </w:r>
            <w:r>
              <w:rPr>
                <w:rFonts w:ascii="宋体" w:hAnsi="宋体" w:cs="宋体" w:eastAsia="宋体" w:hint="default"/>
                <w:spacing w:val="-85"/>
                <w:w w:val="100"/>
                <w:sz w:val="21"/>
                <w:szCs w:val="21"/>
              </w:rPr>
              <w:t>、</w:t>
            </w:r>
            <w:r>
              <w:rPr>
                <w:rFonts w:ascii="宋体" w:hAnsi="宋体" w:cs="宋体" w:eastAsia="宋体" w:hint="default"/>
                <w:w w:val="100"/>
                <w:sz w:val="21"/>
                <w:szCs w:val="21"/>
              </w:rPr>
              <w:t>短</w:t>
            </w:r>
            <w:r>
              <w:rPr>
                <w:rFonts w:ascii="宋体" w:hAnsi="宋体" w:cs="宋体" w:eastAsia="宋体" w:hint="default"/>
                <w:spacing w:val="-3"/>
                <w:w w:val="100"/>
                <w:sz w:val="21"/>
                <w:szCs w:val="21"/>
              </w:rPr>
              <w:t>期</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分</w:t>
            </w:r>
            <w:r>
              <w:rPr>
                <w:rFonts w:ascii="宋体" w:hAnsi="宋体" w:cs="宋体" w:eastAsia="宋体" w:hint="default"/>
                <w:spacing w:val="-3"/>
                <w:w w:val="100"/>
                <w:sz w:val="21"/>
                <w:szCs w:val="21"/>
              </w:rPr>
              <w:t>享</w:t>
            </w:r>
            <w:r>
              <w:rPr>
                <w:rFonts w:ascii="宋体" w:hAnsi="宋体" w:cs="宋体" w:eastAsia="宋体" w:hint="default"/>
                <w:w w:val="100"/>
                <w:sz w:val="21"/>
                <w:szCs w:val="21"/>
              </w:rPr>
              <w:t>计划</w:t>
            </w:r>
          </w:p>
        </w:tc>
        <w:tc>
          <w:tcPr>
            <w:tcW w:w="1699"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129,930,787.52</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1,009,135,095.20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870,733,862.15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268,332,020.57</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780"/>
        </w:sectPr>
      </w:pPr>
    </w:p>
    <w:p>
      <w:pPr>
        <w:pStyle w:val="Heading4"/>
        <w:spacing w:line="240" w:lineRule="auto"/>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780"/>
          <w:cols w:num="2" w:equalWidth="0">
            <w:col w:w="2333" w:space="4189"/>
            <w:col w:w="302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894,673.68</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25,754,531.74</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25,241,814.46</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1,407,390.96</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127,810.54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2,233,204.49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2,214,009.80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147,005.23</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1,022,484.22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27,987,736.23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27,455,824.26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1,554,396.19</w:t>
            </w:r>
          </w:p>
        </w:tc>
      </w:tr>
    </w:tbl>
    <w:p>
      <w:pPr>
        <w:spacing w:line="240" w:lineRule="auto" w:before="7"/>
        <w:rPr>
          <w:rFonts w:ascii="宋体" w:hAnsi="宋体" w:cs="宋体" w:eastAsia="宋体" w:hint="default"/>
          <w:sz w:val="15"/>
          <w:szCs w:val="15"/>
        </w:rPr>
      </w:pPr>
    </w:p>
    <w:p>
      <w:pPr>
        <w:pStyle w:val="BodyText"/>
        <w:spacing w:line="240" w:lineRule="auto" w:before="36"/>
        <w:ind w:right="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tabs>
          <w:tab w:pos="1051" w:val="left" w:leader="none"/>
        </w:tabs>
        <w:spacing w:line="240" w:lineRule="auto" w:before="58"/>
        <w:ind w:left="0" w:right="49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0"/>
      </w:tblGrid>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990,284.57</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3,227,072.24</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225,210.87</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1,949,478.87</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71,157,539.80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27,830,109.24</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3,417,171.85</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2,130,698.73</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2,631,545.20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2,851,512.15</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421,902.84</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353,003.42</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58,804.05</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58,804.01</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75,907.76</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72,394.29</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1,173,869.61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1,273,168.43</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735,523.31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805,029.26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1,173,760.45</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992,432.74</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840.00</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82,061,520.31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41,544,543.38</w:t>
            </w:r>
          </w:p>
        </w:tc>
      </w:tr>
    </w:tbl>
    <w:p>
      <w:pPr>
        <w:spacing w:line="240" w:lineRule="auto" w:before="7"/>
        <w:rPr>
          <w:rFonts w:ascii="宋体" w:hAnsi="宋体" w:cs="宋体" w:eastAsia="宋体" w:hint="default"/>
          <w:sz w:val="15"/>
          <w:szCs w:val="15"/>
        </w:rPr>
      </w:pPr>
    </w:p>
    <w:p>
      <w:pPr>
        <w:pStyle w:val="BodyText"/>
        <w:spacing w:line="240" w:lineRule="auto" w:before="36"/>
        <w:ind w:right="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78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50,883.25</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50,883.25</w:t>
            </w:r>
          </w:p>
        </w:tc>
      </w:tr>
    </w:tbl>
    <w:p>
      <w:pPr>
        <w:spacing w:line="240" w:lineRule="auto" w:before="7"/>
        <w:rPr>
          <w:rFonts w:ascii="宋体" w:hAnsi="宋体" w:cs="宋体" w:eastAsia="宋体" w:hint="default"/>
          <w:sz w:val="15"/>
          <w:szCs w:val="15"/>
        </w:rPr>
      </w:pPr>
    </w:p>
    <w:p>
      <w:pPr>
        <w:pStyle w:val="BodyText"/>
        <w:spacing w:line="273" w:lineRule="exact" w:before="36"/>
        <w:ind w:right="2940"/>
        <w:jc w:val="left"/>
      </w:pPr>
      <w:r>
        <w:rPr/>
        <w:t>重要的已逾期未支付的利息情况：</w:t>
      </w:r>
    </w:p>
    <w:p>
      <w:pPr>
        <w:pStyle w:val="BodyText"/>
        <w:spacing w:line="290" w:lineRule="auto"/>
        <w:ind w:right="7474"/>
        <w:jc w:val="left"/>
      </w:pPr>
      <w:r>
        <w:rPr/>
        <w:t>□适用</w:t>
      </w:r>
      <w:r>
        <w:rPr>
          <w:spacing w:val="-1"/>
        </w:rPr>
        <w:t> </w:t>
      </w:r>
      <w:r>
        <w:rPr/>
        <w:t>√不适用</w:t>
      </w:r>
      <w:r>
        <w:rPr>
          <w:w w:val="100"/>
        </w:rPr>
        <w:t> </w:t>
      </w:r>
      <w:r>
        <w:rPr/>
        <w:t>其他说明：</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4"/>
        <w:spacing w:line="240" w:lineRule="auto" w:before="0"/>
        <w:ind w:right="2940"/>
        <w:jc w:val="left"/>
        <w:rPr>
          <w:b w:val="0"/>
          <w:bCs w:val="0"/>
        </w:rPr>
      </w:pPr>
      <w:r>
        <w:rPr>
          <w:rFonts w:ascii="宋体" w:hAnsi="宋体" w:cs="宋体" w:eastAsia="宋体" w:hint="default"/>
        </w:rPr>
        <w:t>40</w:t>
      </w:r>
      <w:r>
        <w:rPr/>
        <w:t>、</w:t>
      </w:r>
      <w:r>
        <w:rPr>
          <w:spacing w:val="-25"/>
        </w:rPr>
        <w:t> </w:t>
      </w:r>
      <w:r>
        <w:rPr/>
        <w:t>应付股利</w:t>
      </w:r>
      <w:r>
        <w:rPr>
          <w:b w:val="0"/>
          <w:bCs w:val="0"/>
        </w:rPr>
      </w:r>
    </w:p>
    <w:p>
      <w:pPr>
        <w:pStyle w:val="BodyText"/>
        <w:spacing w:line="240" w:lineRule="auto" w:before="58"/>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41</w:t>
      </w:r>
      <w:r>
        <w:rPr/>
        <w:t>、</w:t>
      </w:r>
      <w:r>
        <w:rPr>
          <w:spacing w:val="-25"/>
        </w:rPr>
        <w:t> </w:t>
      </w:r>
      <w:r>
        <w:rPr/>
        <w:t>其他应付款</w:t>
      </w:r>
      <w:r>
        <w:rPr>
          <w:b w:val="0"/>
          <w:bCs w:val="0"/>
        </w:rPr>
      </w:r>
    </w:p>
    <w:p>
      <w:pPr>
        <w:pStyle w:val="Heading4"/>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应付的代收基金交易款</w:t>
            </w:r>
          </w:p>
        </w:tc>
        <w:tc>
          <w:tcPr>
            <w:tcW w:w="3000" w:type="dxa"/>
            <w:tcBorders>
              <w:top w:val="single" w:sz="4" w:space="0" w:color="000000"/>
              <w:left w:val="single" w:sz="4" w:space="0" w:color="000000"/>
              <w:bottom w:val="single" w:sz="4" w:space="0" w:color="000000"/>
              <w:right w:val="single" w:sz="4" w:space="0" w:color="000000"/>
            </w:tcBorders>
          </w:tcPr>
          <w:p>
            <w:pP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102,111,245.10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已结算尚未支付的经营费用</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42,912,352.90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79,855,261.97</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12,078,449.09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17,202,601.99</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押金保证金及工程质保金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19,843,997.58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19,767,119.29</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6,052,384.86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17,863,918.57</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投资小组理财奖励</w:t>
            </w:r>
          </w:p>
        </w:tc>
        <w:tc>
          <w:tcPr>
            <w:tcW w:w="3000" w:type="dxa"/>
            <w:tcBorders>
              <w:top w:val="single" w:sz="4" w:space="0" w:color="000000"/>
              <w:left w:val="single" w:sz="4" w:space="0" w:color="000000"/>
              <w:bottom w:val="single" w:sz="4" w:space="0" w:color="000000"/>
              <w:right w:val="single" w:sz="4" w:space="0" w:color="000000"/>
            </w:tcBorders>
          </w:tcPr>
          <w:p>
            <w:pP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5,205,898.02</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4,109,337.26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3,670,064.91</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84,996,521.69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245,676,109.85</w:t>
            </w:r>
          </w:p>
        </w:tc>
      </w:tr>
    </w:tbl>
    <w:p>
      <w:pPr>
        <w:spacing w:line="240" w:lineRule="auto" w:before="13"/>
        <w:rPr>
          <w:rFonts w:ascii="宋体" w:hAnsi="宋体" w:cs="宋体" w:eastAsia="宋体" w:hint="default"/>
          <w:sz w:val="19"/>
          <w:szCs w:val="19"/>
        </w:rPr>
      </w:pPr>
    </w:p>
    <w:p>
      <w:pPr>
        <w:pStyle w:val="Heading4"/>
        <w:spacing w:line="240" w:lineRule="auto"/>
        <w:ind w:right="2940"/>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72" w:lineRule="exact" w:before="69"/>
        <w:ind w:right="7474"/>
        <w:jc w:val="left"/>
      </w:pPr>
      <w:r>
        <w:rPr/>
        <w:t>□适用</w:t>
      </w:r>
      <w:r>
        <w:rPr>
          <w:spacing w:val="-1"/>
        </w:rPr>
        <w:t> </w:t>
      </w:r>
      <w:r>
        <w:rPr/>
        <w:t>√不适用</w:t>
      </w:r>
      <w:r>
        <w:rPr>
          <w:w w:val="100"/>
        </w:rPr>
        <w:t> </w:t>
      </w:r>
      <w:r>
        <w:rPr/>
        <w:t>其他说明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4"/>
        <w:spacing w:line="240" w:lineRule="auto" w:before="0"/>
        <w:ind w:right="2940"/>
        <w:jc w:val="left"/>
        <w:rPr>
          <w:b w:val="0"/>
          <w:bCs w:val="0"/>
        </w:rPr>
      </w:pPr>
      <w:r>
        <w:rPr>
          <w:rFonts w:ascii="宋体" w:hAnsi="宋体" w:cs="宋体" w:eastAsia="宋体" w:hint="default"/>
        </w:rPr>
        <w:t>42</w:t>
      </w:r>
      <w:r>
        <w:rPr/>
        <w:t>、</w:t>
      </w:r>
      <w:r>
        <w:rPr>
          <w:spacing w:val="-26"/>
        </w:rPr>
        <w:t> </w:t>
      </w:r>
      <w:r>
        <w:rPr/>
        <w:t>划分为持有待售的负债</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940"/>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6"/>
        <w:ind w:right="294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ind w:right="2940"/>
        <w:jc w:val="left"/>
        <w:rPr>
          <w:b w:val="0"/>
          <w:bCs w:val="0"/>
        </w:rPr>
      </w:pPr>
      <w:r>
        <w:rPr>
          <w:rFonts w:ascii="宋体" w:hAnsi="宋体" w:cs="宋体" w:eastAsia="宋体" w:hint="default"/>
        </w:rPr>
        <w:t>44</w:t>
      </w:r>
      <w:r>
        <w:rPr/>
        <w:t>、</w:t>
      </w:r>
      <w:r>
        <w:rPr>
          <w:spacing w:val="-24"/>
        </w:rPr>
        <w:t> </w:t>
      </w:r>
      <w:r>
        <w:rPr/>
        <w:t>其他流动负债</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right="2940"/>
        <w:jc w:val="left"/>
      </w:pPr>
      <w:r>
        <w:rPr/>
        <w:t>短期应付债券的增减变动：</w:t>
      </w:r>
    </w:p>
    <w:p>
      <w:pPr>
        <w:pStyle w:val="BodyText"/>
        <w:spacing w:line="290" w:lineRule="auto"/>
        <w:ind w:right="7474"/>
        <w:jc w:val="left"/>
      </w:pPr>
      <w:r>
        <w:rPr/>
        <w:t>□适用</w:t>
      </w:r>
      <w:r>
        <w:rPr>
          <w:spacing w:val="-1"/>
        </w:rPr>
        <w:t> </w:t>
      </w:r>
      <w:r>
        <w:rPr/>
        <w:t>√不适用</w:t>
      </w:r>
      <w:r>
        <w:rPr>
          <w:w w:val="100"/>
        </w:rPr>
        <w:t> </w:t>
      </w:r>
      <w:r>
        <w:rPr/>
        <w:t>其他说明：</w:t>
      </w:r>
    </w:p>
    <w:p>
      <w:pPr>
        <w:spacing w:line="240" w:lineRule="auto" w:before="1"/>
        <w:rPr>
          <w:rFonts w:ascii="宋体" w:hAnsi="宋体" w:cs="宋体" w:eastAsia="宋体" w:hint="default"/>
          <w:sz w:val="22"/>
          <w:szCs w:val="22"/>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ind w:right="0"/>
        <w:jc w:val="left"/>
        <w:rPr>
          <w:b w:val="0"/>
          <w:bCs w:val="0"/>
        </w:rPr>
      </w:pPr>
      <w:r>
        <w:rPr>
          <w:rFonts w:ascii="宋体" w:hAnsi="宋体" w:cs="宋体" w:eastAsia="宋体" w:hint="default"/>
        </w:rPr>
        <w:t>45</w:t>
      </w:r>
      <w:r>
        <w:rPr/>
        <w:t>、</w:t>
      </w:r>
      <w:r>
        <w:rPr>
          <w:spacing w:val="-25"/>
        </w:rPr>
        <w:t> </w:t>
      </w:r>
      <w:r>
        <w:rPr/>
        <w:t>长期借款</w:t>
      </w:r>
      <w:r>
        <w:rPr>
          <w:b w:val="0"/>
          <w:bCs w:val="0"/>
        </w:rPr>
      </w:r>
    </w:p>
    <w:p>
      <w:pPr>
        <w:tabs>
          <w:tab w:pos="849" w:val="left" w:leader="none"/>
        </w:tabs>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7" w:space="4405"/>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001"/>
        <w:gridCol w:w="2998"/>
        <w:gridCol w:w="2897"/>
      </w:tblGrid>
      <w:tr>
        <w:trPr>
          <w:trHeight w:val="28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0"/>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30,199,000.00</w:t>
            </w:r>
          </w:p>
        </w:tc>
      </w:tr>
      <w:tr>
        <w:trPr>
          <w:trHeight w:val="28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0"/>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30,199,000.00</w:t>
            </w:r>
          </w:p>
        </w:tc>
      </w:tr>
    </w:tbl>
    <w:p>
      <w:pPr>
        <w:pStyle w:val="BodyText"/>
        <w:spacing w:line="240" w:lineRule="auto" w:before="26"/>
        <w:ind w:right="2940"/>
        <w:jc w:val="left"/>
      </w:pPr>
      <w:r>
        <w:rPr/>
        <w:t>长期借款分类的说明：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right="2940"/>
        <w:jc w:val="left"/>
      </w:pPr>
      <w:r>
        <w:rPr/>
        <w:t>其他说明，包括利率区间：</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46</w:t>
      </w:r>
      <w:r>
        <w:rPr/>
        <w:t>、</w:t>
      </w:r>
      <w:r>
        <w:rPr>
          <w:spacing w:val="-25"/>
        </w:rPr>
        <w:t> </w:t>
      </w:r>
      <w:r>
        <w:rPr/>
        <w:t>应付债券</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940"/>
        <w:jc w:val="left"/>
        <w:rPr>
          <w:b w:val="0"/>
          <w:bCs w:val="0"/>
        </w:rPr>
      </w:pPr>
      <w:r>
        <w:rPr>
          <w:rFonts w:ascii="宋体" w:hAnsi="宋体" w:cs="宋体" w:eastAsia="宋体" w:hint="default"/>
        </w:rPr>
        <w:t>47</w:t>
      </w:r>
      <w:r>
        <w:rPr/>
        <w:t>、</w:t>
      </w:r>
      <w:r>
        <w:rPr>
          <w:spacing w:val="-25"/>
        </w:rPr>
        <w:t> </w:t>
      </w:r>
      <w:r>
        <w:rPr/>
        <w:t>长期应付款</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940"/>
        <w:jc w:val="left"/>
        <w:rPr>
          <w:b w:val="0"/>
          <w:bCs w:val="0"/>
        </w:rPr>
      </w:pPr>
      <w:r>
        <w:rPr>
          <w:rFonts w:ascii="宋体" w:hAnsi="宋体" w:cs="宋体" w:eastAsia="宋体" w:hint="default"/>
        </w:rPr>
        <w:t>48</w:t>
      </w:r>
      <w:r>
        <w:rPr/>
        <w:t>、</w:t>
      </w:r>
      <w:r>
        <w:rPr>
          <w:spacing w:val="-24"/>
        </w:rPr>
        <w:t> </w:t>
      </w:r>
      <w:r>
        <w:rPr/>
        <w:t>长期应付职工薪酬</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940"/>
        <w:jc w:val="left"/>
        <w:rPr>
          <w:b w:val="0"/>
          <w:bCs w:val="0"/>
        </w:rPr>
      </w:pPr>
      <w:r>
        <w:rPr>
          <w:rFonts w:ascii="宋体" w:hAnsi="宋体" w:cs="宋体" w:eastAsia="宋体" w:hint="default"/>
        </w:rPr>
        <w:t>49</w:t>
      </w:r>
      <w:r>
        <w:rPr/>
        <w:t>、</w:t>
      </w:r>
      <w:r>
        <w:rPr>
          <w:spacing w:val="-25"/>
        </w:rPr>
        <w:t> </w:t>
      </w:r>
      <w:r>
        <w:rPr/>
        <w:t>专项应付款</w:t>
      </w:r>
      <w:r>
        <w:rPr>
          <w:b w:val="0"/>
          <w:bCs w:val="0"/>
        </w:rPr>
      </w:r>
    </w:p>
    <w:p>
      <w:pPr>
        <w:pStyle w:val="BodyText"/>
        <w:spacing w:line="240" w:lineRule="auto" w:before="56"/>
        <w:ind w:right="294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0"/>
          <w:pgSz w:w="11910" w:h="16840"/>
          <w:pgMar w:footer="1195" w:header="882" w:top="1120" w:bottom="1380" w:left="820" w:right="300"/>
        </w:sectPr>
      </w:pPr>
    </w:p>
    <w:p>
      <w:pPr>
        <w:pStyle w:val="Heading4"/>
        <w:spacing w:line="240" w:lineRule="auto"/>
        <w:ind w:left="978" w:right="-18"/>
        <w:jc w:val="left"/>
        <w:rPr>
          <w:b w:val="0"/>
          <w:bCs w:val="0"/>
        </w:rPr>
      </w:pPr>
      <w:r>
        <w:rPr>
          <w:rFonts w:ascii="宋体" w:hAnsi="宋体" w:cs="宋体" w:eastAsia="宋体" w:hint="default"/>
        </w:rPr>
        <w:t>50</w:t>
      </w:r>
      <w:r>
        <w:rPr/>
        <w:t>、</w:t>
      </w:r>
      <w:r>
        <w:rPr>
          <w:spacing w:val="-25"/>
        </w:rPr>
        <w:t> </w:t>
      </w:r>
      <w:r>
        <w:rPr/>
        <w:t>预计负债</w:t>
      </w:r>
      <w:r>
        <w:rPr>
          <w:b w:val="0"/>
          <w:bCs w:val="0"/>
        </w:rPr>
      </w:r>
    </w:p>
    <w:p>
      <w:pPr>
        <w:pStyle w:val="BodyText"/>
        <w:spacing w:line="240" w:lineRule="auto" w:before="58"/>
        <w:ind w:left="9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29" w:val="left" w:leader="none"/>
        </w:tabs>
        <w:spacing w:line="240" w:lineRule="auto"/>
        <w:ind w:left="978" w:right="0"/>
        <w:jc w:val="left"/>
      </w:pPr>
      <w:r>
        <w:rPr>
          <w:spacing w:val="-1"/>
        </w:rPr>
        <w:t>单位：元</w:t>
        <w:tab/>
      </w:r>
      <w:r>
        <w:rPr>
          <w:spacing w:val="-2"/>
        </w:rPr>
        <w:t>币种：人民币</w:t>
      </w:r>
    </w:p>
    <w:p>
      <w:pPr>
        <w:spacing w:after="0" w:line="240" w:lineRule="auto"/>
        <w:jc w:val="left"/>
        <w:sectPr>
          <w:type w:val="continuous"/>
          <w:pgSz w:w="11910" w:h="16840"/>
          <w:pgMar w:top="1120" w:bottom="1380" w:left="820" w:right="300"/>
          <w:cols w:num="2" w:equalWidth="0">
            <w:col w:w="2555" w:space="3966"/>
            <w:col w:w="4269"/>
          </w:cols>
        </w:sectPr>
      </w:pPr>
    </w:p>
    <w:p>
      <w:pPr>
        <w:spacing w:line="240" w:lineRule="auto" w:before="7"/>
        <w:rPr>
          <w:rFonts w:ascii="宋体" w:hAnsi="宋体" w:cs="宋体" w:eastAsia="宋体" w:hint="default"/>
          <w:sz w:val="2"/>
          <w:szCs w:val="2"/>
        </w:rPr>
      </w:pPr>
    </w:p>
    <w:tbl>
      <w:tblPr>
        <w:tblW w:w="0" w:type="auto"/>
        <w:jc w:val="left"/>
        <w:tblInd w:w="939" w:type="dxa"/>
        <w:tblLayout w:type="fixed"/>
        <w:tblCellMar>
          <w:top w:w="0" w:type="dxa"/>
          <w:left w:w="0" w:type="dxa"/>
          <w:bottom w:w="0" w:type="dxa"/>
          <w:right w:w="0" w:type="dxa"/>
        </w:tblCellMar>
        <w:tblLook w:val="01E0"/>
      </w:tblPr>
      <w:tblGrid>
        <w:gridCol w:w="2223"/>
        <w:gridCol w:w="2225"/>
        <w:gridCol w:w="2225"/>
        <w:gridCol w:w="2223"/>
      </w:tblGrid>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项目</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4,665,564.71</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6,222,865.45</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4"/>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p>
        </w:tc>
      </w:tr>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57,890,918.74</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2]</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合计</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4,665,564.71</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64,113,784.19</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BodyText"/>
        <w:spacing w:line="240" w:lineRule="auto" w:before="36"/>
        <w:ind w:left="978" w:right="1031"/>
        <w:jc w:val="left"/>
      </w:pPr>
      <w:r>
        <w:rPr/>
        <w:t>其他说明，包括重要预计负债的相关重要假设、估计说明：</w:t>
      </w:r>
    </w:p>
    <w:p>
      <w:pPr>
        <w:spacing w:line="240" w:lineRule="auto" w:before="10"/>
        <w:rPr>
          <w:rFonts w:ascii="宋体" w:hAnsi="宋体" w:cs="宋体" w:eastAsia="宋体" w:hint="default"/>
          <w:sz w:val="14"/>
          <w:szCs w:val="14"/>
        </w:rPr>
      </w:pPr>
    </w:p>
    <w:p>
      <w:pPr>
        <w:pStyle w:val="BodyText"/>
        <w:spacing w:line="357" w:lineRule="auto"/>
        <w:ind w:left="978" w:right="1031" w:firstLine="419"/>
        <w:jc w:val="left"/>
      </w:pPr>
      <w:r>
        <w:rPr>
          <w:rFonts w:ascii="宋体" w:hAnsi="宋体" w:cs="宋体" w:eastAsia="宋体" w:hint="default"/>
        </w:rPr>
        <w:t>[</w:t>
      </w:r>
      <w:r>
        <w:rPr/>
        <w:t>注</w:t>
      </w:r>
      <w:r>
        <w:rPr>
          <w:spacing w:val="-55"/>
        </w:rPr>
        <w:t> </w:t>
      </w:r>
      <w:r>
        <w:rPr>
          <w:rFonts w:ascii="宋体" w:hAnsi="宋体" w:cs="宋体" w:eastAsia="宋体" w:hint="default"/>
        </w:rPr>
        <w:t>1]</w:t>
      </w:r>
      <w:r>
        <w:rPr/>
        <w:t>：产品质量保证，系根据公司与客户签订的软件销售合同中关于承诺</w:t>
      </w:r>
      <w:r>
        <w:rPr>
          <w:spacing w:val="-57"/>
        </w:rPr>
        <w:t> </w:t>
      </w:r>
      <w:r>
        <w:rPr>
          <w:rFonts w:ascii="宋体" w:hAnsi="宋体" w:cs="宋体" w:eastAsia="宋体" w:hint="default"/>
        </w:rPr>
        <w:t>1</w:t>
      </w:r>
      <w:r>
        <w:rPr>
          <w:rFonts w:ascii="宋体" w:hAnsi="宋体" w:cs="宋体" w:eastAsia="宋体" w:hint="default"/>
          <w:spacing w:val="-55"/>
        </w:rPr>
        <w:t> </w:t>
      </w:r>
      <w:r>
        <w:rPr/>
        <w:t>年免费维护的</w:t>
      </w:r>
      <w:r>
        <w:rPr>
          <w:w w:val="100"/>
        </w:rPr>
        <w:t> </w:t>
      </w:r>
      <w:r>
        <w:rPr>
          <w:spacing w:val="-2"/>
        </w:rPr>
        <w:t>条款，相应按软件收入的</w:t>
      </w:r>
      <w:r>
        <w:rPr>
          <w:spacing w:val="12"/>
        </w:rPr>
        <w:t> </w:t>
      </w:r>
      <w:r>
        <w:rPr>
          <w:rFonts w:ascii="宋体" w:hAnsi="宋体" w:cs="宋体" w:eastAsia="宋体" w:hint="default"/>
          <w:spacing w:val="-2"/>
        </w:rPr>
        <w:t>0.5%(</w:t>
      </w:r>
      <w:r>
        <w:rPr>
          <w:spacing w:val="-2"/>
        </w:rPr>
        <w:t>根据以往实际发生数据测算</w:t>
      </w:r>
      <w:r>
        <w:rPr>
          <w:rFonts w:ascii="宋体" w:hAnsi="宋体" w:cs="宋体" w:eastAsia="宋体" w:hint="default"/>
          <w:spacing w:val="-2"/>
        </w:rPr>
        <w:t>)</w:t>
      </w:r>
      <w:r>
        <w:rPr>
          <w:spacing w:val="-2"/>
        </w:rPr>
        <w:t>计提软件维护费用。</w:t>
      </w:r>
    </w:p>
    <w:p>
      <w:pPr>
        <w:pStyle w:val="BodyText"/>
        <w:spacing w:line="240" w:lineRule="auto" w:before="30"/>
        <w:ind w:left="1398" w:right="1031"/>
        <w:jc w:val="left"/>
      </w:pPr>
      <w:r>
        <w:rPr>
          <w:rFonts w:ascii="宋体" w:hAnsi="宋体" w:cs="宋体" w:eastAsia="宋体" w:hint="default"/>
        </w:rPr>
        <w:t>[</w:t>
      </w:r>
      <w:r>
        <w:rPr/>
        <w:t>注</w:t>
      </w:r>
      <w:r>
        <w:rPr>
          <w:spacing w:val="18"/>
        </w:rPr>
        <w:t> </w:t>
      </w:r>
      <w:r>
        <w:rPr>
          <w:rFonts w:ascii="宋体" w:hAnsi="宋体" w:cs="宋体" w:eastAsia="宋体" w:hint="default"/>
          <w:spacing w:val="-2"/>
        </w:rPr>
        <w:t>2]</w:t>
      </w:r>
      <w:r>
        <w:rPr>
          <w:spacing w:val="-2"/>
        </w:rPr>
        <w:t>：系预估的没收所得和行政罚款支出，详见本财务附注十六其他重要事项之说明。</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820" w:right="300"/>
        </w:sectPr>
      </w:pPr>
    </w:p>
    <w:p>
      <w:pPr>
        <w:spacing w:line="240" w:lineRule="auto" w:before="6"/>
        <w:rPr>
          <w:rFonts w:ascii="宋体" w:hAnsi="宋体" w:cs="宋体" w:eastAsia="宋体" w:hint="default"/>
          <w:sz w:val="15"/>
          <w:szCs w:val="15"/>
        </w:rPr>
      </w:pPr>
    </w:p>
    <w:p>
      <w:pPr>
        <w:pStyle w:val="Heading4"/>
        <w:spacing w:line="240" w:lineRule="auto" w:before="0"/>
        <w:ind w:left="978" w:right="-18"/>
        <w:jc w:val="left"/>
        <w:rPr>
          <w:b w:val="0"/>
          <w:bCs w:val="0"/>
        </w:rPr>
      </w:pPr>
      <w:r>
        <w:rPr>
          <w:rFonts w:ascii="宋体" w:hAnsi="宋体" w:cs="宋体" w:eastAsia="宋体" w:hint="default"/>
        </w:rPr>
        <w:t>51</w:t>
      </w:r>
      <w:r>
        <w:rPr/>
        <w:t>、</w:t>
      </w:r>
      <w:r>
        <w:rPr>
          <w:spacing w:val="-25"/>
        </w:rPr>
        <w:t> </w:t>
      </w:r>
      <w:r>
        <w:rPr/>
        <w:t>递延收益</w:t>
      </w:r>
      <w:r>
        <w:rPr>
          <w:b w:val="0"/>
          <w:bCs w:val="0"/>
        </w:rPr>
      </w:r>
    </w:p>
    <w:p>
      <w:pPr>
        <w:pStyle w:val="BodyText"/>
        <w:spacing w:line="240" w:lineRule="auto" w:before="58"/>
        <w:ind w:left="9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tabs>
          <w:tab w:pos="2029" w:val="left" w:leader="none"/>
        </w:tabs>
        <w:spacing w:line="240" w:lineRule="auto"/>
        <w:ind w:left="978" w:right="0"/>
        <w:jc w:val="left"/>
      </w:pPr>
      <w:r>
        <w:rPr>
          <w:spacing w:val="-1"/>
        </w:rPr>
        <w:t>单位：元</w:t>
        <w:tab/>
      </w:r>
      <w:r>
        <w:rPr>
          <w:spacing w:val="-2"/>
        </w:rPr>
        <w:t>币种人民币</w:t>
      </w:r>
    </w:p>
    <w:p>
      <w:pPr>
        <w:spacing w:after="0" w:line="240" w:lineRule="auto"/>
        <w:jc w:val="left"/>
        <w:sectPr>
          <w:type w:val="continuous"/>
          <w:pgSz w:w="11910" w:h="16840"/>
          <w:pgMar w:top="1120" w:bottom="1380" w:left="820" w:right="300"/>
          <w:cols w:num="2" w:equalWidth="0">
            <w:col w:w="2555" w:space="4178"/>
            <w:col w:w="4057"/>
          </w:cols>
        </w:sectPr>
      </w:pPr>
    </w:p>
    <w:p>
      <w:pPr>
        <w:spacing w:line="240" w:lineRule="auto" w:before="7"/>
        <w:rPr>
          <w:rFonts w:ascii="宋体" w:hAnsi="宋体" w:cs="宋体" w:eastAsia="宋体" w:hint="default"/>
          <w:sz w:val="2"/>
          <w:szCs w:val="2"/>
        </w:rPr>
      </w:pPr>
    </w:p>
    <w:tbl>
      <w:tblPr>
        <w:tblW w:w="0" w:type="auto"/>
        <w:jc w:val="left"/>
        <w:tblInd w:w="939"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35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530"/>
              <w:jc w:val="right"/>
              <w:rPr>
                <w:rFonts w:ascii="宋体" w:hAnsi="宋体" w:cs="宋体" w:eastAsia="宋体" w:hint="default"/>
                <w:sz w:val="21"/>
                <w:szCs w:val="21"/>
              </w:rPr>
            </w:pPr>
            <w:r>
              <w:rPr>
                <w:rFonts w:ascii="宋体" w:hAnsi="宋体" w:cs="宋体" w:eastAsia="宋体" w:hint="default"/>
                <w:sz w:val="21"/>
                <w:szCs w:val="21"/>
              </w:rPr>
              <w:t>项目</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6"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34,480,264.37</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sz w:val="21"/>
              </w:rPr>
              <w:t>15,580,000.00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sz w:val="21"/>
              </w:rPr>
              <w:t>1,031,623.20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49,028,641.17</w:t>
            </w: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
        </w:tc>
        <w:tc>
          <w:tcPr>
            <w:tcW w:w="144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30"/>
              <w:jc w:val="right"/>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34,480,264.37</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sz w:val="21"/>
              </w:rPr>
              <w:t>15,580,000.00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sz w:val="21"/>
              </w:rPr>
              <w:t>1,031,623.20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49,028,641.17</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left="978" w:right="1031"/>
        <w:jc w:val="left"/>
      </w:pPr>
      <w:r>
        <w:rPr/>
        <w:t>涉及政府补助的项目：</w:t>
      </w:r>
    </w:p>
    <w:p>
      <w:pPr>
        <w:pStyle w:val="BodyText"/>
        <w:tabs>
          <w:tab w:pos="1051" w:val="left" w:leader="none"/>
        </w:tabs>
        <w:spacing w:line="240" w:lineRule="auto" w:before="56"/>
        <w:ind w:left="0" w:right="970"/>
        <w:jc w:val="right"/>
      </w:pPr>
      <w:r>
        <w:rPr>
          <w:spacing w:val="-1"/>
        </w:rPr>
        <w:t>单位：元</w:t>
        <w:tab/>
      </w:r>
      <w:r>
        <w:rPr>
          <w:spacing w:val="-2"/>
        </w:rPr>
        <w:t>币种：人民币</w:t>
      </w:r>
    </w:p>
    <w:p>
      <w:pPr>
        <w:spacing w:line="240" w:lineRule="auto" w:before="1"/>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388"/>
        <w:gridCol w:w="1503"/>
        <w:gridCol w:w="1426"/>
        <w:gridCol w:w="1460"/>
        <w:gridCol w:w="1051"/>
        <w:gridCol w:w="1426"/>
        <w:gridCol w:w="1289"/>
      </w:tblGrid>
      <w:tr>
        <w:trPr>
          <w:trHeight w:val="55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负债项目</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本期新增补助</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hanging="53"/>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3" w:lineRule="exact"/>
              <w:ind w:left="11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云计算工程项目补助资金</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27,500,000.00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27,500,000.00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证券安全可靠业务系统研</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发及应用示范国家项目</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21"/>
                <w:szCs w:val="21"/>
              </w:rPr>
            </w:pPr>
            <w:r>
              <w:rPr>
                <w:rFonts w:ascii="宋体"/>
                <w:spacing w:val="-1"/>
                <w:sz w:val="21"/>
              </w:rPr>
              <w:t>4,000,000.00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1" w:right="0"/>
              <w:jc w:val="center"/>
              <w:rPr>
                <w:rFonts w:ascii="宋体" w:hAnsi="宋体" w:cs="宋体" w:eastAsia="宋体" w:hint="default"/>
                <w:sz w:val="21"/>
                <w:szCs w:val="21"/>
              </w:rPr>
            </w:pPr>
            <w:r>
              <w:rPr>
                <w:rFonts w:ascii="宋体"/>
                <w:sz w:val="21"/>
              </w:rPr>
              <w:t>4,000,000.00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828"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金融云计算与大数据安全</w:t>
            </w:r>
          </w:p>
          <w:p>
            <w:pPr>
              <w:pStyle w:val="TableParagraph"/>
              <w:spacing w:line="240" w:lineRule="auto"/>
              <w:ind w:left="24" w:right="38"/>
              <w:jc w:val="left"/>
              <w:rPr>
                <w:rFonts w:ascii="宋体" w:hAnsi="宋体" w:cs="宋体" w:eastAsia="宋体" w:hint="default"/>
                <w:sz w:val="21"/>
                <w:szCs w:val="21"/>
              </w:rPr>
            </w:pPr>
            <w:r>
              <w:rPr>
                <w:rFonts w:ascii="宋体" w:hAnsi="宋体" w:cs="宋体" w:eastAsia="宋体" w:hint="default"/>
                <w:spacing w:val="-2"/>
                <w:sz w:val="21"/>
                <w:szCs w:val="21"/>
              </w:rPr>
              <w:t>应用试点示范国家高技术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产业发展项目</w:t>
            </w:r>
          </w:p>
        </w:tc>
        <w:tc>
          <w:tcPr>
            <w:tcW w:w="150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4,000,000.00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1" w:right="0"/>
              <w:jc w:val="center"/>
              <w:rPr>
                <w:rFonts w:ascii="宋体" w:hAnsi="宋体" w:cs="宋体" w:eastAsia="宋体" w:hint="default"/>
                <w:sz w:val="21"/>
                <w:szCs w:val="21"/>
              </w:rPr>
            </w:pPr>
            <w:r>
              <w:rPr>
                <w:rFonts w:ascii="宋体"/>
                <w:sz w:val="21"/>
              </w:rPr>
              <w:t>4,000,000.00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55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基于大数据模型驱动的智</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能量化交易平台项目</w:t>
            </w:r>
          </w:p>
        </w:tc>
        <w:tc>
          <w:tcPr>
            <w:tcW w:w="150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3,500,000.00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1" w:right="0"/>
              <w:jc w:val="center"/>
              <w:rPr>
                <w:rFonts w:ascii="宋体" w:hAnsi="宋体" w:cs="宋体" w:eastAsia="宋体" w:hint="default"/>
                <w:sz w:val="21"/>
                <w:szCs w:val="21"/>
              </w:rPr>
            </w:pPr>
            <w:r>
              <w:rPr>
                <w:rFonts w:ascii="宋体"/>
                <w:sz w:val="21"/>
              </w:rPr>
              <w:t>3,500,000.00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年战略性新兴产业</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51"/>
                <w:sz w:val="21"/>
                <w:szCs w:val="21"/>
              </w:rPr>
              <w:t> </w:t>
            </w:r>
            <w:r>
              <w:rPr>
                <w:rFonts w:ascii="宋体" w:hAnsi="宋体" w:cs="宋体" w:eastAsia="宋体" w:hint="default"/>
                <w:sz w:val="21"/>
                <w:szCs w:val="21"/>
              </w:rPr>
              <w:t>IPV6</w:t>
            </w:r>
            <w:r>
              <w:rPr>
                <w:rFonts w:ascii="宋体" w:hAnsi="宋体" w:cs="宋体" w:eastAsia="宋体" w:hint="default"/>
                <w:spacing w:val="-54"/>
                <w:sz w:val="21"/>
                <w:szCs w:val="21"/>
              </w:rPr>
              <w:t> </w:t>
            </w:r>
            <w:r>
              <w:rPr>
                <w:rFonts w:ascii="宋体" w:hAnsi="宋体" w:cs="宋体" w:eastAsia="宋体" w:hint="default"/>
                <w:sz w:val="21"/>
                <w:szCs w:val="21"/>
              </w:rPr>
              <w:t>专项资金</w:t>
            </w:r>
          </w:p>
        </w:tc>
        <w:tc>
          <w:tcPr>
            <w:tcW w:w="150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3,000,000.00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1" w:right="0"/>
              <w:jc w:val="center"/>
              <w:rPr>
                <w:rFonts w:ascii="宋体" w:hAnsi="宋体" w:cs="宋体" w:eastAsia="宋体" w:hint="default"/>
                <w:sz w:val="21"/>
                <w:szCs w:val="21"/>
              </w:rPr>
            </w:pPr>
            <w:r>
              <w:rPr>
                <w:rFonts w:ascii="宋体"/>
                <w:sz w:val="21"/>
              </w:rPr>
              <w:t>3,000,000.00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面向金融专用的通用解决</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方案研发及推广项目</w:t>
            </w:r>
          </w:p>
        </w:tc>
        <w:tc>
          <w:tcPr>
            <w:tcW w:w="150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2,500,000.00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1" w:right="0"/>
              <w:jc w:val="center"/>
              <w:rPr>
                <w:rFonts w:ascii="宋体" w:hAnsi="宋体" w:cs="宋体" w:eastAsia="宋体" w:hint="default"/>
                <w:sz w:val="21"/>
                <w:szCs w:val="21"/>
              </w:rPr>
            </w:pPr>
            <w:r>
              <w:rPr>
                <w:rFonts w:ascii="宋体"/>
                <w:sz w:val="21"/>
              </w:rPr>
              <w:t>2,500,000.00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7"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年工业与信息化发</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展专项资金技术改造项目</w:t>
            </w:r>
          </w:p>
        </w:tc>
        <w:tc>
          <w:tcPr>
            <w:tcW w:w="150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1,580,000.00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宋体" w:hAnsi="宋体" w:cs="宋体" w:eastAsia="宋体" w:hint="default"/>
                <w:sz w:val="21"/>
                <w:szCs w:val="21"/>
              </w:rPr>
            </w:pPr>
            <w:r>
              <w:rPr>
                <w:rFonts w:ascii="宋体"/>
                <w:spacing w:val="-1"/>
                <w:sz w:val="21"/>
              </w:rPr>
              <w:t>300,200.00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1" w:right="0"/>
              <w:jc w:val="center"/>
              <w:rPr>
                <w:rFonts w:ascii="宋体" w:hAnsi="宋体" w:cs="宋体" w:eastAsia="宋体" w:hint="default"/>
                <w:sz w:val="21"/>
                <w:szCs w:val="21"/>
              </w:rPr>
            </w:pPr>
            <w:r>
              <w:rPr>
                <w:rFonts w:ascii="宋体"/>
                <w:sz w:val="21"/>
              </w:rPr>
              <w:t>1,279,800.00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28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恒生金融云平台产业化项</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1,500,000.00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285,000.00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sz w:val="21"/>
              </w:rPr>
              <w:t>1,215,000.00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bl>
    <w:p>
      <w:pPr>
        <w:spacing w:after="0" w:line="241" w:lineRule="exact"/>
        <w:jc w:val="center"/>
        <w:rPr>
          <w:rFonts w:ascii="宋体" w:hAnsi="宋体" w:cs="宋体" w:eastAsia="宋体" w:hint="default"/>
          <w:sz w:val="21"/>
          <w:szCs w:val="21"/>
        </w:rPr>
        <w:sectPr>
          <w:type w:val="continuous"/>
          <w:pgSz w:w="11910" w:h="16840"/>
          <w:pgMar w:top="1120" w:bottom="1380" w:left="820" w:right="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388"/>
        <w:gridCol w:w="1503"/>
        <w:gridCol w:w="1426"/>
        <w:gridCol w:w="1460"/>
        <w:gridCol w:w="1051"/>
        <w:gridCol w:w="1426"/>
        <w:gridCol w:w="1289"/>
      </w:tblGrid>
      <w:tr>
        <w:trPr>
          <w:trHeight w:val="28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目（软件园扩建项目）</w:t>
            </w:r>
          </w:p>
        </w:tc>
        <w:tc>
          <w:tcPr>
            <w:tcW w:w="150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年电子信息产业发</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展基金项目</w:t>
            </w:r>
          </w:p>
        </w:tc>
        <w:tc>
          <w:tcPr>
            <w:tcW w:w="150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1,000,000.00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1,000,000.00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年省级企业研究院</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专项资金</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745,484.32</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153,332.28</w:t>
            </w:r>
          </w:p>
        </w:tc>
        <w:tc>
          <w:tcPr>
            <w:tcW w:w="105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592,152.04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2"/>
                <w:sz w:val="21"/>
                <w:szCs w:val="21"/>
              </w:rPr>
              <w:t> </w:t>
            </w:r>
            <w:r>
              <w:rPr>
                <w:rFonts w:ascii="宋体" w:hAnsi="宋体" w:cs="宋体" w:eastAsia="宋体" w:hint="default"/>
                <w:sz w:val="21"/>
                <w:szCs w:val="21"/>
              </w:rPr>
              <w:t>SOA</w:t>
            </w:r>
            <w:r>
              <w:rPr>
                <w:rFonts w:ascii="宋体" w:hAnsi="宋体" w:cs="宋体" w:eastAsia="宋体" w:hint="default"/>
                <w:spacing w:val="-53"/>
                <w:sz w:val="21"/>
                <w:szCs w:val="21"/>
              </w:rPr>
              <w:t> </w:t>
            </w:r>
            <w:r>
              <w:rPr>
                <w:rFonts w:ascii="宋体" w:hAnsi="宋体" w:cs="宋体" w:eastAsia="宋体" w:hint="default"/>
                <w:sz w:val="21"/>
                <w:szCs w:val="21"/>
              </w:rPr>
              <w:t>的金融领域服务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支撑平台研发及示范项目</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734,780.05</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293,090.92</w:t>
            </w:r>
          </w:p>
        </w:tc>
        <w:tc>
          <w:tcPr>
            <w:tcW w:w="105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441,689.13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90"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34,480,264.37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15,580,000.00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1,031,623.20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49,028,641.17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90" w:lineRule="auto" w:before="36"/>
        <w:ind w:left="978" w:right="4828"/>
        <w:jc w:val="left"/>
      </w:pPr>
      <w:r>
        <w:rPr/>
        <w:t>其他说明：</w:t>
      </w:r>
      <w:r>
        <w:rPr>
          <w:spacing w:val="-102"/>
        </w:rPr>
        <w:t> </w:t>
      </w:r>
      <w:r>
        <w:rPr>
          <w:spacing w:val="-102"/>
        </w:rPr>
      </w:r>
      <w:r>
        <w:rPr>
          <w:rFonts w:ascii="宋体" w:hAnsi="宋体" w:cs="宋体" w:eastAsia="宋体" w:hint="default"/>
          <w:spacing w:val="-2"/>
        </w:rPr>
        <w:t>[</w:t>
      </w:r>
      <w:r>
        <w:rPr>
          <w:spacing w:val="-2"/>
        </w:rPr>
        <w:t>注</w:t>
      </w:r>
      <w:r>
        <w:rPr>
          <w:rFonts w:ascii="宋体" w:hAnsi="宋体" w:cs="宋体" w:eastAsia="宋体" w:hint="default"/>
          <w:spacing w:val="-2"/>
        </w:rPr>
        <w:t>]</w:t>
      </w:r>
      <w:r>
        <w:rPr>
          <w:spacing w:val="-2"/>
        </w:rPr>
        <w:t>：部分与资产相关，部分与收益相关。</w:t>
      </w:r>
    </w:p>
    <w:p>
      <w:pPr>
        <w:spacing w:line="240" w:lineRule="auto" w:before="1"/>
        <w:rPr>
          <w:rFonts w:ascii="宋体" w:hAnsi="宋体" w:cs="宋体" w:eastAsia="宋体" w:hint="default"/>
          <w:sz w:val="19"/>
          <w:szCs w:val="19"/>
        </w:rPr>
      </w:pPr>
    </w:p>
    <w:p>
      <w:pPr>
        <w:pStyle w:val="Heading4"/>
        <w:spacing w:line="240" w:lineRule="auto"/>
        <w:ind w:left="978" w:right="1031"/>
        <w:jc w:val="left"/>
        <w:rPr>
          <w:b w:val="0"/>
          <w:bCs w:val="0"/>
        </w:rPr>
      </w:pPr>
      <w:r>
        <w:rPr>
          <w:rFonts w:ascii="宋体" w:hAnsi="宋体" w:cs="宋体" w:eastAsia="宋体" w:hint="default"/>
        </w:rPr>
        <w:t>52</w:t>
      </w:r>
      <w:r>
        <w:rPr/>
        <w:t>、</w:t>
      </w:r>
      <w:r>
        <w:rPr>
          <w:spacing w:val="-24"/>
        </w:rPr>
        <w:t> </w:t>
      </w:r>
      <w:r>
        <w:rPr/>
        <w:t>其他非流动负债</w:t>
      </w:r>
      <w:r>
        <w:rPr>
          <w:b w:val="0"/>
          <w:bCs w:val="0"/>
        </w:rPr>
      </w:r>
    </w:p>
    <w:p>
      <w:pPr>
        <w:pStyle w:val="BodyText"/>
        <w:tabs>
          <w:tab w:pos="1051" w:val="left" w:leader="none"/>
        </w:tabs>
        <w:spacing w:line="240" w:lineRule="auto" w:before="58"/>
        <w:ind w:left="0" w:right="97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865" w:type="dxa"/>
        <w:tblLayout w:type="fixed"/>
        <w:tblCellMar>
          <w:top w:w="0" w:type="dxa"/>
          <w:left w:w="0" w:type="dxa"/>
          <w:bottom w:w="0" w:type="dxa"/>
          <w:right w:w="0" w:type="dxa"/>
        </w:tblCellMar>
        <w:tblLook w:val="01E0"/>
      </w:tblPr>
      <w:tblGrid>
        <w:gridCol w:w="3257"/>
        <w:gridCol w:w="2897"/>
        <w:gridCol w:w="2895"/>
      </w:tblGrid>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978" w:right="1031"/>
        <w:jc w:val="left"/>
      </w:pPr>
      <w:r>
        <w:rPr/>
        <w:t>其他说明：</w:t>
      </w:r>
    </w:p>
    <w:p>
      <w:pPr>
        <w:spacing w:line="240" w:lineRule="auto" w:before="3"/>
        <w:rPr>
          <w:rFonts w:ascii="宋体" w:hAnsi="宋体" w:cs="宋体" w:eastAsia="宋体" w:hint="default"/>
          <w:sz w:val="25"/>
          <w:szCs w:val="25"/>
        </w:rPr>
      </w:pPr>
    </w:p>
    <w:p>
      <w:pPr>
        <w:spacing w:line="20" w:lineRule="exact"/>
        <w:ind w:left="9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4"/>
        <w:spacing w:line="240" w:lineRule="auto"/>
        <w:ind w:left="978" w:right="1031"/>
        <w:jc w:val="left"/>
        <w:rPr>
          <w:b w:val="0"/>
          <w:bCs w:val="0"/>
        </w:rPr>
      </w:pPr>
      <w:r>
        <w:rPr>
          <w:rFonts w:ascii="宋体" w:hAnsi="宋体" w:cs="宋体" w:eastAsia="宋体" w:hint="default"/>
        </w:rPr>
        <w:t>53</w:t>
      </w:r>
      <w:r>
        <w:rPr/>
        <w:t>、</w:t>
      </w:r>
      <w:r>
        <w:rPr>
          <w:spacing w:val="-26"/>
        </w:rPr>
        <w:t> </w:t>
      </w:r>
      <w:r>
        <w:rPr/>
        <w:t>股本</w:t>
      </w:r>
      <w:r>
        <w:rPr>
          <w:b w:val="0"/>
          <w:bCs w:val="0"/>
        </w:rPr>
      </w:r>
    </w:p>
    <w:p>
      <w:pPr>
        <w:pStyle w:val="BodyText"/>
        <w:tabs>
          <w:tab w:pos="1051" w:val="left" w:leader="none"/>
        </w:tabs>
        <w:spacing w:line="240" w:lineRule="auto" w:before="58"/>
        <w:ind w:left="0" w:right="97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865" w:type="dxa"/>
        <w:tblLayout w:type="fixed"/>
        <w:tblCellMar>
          <w:top w:w="0" w:type="dxa"/>
          <w:left w:w="0" w:type="dxa"/>
          <w:bottom w:w="0" w:type="dxa"/>
          <w:right w:w="0" w:type="dxa"/>
        </w:tblCellMar>
        <w:tblLook w:val="01E0"/>
      </w:tblPr>
      <w:tblGrid>
        <w:gridCol w:w="1241"/>
        <w:gridCol w:w="1688"/>
        <w:gridCol w:w="883"/>
        <w:gridCol w:w="881"/>
        <w:gridCol w:w="958"/>
        <w:gridCol w:w="838"/>
        <w:gridCol w:w="860"/>
        <w:gridCol w:w="1687"/>
      </w:tblGrid>
      <w:tr>
        <w:trPr>
          <w:trHeight w:val="283" w:hRule="exact"/>
        </w:trPr>
        <w:tc>
          <w:tcPr>
            <w:tcW w:w="1241" w:type="dxa"/>
            <w:vMerge w:val="restart"/>
            <w:tcBorders>
              <w:top w:val="single" w:sz="4" w:space="0" w:color="000000"/>
              <w:left w:val="single" w:sz="4" w:space="0" w:color="000000"/>
              <w:right w:val="single" w:sz="4" w:space="0" w:color="000000"/>
            </w:tcBorders>
          </w:tcPr>
          <w:p>
            <w:pPr/>
          </w:p>
        </w:tc>
        <w:tc>
          <w:tcPr>
            <w:tcW w:w="168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4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68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241" w:type="dxa"/>
            <w:vMerge/>
            <w:tcBorders>
              <w:left w:val="single" w:sz="4" w:space="0" w:color="000000"/>
              <w:bottom w:val="single" w:sz="4" w:space="0" w:color="000000"/>
              <w:right w:val="single" w:sz="4" w:space="0" w:color="000000"/>
            </w:tcBorders>
          </w:tcPr>
          <w:p>
            <w:pPr/>
          </w:p>
        </w:tc>
        <w:tc>
          <w:tcPr>
            <w:tcW w:w="1688" w:type="dxa"/>
            <w:vMerge/>
            <w:tcBorders>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3"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223"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7" w:type="dxa"/>
            <w:vMerge/>
            <w:tcBorders>
              <w:left w:val="single" w:sz="4" w:space="0" w:color="000000"/>
              <w:bottom w:val="single" w:sz="4" w:space="0" w:color="000000"/>
              <w:right w:val="single" w:sz="4" w:space="0" w:color="000000"/>
            </w:tcBorders>
          </w:tcPr>
          <w:p>
            <w:pP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617,805,180.00</w:t>
            </w: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617,805,180.00</w:t>
            </w:r>
          </w:p>
        </w:tc>
      </w:tr>
    </w:tbl>
    <w:p>
      <w:pPr>
        <w:pStyle w:val="BodyText"/>
        <w:spacing w:line="240" w:lineRule="auto" w:before="26"/>
        <w:ind w:left="978" w:right="1031"/>
        <w:jc w:val="left"/>
      </w:pPr>
      <w:r>
        <w:rPr/>
        <w:t>其他说明：</w:t>
      </w:r>
    </w:p>
    <w:p>
      <w:pPr>
        <w:spacing w:line="240" w:lineRule="auto" w:before="3"/>
        <w:rPr>
          <w:rFonts w:ascii="宋体" w:hAnsi="宋体" w:cs="宋体" w:eastAsia="宋体" w:hint="default"/>
          <w:sz w:val="25"/>
          <w:szCs w:val="25"/>
        </w:rPr>
      </w:pPr>
    </w:p>
    <w:p>
      <w:pPr>
        <w:spacing w:line="20" w:lineRule="exact"/>
        <w:ind w:left="9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left="978" w:right="1031"/>
        <w:jc w:val="left"/>
        <w:rPr>
          <w:b w:val="0"/>
          <w:bCs w:val="0"/>
        </w:rPr>
      </w:pPr>
      <w:r>
        <w:rPr>
          <w:rFonts w:ascii="宋体" w:hAnsi="宋体" w:cs="宋体" w:eastAsia="宋体" w:hint="default"/>
        </w:rPr>
        <w:t>54</w:t>
      </w:r>
      <w:r>
        <w:rPr/>
        <w:t>、</w:t>
      </w:r>
      <w:r>
        <w:rPr>
          <w:spacing w:val="-24"/>
        </w:rPr>
        <w:t> </w:t>
      </w:r>
      <w:r>
        <w:rPr/>
        <w:t>其他权益工具</w:t>
      </w:r>
      <w:r>
        <w:rPr>
          <w:b w:val="0"/>
          <w:bCs w:val="0"/>
        </w:rPr>
      </w:r>
    </w:p>
    <w:p>
      <w:pPr>
        <w:pStyle w:val="BodyText"/>
        <w:spacing w:line="240" w:lineRule="auto" w:before="59"/>
        <w:ind w:left="978" w:right="103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4"/>
        <w:spacing w:line="240" w:lineRule="auto"/>
        <w:ind w:left="978" w:right="1031"/>
        <w:jc w:val="left"/>
        <w:rPr>
          <w:b w:val="0"/>
          <w:bCs w:val="0"/>
        </w:rPr>
      </w:pPr>
      <w:r>
        <w:rPr>
          <w:rFonts w:ascii="宋体" w:hAnsi="宋体" w:cs="宋体" w:eastAsia="宋体" w:hint="default"/>
        </w:rPr>
        <w:t>55</w:t>
      </w:r>
      <w:r>
        <w:rPr/>
        <w:t>、</w:t>
      </w:r>
      <w:r>
        <w:rPr>
          <w:spacing w:val="-25"/>
        </w:rPr>
        <w:t> </w:t>
      </w:r>
      <w:r>
        <w:rPr/>
        <w:t>资本公积</w:t>
      </w:r>
      <w:r>
        <w:rPr>
          <w:b w:val="0"/>
          <w:bCs w:val="0"/>
        </w:rPr>
      </w:r>
    </w:p>
    <w:p>
      <w:pPr>
        <w:pStyle w:val="BodyText"/>
        <w:tabs>
          <w:tab w:pos="1051" w:val="left" w:leader="none"/>
        </w:tabs>
        <w:spacing w:line="240" w:lineRule="auto" w:before="56"/>
        <w:ind w:left="0" w:right="97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939" w:type="dxa"/>
        <w:tblLayout w:type="fixed"/>
        <w:tblCellMar>
          <w:top w:w="0" w:type="dxa"/>
          <w:left w:w="0" w:type="dxa"/>
          <w:bottom w:w="0" w:type="dxa"/>
          <w:right w:w="0" w:type="dxa"/>
        </w:tblCellMar>
        <w:tblLook w:val="01E0"/>
      </w:tblPr>
      <w:tblGrid>
        <w:gridCol w:w="2014"/>
        <w:gridCol w:w="1561"/>
        <w:gridCol w:w="1822"/>
        <w:gridCol w:w="1808"/>
        <w:gridCol w:w="1805"/>
      </w:tblGrid>
      <w:tr>
        <w:trPr>
          <w:trHeight w:val="286" w:hRule="exact"/>
        </w:trPr>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资本溢价（股本溢价</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3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822"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35,986,668.17</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sz w:val="21"/>
              </w:rPr>
              <w:t>72,912,999.76</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298,545.38</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108,601,122.55</w:t>
            </w:r>
          </w:p>
        </w:tc>
      </w:tr>
      <w:tr>
        <w:trPr>
          <w:trHeight w:val="288" w:hRule="exact"/>
        </w:trPr>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35,986,668.17</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sz w:val="21"/>
              </w:rPr>
              <w:t>72,912,999.76</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298,545.38</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108,601,122.55</w:t>
            </w:r>
          </w:p>
        </w:tc>
      </w:tr>
    </w:tbl>
    <w:p>
      <w:pPr>
        <w:pStyle w:val="BodyText"/>
        <w:spacing w:line="241" w:lineRule="exact"/>
        <w:ind w:left="978" w:right="1031"/>
        <w:jc w:val="left"/>
      </w:pPr>
      <w:r>
        <w:rPr/>
        <w:t>其他说明，包括本期增减变动情况、变动原因说明：</w:t>
      </w:r>
    </w:p>
    <w:p>
      <w:pPr>
        <w:pStyle w:val="BodyText"/>
        <w:spacing w:line="240" w:lineRule="auto" w:before="133"/>
        <w:ind w:left="1398" w:right="0"/>
        <w:jc w:val="left"/>
      </w:pPr>
      <w:r>
        <w:rPr/>
        <w:t>子公司香港恒生原注册资本</w:t>
      </w:r>
      <w:r>
        <w:rPr>
          <w:spacing w:val="-55"/>
        </w:rPr>
        <w:t> </w:t>
      </w:r>
      <w:r>
        <w:rPr>
          <w:rFonts w:ascii="宋体" w:hAnsi="宋体" w:cs="宋体" w:eastAsia="宋体" w:hint="default"/>
        </w:rPr>
        <w:t>1,500.00</w:t>
      </w:r>
      <w:r>
        <w:rPr>
          <w:rFonts w:ascii="宋体" w:hAnsi="宋体" w:cs="宋体" w:eastAsia="宋体" w:hint="default"/>
          <w:spacing w:val="-56"/>
        </w:rPr>
        <w:t> </w:t>
      </w:r>
      <w:r>
        <w:rPr/>
        <w:t>万港币，其中本公司出资</w:t>
      </w:r>
      <w:r>
        <w:rPr>
          <w:spacing w:val="-56"/>
        </w:rPr>
        <w:t> </w:t>
      </w:r>
      <w:r>
        <w:rPr>
          <w:rFonts w:ascii="宋体" w:hAnsi="宋体" w:cs="宋体" w:eastAsia="宋体" w:hint="default"/>
        </w:rPr>
        <w:t>1,500.00</w:t>
      </w:r>
      <w:r>
        <w:rPr>
          <w:rFonts w:ascii="宋体" w:hAnsi="宋体" w:cs="宋体" w:eastAsia="宋体" w:hint="default"/>
          <w:spacing w:val="-55"/>
        </w:rPr>
        <w:t> </w:t>
      </w:r>
      <w:r>
        <w:rPr/>
        <w:t>万港币，占其注册</w:t>
      </w:r>
    </w:p>
    <w:p>
      <w:pPr>
        <w:pStyle w:val="BodyText"/>
        <w:spacing w:line="357" w:lineRule="auto" w:before="133"/>
        <w:ind w:left="978" w:right="0"/>
        <w:jc w:val="left"/>
      </w:pPr>
      <w:r>
        <w:rPr/>
        <w:t>资本的</w:t>
      </w:r>
      <w:r>
        <w:rPr>
          <w:spacing w:val="-54"/>
        </w:rPr>
        <w:t> </w:t>
      </w:r>
      <w:r>
        <w:rPr>
          <w:rFonts w:ascii="宋体" w:hAnsi="宋体" w:cs="宋体" w:eastAsia="宋体" w:hint="default"/>
        </w:rPr>
        <w:t>100.00%</w:t>
      </w:r>
      <w:r>
        <w:rPr/>
        <w:t>。根据公司</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6"/>
        </w:rPr>
        <w:t> </w:t>
      </w:r>
      <w:r>
        <w:rPr>
          <w:rFonts w:ascii="宋体" w:hAnsi="宋体" w:cs="宋体" w:eastAsia="宋体" w:hint="default"/>
        </w:rPr>
        <w:t>12</w:t>
      </w:r>
      <w:r>
        <w:rPr>
          <w:rFonts w:ascii="宋体" w:hAnsi="宋体" w:cs="宋体" w:eastAsia="宋体" w:hint="default"/>
          <w:spacing w:val="-54"/>
        </w:rPr>
        <w:t> </w:t>
      </w:r>
      <w:r>
        <w:rPr/>
        <w:t>日五届二十一次董事会决议，公司拟与宁波云汉投资</w:t>
      </w:r>
      <w:r>
        <w:rPr>
          <w:w w:val="100"/>
        </w:rPr>
        <w:t> </w:t>
      </w:r>
      <w:r>
        <w:rPr>
          <w:spacing w:val="-4"/>
          <w:w w:val="100"/>
        </w:rPr>
        <w:t>管理合伙企业</w:t>
      </w:r>
      <w:r>
        <w:rPr>
          <w:rFonts w:ascii="宋体" w:hAnsi="宋体" w:cs="宋体" w:eastAsia="宋体" w:hint="default"/>
          <w:spacing w:val="-4"/>
          <w:w w:val="100"/>
        </w:rPr>
        <w:t>(</w:t>
      </w:r>
      <w:r>
        <w:rPr>
          <w:spacing w:val="-4"/>
          <w:w w:val="100"/>
        </w:rPr>
        <w:t>有限合伙</w:t>
      </w:r>
      <w:r>
        <w:rPr>
          <w:rFonts w:ascii="宋体" w:hAnsi="宋体" w:cs="宋体" w:eastAsia="宋体" w:hint="default"/>
          <w:spacing w:val="-4"/>
          <w:w w:val="100"/>
        </w:rPr>
        <w:t>)(</w:t>
      </w:r>
      <w:r>
        <w:rPr>
          <w:spacing w:val="-4"/>
          <w:w w:val="100"/>
        </w:rPr>
        <w:t>以下简称云汉投资</w:t>
      </w:r>
      <w:r>
        <w:rPr>
          <w:rFonts w:ascii="宋体" w:hAnsi="宋体" w:cs="宋体" w:eastAsia="宋体" w:hint="default"/>
          <w:spacing w:val="-4"/>
          <w:w w:val="100"/>
        </w:rPr>
        <w:t>)</w:t>
      </w:r>
      <w:r>
        <w:rPr>
          <w:spacing w:val="-4"/>
          <w:w w:val="100"/>
        </w:rPr>
        <w:t>、宁波云夏投资管理合伙企业</w:t>
      </w:r>
      <w:r>
        <w:rPr>
          <w:rFonts w:ascii="宋体" w:hAnsi="宋体" w:cs="宋体" w:eastAsia="宋体" w:hint="default"/>
          <w:spacing w:val="-4"/>
          <w:w w:val="100"/>
        </w:rPr>
        <w:t>(</w:t>
      </w:r>
      <w:r>
        <w:rPr>
          <w:spacing w:val="-4"/>
          <w:w w:val="100"/>
        </w:rPr>
        <w:t>有限合伙</w:t>
      </w:r>
      <w:r>
        <w:rPr>
          <w:rFonts w:ascii="宋体" w:hAnsi="宋体" w:cs="宋体" w:eastAsia="宋体" w:hint="default"/>
          <w:spacing w:val="-4"/>
          <w:w w:val="100"/>
        </w:rPr>
        <w:t>)(</w:t>
      </w:r>
      <w:r>
        <w:rPr>
          <w:spacing w:val="-4"/>
          <w:w w:val="100"/>
        </w:rPr>
        <w:t>以下简称</w:t>
      </w:r>
    </w:p>
    <w:p>
      <w:pPr>
        <w:spacing w:after="0" w:line="357" w:lineRule="auto"/>
        <w:jc w:val="left"/>
        <w:sectPr>
          <w:footerReference w:type="default" r:id="rId41"/>
          <w:pgSz w:w="11910" w:h="16840"/>
          <w:pgMar w:footer="1195" w:header="882" w:top="1120" w:bottom="1380" w:left="820" w:right="300"/>
          <w:pgNumType w:start="111"/>
        </w:sectPr>
      </w:pPr>
    </w:p>
    <w:p>
      <w:pPr>
        <w:spacing w:line="240" w:lineRule="auto" w:before="1"/>
        <w:rPr>
          <w:rFonts w:ascii="宋体" w:hAnsi="宋体" w:cs="宋体" w:eastAsia="宋体" w:hint="default"/>
          <w:sz w:val="25"/>
          <w:szCs w:val="25"/>
        </w:rPr>
      </w:pPr>
    </w:p>
    <w:p>
      <w:pPr>
        <w:pStyle w:val="BodyText"/>
        <w:spacing w:line="240" w:lineRule="auto" w:before="36"/>
        <w:ind w:left="1678" w:right="49"/>
        <w:jc w:val="left"/>
      </w:pPr>
      <w:r>
        <w:rPr/>
        <w:t>云夏投资</w:t>
      </w:r>
      <w:r>
        <w:rPr>
          <w:rFonts w:ascii="宋体" w:hAnsi="宋体" w:cs="宋体" w:eastAsia="宋体" w:hint="default"/>
        </w:rPr>
        <w:t>)</w:t>
      </w:r>
      <w:r>
        <w:rPr/>
        <w:t>对香港恒生增资</w:t>
      </w:r>
      <w:r>
        <w:rPr>
          <w:spacing w:val="-43"/>
        </w:rPr>
        <w:t> </w:t>
      </w:r>
      <w:r>
        <w:rPr>
          <w:rFonts w:ascii="宋体" w:hAnsi="宋体" w:cs="宋体" w:eastAsia="宋体" w:hint="default"/>
        </w:rPr>
        <w:t>3,500</w:t>
      </w:r>
      <w:r>
        <w:rPr>
          <w:rFonts w:ascii="宋体" w:hAnsi="宋体" w:cs="宋体" w:eastAsia="宋体" w:hint="default"/>
          <w:spacing w:val="-45"/>
        </w:rPr>
        <w:t> </w:t>
      </w:r>
      <w:r>
        <w:rPr>
          <w:spacing w:val="-5"/>
        </w:rPr>
        <w:t>万港币，其中公司增资</w:t>
      </w:r>
      <w:r>
        <w:rPr>
          <w:spacing w:val="-45"/>
        </w:rPr>
        <w:t> </w:t>
      </w:r>
      <w:r>
        <w:rPr>
          <w:rFonts w:ascii="宋体" w:hAnsi="宋体" w:cs="宋体" w:eastAsia="宋体" w:hint="default"/>
        </w:rPr>
        <w:t>2,300</w:t>
      </w:r>
      <w:r>
        <w:rPr>
          <w:rFonts w:ascii="宋体" w:hAnsi="宋体" w:cs="宋体" w:eastAsia="宋体" w:hint="default"/>
          <w:spacing w:val="-45"/>
        </w:rPr>
        <w:t> </w:t>
      </w:r>
      <w:r>
        <w:rPr>
          <w:spacing w:val="-6"/>
        </w:rPr>
        <w:t>万港币，云汉投资、云夏投资分别</w:t>
      </w:r>
    </w:p>
    <w:p>
      <w:pPr>
        <w:pStyle w:val="BodyText"/>
        <w:spacing w:line="240" w:lineRule="auto" w:before="135"/>
        <w:ind w:left="1678" w:right="49"/>
        <w:jc w:val="left"/>
      </w:pPr>
      <w:r>
        <w:rPr/>
        <w:t>增资</w:t>
      </w:r>
      <w:r>
        <w:rPr>
          <w:spacing w:val="-55"/>
        </w:rPr>
        <w:t> </w:t>
      </w:r>
      <w:r>
        <w:rPr>
          <w:rFonts w:ascii="宋体" w:hAnsi="宋体" w:cs="宋体" w:eastAsia="宋体" w:hint="default"/>
        </w:rPr>
        <w:t>600</w:t>
      </w:r>
      <w:r>
        <w:rPr>
          <w:rFonts w:ascii="宋体" w:hAnsi="宋体" w:cs="宋体" w:eastAsia="宋体" w:hint="default"/>
          <w:spacing w:val="-55"/>
        </w:rPr>
        <w:t> </w:t>
      </w:r>
      <w:r>
        <w:rPr/>
        <w:t>万港币。增资后，香港恒生注册资本变更为</w:t>
      </w:r>
      <w:r>
        <w:rPr>
          <w:spacing w:val="-54"/>
        </w:rPr>
        <w:t> </w:t>
      </w:r>
      <w:r>
        <w:rPr>
          <w:rFonts w:ascii="宋体" w:hAnsi="宋体" w:cs="宋体" w:eastAsia="宋体" w:hint="default"/>
        </w:rPr>
        <w:t>5,000</w:t>
      </w:r>
      <w:r>
        <w:rPr>
          <w:rFonts w:ascii="宋体" w:hAnsi="宋体" w:cs="宋体" w:eastAsia="宋体" w:hint="default"/>
          <w:spacing w:val="-55"/>
        </w:rPr>
        <w:t> </w:t>
      </w:r>
      <w:r>
        <w:rPr/>
        <w:t>万港币，公司持有</w:t>
      </w:r>
      <w:r>
        <w:rPr>
          <w:spacing w:val="-54"/>
        </w:rPr>
        <w:t> </w:t>
      </w:r>
      <w:r>
        <w:rPr>
          <w:rFonts w:ascii="宋体" w:hAnsi="宋体" w:cs="宋体" w:eastAsia="宋体" w:hint="default"/>
        </w:rPr>
        <w:t>76%</w:t>
      </w:r>
      <w:r>
        <w:rPr/>
        <w:t>股份。增资前</w:t>
      </w:r>
    </w:p>
    <w:p>
      <w:pPr>
        <w:pStyle w:val="BodyText"/>
        <w:spacing w:line="240" w:lineRule="auto" w:before="133"/>
        <w:ind w:left="1678" w:right="49"/>
        <w:jc w:val="left"/>
      </w:pPr>
      <w:r>
        <w:rPr>
          <w:w w:val="100"/>
        </w:rPr>
        <w:t>后按</w:t>
      </w:r>
      <w:r>
        <w:rPr>
          <w:spacing w:val="-3"/>
          <w:w w:val="100"/>
        </w:rPr>
        <w:t>公</w:t>
      </w:r>
      <w:r>
        <w:rPr>
          <w:w w:val="100"/>
        </w:rPr>
        <w:t>司</w:t>
      </w:r>
      <w:r>
        <w:rPr>
          <w:spacing w:val="-3"/>
          <w:w w:val="100"/>
        </w:rPr>
        <w:t>股</w:t>
      </w:r>
      <w:r>
        <w:rPr>
          <w:w w:val="100"/>
        </w:rPr>
        <w:t>权</w:t>
      </w:r>
      <w:r>
        <w:rPr>
          <w:spacing w:val="-3"/>
          <w:w w:val="100"/>
        </w:rPr>
        <w:t>比</w:t>
      </w:r>
      <w:r>
        <w:rPr>
          <w:w w:val="100"/>
        </w:rPr>
        <w:t>例</w:t>
      </w:r>
      <w:r>
        <w:rPr>
          <w:spacing w:val="-3"/>
          <w:w w:val="100"/>
        </w:rPr>
        <w:t>计</w:t>
      </w:r>
      <w:r>
        <w:rPr>
          <w:w w:val="100"/>
        </w:rPr>
        <w:t>算</w:t>
      </w:r>
      <w:r>
        <w:rPr>
          <w:spacing w:val="-3"/>
          <w:w w:val="100"/>
        </w:rPr>
        <w:t>其</w:t>
      </w:r>
      <w:r>
        <w:rPr>
          <w:w w:val="100"/>
        </w:rPr>
        <w:t>在香</w:t>
      </w:r>
      <w:r>
        <w:rPr>
          <w:spacing w:val="-3"/>
          <w:w w:val="100"/>
        </w:rPr>
        <w:t>港</w:t>
      </w:r>
      <w:r>
        <w:rPr>
          <w:w w:val="100"/>
        </w:rPr>
        <w:t>恒</w:t>
      </w:r>
      <w:r>
        <w:rPr>
          <w:spacing w:val="-3"/>
          <w:w w:val="100"/>
        </w:rPr>
        <w:t>生</w:t>
      </w:r>
      <w:r>
        <w:rPr>
          <w:w w:val="100"/>
        </w:rPr>
        <w:t>账</w:t>
      </w:r>
      <w:r>
        <w:rPr>
          <w:spacing w:val="-3"/>
          <w:w w:val="100"/>
        </w:rPr>
        <w:t>面</w:t>
      </w:r>
      <w:r>
        <w:rPr>
          <w:w w:val="100"/>
        </w:rPr>
        <w:t>净</w:t>
      </w:r>
      <w:r>
        <w:rPr>
          <w:spacing w:val="-3"/>
          <w:w w:val="100"/>
        </w:rPr>
        <w:t>资</w:t>
      </w:r>
      <w:r>
        <w:rPr>
          <w:w w:val="100"/>
        </w:rPr>
        <w:t>产</w:t>
      </w:r>
      <w:r>
        <w:rPr>
          <w:spacing w:val="-3"/>
          <w:w w:val="100"/>
        </w:rPr>
        <w:t>份</w:t>
      </w:r>
      <w:r>
        <w:rPr>
          <w:w w:val="100"/>
        </w:rPr>
        <w:t>额之</w:t>
      </w:r>
      <w:r>
        <w:rPr>
          <w:spacing w:val="-3"/>
          <w:w w:val="100"/>
        </w:rPr>
        <w:t>间</w:t>
      </w:r>
      <w:r>
        <w:rPr>
          <w:w w:val="100"/>
        </w:rPr>
        <w:t>的</w:t>
      </w:r>
      <w:r>
        <w:rPr>
          <w:spacing w:val="-3"/>
          <w:w w:val="100"/>
        </w:rPr>
        <w:t>差</w:t>
      </w:r>
      <w:r>
        <w:rPr>
          <w:w w:val="100"/>
        </w:rPr>
        <w:t>额</w:t>
      </w:r>
      <w:r>
        <w:rPr>
          <w:spacing w:val="-53"/>
        </w:rPr>
        <w:t> </w:t>
      </w:r>
      <w:r>
        <w:rPr>
          <w:rFonts w:ascii="宋体" w:hAnsi="宋体" w:cs="宋体" w:eastAsia="宋体" w:hint="default"/>
          <w:spacing w:val="-3"/>
          <w:w w:val="100"/>
        </w:rPr>
        <w:t>4</w:t>
      </w:r>
      <w:r>
        <w:rPr>
          <w:rFonts w:ascii="宋体" w:hAnsi="宋体" w:cs="宋体" w:eastAsia="宋体" w:hint="default"/>
          <w:w w:val="100"/>
        </w:rPr>
        <w:t>,40</w:t>
      </w:r>
      <w:r>
        <w:rPr>
          <w:rFonts w:ascii="宋体" w:hAnsi="宋体" w:cs="宋体" w:eastAsia="宋体" w:hint="default"/>
          <w:spacing w:val="-3"/>
          <w:w w:val="100"/>
        </w:rPr>
        <w:t>5</w:t>
      </w:r>
      <w:r>
        <w:rPr>
          <w:rFonts w:ascii="宋体" w:hAnsi="宋体" w:cs="宋体" w:eastAsia="宋体" w:hint="default"/>
          <w:w w:val="100"/>
        </w:rPr>
        <w:t>,22</w:t>
      </w:r>
      <w:r>
        <w:rPr>
          <w:rFonts w:ascii="宋体" w:hAnsi="宋体" w:cs="宋体" w:eastAsia="宋体" w:hint="default"/>
          <w:spacing w:val="-3"/>
          <w:w w:val="100"/>
        </w:rPr>
        <w:t>0.</w:t>
      </w:r>
      <w:r>
        <w:rPr>
          <w:rFonts w:ascii="宋体" w:hAnsi="宋体" w:cs="宋体" w:eastAsia="宋体" w:hint="default"/>
          <w:w w:val="100"/>
        </w:rPr>
        <w:t>53</w:t>
      </w:r>
      <w:r>
        <w:rPr>
          <w:rFonts w:ascii="宋体" w:hAnsi="宋体" w:cs="宋体" w:eastAsia="宋体" w:hint="default"/>
          <w:spacing w:val="-52"/>
        </w:rPr>
        <w:t> </w:t>
      </w:r>
      <w:r>
        <w:rPr>
          <w:spacing w:val="-3"/>
          <w:w w:val="100"/>
        </w:rPr>
        <w:t>元</w:t>
      </w:r>
      <w:r>
        <w:rPr>
          <w:spacing w:val="-92"/>
          <w:w w:val="100"/>
        </w:rPr>
        <w:t>，</w:t>
      </w:r>
      <w:r>
        <w:rPr>
          <w:spacing w:val="-3"/>
          <w:w w:val="100"/>
        </w:rPr>
        <w:t>调</w:t>
      </w:r>
      <w:r>
        <w:rPr>
          <w:w w:val="100"/>
        </w:rPr>
        <w:t>增</w:t>
      </w:r>
      <w:r>
        <w:rPr>
          <w:spacing w:val="-3"/>
          <w:w w:val="100"/>
        </w:rPr>
        <w:t>资</w:t>
      </w:r>
      <w:r>
        <w:rPr>
          <w:w w:val="100"/>
        </w:rPr>
        <w:t>本</w:t>
      </w:r>
      <w:r>
        <w:rPr>
          <w:spacing w:val="-3"/>
          <w:w w:val="100"/>
        </w:rPr>
        <w:t>公</w:t>
      </w:r>
      <w:r>
        <w:rPr>
          <w:w w:val="100"/>
        </w:rPr>
        <w:t>积</w:t>
      </w:r>
    </w:p>
    <w:p>
      <w:pPr>
        <w:pStyle w:val="BodyText"/>
        <w:spacing w:line="240" w:lineRule="auto" w:before="133"/>
        <w:ind w:left="1678" w:right="49"/>
        <w:jc w:val="left"/>
      </w:pPr>
      <w:r>
        <w:rPr>
          <w:rFonts w:ascii="宋体" w:hAnsi="宋体" w:cs="宋体" w:eastAsia="宋体" w:hint="default"/>
        </w:rPr>
        <w:t>-</w:t>
      </w:r>
      <w:r>
        <w:rPr/>
        <w:t>其他资本公积。</w:t>
      </w:r>
    </w:p>
    <w:p>
      <w:pPr>
        <w:pStyle w:val="BodyText"/>
        <w:spacing w:line="240" w:lineRule="auto" w:before="133"/>
        <w:ind w:left="2098" w:right="49"/>
        <w:jc w:val="left"/>
      </w:pPr>
      <w:r>
        <w:rPr/>
        <w:t>子公司网络技术原注册资本</w:t>
      </w:r>
      <w:r>
        <w:rPr>
          <w:spacing w:val="-45"/>
        </w:rPr>
        <w:t> </w:t>
      </w:r>
      <w:r>
        <w:rPr>
          <w:rFonts w:ascii="宋体" w:hAnsi="宋体" w:cs="宋体" w:eastAsia="宋体" w:hint="default"/>
        </w:rPr>
        <w:t>10,000.00</w:t>
      </w:r>
      <w:r>
        <w:rPr>
          <w:rFonts w:ascii="宋体" w:hAnsi="宋体" w:cs="宋体" w:eastAsia="宋体" w:hint="default"/>
          <w:spacing w:val="-46"/>
        </w:rPr>
        <w:t> </w:t>
      </w:r>
      <w:r>
        <w:rPr>
          <w:spacing w:val="-7"/>
        </w:rPr>
        <w:t>万元，其中本公司出资</w:t>
      </w:r>
      <w:r>
        <w:rPr>
          <w:spacing w:val="-46"/>
        </w:rPr>
        <w:t> </w:t>
      </w:r>
      <w:r>
        <w:rPr>
          <w:rFonts w:ascii="宋体" w:hAnsi="宋体" w:cs="宋体" w:eastAsia="宋体" w:hint="default"/>
        </w:rPr>
        <w:t>5,900.00</w:t>
      </w:r>
      <w:r>
        <w:rPr>
          <w:rFonts w:ascii="宋体" w:hAnsi="宋体" w:cs="宋体" w:eastAsia="宋体" w:hint="default"/>
          <w:spacing w:val="-46"/>
        </w:rPr>
        <w:t> </w:t>
      </w:r>
      <w:r>
        <w:rPr>
          <w:spacing w:val="-7"/>
        </w:rPr>
        <w:t>万元，占其注册资本</w:t>
      </w:r>
    </w:p>
    <w:p>
      <w:pPr>
        <w:pStyle w:val="BodyText"/>
        <w:spacing w:line="357" w:lineRule="auto" w:before="133"/>
        <w:ind w:left="1678" w:right="1187"/>
        <w:jc w:val="left"/>
      </w:pPr>
      <w:r>
        <w:rPr/>
        <w:t>的</w:t>
      </w:r>
      <w:r>
        <w:rPr>
          <w:spacing w:val="-54"/>
        </w:rPr>
        <w:t> </w:t>
      </w:r>
      <w:r>
        <w:rPr>
          <w:rFonts w:ascii="宋体" w:hAnsi="宋体" w:cs="宋体" w:eastAsia="宋体" w:hint="default"/>
        </w:rPr>
        <w:t>59%</w:t>
      </w:r>
      <w:r>
        <w:rPr/>
        <w:t>。根据公司</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12</w:t>
      </w:r>
      <w:r>
        <w:rPr>
          <w:rFonts w:ascii="宋体" w:hAnsi="宋体" w:cs="宋体" w:eastAsia="宋体" w:hint="default"/>
          <w:spacing w:val="-54"/>
        </w:rPr>
        <w:t> </w:t>
      </w:r>
      <w:r>
        <w:rPr/>
        <w:t>日五届二十一次董事会决议，公司拟收购网络技术共计</w:t>
      </w:r>
      <w:r>
        <w:rPr>
          <w:spacing w:val="-54"/>
        </w:rPr>
        <w:t> </w:t>
      </w:r>
      <w:r>
        <w:rPr>
          <w:rFonts w:ascii="宋体" w:hAnsi="宋体" w:cs="宋体" w:eastAsia="宋体" w:hint="default"/>
        </w:rPr>
        <w:t>32.30%</w:t>
      </w:r>
      <w:r>
        <w:rPr>
          <w:rFonts w:ascii="宋体" w:hAnsi="宋体" w:cs="宋体" w:eastAsia="宋体" w:hint="default"/>
          <w:w w:val="100"/>
        </w:rPr>
        <w:t> </w:t>
      </w:r>
      <w:r>
        <w:rPr/>
        <w:t>股权，并同时与其他方对网络技术增资。经上述股权转让及增资后，网络技术注册资本变更为</w:t>
      </w:r>
      <w:r>
        <w:rPr>
          <w:w w:val="100"/>
        </w:rPr>
        <w:t> </w:t>
      </w:r>
      <w:r>
        <w:rPr>
          <w:rFonts w:ascii="宋体" w:hAnsi="宋体" w:cs="宋体" w:eastAsia="宋体" w:hint="default"/>
        </w:rPr>
        <w:t>20,000</w:t>
      </w:r>
      <w:r>
        <w:rPr>
          <w:rFonts w:ascii="宋体" w:hAnsi="宋体" w:cs="宋体" w:eastAsia="宋体" w:hint="default"/>
          <w:spacing w:val="-41"/>
        </w:rPr>
        <w:t> </w:t>
      </w:r>
      <w:r>
        <w:rPr>
          <w:spacing w:val="-4"/>
        </w:rPr>
        <w:t>万元，其中本公司出资</w:t>
      </w:r>
      <w:r>
        <w:rPr>
          <w:spacing w:val="-40"/>
        </w:rPr>
        <w:t> </w:t>
      </w:r>
      <w:r>
        <w:rPr>
          <w:rFonts w:ascii="宋体" w:hAnsi="宋体" w:cs="宋体" w:eastAsia="宋体" w:hint="default"/>
        </w:rPr>
        <w:t>12,000.00</w:t>
      </w:r>
      <w:r>
        <w:rPr>
          <w:rFonts w:ascii="宋体" w:hAnsi="宋体" w:cs="宋体" w:eastAsia="宋体" w:hint="default"/>
          <w:spacing w:val="-44"/>
        </w:rPr>
        <w:t> </w:t>
      </w:r>
      <w:r>
        <w:rPr>
          <w:spacing w:val="-4"/>
        </w:rPr>
        <w:t>万元，占其注册资本的</w:t>
      </w:r>
      <w:r>
        <w:rPr>
          <w:spacing w:val="-41"/>
        </w:rPr>
        <w:t> </w:t>
      </w:r>
      <w:r>
        <w:rPr>
          <w:rFonts w:ascii="宋体" w:hAnsi="宋体" w:cs="宋体" w:eastAsia="宋体" w:hint="default"/>
          <w:spacing w:val="-4"/>
        </w:rPr>
        <w:t>60.00%</w:t>
      </w:r>
      <w:r>
        <w:rPr>
          <w:spacing w:val="-4"/>
        </w:rPr>
        <w:t>。股权转让及增资时，公</w:t>
      </w:r>
    </w:p>
    <w:p>
      <w:pPr>
        <w:pStyle w:val="BodyText"/>
        <w:spacing w:line="355" w:lineRule="auto" w:before="31"/>
        <w:ind w:left="1678" w:right="1187"/>
        <w:jc w:val="left"/>
      </w:pPr>
      <w:r>
        <w:rPr>
          <w:spacing w:val="-2"/>
          <w:w w:val="100"/>
        </w:rPr>
        <w:t>司实际投资成本与所购股权自购买日开始持续计算的净资产份额之间的差额</w:t>
      </w:r>
      <w:r>
        <w:rPr>
          <w:spacing w:val="-45"/>
          <w:w w:val="100"/>
        </w:rPr>
        <w:t> </w:t>
      </w:r>
      <w:r>
        <w:rPr>
          <w:rFonts w:ascii="宋体" w:hAnsi="宋体" w:cs="宋体" w:eastAsia="宋体" w:hint="default"/>
          <w:spacing w:val="-1"/>
          <w:w w:val="100"/>
        </w:rPr>
        <w:t>298,545.38</w:t>
      </w:r>
      <w:r>
        <w:rPr>
          <w:rFonts w:ascii="宋体" w:hAnsi="宋体" w:cs="宋体" w:eastAsia="宋体" w:hint="default"/>
          <w:spacing w:val="-41"/>
          <w:w w:val="100"/>
        </w:rPr>
        <w:t> </w:t>
      </w:r>
      <w:r>
        <w:rPr>
          <w:spacing w:val="-25"/>
          <w:w w:val="100"/>
        </w:rPr>
        <w:t>元，冲减</w:t>
      </w:r>
      <w:r>
        <w:rPr>
          <w:spacing w:val="-102"/>
          <w:w w:val="100"/>
        </w:rPr>
        <w:t> </w:t>
      </w:r>
      <w:r>
        <w:rPr>
          <w:spacing w:val="-102"/>
          <w:w w:val="100"/>
        </w:rPr>
      </w:r>
      <w:r>
        <w:rPr/>
        <w:t>资本公积</w:t>
      </w:r>
      <w:r>
        <w:rPr>
          <w:rFonts w:ascii="宋体" w:hAnsi="宋体" w:cs="宋体" w:eastAsia="宋体" w:hint="default"/>
        </w:rPr>
        <w:t>-</w:t>
      </w:r>
      <w:r>
        <w:rPr/>
        <w:t>其他资本公积。</w:t>
      </w:r>
    </w:p>
    <w:p>
      <w:pPr>
        <w:pStyle w:val="BodyText"/>
        <w:spacing w:line="355" w:lineRule="auto" w:before="34"/>
        <w:ind w:left="1678" w:right="49" w:firstLine="419"/>
        <w:jc w:val="left"/>
      </w:pPr>
      <w:r>
        <w:rPr>
          <w:spacing w:val="-2"/>
        </w:rPr>
        <w:t>公司联营企业除净损益、利润分配以外引起的所有者权益的其他变动，公司按持股比例计算</w:t>
      </w:r>
      <w:r>
        <w:rPr>
          <w:w w:val="100"/>
        </w:rPr>
        <w:t> </w:t>
      </w:r>
      <w:r>
        <w:rPr/>
        <w:t>应享有的份额</w:t>
      </w:r>
      <w:r>
        <w:rPr>
          <w:spacing w:val="-59"/>
        </w:rPr>
        <w:t> </w:t>
      </w:r>
      <w:r>
        <w:rPr>
          <w:rFonts w:ascii="宋体" w:hAnsi="宋体" w:cs="宋体" w:eastAsia="宋体" w:hint="default"/>
        </w:rPr>
        <w:t>68,507,779.23</w:t>
      </w:r>
      <w:r>
        <w:rPr>
          <w:rFonts w:ascii="宋体" w:hAnsi="宋体" w:cs="宋体" w:eastAsia="宋体" w:hint="default"/>
          <w:spacing w:val="-58"/>
        </w:rPr>
        <w:t> </w:t>
      </w:r>
      <w:r>
        <w:rPr/>
        <w:t>元，调增资本公积</w:t>
      </w:r>
      <w:r>
        <w:rPr>
          <w:rFonts w:ascii="宋体" w:hAnsi="宋体" w:cs="宋体" w:eastAsia="宋体" w:hint="default"/>
        </w:rPr>
        <w:t>-</w:t>
      </w:r>
      <w:r>
        <w:rPr/>
        <w:t>其他资本公积。</w:t>
      </w:r>
    </w:p>
    <w:p>
      <w:pPr>
        <w:spacing w:line="240" w:lineRule="auto" w:before="10"/>
        <w:rPr>
          <w:rFonts w:ascii="宋体" w:hAnsi="宋体" w:cs="宋体" w:eastAsia="宋体" w:hint="default"/>
          <w:sz w:val="27"/>
          <w:szCs w:val="27"/>
        </w:rPr>
      </w:pPr>
    </w:p>
    <w:p>
      <w:pPr>
        <w:pStyle w:val="Heading4"/>
        <w:spacing w:line="240" w:lineRule="auto" w:before="0"/>
        <w:ind w:left="1678" w:right="49"/>
        <w:jc w:val="left"/>
        <w:rPr>
          <w:b w:val="0"/>
          <w:bCs w:val="0"/>
        </w:rPr>
      </w:pPr>
      <w:r>
        <w:rPr>
          <w:rFonts w:ascii="宋体" w:hAnsi="宋体" w:cs="宋体" w:eastAsia="宋体" w:hint="default"/>
        </w:rPr>
        <w:t>56</w:t>
      </w:r>
      <w:r>
        <w:rPr/>
        <w:t>、</w:t>
      </w:r>
      <w:r>
        <w:rPr>
          <w:spacing w:val="-25"/>
        </w:rPr>
        <w:t> </w:t>
      </w:r>
      <w:r>
        <w:rPr/>
        <w:t>库存股</w:t>
      </w:r>
      <w:r>
        <w:rPr>
          <w:b w:val="0"/>
          <w:bCs w:val="0"/>
        </w:rPr>
      </w:r>
    </w:p>
    <w:p>
      <w:pPr>
        <w:pStyle w:val="BodyText"/>
        <w:spacing w:line="240" w:lineRule="auto" w:before="58"/>
        <w:ind w:left="1678" w:right="4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20" w:right="80"/>
        </w:sectPr>
      </w:pPr>
    </w:p>
    <w:p>
      <w:pPr>
        <w:pStyle w:val="Heading4"/>
        <w:spacing w:line="240" w:lineRule="auto"/>
        <w:ind w:left="1678" w:right="-18"/>
        <w:jc w:val="left"/>
        <w:rPr>
          <w:b w:val="0"/>
          <w:bCs w:val="0"/>
        </w:rPr>
      </w:pPr>
      <w:r>
        <w:rPr>
          <w:rFonts w:ascii="宋体" w:hAnsi="宋体" w:cs="宋体" w:eastAsia="宋体" w:hint="default"/>
        </w:rPr>
        <w:t>57</w:t>
      </w:r>
      <w:r>
        <w:rPr/>
        <w:t>、</w:t>
      </w:r>
      <w:r>
        <w:rPr>
          <w:spacing w:val="-24"/>
        </w:rPr>
        <w:t> </w:t>
      </w:r>
      <w:r>
        <w:rPr/>
        <w:t>其他综合收益</w:t>
      </w:r>
      <w:r>
        <w:rPr>
          <w:b w:val="0"/>
          <w:bCs w:val="0"/>
        </w:rPr>
      </w:r>
    </w:p>
    <w:p>
      <w:pPr>
        <w:pStyle w:val="BodyText"/>
        <w:spacing w:line="240" w:lineRule="auto" w:before="58"/>
        <w:ind w:left="16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729" w:val="left" w:leader="none"/>
        </w:tabs>
        <w:spacing w:line="240" w:lineRule="auto"/>
        <w:ind w:left="1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 w:right="80"/>
          <w:cols w:num="2" w:equalWidth="0">
            <w:col w:w="3450" w:space="3072"/>
            <w:col w:w="5188"/>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844"/>
        <w:gridCol w:w="1385"/>
        <w:gridCol w:w="1477"/>
        <w:gridCol w:w="1296"/>
        <w:gridCol w:w="1388"/>
        <w:gridCol w:w="1477"/>
        <w:gridCol w:w="1121"/>
        <w:gridCol w:w="1476"/>
      </w:tblGrid>
      <w:tr>
        <w:trPr>
          <w:trHeight w:val="242" w:hRule="exact"/>
        </w:trPr>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6" w:right="506"/>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67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本期发生金额</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1" w:right="552"/>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710" w:hRule="exact"/>
        </w:trPr>
        <w:tc>
          <w:tcPr>
            <w:tcW w:w="1844"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552" w:right="101" w:hanging="450"/>
              <w:jc w:val="left"/>
              <w:rPr>
                <w:rFonts w:ascii="宋体" w:hAnsi="宋体" w:cs="宋体" w:eastAsia="宋体" w:hint="default"/>
                <w:sz w:val="18"/>
                <w:szCs w:val="18"/>
              </w:rPr>
            </w:pPr>
            <w:r>
              <w:rPr>
                <w:rFonts w:ascii="宋体" w:hAnsi="宋体" w:cs="宋体" w:eastAsia="宋体" w:hint="default"/>
                <w:sz w:val="18"/>
                <w:szCs w:val="18"/>
              </w:rPr>
              <w:t>本期所得税前发 生额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减：前期计入</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其他综合收益 当期转入损益</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9"/>
                <w:sz w:val="18"/>
                <w:szCs w:val="18"/>
              </w:rPr>
              <w:t>：</w:t>
            </w:r>
            <w:r>
              <w:rPr>
                <w:rFonts w:ascii="宋体" w:hAnsi="宋体" w:cs="宋体" w:eastAsia="宋体" w:hint="default"/>
                <w:sz w:val="18"/>
                <w:szCs w:val="18"/>
              </w:rPr>
              <w:t>所得税费用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643" w:right="101" w:hanging="540"/>
              <w:jc w:val="left"/>
              <w:rPr>
                <w:rFonts w:ascii="宋体" w:hAnsi="宋体" w:cs="宋体" w:eastAsia="宋体" w:hint="default"/>
                <w:sz w:val="18"/>
                <w:szCs w:val="18"/>
              </w:rPr>
            </w:pPr>
            <w:r>
              <w:rPr>
                <w:rFonts w:ascii="宋体" w:hAnsi="宋体" w:cs="宋体" w:eastAsia="宋体" w:hint="default"/>
                <w:sz w:val="18"/>
                <w:szCs w:val="18"/>
              </w:rPr>
              <w:t>税后归属于母公 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94" w:right="103" w:hanging="89"/>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476" w:type="dxa"/>
            <w:vMerge/>
            <w:tcBorders>
              <w:left w:val="single" w:sz="4" w:space="0" w:color="000000"/>
              <w:bottom w:val="single" w:sz="4" w:space="0" w:color="000000"/>
              <w:right w:val="single" w:sz="4" w:space="0" w:color="000000"/>
            </w:tcBorders>
          </w:tcPr>
          <w:p>
            <w:pPr/>
          </w:p>
        </w:tc>
      </w:tr>
      <w:tr>
        <w:trPr>
          <w:trHeight w:val="71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一、以后不能重分类</w:t>
            </w:r>
          </w:p>
          <w:p>
            <w:pPr>
              <w:pStyle w:val="TableParagraph"/>
              <w:spacing w:line="232" w:lineRule="exact" w:before="24"/>
              <w:ind w:left="103" w:right="108"/>
              <w:jc w:val="left"/>
              <w:rPr>
                <w:rFonts w:ascii="宋体" w:hAnsi="宋体" w:cs="宋体" w:eastAsia="宋体" w:hint="default"/>
                <w:sz w:val="18"/>
                <w:szCs w:val="18"/>
              </w:rPr>
            </w:pPr>
            <w:r>
              <w:rPr>
                <w:rFonts w:ascii="宋体" w:hAnsi="宋体" w:cs="宋体" w:eastAsia="宋体" w:hint="default"/>
                <w:sz w:val="18"/>
                <w:szCs w:val="18"/>
              </w:rPr>
              <w:t>进损益的其他综合收 益</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其中：重新计算设定</w:t>
            </w:r>
          </w:p>
          <w:p>
            <w:pPr>
              <w:pStyle w:val="TableParagraph"/>
              <w:spacing w:line="232" w:lineRule="exact" w:before="24"/>
              <w:ind w:left="103" w:right="108"/>
              <w:jc w:val="left"/>
              <w:rPr>
                <w:rFonts w:ascii="宋体" w:hAnsi="宋体" w:cs="宋体" w:eastAsia="宋体" w:hint="default"/>
                <w:sz w:val="18"/>
                <w:szCs w:val="18"/>
              </w:rPr>
            </w:pPr>
            <w:r>
              <w:rPr>
                <w:rFonts w:ascii="宋体" w:hAnsi="宋体" w:cs="宋体" w:eastAsia="宋体" w:hint="default"/>
                <w:sz w:val="18"/>
                <w:szCs w:val="18"/>
              </w:rPr>
              <w:t>受益计划净负债和净 资产的变动</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firstLine="182"/>
              <w:jc w:val="left"/>
              <w:rPr>
                <w:rFonts w:ascii="宋体" w:hAnsi="宋体" w:cs="宋体" w:eastAsia="宋体" w:hint="default"/>
                <w:sz w:val="18"/>
                <w:szCs w:val="18"/>
              </w:rPr>
            </w:pPr>
            <w:r>
              <w:rPr>
                <w:rFonts w:ascii="宋体" w:hAnsi="宋体" w:cs="宋体" w:eastAsia="宋体" w:hint="default"/>
                <w:sz w:val="18"/>
                <w:szCs w:val="18"/>
              </w:rPr>
              <w:t>权益法下在被投资</w:t>
            </w:r>
          </w:p>
          <w:p>
            <w:pPr>
              <w:pStyle w:val="TableParagraph"/>
              <w:spacing w:line="232" w:lineRule="exact" w:before="24"/>
              <w:ind w:left="103" w:right="108"/>
              <w:jc w:val="both"/>
              <w:rPr>
                <w:rFonts w:ascii="宋体" w:hAnsi="宋体" w:cs="宋体" w:eastAsia="宋体" w:hint="default"/>
                <w:sz w:val="18"/>
                <w:szCs w:val="18"/>
              </w:rPr>
            </w:pPr>
            <w:r>
              <w:rPr>
                <w:rFonts w:ascii="宋体" w:hAnsi="宋体" w:cs="宋体" w:eastAsia="宋体" w:hint="default"/>
                <w:sz w:val="18"/>
                <w:szCs w:val="18"/>
              </w:rPr>
              <w:t>单位不能重分类进损 益的其他综合收益中 享有的份额</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二、以后将重分类进</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损益的其他综合收益</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43,958,375.15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122,711,869.26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1,047,869.25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20,296,106.59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100,883,970.36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left"/>
              <w:rPr>
                <w:rFonts w:ascii="宋体" w:hAnsi="宋体" w:cs="宋体" w:eastAsia="宋体" w:hint="default"/>
                <w:sz w:val="18"/>
                <w:szCs w:val="18"/>
              </w:rPr>
            </w:pPr>
            <w:r>
              <w:rPr>
                <w:rFonts w:ascii="宋体"/>
                <w:sz w:val="18"/>
              </w:rPr>
              <w:t>483,923.06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144,842,345.51</w:t>
            </w:r>
          </w:p>
        </w:tc>
      </w:tr>
      <w:tr>
        <w:trPr>
          <w:trHeight w:val="9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其中：权益法下在被</w:t>
            </w:r>
          </w:p>
          <w:p>
            <w:pPr>
              <w:pStyle w:val="TableParagraph"/>
              <w:spacing w:line="237" w:lineRule="auto"/>
              <w:ind w:left="103" w:right="108"/>
              <w:jc w:val="both"/>
              <w:rPr>
                <w:rFonts w:ascii="宋体" w:hAnsi="宋体" w:cs="宋体" w:eastAsia="宋体" w:hint="default"/>
                <w:sz w:val="18"/>
                <w:szCs w:val="18"/>
              </w:rPr>
            </w:pPr>
            <w:r>
              <w:rPr>
                <w:rFonts w:ascii="宋体" w:hAnsi="宋体" w:cs="宋体" w:eastAsia="宋体" w:hint="default"/>
                <w:sz w:val="18"/>
                <w:szCs w:val="18"/>
              </w:rPr>
              <w:t>投资单位以后将重分 类进损益的其他综合 收益中享有的份额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8" w:right="0"/>
              <w:jc w:val="center"/>
              <w:rPr>
                <w:rFonts w:ascii="宋体" w:hAnsi="宋体" w:cs="宋体" w:eastAsia="宋体" w:hint="default"/>
                <w:sz w:val="18"/>
                <w:szCs w:val="18"/>
              </w:rPr>
            </w:pPr>
            <w:r>
              <w:rPr>
                <w:rFonts w:ascii="宋体"/>
                <w:sz w:val="18"/>
              </w:rPr>
              <w:t>6,795,117.68</w:t>
            </w:r>
          </w:p>
        </w:tc>
        <w:tc>
          <w:tcPr>
            <w:tcW w:w="147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6,795,117.68</w:t>
            </w: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38,415,229.95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121,467,614.06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1,047,869.25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20,296,106.59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100,123,638.22</w:t>
            </w:r>
          </w:p>
        </w:tc>
        <w:tc>
          <w:tcPr>
            <w:tcW w:w="112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138,538,868.17</w:t>
            </w:r>
          </w:p>
        </w:tc>
      </w:tr>
      <w:tr>
        <w:trPr>
          <w:trHeight w:val="71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182"/>
              <w:jc w:val="left"/>
              <w:rPr>
                <w:rFonts w:ascii="宋体" w:hAnsi="宋体" w:cs="宋体" w:eastAsia="宋体" w:hint="default"/>
                <w:sz w:val="18"/>
                <w:szCs w:val="18"/>
              </w:rPr>
            </w:pPr>
            <w:r>
              <w:rPr>
                <w:rFonts w:ascii="宋体" w:hAnsi="宋体" w:cs="宋体" w:eastAsia="宋体" w:hint="default"/>
                <w:sz w:val="18"/>
                <w:szCs w:val="18"/>
              </w:rPr>
              <w:t>持有至到期投资重</w:t>
            </w:r>
          </w:p>
          <w:p>
            <w:pPr>
              <w:pStyle w:val="TableParagraph"/>
              <w:spacing w:line="240" w:lineRule="auto"/>
              <w:ind w:left="103" w:right="108"/>
              <w:jc w:val="left"/>
              <w:rPr>
                <w:rFonts w:ascii="宋体" w:hAnsi="宋体" w:cs="宋体" w:eastAsia="宋体" w:hint="default"/>
                <w:sz w:val="18"/>
                <w:szCs w:val="18"/>
              </w:rPr>
            </w:pPr>
            <w:r>
              <w:rPr>
                <w:rFonts w:ascii="宋体" w:hAnsi="宋体" w:cs="宋体" w:eastAsia="宋体" w:hint="default"/>
                <w:sz w:val="18"/>
                <w:szCs w:val="18"/>
              </w:rPr>
              <w:t>分类为可供出售金融 资产损益</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0" w:right="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844"/>
        <w:gridCol w:w="1385"/>
        <w:gridCol w:w="1477"/>
        <w:gridCol w:w="1296"/>
        <w:gridCol w:w="1388"/>
        <w:gridCol w:w="1477"/>
        <w:gridCol w:w="1121"/>
        <w:gridCol w:w="1476"/>
      </w:tblGrid>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85" w:right="0"/>
              <w:jc w:val="left"/>
              <w:rPr>
                <w:rFonts w:ascii="宋体" w:hAnsi="宋体" w:cs="宋体" w:eastAsia="宋体" w:hint="default"/>
                <w:sz w:val="18"/>
                <w:szCs w:val="18"/>
              </w:rPr>
            </w:pPr>
            <w:r>
              <w:rPr>
                <w:rFonts w:ascii="宋体" w:hAnsi="宋体" w:cs="宋体" w:eastAsia="宋体" w:hint="default"/>
                <w:sz w:val="18"/>
                <w:szCs w:val="18"/>
              </w:rPr>
              <w:t>现金流量套期损益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的有效部分</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外币财务报表折算</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-1,251,972.48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1,244,255.20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760,332.14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left"/>
              <w:rPr>
                <w:rFonts w:ascii="宋体" w:hAnsi="宋体" w:cs="宋体" w:eastAsia="宋体" w:hint="default"/>
                <w:sz w:val="18"/>
                <w:szCs w:val="18"/>
              </w:rPr>
            </w:pPr>
            <w:r>
              <w:rPr>
                <w:rFonts w:ascii="宋体"/>
                <w:sz w:val="18"/>
              </w:rPr>
              <w:t>483,923.06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-491,640.34</w:t>
            </w: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43,958,375.15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122,711,869.26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1,047,869.25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20,296,106.59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100,883,970.36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sz w:val="18"/>
              </w:rPr>
              <w:t>483,923.06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144,842,345.51</w:t>
            </w:r>
          </w:p>
        </w:tc>
      </w:tr>
    </w:tbl>
    <w:p>
      <w:pPr>
        <w:pStyle w:val="BodyText"/>
        <w:spacing w:line="240" w:lineRule="auto" w:before="26"/>
        <w:ind w:left="1678" w:right="49"/>
        <w:jc w:val="left"/>
      </w:pPr>
      <w:r>
        <w:rPr/>
        <w:t>其他说明，包括对现金流量套期损益的有效部分转为被套期项目初始确认金额调整：</w:t>
      </w:r>
    </w:p>
    <w:p>
      <w:pPr>
        <w:spacing w:line="240" w:lineRule="auto" w:before="6"/>
        <w:rPr>
          <w:rFonts w:ascii="宋体" w:hAnsi="宋体" w:cs="宋体" w:eastAsia="宋体" w:hint="default"/>
          <w:sz w:val="25"/>
          <w:szCs w:val="25"/>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left="1678" w:right="49"/>
        <w:jc w:val="left"/>
        <w:rPr>
          <w:b w:val="0"/>
          <w:bCs w:val="0"/>
        </w:rPr>
      </w:pPr>
      <w:r>
        <w:rPr>
          <w:rFonts w:ascii="宋体" w:hAnsi="宋体" w:cs="宋体" w:eastAsia="宋体" w:hint="default"/>
        </w:rPr>
        <w:t>58</w:t>
      </w:r>
      <w:r>
        <w:rPr/>
        <w:t>、</w:t>
      </w:r>
      <w:r>
        <w:rPr>
          <w:spacing w:val="-25"/>
        </w:rPr>
        <w:t> </w:t>
      </w:r>
      <w:r>
        <w:rPr/>
        <w:t>专项储备</w:t>
      </w:r>
      <w:r>
        <w:rPr>
          <w:b w:val="0"/>
          <w:bCs w:val="0"/>
        </w:rPr>
      </w:r>
    </w:p>
    <w:p>
      <w:pPr>
        <w:pStyle w:val="BodyText"/>
        <w:spacing w:line="240" w:lineRule="auto" w:before="56"/>
        <w:ind w:left="1678" w:right="4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4"/>
        <w:spacing w:line="240" w:lineRule="auto"/>
        <w:ind w:left="1678" w:right="49"/>
        <w:jc w:val="left"/>
        <w:rPr>
          <w:b w:val="0"/>
          <w:bCs w:val="0"/>
        </w:rPr>
      </w:pPr>
      <w:r>
        <w:rPr>
          <w:rFonts w:ascii="宋体" w:hAnsi="宋体" w:cs="宋体" w:eastAsia="宋体" w:hint="default"/>
        </w:rPr>
        <w:t>59</w:t>
      </w:r>
      <w:r>
        <w:rPr/>
        <w:t>、</w:t>
      </w:r>
      <w:r>
        <w:rPr>
          <w:spacing w:val="-25"/>
        </w:rPr>
        <w:t> </w:t>
      </w:r>
      <w:r>
        <w:rPr/>
        <w:t>盈余公积</w:t>
      </w:r>
      <w:r>
        <w:rPr>
          <w:b w:val="0"/>
          <w:bCs w:val="0"/>
        </w:rPr>
      </w:r>
    </w:p>
    <w:p>
      <w:pPr>
        <w:pStyle w:val="BodyText"/>
        <w:tabs>
          <w:tab w:pos="1051" w:val="left" w:leader="none"/>
        </w:tabs>
        <w:spacing w:line="240" w:lineRule="auto" w:before="56"/>
        <w:ind w:left="0" w:right="119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639"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2"/>
              <w:jc w:val="center"/>
              <w:rPr>
                <w:rFonts w:ascii="宋体" w:hAnsi="宋体" w:cs="宋体" w:eastAsia="宋体" w:hint="default"/>
                <w:sz w:val="21"/>
                <w:szCs w:val="21"/>
              </w:rPr>
            </w:pPr>
            <w:r>
              <w:rPr>
                <w:rFonts w:ascii="宋体"/>
                <w:sz w:val="21"/>
              </w:rPr>
              <w:t>215,287,371.03</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8" w:right="0"/>
              <w:jc w:val="center"/>
              <w:rPr>
                <w:rFonts w:ascii="宋体" w:hAnsi="宋体" w:cs="宋体" w:eastAsia="宋体" w:hint="default"/>
                <w:sz w:val="21"/>
                <w:szCs w:val="21"/>
              </w:rPr>
            </w:pPr>
            <w:r>
              <w:rPr>
                <w:rFonts w:ascii="宋体"/>
                <w:sz w:val="21"/>
              </w:rPr>
              <w:t>50,191,950.52</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18" w:right="0"/>
              <w:jc w:val="left"/>
              <w:rPr>
                <w:rFonts w:ascii="宋体" w:hAnsi="宋体" w:cs="宋体" w:eastAsia="宋体" w:hint="default"/>
                <w:sz w:val="21"/>
                <w:szCs w:val="21"/>
              </w:rPr>
            </w:pPr>
            <w:r>
              <w:rPr>
                <w:rFonts w:ascii="宋体"/>
                <w:sz w:val="21"/>
              </w:rPr>
              <w:t>265,479,321.55</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215,287,371.03</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50,191,950.52</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8" w:right="0"/>
              <w:jc w:val="left"/>
              <w:rPr>
                <w:rFonts w:ascii="宋体" w:hAnsi="宋体" w:cs="宋体" w:eastAsia="宋体" w:hint="default"/>
                <w:sz w:val="21"/>
                <w:szCs w:val="21"/>
              </w:rPr>
            </w:pPr>
            <w:r>
              <w:rPr>
                <w:rFonts w:ascii="宋体"/>
                <w:sz w:val="21"/>
              </w:rPr>
              <w:t>265,479,321.55</w:t>
            </w:r>
          </w:p>
        </w:tc>
      </w:tr>
    </w:tbl>
    <w:p>
      <w:pPr>
        <w:pStyle w:val="BodyText"/>
        <w:spacing w:line="408" w:lineRule="auto" w:before="26"/>
        <w:ind w:left="2098" w:right="1185" w:hanging="420"/>
        <w:jc w:val="left"/>
      </w:pPr>
      <w:r>
        <w:rPr/>
        <w:t>盈余公积说明，包括本期增减变动情况、变动原因说明：</w:t>
      </w:r>
      <w:r>
        <w:rPr>
          <w:w w:val="100"/>
        </w:rPr>
        <w:t> </w:t>
      </w:r>
      <w:r>
        <w:rPr>
          <w:spacing w:val="-4"/>
        </w:rPr>
        <w:t>本期增加系根据公司章程的相关规定，按</w:t>
      </w:r>
      <w:r>
        <w:rPr>
          <w:spacing w:val="-45"/>
        </w:rPr>
        <w:t> </w:t>
      </w:r>
      <w:r>
        <w:rPr>
          <w:rFonts w:ascii="宋体" w:hAnsi="宋体" w:cs="宋体" w:eastAsia="宋体" w:hint="default"/>
        </w:rPr>
        <w:t>2015</w:t>
      </w:r>
      <w:r>
        <w:rPr>
          <w:rFonts w:ascii="宋体" w:hAnsi="宋体" w:cs="宋体" w:eastAsia="宋体" w:hint="default"/>
          <w:spacing w:val="-47"/>
        </w:rPr>
        <w:t> </w:t>
      </w:r>
      <w:r>
        <w:rPr/>
        <w:t>年度母公司实现净利润提取</w:t>
      </w:r>
      <w:r>
        <w:rPr>
          <w:spacing w:val="-43"/>
        </w:rPr>
        <w:t> </w:t>
      </w:r>
      <w:r>
        <w:rPr>
          <w:rFonts w:ascii="宋体" w:hAnsi="宋体" w:cs="宋体" w:eastAsia="宋体" w:hint="default"/>
        </w:rPr>
        <w:t>10%</w:t>
      </w:r>
      <w:r>
        <w:rPr/>
        <w:t>的法定盈余公</w:t>
      </w:r>
    </w:p>
    <w:p>
      <w:pPr>
        <w:pStyle w:val="BodyText"/>
        <w:spacing w:line="261" w:lineRule="exact"/>
        <w:ind w:left="1678" w:right="49"/>
        <w:jc w:val="left"/>
      </w:pPr>
      <w:r>
        <w:rPr/>
        <w:t>积</w:t>
      </w:r>
      <w:r>
        <w:rPr>
          <w:spacing w:val="-52"/>
        </w:rPr>
        <w:t> </w:t>
      </w:r>
      <w:r>
        <w:rPr>
          <w:rFonts w:ascii="宋体" w:hAnsi="宋体" w:cs="宋体" w:eastAsia="宋体" w:hint="default"/>
        </w:rPr>
        <w:t>50,191,950.52</w:t>
      </w:r>
      <w:r>
        <w:rPr>
          <w:rFonts w:ascii="宋体" w:hAnsi="宋体" w:cs="宋体" w:eastAsia="宋体" w:hint="default"/>
          <w:spacing w:val="-52"/>
        </w:rPr>
        <w:t> </w:t>
      </w:r>
      <w:r>
        <w:rPr>
          <w:spacing w:val="-3"/>
        </w:rPr>
        <w:t>元。</w:t>
      </w:r>
      <w:r>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before="0"/>
        <w:ind w:left="1678" w:right="49"/>
        <w:jc w:val="left"/>
        <w:rPr>
          <w:b w:val="0"/>
          <w:bCs w:val="0"/>
        </w:rPr>
      </w:pPr>
      <w:r>
        <w:rPr>
          <w:rFonts w:ascii="宋体" w:hAnsi="宋体" w:cs="宋体" w:eastAsia="宋体" w:hint="default"/>
        </w:rPr>
        <w:t>60</w:t>
      </w:r>
      <w:r>
        <w:rPr/>
        <w:t>、</w:t>
      </w:r>
      <w:r>
        <w:rPr>
          <w:spacing w:val="-25"/>
        </w:rPr>
        <w:t> </w:t>
      </w:r>
      <w:r>
        <w:rPr/>
        <w:t>未分配利润</w:t>
      </w:r>
      <w:r>
        <w:rPr>
          <w:b w:val="0"/>
          <w:bCs w:val="0"/>
        </w:rPr>
      </w:r>
    </w:p>
    <w:p>
      <w:pPr>
        <w:pStyle w:val="BodyText"/>
        <w:tabs>
          <w:tab w:pos="1051" w:val="left" w:leader="none"/>
        </w:tabs>
        <w:spacing w:line="240" w:lineRule="auto" w:before="56"/>
        <w:ind w:left="0" w:right="119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639" w:type="dxa"/>
        <w:tblLayout w:type="fixed"/>
        <w:tblCellMar>
          <w:top w:w="0" w:type="dxa"/>
          <w:left w:w="0" w:type="dxa"/>
          <w:bottom w:w="0" w:type="dxa"/>
          <w:right w:w="0" w:type="dxa"/>
        </w:tblCellMar>
        <w:tblLook w:val="01E0"/>
      </w:tblPr>
      <w:tblGrid>
        <w:gridCol w:w="3430"/>
        <w:gridCol w:w="2777"/>
        <w:gridCol w:w="2689"/>
      </w:tblGrid>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0"/>
              <w:jc w:val="right"/>
              <w:rPr>
                <w:rFonts w:ascii="宋体" w:hAnsi="宋体" w:cs="宋体" w:eastAsia="宋体" w:hint="default"/>
                <w:sz w:val="21"/>
                <w:szCs w:val="21"/>
              </w:rPr>
            </w:pPr>
            <w:r>
              <w:rPr>
                <w:rFonts w:ascii="宋体"/>
                <w:spacing w:val="-1"/>
                <w:sz w:val="21"/>
              </w:rPr>
              <w:t>1,003,001,346.45</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784,580,048.44</w:t>
            </w:r>
          </w:p>
        </w:tc>
      </w:tr>
      <w:tr>
        <w:trPr>
          <w:trHeight w:val="562"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4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0"/>
              <w:jc w:val="right"/>
              <w:rPr>
                <w:rFonts w:ascii="宋体" w:hAnsi="宋体" w:cs="宋体" w:eastAsia="宋体" w:hint="default"/>
                <w:sz w:val="21"/>
                <w:szCs w:val="21"/>
              </w:rPr>
            </w:pPr>
            <w:r>
              <w:rPr>
                <w:rFonts w:ascii="宋体"/>
                <w:spacing w:val="-1"/>
                <w:sz w:val="21"/>
              </w:rPr>
              <w:t>1,003,001,346.45</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9"/>
              <w:jc w:val="right"/>
              <w:rPr>
                <w:rFonts w:ascii="宋体" w:hAnsi="宋体" w:cs="宋体" w:eastAsia="宋体" w:hint="default"/>
                <w:sz w:val="21"/>
                <w:szCs w:val="21"/>
              </w:rPr>
            </w:pPr>
            <w:r>
              <w:rPr>
                <w:rFonts w:ascii="宋体"/>
                <w:spacing w:val="-1"/>
                <w:sz w:val="21"/>
              </w:rPr>
              <w:t>784,580,048.44</w:t>
            </w:r>
          </w:p>
        </w:tc>
      </w:tr>
      <w:tr>
        <w:trPr>
          <w:trHeight w:val="562"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6"/>
              <w:jc w:val="right"/>
              <w:rPr>
                <w:rFonts w:ascii="宋体" w:hAnsi="宋体" w:cs="宋体" w:eastAsia="宋体" w:hint="default"/>
                <w:sz w:val="21"/>
                <w:szCs w:val="21"/>
              </w:rPr>
            </w:pPr>
            <w:r>
              <w:rPr>
                <w:rFonts w:ascii="宋体"/>
                <w:spacing w:val="-1"/>
                <w:sz w:val="21"/>
              </w:rPr>
              <w:t>453,733,512.62</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9"/>
              <w:jc w:val="right"/>
              <w:rPr>
                <w:rFonts w:ascii="宋体" w:hAnsi="宋体" w:cs="宋体" w:eastAsia="宋体" w:hint="default"/>
                <w:sz w:val="21"/>
                <w:szCs w:val="21"/>
              </w:rPr>
            </w:pPr>
            <w:r>
              <w:rPr>
                <w:rFonts w:ascii="宋体"/>
                <w:spacing w:val="-1"/>
                <w:sz w:val="21"/>
              </w:rPr>
              <w:t>360,520,485.09</w:t>
            </w:r>
          </w:p>
        </w:tc>
      </w:tr>
      <w:tr>
        <w:trPr>
          <w:trHeight w:val="28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50,191,950.52</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9"/>
              <w:jc w:val="right"/>
              <w:rPr>
                <w:rFonts w:ascii="宋体" w:hAnsi="宋体" w:cs="宋体" w:eastAsia="宋体" w:hint="default"/>
                <w:sz w:val="21"/>
                <w:szCs w:val="21"/>
              </w:rPr>
            </w:pPr>
            <w:r>
              <w:rPr>
                <w:rFonts w:ascii="宋体"/>
                <w:spacing w:val="-1"/>
                <w:sz w:val="21"/>
              </w:rPr>
              <w:t>43,250,358.28</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111,204,932.36</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9"/>
              <w:jc w:val="right"/>
              <w:rPr>
                <w:rFonts w:ascii="宋体" w:hAnsi="宋体" w:cs="宋体" w:eastAsia="宋体" w:hint="default"/>
                <w:sz w:val="21"/>
                <w:szCs w:val="21"/>
              </w:rPr>
            </w:pPr>
            <w:r>
              <w:rPr>
                <w:rFonts w:ascii="宋体"/>
                <w:spacing w:val="-1"/>
                <w:sz w:val="21"/>
              </w:rPr>
              <w:t>98,848,828.80</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1,295,337,976.19</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0"/>
              <w:jc w:val="right"/>
              <w:rPr>
                <w:rFonts w:ascii="宋体" w:hAnsi="宋体" w:cs="宋体" w:eastAsia="宋体" w:hint="default"/>
                <w:sz w:val="21"/>
                <w:szCs w:val="21"/>
              </w:rPr>
            </w:pPr>
            <w:r>
              <w:rPr>
                <w:rFonts w:ascii="宋体"/>
                <w:spacing w:val="-1"/>
                <w:sz w:val="21"/>
              </w:rPr>
              <w:t>1,003,001,346.45</w:t>
            </w:r>
          </w:p>
        </w:tc>
      </w:tr>
    </w:tbl>
    <w:p>
      <w:pPr>
        <w:pStyle w:val="BodyText"/>
        <w:tabs>
          <w:tab w:pos="9606" w:val="left" w:leader="none"/>
        </w:tabs>
        <w:spacing w:line="292" w:lineRule="auto" w:before="26"/>
        <w:ind w:left="1678" w:right="1620"/>
        <w:jc w:val="left"/>
      </w:pPr>
      <w:r>
        <w:rPr/>
        <w:t>调整期初未分配利润明细：</w:t>
      </w:r>
      <w:r>
        <w:rPr>
          <w:w w:val="100"/>
        </w:rPr>
        <w:t> </w:t>
      </w:r>
      <w:r>
        <w:rPr>
          <w:rFonts w:ascii="宋体" w:hAnsi="宋体" w:cs="宋体" w:eastAsia="宋体" w:hint="default"/>
          <w:spacing w:val="-2"/>
        </w:rPr>
        <w:t>1</w:t>
      </w:r>
      <w:r>
        <w:rPr>
          <w:spacing w:val="-2"/>
        </w:rPr>
        <w:t>、由于《企业会计准则》及其相关新规定进行追溯调整，影响期初未分配利润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t>元。</w:t>
      </w:r>
    </w:p>
    <w:p>
      <w:pPr>
        <w:pStyle w:val="BodyText"/>
        <w:tabs>
          <w:tab w:pos="6452" w:val="left" w:leader="none"/>
        </w:tabs>
        <w:spacing w:line="224" w:lineRule="exact"/>
        <w:ind w:left="1678" w:right="49"/>
        <w:jc w:val="left"/>
      </w:pPr>
      <w:r>
        <w:rPr>
          <w:rFonts w:ascii="宋体" w:hAnsi="宋体" w:cs="宋体" w:eastAsia="宋体" w:hint="default"/>
          <w:spacing w:val="-2"/>
        </w:rPr>
        <w:t>2</w:t>
      </w:r>
      <w:r>
        <w:rPr>
          <w:spacing w:val="-2"/>
        </w:rPr>
        <w:t>、由于会计政策变更，影响期初未分配利润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t>元。</w:t>
      </w:r>
    </w:p>
    <w:p>
      <w:pPr>
        <w:pStyle w:val="BodyText"/>
        <w:tabs>
          <w:tab w:pos="6874" w:val="left" w:leader="none"/>
        </w:tabs>
        <w:spacing w:line="274" w:lineRule="exact"/>
        <w:ind w:left="1678" w:right="49"/>
        <w:jc w:val="left"/>
      </w:pPr>
      <w:r>
        <w:rPr>
          <w:rFonts w:ascii="宋体" w:hAnsi="宋体" w:cs="宋体" w:eastAsia="宋体" w:hint="default"/>
          <w:spacing w:val="-2"/>
        </w:rPr>
        <w:t>3</w:t>
      </w:r>
      <w:r>
        <w:rPr>
          <w:spacing w:val="-2"/>
        </w:rPr>
        <w:t>、由于重大会计差错更正，影响期初未分配利润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t>元。</w:t>
      </w:r>
    </w:p>
    <w:p>
      <w:pPr>
        <w:spacing w:after="0" w:line="274" w:lineRule="exact"/>
        <w:jc w:val="left"/>
        <w:sectPr>
          <w:pgSz w:w="11910" w:h="16840"/>
          <w:pgMar w:header="882" w:footer="1195" w:top="1120" w:bottom="1380" w:left="120" w:right="80"/>
        </w:sectPr>
      </w:pPr>
    </w:p>
    <w:p>
      <w:pPr>
        <w:spacing w:line="240" w:lineRule="auto" w:before="1"/>
        <w:rPr>
          <w:rFonts w:ascii="宋体" w:hAnsi="宋体" w:cs="宋体" w:eastAsia="宋体" w:hint="default"/>
          <w:sz w:val="25"/>
          <w:szCs w:val="25"/>
        </w:rPr>
      </w:pPr>
    </w:p>
    <w:p>
      <w:pPr>
        <w:pStyle w:val="BodyText"/>
        <w:tabs>
          <w:tab w:pos="6521" w:val="left" w:leader="none"/>
        </w:tabs>
        <w:spacing w:line="274" w:lineRule="exact" w:before="36"/>
        <w:ind w:right="227"/>
        <w:jc w:val="left"/>
      </w:pPr>
      <w:r>
        <w:rPr/>
        <w:pict>
          <v:group style="position:absolute;margin-left:368.350006pt;margin-top:15.803686pt;width:31.45pt;height:.1pt;mso-position-horizontal-relative:page;mso-position-vertical-relative:paragraph;z-index:2728" coordorigin="7367,316" coordsize="629,2">
            <v:shape style="position:absolute;left:7367;top:316;width:629;height:2" coordorigin="7367,316" coordsize="629,0" path="m7367,316l7996,316e" filled="false" stroked="true" strokeweight=".6pt" strokecolor="#0000ff">
              <v:path arrowok="t"/>
            </v:shape>
            <w10:wrap type="none"/>
          </v:group>
        </w:pict>
      </w:r>
      <w:r>
        <w:rPr>
          <w:rFonts w:ascii="宋体" w:hAnsi="宋体" w:cs="宋体" w:eastAsia="宋体" w:hint="default"/>
          <w:spacing w:val="-2"/>
        </w:rPr>
        <w:t>4</w:t>
      </w:r>
      <w:r>
        <w:rPr>
          <w:spacing w:val="-2"/>
        </w:rPr>
        <w:t>、由于同一控制导致的合并范围变更，影响期初未分配利润</w:t>
        <w:tab/>
      </w:r>
      <w:r>
        <w:rPr>
          <w:spacing w:val="-3"/>
        </w:rPr>
        <w:t>元。</w:t>
      </w:r>
      <w:r>
        <w:rPr/>
      </w:r>
    </w:p>
    <w:p>
      <w:pPr>
        <w:pStyle w:val="BodyText"/>
        <w:tabs>
          <w:tab w:pos="4418" w:val="left" w:leader="none"/>
        </w:tabs>
        <w:spacing w:line="274" w:lineRule="exact"/>
        <w:ind w:right="2940"/>
        <w:jc w:val="left"/>
      </w:pPr>
      <w:r>
        <w:rPr>
          <w:rFonts w:ascii="宋体" w:hAnsi="宋体" w:cs="宋体" w:eastAsia="宋体" w:hint="default"/>
          <w:spacing w:val="-2"/>
        </w:rPr>
        <w:t>5</w:t>
      </w:r>
      <w:r>
        <w:rPr>
          <w:spacing w:val="-2"/>
        </w:rPr>
        <w:t>、其他调整合计影响期初未分配利润</w:t>
        <w:tab/>
      </w:r>
      <w:r>
        <w:rPr/>
        <w:t>元。</w:t>
      </w:r>
    </w:p>
    <w:p>
      <w:pPr>
        <w:spacing w:line="20" w:lineRule="exact"/>
        <w:ind w:left="367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418"/>
        <w:gridCol w:w="1897"/>
        <w:gridCol w:w="1860"/>
        <w:gridCol w:w="1896"/>
        <w:gridCol w:w="1858"/>
      </w:tblGrid>
      <w:tr>
        <w:trPr>
          <w:trHeight w:val="281"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18"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2,218,725,210.81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161,791,746.61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1,417,533,014.34</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89,282,679.41</w:t>
            </w:r>
          </w:p>
        </w:tc>
      </w:tr>
      <w:tr>
        <w:trPr>
          <w:trHeight w:val="28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6,807,196.66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982,325.44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4,306,120.78</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540,885.20</w:t>
            </w: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91"/>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2,225,532,407.47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162,774,072.05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1,421,839,135.12</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89,823,564.61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8"/>
        <w:ind w:right="2940"/>
        <w:jc w:val="left"/>
        <w:rPr>
          <w:b w:val="0"/>
          <w:bCs w:val="0"/>
        </w:rPr>
      </w:pPr>
      <w:r>
        <w:rPr>
          <w:rFonts w:ascii="宋体" w:hAnsi="宋体" w:cs="宋体" w:eastAsia="宋体" w:hint="default"/>
        </w:rPr>
        <w:t>62</w:t>
      </w:r>
      <w:r>
        <w:rPr/>
        <w:t>、</w:t>
      </w:r>
      <w:r>
        <w:rPr>
          <w:spacing w:val="-24"/>
        </w:rPr>
        <w:t> </w:t>
      </w:r>
      <w:r>
        <w:rPr/>
        <w:t>营业税金及附加</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7,049,397.74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4,421,530.77</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3"/>
              <w:jc w:val="right"/>
              <w:rPr>
                <w:rFonts w:ascii="宋体" w:hAnsi="宋体" w:cs="宋体" w:eastAsia="宋体" w:hint="default"/>
                <w:sz w:val="21"/>
                <w:szCs w:val="21"/>
              </w:rPr>
            </w:pPr>
            <w:r>
              <w:rPr>
                <w:rFonts w:ascii="宋体"/>
                <w:spacing w:val="-1"/>
                <w:sz w:val="21"/>
              </w:rPr>
              <w:t>16,040,385.26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2"/>
              <w:jc w:val="right"/>
              <w:rPr>
                <w:rFonts w:ascii="宋体" w:hAnsi="宋体" w:cs="宋体" w:eastAsia="宋体" w:hint="default"/>
                <w:sz w:val="21"/>
                <w:szCs w:val="21"/>
              </w:rPr>
            </w:pPr>
            <w:r>
              <w:rPr>
                <w:rFonts w:ascii="宋体"/>
                <w:spacing w:val="-1"/>
                <w:sz w:val="21"/>
              </w:rPr>
              <w:t>11,497,236.97</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6,979,825.90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5,018,687.83</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2"/>
              <w:jc w:val="right"/>
              <w:rPr>
                <w:rFonts w:ascii="宋体" w:hAnsi="宋体" w:cs="宋体" w:eastAsia="宋体" w:hint="default"/>
                <w:sz w:val="21"/>
                <w:szCs w:val="21"/>
              </w:rPr>
            </w:pPr>
            <w:r>
              <w:rPr>
                <w:rFonts w:ascii="宋体"/>
                <w:spacing w:val="-1"/>
                <w:sz w:val="21"/>
              </w:rPr>
              <w:t>491,123.01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2"/>
              <w:jc w:val="right"/>
              <w:rPr>
                <w:rFonts w:ascii="宋体" w:hAnsi="宋体" w:cs="宋体" w:eastAsia="宋体" w:hint="default"/>
                <w:sz w:val="21"/>
                <w:szCs w:val="21"/>
              </w:rPr>
            </w:pPr>
            <w:r>
              <w:rPr>
                <w:rFonts w:ascii="宋体"/>
                <w:spacing w:val="-1"/>
                <w:sz w:val="21"/>
              </w:rPr>
              <w:t>-4,251,425.63</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1,561,797.81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-58,431.12</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4,653,217.29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3,345,500.60</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99,118.36</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2"/>
              <w:jc w:val="right"/>
              <w:rPr>
                <w:rFonts w:ascii="宋体" w:hAnsi="宋体" w:cs="宋体" w:eastAsia="宋体" w:hint="default"/>
                <w:sz w:val="21"/>
                <w:szCs w:val="21"/>
              </w:rPr>
            </w:pPr>
            <w:r>
              <w:rPr>
                <w:rFonts w:ascii="宋体"/>
                <w:spacing w:val="-1"/>
                <w:sz w:val="21"/>
              </w:rPr>
              <w:t>1,500.00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2"/>
              <w:jc w:val="right"/>
              <w:rPr>
                <w:rFonts w:ascii="宋体" w:hAnsi="宋体" w:cs="宋体" w:eastAsia="宋体" w:hint="default"/>
                <w:sz w:val="21"/>
                <w:szCs w:val="21"/>
              </w:rPr>
            </w:pPr>
            <w:r>
              <w:rPr>
                <w:rFonts w:ascii="宋体"/>
                <w:sz w:val="21"/>
              </w:rPr>
              <w:t>840.00</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36,777,247.01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20,073,057.78</w:t>
            </w:r>
          </w:p>
        </w:tc>
      </w:tr>
    </w:tbl>
    <w:p>
      <w:pPr>
        <w:spacing w:line="240" w:lineRule="auto" w:before="2"/>
        <w:rPr>
          <w:rFonts w:ascii="宋体" w:hAnsi="宋体" w:cs="宋体" w:eastAsia="宋体" w:hint="default"/>
          <w:sz w:val="20"/>
          <w:szCs w:val="20"/>
        </w:rPr>
      </w:pPr>
    </w:p>
    <w:p>
      <w:pPr>
        <w:pStyle w:val="BodyText"/>
        <w:spacing w:line="240" w:lineRule="auto" w:before="36"/>
        <w:ind w:right="2940"/>
        <w:jc w:val="left"/>
      </w:pPr>
      <w:r>
        <w:rPr/>
        <w:t>其他说明：</w:t>
      </w:r>
    </w:p>
    <w:p>
      <w:pPr>
        <w:spacing w:line="240" w:lineRule="auto" w:before="3"/>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63</w:t>
      </w:r>
      <w:r>
        <w:rPr/>
        <w:t>、</w:t>
      </w:r>
      <w:r>
        <w:rPr>
          <w:spacing w:val="-25"/>
        </w:rPr>
        <w:t> </w:t>
      </w:r>
      <w:r>
        <w:rPr/>
        <w:t>销售费用</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376,834,788.99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197,652,037.24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66,245,717.25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53,787,785.75</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市场推广宣传费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63,590,948.20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47,253,996.55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项目咨询费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59,831,520.09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41,080,178.61</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3,367,682.76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2,526,810.58</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3,105,999.83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10,661,897.08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折旧与摊销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6,951,491.53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1,782,865.36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1,458,270.82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1,818,023.21</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432,786.75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854,899.70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581,819,206.22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357,418,494.08</w:t>
            </w:r>
          </w:p>
        </w:tc>
      </w:tr>
    </w:tbl>
    <w:p>
      <w:pPr>
        <w:spacing w:line="240" w:lineRule="auto" w:before="2"/>
        <w:rPr>
          <w:rFonts w:ascii="宋体" w:hAnsi="宋体" w:cs="宋体" w:eastAsia="宋体" w:hint="default"/>
          <w:sz w:val="20"/>
          <w:szCs w:val="20"/>
        </w:rPr>
      </w:pPr>
    </w:p>
    <w:p>
      <w:pPr>
        <w:pStyle w:val="BodyText"/>
        <w:spacing w:line="240" w:lineRule="auto" w:before="36"/>
        <w:ind w:right="2940"/>
        <w:jc w:val="left"/>
      </w:pPr>
      <w:r>
        <w:rPr/>
        <w:t>其他说明：</w:t>
      </w:r>
    </w:p>
    <w:p>
      <w:pPr>
        <w:spacing w:line="240" w:lineRule="auto" w:before="3"/>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right="2940"/>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661,537,575.77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482,421,275.64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78,301,537.12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57,179,894.79</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76,535,697.11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20,895,098.36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58,078,109.90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58,691,189.26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49,878,415.09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74,027,314.31</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项目咨询费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44,901,858.52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39,481,978.64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36,792,332.43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25,615,303.38</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25,977,569.30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12,961,978.92</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7,964,230.22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9,593,508.87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6,842,593.64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7,622,016.41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4,386,260.10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3,872,573.84</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3,877,144.72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2,757,324.99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2,531,224.05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5,973,509.23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1,057,604,547.97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801,092,966.64</w:t>
            </w:r>
          </w:p>
        </w:tc>
      </w:tr>
    </w:tbl>
    <w:p>
      <w:pPr>
        <w:spacing w:line="240" w:lineRule="auto" w:before="5"/>
        <w:rPr>
          <w:rFonts w:ascii="宋体" w:hAnsi="宋体" w:cs="宋体" w:eastAsia="宋体" w:hint="default"/>
          <w:sz w:val="15"/>
          <w:szCs w:val="15"/>
        </w:rPr>
      </w:pPr>
    </w:p>
    <w:p>
      <w:pPr>
        <w:pStyle w:val="BodyText"/>
        <w:spacing w:line="240" w:lineRule="auto" w:before="36"/>
        <w:ind w:right="2940"/>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65</w:t>
      </w:r>
      <w:r>
        <w:rPr/>
        <w:t>、</w:t>
      </w:r>
      <w:r>
        <w:rPr>
          <w:spacing w:val="-25"/>
        </w:rPr>
        <w:t> </w:t>
      </w:r>
      <w:r>
        <w:rPr/>
        <w:t>财务费用</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6,960.00</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-3,878,351.68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-8,932,592.43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汇兑净损益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10,713.85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-491,775.30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287,380.68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374,656.77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-3,580,257.15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-9,042,750.96</w:t>
            </w:r>
          </w:p>
        </w:tc>
      </w:tr>
    </w:tbl>
    <w:p>
      <w:pPr>
        <w:spacing w:line="240" w:lineRule="auto" w:before="5"/>
        <w:rPr>
          <w:rFonts w:ascii="宋体" w:hAnsi="宋体" w:cs="宋体" w:eastAsia="宋体" w:hint="default"/>
          <w:sz w:val="15"/>
          <w:szCs w:val="15"/>
        </w:rPr>
      </w:pPr>
    </w:p>
    <w:p>
      <w:pPr>
        <w:pStyle w:val="BodyText"/>
        <w:spacing w:line="240" w:lineRule="auto" w:before="36"/>
        <w:ind w:right="2940"/>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123,034,169.08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4,167,018.68</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959,438.64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1,029,013.20</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8" w:right="0"/>
              <w:jc w:val="left"/>
              <w:rPr>
                <w:rFonts w:ascii="宋体" w:hAnsi="宋体" w:cs="宋体" w:eastAsia="宋体" w:hint="default"/>
                <w:sz w:val="21"/>
                <w:szCs w:val="21"/>
              </w:rPr>
            </w:pPr>
            <w:r>
              <w:rPr>
                <w:rFonts w:ascii="宋体"/>
                <w:sz w:val="21"/>
              </w:rPr>
              <w:t>123,993,607.72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4" w:right="0"/>
              <w:jc w:val="left"/>
              <w:rPr>
                <w:rFonts w:ascii="宋体" w:hAnsi="宋体" w:cs="宋体" w:eastAsia="宋体" w:hint="default"/>
                <w:sz w:val="21"/>
                <w:szCs w:val="21"/>
              </w:rPr>
            </w:pPr>
            <w:r>
              <w:rPr>
                <w:rFonts w:ascii="宋体"/>
                <w:sz w:val="21"/>
              </w:rPr>
              <w:t>5,196,031.88</w:t>
            </w:r>
          </w:p>
        </w:tc>
      </w:tr>
    </w:tbl>
    <w:p>
      <w:pPr>
        <w:pStyle w:val="BodyText"/>
        <w:spacing w:line="240" w:lineRule="auto" w:before="26"/>
        <w:ind w:right="2940"/>
        <w:jc w:val="left"/>
      </w:pPr>
      <w:r>
        <w:rPr/>
        <w:t>其他说明：</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67</w:t>
      </w:r>
      <w:r>
        <w:rPr/>
        <w:t>、</w:t>
      </w:r>
      <w:r>
        <w:rPr>
          <w:spacing w:val="-24"/>
        </w:rPr>
        <w:t> </w:t>
      </w:r>
      <w:r>
        <w:rPr/>
        <w:t>公允价值变动收益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12" w:space="411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825"/>
        <w:gridCol w:w="2825"/>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4"/>
              <w:jc w:val="right"/>
              <w:rPr>
                <w:rFonts w:ascii="宋体" w:hAnsi="宋体" w:cs="宋体" w:eastAsia="宋体" w:hint="default"/>
                <w:sz w:val="21"/>
                <w:szCs w:val="21"/>
              </w:rPr>
            </w:pPr>
            <w:r>
              <w:rPr>
                <w:rFonts w:ascii="宋体" w:hAnsi="宋体" w:cs="宋体" w:eastAsia="宋体" w:hint="default"/>
                <w:spacing w:val="-2"/>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-1,824,177.73</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12,482,267.18</w:t>
            </w: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8"/>
              <w:jc w:val="right"/>
              <w:rPr>
                <w:rFonts w:ascii="宋体" w:hAnsi="宋体" w:cs="宋体" w:eastAsia="宋体" w:hint="default"/>
                <w:sz w:val="21"/>
                <w:szCs w:val="21"/>
              </w:rPr>
            </w:pPr>
            <w:r>
              <w:rPr>
                <w:rFonts w:ascii="宋体" w:hAnsi="宋体" w:cs="宋体" w:eastAsia="宋体" w:hint="default"/>
                <w:spacing w:val="-2"/>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-1,824,177.73</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12,482,267.18</w:t>
            </w:r>
          </w:p>
        </w:tc>
      </w:tr>
    </w:tbl>
    <w:p>
      <w:pPr>
        <w:pStyle w:val="BodyText"/>
        <w:spacing w:line="240" w:lineRule="auto" w:before="26"/>
        <w:ind w:right="2940"/>
        <w:jc w:val="left"/>
      </w:pPr>
      <w:r>
        <w:rPr/>
        <w:t>其他说明：</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68</w:t>
      </w:r>
      <w:r>
        <w:rPr/>
        <w:t>、</w:t>
      </w:r>
      <w:r>
        <w:rPr>
          <w:spacing w:val="-25"/>
        </w:rPr>
        <w:t> </w:t>
      </w:r>
      <w:r>
        <w:rPr/>
        <w:t>投资收益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20"/>
        <w:gridCol w:w="2410"/>
        <w:gridCol w:w="2372"/>
      </w:tblGrid>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24,293,039.19</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33,235,878.59</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11,393,592.13</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78,040.45</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融资产在持有期间的投资收益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的金融资产取得的投资收益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5,402,112.49</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24,909,386.65</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量产生的利得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交易性金融资产持有期间取得的投资收益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1,061,725.91</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185,248.41</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可供出售金融资产持有期间取得的投资收益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56,017,130.19</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27,294,389.19</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理财产品持有期间取得的投资收益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17,142,760.31</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3,095,942.88</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16,563,808.09</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3,104,192.86</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处置理财产品、信托计划取得的投资收益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32,133,721.07</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30,660,662.44</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164,007,889.38</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122,563,741.47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before="36"/>
        <w:ind w:right="2940"/>
        <w:jc w:val="left"/>
      </w:pPr>
      <w:r>
        <w:rPr/>
        <w:t>其他说明：</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line="20" w:lineRule="exact"/>
        <w:ind w:left="2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0000ff">
                <v:path arrowok="t"/>
              </v:shape>
            </v:group>
          </v:group>
        </w:pict>
      </w:r>
      <w:r>
        <w:rPr>
          <w:rFonts w:ascii="宋体" w:hAnsi="宋体" w:cs="宋体" w:eastAsia="宋体" w:hint="default"/>
          <w:sz w:val="2"/>
          <w:szCs w:val="2"/>
        </w:rPr>
      </w:r>
    </w:p>
    <w:p>
      <w:pPr>
        <w:pStyle w:val="Heading4"/>
        <w:spacing w:line="240" w:lineRule="auto" w:before="39"/>
        <w:ind w:left="278" w:right="0"/>
        <w:jc w:val="left"/>
        <w:rPr>
          <w:b w:val="0"/>
          <w:bCs w:val="0"/>
        </w:rPr>
      </w:pPr>
      <w:r>
        <w:rPr>
          <w:rFonts w:ascii="宋体" w:hAnsi="宋体" w:cs="宋体" w:eastAsia="宋体" w:hint="default"/>
        </w:rPr>
        <w:t>69</w:t>
      </w:r>
      <w:r>
        <w:rPr/>
        <w:t>、</w:t>
      </w:r>
      <w:r>
        <w:rPr>
          <w:spacing w:val="-25"/>
        </w:rPr>
        <w:t> </w:t>
      </w:r>
      <w:r>
        <w:rPr/>
        <w:t>营业外收入</w:t>
      </w:r>
      <w:r>
        <w:rPr>
          <w:b w:val="0"/>
          <w:bCs w:val="0"/>
        </w:rPr>
      </w:r>
    </w:p>
    <w:p>
      <w:pPr>
        <w:pStyle w:val="BodyText"/>
        <w:tabs>
          <w:tab w:pos="1051" w:val="left" w:leader="none"/>
        </w:tabs>
        <w:spacing w:line="240" w:lineRule="auto" w:before="56"/>
        <w:ind w:left="0" w:right="29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65" w:type="dxa"/>
        <w:tblLayout w:type="fixed"/>
        <w:tblCellMar>
          <w:top w:w="0" w:type="dxa"/>
          <w:left w:w="0" w:type="dxa"/>
          <w:bottom w:w="0" w:type="dxa"/>
          <w:right w:w="0" w:type="dxa"/>
        </w:tblCellMar>
        <w:tblLook w:val="01E0"/>
      </w:tblPr>
      <w:tblGrid>
        <w:gridCol w:w="2804"/>
        <w:gridCol w:w="1985"/>
        <w:gridCol w:w="1841"/>
        <w:gridCol w:w="2317"/>
      </w:tblGrid>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益的金额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410,196.01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117,017.11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410,196.01</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410,196.01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117,017.11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410,196.01</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146,741,833.46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95,419,694.22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4,280,370.00</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无法支付款项</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579,083.05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466,301.84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579,083.05</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136,019.20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81,201.95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136,019.20</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147,867,131.72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96,084,215.12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5,405,668.26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520" w:right="980"/>
        </w:sectPr>
      </w:pPr>
    </w:p>
    <w:p>
      <w:pPr>
        <w:pStyle w:val="BodyText"/>
        <w:spacing w:line="274" w:lineRule="exact" w:before="36"/>
        <w:ind w:left="278" w:right="0"/>
        <w:jc w:val="left"/>
      </w:pPr>
      <w:r>
        <w:rPr>
          <w:spacing w:val="-2"/>
        </w:rPr>
        <w:t>计入当期损益的政府补助</w:t>
      </w:r>
    </w:p>
    <w:p>
      <w:pPr>
        <w:pStyle w:val="BodyText"/>
        <w:spacing w:line="274" w:lineRule="exact"/>
        <w:ind w:left="2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329" w:val="left" w:leader="none"/>
        </w:tabs>
        <w:spacing w:line="240" w:lineRule="auto"/>
        <w:ind w:left="278" w:right="0"/>
        <w:jc w:val="left"/>
      </w:pPr>
      <w:r>
        <w:rPr>
          <w:spacing w:val="-1"/>
        </w:rPr>
        <w:t>单位：元</w:t>
        <w:tab/>
      </w:r>
      <w:r>
        <w:rPr>
          <w:spacing w:val="-2"/>
        </w:rPr>
        <w:t>币种：人民币</w:t>
      </w:r>
    </w:p>
    <w:p>
      <w:pPr>
        <w:spacing w:after="0" w:line="240" w:lineRule="auto"/>
        <w:jc w:val="left"/>
        <w:sectPr>
          <w:type w:val="continuous"/>
          <w:pgSz w:w="11910" w:h="16840"/>
          <w:pgMar w:top="1120" w:bottom="1380" w:left="1520" w:right="980"/>
          <w:cols w:num="2" w:equalWidth="0">
            <w:col w:w="2592" w:space="3932"/>
            <w:col w:w="288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7"/>
        <w:gridCol w:w="1716"/>
        <w:gridCol w:w="1682"/>
        <w:gridCol w:w="2194"/>
      </w:tblGrid>
      <w:tr>
        <w:trPr>
          <w:trHeight w:val="56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20"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04"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28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年杭州市大学生企业实训补贴款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386,879.00</w:t>
            </w:r>
          </w:p>
        </w:tc>
        <w:tc>
          <w:tcPr>
            <w:tcW w:w="168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面向中小企业的</w:t>
            </w:r>
            <w:r>
              <w:rPr>
                <w:rFonts w:ascii="宋体" w:hAnsi="宋体" w:cs="宋体" w:eastAsia="宋体" w:hint="default"/>
                <w:spacing w:val="-52"/>
                <w:sz w:val="21"/>
                <w:szCs w:val="21"/>
              </w:rPr>
              <w:t> </w:t>
            </w:r>
            <w:r>
              <w:rPr>
                <w:rFonts w:ascii="宋体" w:hAnsi="宋体" w:cs="宋体" w:eastAsia="宋体" w:hint="default"/>
                <w:sz w:val="21"/>
                <w:szCs w:val="21"/>
              </w:rPr>
              <w:t>B2C</w:t>
            </w:r>
            <w:r>
              <w:rPr>
                <w:rFonts w:ascii="宋体" w:hAnsi="宋体" w:cs="宋体" w:eastAsia="宋体" w:hint="default"/>
                <w:spacing w:val="-54"/>
                <w:sz w:val="21"/>
                <w:szCs w:val="21"/>
              </w:rPr>
              <w:t> </w:t>
            </w:r>
            <w:r>
              <w:rPr>
                <w:rFonts w:ascii="宋体" w:hAnsi="宋体" w:cs="宋体" w:eastAsia="宋体" w:hint="default"/>
                <w:sz w:val="21"/>
                <w:szCs w:val="21"/>
              </w:rPr>
              <w:t>电子商务一体化</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解决方案</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360,000.00</w:t>
            </w:r>
          </w:p>
        </w:tc>
        <w:tc>
          <w:tcPr>
            <w:tcW w:w="168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数米基金移动开放平台</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351,000.00</w:t>
            </w:r>
          </w:p>
        </w:tc>
        <w:tc>
          <w:tcPr>
            <w:tcW w:w="168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杭州市</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年度第二批信息化人才实</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训工程资助资金</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240,000.00</w:t>
            </w:r>
          </w:p>
        </w:tc>
        <w:tc>
          <w:tcPr>
            <w:tcW w:w="168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杭州市信息服务业验收合格剩余资金</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配套资金</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156,000.00</w:t>
            </w:r>
          </w:p>
        </w:tc>
        <w:tc>
          <w:tcPr>
            <w:tcW w:w="168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2"/>
                <w:sz w:val="21"/>
                <w:szCs w:val="21"/>
              </w:rPr>
              <w:t> </w:t>
            </w:r>
            <w:r>
              <w:rPr>
                <w:rFonts w:ascii="宋体" w:hAnsi="宋体" w:cs="宋体" w:eastAsia="宋体" w:hint="default"/>
                <w:sz w:val="21"/>
                <w:szCs w:val="21"/>
              </w:rPr>
              <w:t>他</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721,261.00</w:t>
            </w:r>
          </w:p>
        </w:tc>
        <w:tc>
          <w:tcPr>
            <w:tcW w:w="168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税收返还：</w:t>
            </w:r>
          </w:p>
        </w:tc>
        <w:tc>
          <w:tcPr>
            <w:tcW w:w="1716"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其中：增值税返还</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142,461,463.46</w:t>
            </w:r>
          </w:p>
        </w:tc>
        <w:tc>
          <w:tcPr>
            <w:tcW w:w="168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地方水利建设基金返还</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1,033,606.80</w:t>
            </w:r>
          </w:p>
        </w:tc>
        <w:tc>
          <w:tcPr>
            <w:tcW w:w="168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递延收益摊销转入：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1,031,623.20</w:t>
            </w:r>
          </w:p>
        </w:tc>
        <w:tc>
          <w:tcPr>
            <w:tcW w:w="168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146,741,833.46</w:t>
            </w:r>
          </w:p>
        </w:tc>
        <w:tc>
          <w:tcPr>
            <w:tcW w:w="168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before="36"/>
        <w:ind w:left="278" w:right="0"/>
        <w:jc w:val="left"/>
      </w:pPr>
      <w:r>
        <w:rPr/>
        <w:t>其他说明：</w:t>
      </w:r>
    </w:p>
    <w:p>
      <w:pPr>
        <w:pStyle w:val="BodyText"/>
        <w:spacing w:line="240" w:lineRule="auto" w:before="68"/>
        <w:ind w:left="278" w:right="0"/>
        <w:jc w:val="left"/>
      </w:pPr>
      <w:r>
        <w:rPr/>
        <w:t>税费返还说明：其中本期增值税超税负返还款</w:t>
      </w:r>
      <w:r>
        <w:rPr>
          <w:spacing w:val="-55"/>
        </w:rPr>
        <w:t> </w:t>
      </w:r>
      <w:r>
        <w:rPr>
          <w:rFonts w:ascii="宋体" w:hAnsi="宋体" w:cs="宋体" w:eastAsia="宋体" w:hint="default"/>
        </w:rPr>
        <w:t>142,461,463.46</w:t>
      </w:r>
      <w:r>
        <w:rPr>
          <w:rFonts w:ascii="宋体" w:hAnsi="宋体" w:cs="宋体" w:eastAsia="宋体" w:hint="default"/>
          <w:spacing w:val="-55"/>
        </w:rPr>
        <w:t> </w:t>
      </w:r>
      <w:r>
        <w:rPr>
          <w:spacing w:val="-3"/>
        </w:rPr>
        <w:t>元。</w:t>
      </w:r>
      <w:r>
        <w:rPr/>
      </w:r>
    </w:p>
    <w:p>
      <w:pPr>
        <w:spacing w:line="240" w:lineRule="auto" w:before="6"/>
        <w:rPr>
          <w:rFonts w:ascii="宋体" w:hAnsi="宋体" w:cs="宋体" w:eastAsia="宋体" w:hint="default"/>
          <w:sz w:val="22"/>
          <w:szCs w:val="22"/>
        </w:rPr>
      </w:pPr>
    </w:p>
    <w:p>
      <w:pPr>
        <w:pStyle w:val="Heading4"/>
        <w:spacing w:line="240" w:lineRule="auto"/>
        <w:ind w:left="278" w:right="0"/>
        <w:jc w:val="left"/>
        <w:rPr>
          <w:b w:val="0"/>
          <w:bCs w:val="0"/>
        </w:rPr>
      </w:pPr>
      <w:r>
        <w:rPr>
          <w:rFonts w:ascii="宋体" w:hAnsi="宋体" w:cs="宋体" w:eastAsia="宋体" w:hint="default"/>
        </w:rPr>
        <w:t>70</w:t>
      </w:r>
      <w:r>
        <w:rPr/>
        <w:t>、</w:t>
      </w:r>
      <w:r>
        <w:rPr>
          <w:spacing w:val="-25"/>
        </w:rPr>
        <w:t> </w:t>
      </w:r>
      <w:r>
        <w:rPr/>
        <w:t>营业外支出</w:t>
      </w:r>
      <w:r>
        <w:rPr>
          <w:b w:val="0"/>
          <w:bCs w:val="0"/>
        </w:rPr>
      </w:r>
    </w:p>
    <w:p>
      <w:pPr>
        <w:pStyle w:val="BodyText"/>
        <w:tabs>
          <w:tab w:pos="1051" w:val="left" w:leader="none"/>
        </w:tabs>
        <w:spacing w:line="240" w:lineRule="auto" w:before="56"/>
        <w:ind w:left="0" w:right="29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65" w:type="dxa"/>
        <w:tblLayout w:type="fixed"/>
        <w:tblCellMar>
          <w:top w:w="0" w:type="dxa"/>
          <w:left w:w="0" w:type="dxa"/>
          <w:bottom w:w="0" w:type="dxa"/>
          <w:right w:w="0" w:type="dxa"/>
        </w:tblCellMar>
        <w:tblLook w:val="01E0"/>
      </w:tblPr>
      <w:tblGrid>
        <w:gridCol w:w="2665"/>
        <w:gridCol w:w="1980"/>
        <w:gridCol w:w="1985"/>
        <w:gridCol w:w="2319"/>
      </w:tblGrid>
      <w:tr>
        <w:trPr>
          <w:trHeight w:val="555"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471,577.60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211,873.77</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471,577.60</w:t>
            </w:r>
          </w:p>
        </w:tc>
      </w:tr>
      <w:tr>
        <w:trPr>
          <w:trHeight w:val="28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471,577.60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211,873.77</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471,577.60</w:t>
            </w:r>
          </w:p>
        </w:tc>
      </w:tr>
    </w:tbl>
    <w:p>
      <w:pPr>
        <w:spacing w:after="0" w:line="241" w:lineRule="exact"/>
        <w:jc w:val="right"/>
        <w:rPr>
          <w:rFonts w:ascii="宋体" w:hAnsi="宋体" w:cs="宋体" w:eastAsia="宋体" w:hint="default"/>
          <w:sz w:val="21"/>
          <w:szCs w:val="21"/>
        </w:rPr>
        <w:sectPr>
          <w:type w:val="continuous"/>
          <w:pgSz w:w="11910" w:h="16840"/>
          <w:pgMar w:top="1120" w:bottom="1380" w:left="152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65"/>
        <w:gridCol w:w="1980"/>
        <w:gridCol w:w="1985"/>
        <w:gridCol w:w="2319"/>
      </w:tblGrid>
      <w:tr>
        <w:trPr>
          <w:trHeight w:val="284"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520,000.00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60,000.00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520,000.00</w:t>
            </w:r>
          </w:p>
        </w:tc>
      </w:tr>
      <w:tr>
        <w:trPr>
          <w:trHeight w:val="28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57,899,452.74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454,592.13</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57,899,452.74</w:t>
            </w:r>
          </w:p>
        </w:tc>
      </w:tr>
      <w:tr>
        <w:trPr>
          <w:trHeight w:val="281"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2,055,235.53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1,547,711.75</w:t>
            </w: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68,244.05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9,940.35</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68,244.05</w:t>
            </w:r>
          </w:p>
        </w:tc>
      </w:tr>
      <w:tr>
        <w:trPr>
          <w:trHeight w:val="28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61,014,509.92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2,284,118.00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58,959,274.39</w:t>
            </w:r>
          </w:p>
        </w:tc>
      </w:tr>
    </w:tbl>
    <w:p>
      <w:pPr>
        <w:spacing w:line="240" w:lineRule="auto" w:before="12"/>
        <w:rPr>
          <w:rFonts w:ascii="宋体" w:hAnsi="宋体" w:cs="宋体" w:eastAsia="宋体" w:hint="default"/>
          <w:sz w:val="19"/>
          <w:szCs w:val="19"/>
        </w:rPr>
      </w:pPr>
    </w:p>
    <w:p>
      <w:pPr>
        <w:pStyle w:val="BodyText"/>
        <w:spacing w:line="240" w:lineRule="auto" w:before="36"/>
        <w:ind w:right="0"/>
        <w:jc w:val="left"/>
      </w:pPr>
      <w:r>
        <w:rPr/>
        <w:t>其他说明：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80" w:right="1120"/>
        </w:sectPr>
      </w:pPr>
    </w:p>
    <w:p>
      <w:pPr>
        <w:pStyle w:val="Heading4"/>
        <w:spacing w:line="290" w:lineRule="auto"/>
        <w:ind w:right="-20"/>
        <w:jc w:val="left"/>
        <w:rPr>
          <w:b w:val="0"/>
          <w:bCs w:val="0"/>
        </w:rPr>
      </w:pPr>
      <w:r>
        <w:rPr>
          <w:rFonts w:ascii="宋体" w:hAnsi="宋体" w:cs="宋体" w:eastAsia="宋体" w:hint="default"/>
        </w:rPr>
        <w:t>71</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1911" w:space="4611"/>
            <w:col w:w="268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9"/>
        <w:gridCol w:w="2876"/>
        <w:gridCol w:w="2861"/>
      </w:tblGrid>
      <w:tr>
        <w:trPr>
          <w:trHeight w:val="295"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361"/>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78,552,212.52</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30,603,441.14</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-12,163,755.64</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499,577.63</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61"/>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66,388,456.88</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31,103,018.77</w:t>
            </w:r>
          </w:p>
        </w:tc>
      </w:tr>
    </w:tbl>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tabs>
          <w:tab w:pos="1051" w:val="left" w:leader="none"/>
        </w:tabs>
        <w:spacing w:line="240" w:lineRule="auto" w:before="58"/>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301"/>
        <w:gridCol w:w="4592"/>
      </w:tblGrid>
      <w:tr>
        <w:trPr>
          <w:trHeight w:val="284"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515,180,317.10</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77,277,047.55</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-14,097,343.32</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15,440.45</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-10,965,642.57</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23,328,219.38</w:t>
            </w:r>
          </w:p>
        </w:tc>
      </w:tr>
      <w:tr>
        <w:trPr>
          <w:trHeight w:val="562"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26,953,578.11</w:t>
            </w:r>
          </w:p>
        </w:tc>
      </w:tr>
      <w:tr>
        <w:trPr>
          <w:trHeight w:val="286" w:hRule="exact"/>
        </w:trPr>
        <w:tc>
          <w:tcPr>
            <w:tcW w:w="4301"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研发费、残疾人工资加计扣除的影响</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-36,122,842.72</w:t>
            </w:r>
          </w:p>
        </w:tc>
      </w:tr>
      <w:tr>
        <w:trPr>
          <w:trHeight w:val="288" w:hRule="exact"/>
        </w:trPr>
        <w:tc>
          <w:tcPr>
            <w:tcW w:w="4301" w:type="dxa"/>
            <w:tcBorders>
              <w:top w:val="single" w:sz="6" w:space="0" w:color="000000"/>
              <w:left w:val="single" w:sz="6" w:space="0" w:color="000000"/>
              <w:bottom w:val="single" w:sz="6" w:space="0" w:color="000000"/>
              <w:right w:val="single" w:sz="6" w:space="0" w:color="000000"/>
            </w:tcBorders>
          </w:tcPr>
          <w:p>
            <w:pPr/>
          </w:p>
        </w:tc>
        <w:tc>
          <w:tcPr>
            <w:tcW w:w="45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66,388,456.88</w:t>
            </w:r>
          </w:p>
        </w:tc>
      </w:tr>
    </w:tbl>
    <w:p>
      <w:pPr>
        <w:spacing w:line="240" w:lineRule="auto" w:before="2"/>
        <w:rPr>
          <w:rFonts w:ascii="宋体" w:hAnsi="宋体" w:cs="宋体" w:eastAsia="宋体" w:hint="default"/>
          <w:sz w:val="20"/>
          <w:szCs w:val="20"/>
        </w:rPr>
      </w:pPr>
    </w:p>
    <w:p>
      <w:pPr>
        <w:pStyle w:val="BodyText"/>
        <w:spacing w:line="240" w:lineRule="auto" w:before="36"/>
        <w:ind w:right="0"/>
        <w:jc w:val="left"/>
      </w:pPr>
      <w:r>
        <w:rPr/>
        <w:t>其他说明：</w:t>
      </w:r>
    </w:p>
    <w:p>
      <w:pPr>
        <w:spacing w:line="240" w:lineRule="auto" w:before="3"/>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line="290" w:lineRule="auto" w:before="36"/>
        <w:ind w:left="218" w:right="7199"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21"/>
          <w:szCs w:val="21"/>
        </w:rPr>
        <w:t>详见附注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120"/>
        </w:sectPr>
      </w:pPr>
    </w:p>
    <w:p>
      <w:pPr>
        <w:pStyle w:val="Heading4"/>
        <w:spacing w:line="240" w:lineRule="auto"/>
        <w:ind w:right="-2"/>
        <w:jc w:val="left"/>
        <w:rPr>
          <w:b w:val="0"/>
          <w:bCs w:val="0"/>
        </w:rPr>
      </w:pPr>
      <w:r>
        <w:rPr>
          <w:rFonts w:ascii="宋体" w:hAnsi="宋体" w:cs="宋体" w:eastAsia="宋体" w:hint="default"/>
        </w:rPr>
        <w:t>73</w:t>
      </w:r>
      <w:r>
        <w:rPr/>
        <w:t>、</w:t>
      </w:r>
      <w:r>
        <w:rPr>
          <w:spacing w:val="-24"/>
        </w:rPr>
        <w:t> </w:t>
      </w:r>
      <w:r>
        <w:rPr/>
        <w:t>现金流量表项目</w:t>
      </w:r>
      <w:r>
        <w:rPr>
          <w:b w:val="0"/>
          <w:bCs w:val="0"/>
        </w:rPr>
      </w:r>
    </w:p>
    <w:p>
      <w:pPr>
        <w:pStyle w:val="Heading4"/>
        <w:tabs>
          <w:tab w:pos="918" w:val="left" w:leader="none"/>
        </w:tabs>
        <w:spacing w:line="240" w:lineRule="auto" w:before="56"/>
        <w:ind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5"/>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4294" w:space="2228"/>
            <w:col w:w="268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3349"/>
        <w:gridCol w:w="2780"/>
        <w:gridCol w:w="2768"/>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8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收到往来款</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7,042,122.40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44,128,477.70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收到押金及保证金</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11,354,934.31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29,812,462.81</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18,829,376.80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38,854,900.00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3,876,434.68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8,932,592.43</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出租房产收到的现金</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11,656,094.73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4,690,401.66</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收到的与基金销售有关的现金</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240,373,877.84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65,510,008.96</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2"/>
                <w:sz w:val="21"/>
                <w:szCs w:val="21"/>
              </w:rPr>
              <w:t> </w:t>
            </w:r>
            <w:r>
              <w:rPr>
                <w:rFonts w:ascii="宋体" w:hAnsi="宋体" w:cs="宋体" w:eastAsia="宋体" w:hint="default"/>
                <w:sz w:val="21"/>
                <w:szCs w:val="21"/>
              </w:rPr>
              <w:t>他</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319,330.77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754,309.63</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293,452,171.53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192,683,153.19</w:t>
            </w:r>
          </w:p>
        </w:tc>
      </w:tr>
    </w:tbl>
    <w:p>
      <w:pPr>
        <w:spacing w:line="240" w:lineRule="auto" w:before="2"/>
        <w:rPr>
          <w:rFonts w:ascii="宋体" w:hAnsi="宋体" w:cs="宋体" w:eastAsia="宋体" w:hint="default"/>
          <w:sz w:val="20"/>
          <w:szCs w:val="20"/>
        </w:rPr>
      </w:pPr>
    </w:p>
    <w:p>
      <w:pPr>
        <w:pStyle w:val="BodyText"/>
        <w:spacing w:line="240" w:lineRule="auto" w:before="36"/>
        <w:ind w:left="158" w:right="0"/>
        <w:jc w:val="left"/>
      </w:pPr>
      <w:r>
        <w:rPr/>
        <w:t>收到的其他与经营活动有关的现金说明：</w:t>
      </w:r>
    </w:p>
    <w:p>
      <w:pPr>
        <w:spacing w:line="240" w:lineRule="auto" w:before="4"/>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858" w:val="left" w:leader="none"/>
        </w:tabs>
        <w:spacing w:line="240" w:lineRule="auto"/>
        <w:ind w:left="158" w:right="0"/>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51" w:val="left" w:leader="none"/>
        </w:tabs>
        <w:spacing w:line="240" w:lineRule="auto" w:before="58"/>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60"/>
        <w:gridCol w:w="2787"/>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支付往来款</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23,751,447.32</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20,148,205.38</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付现的管理费用</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372,964,838.72</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301,473,199.99</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付现的销售费用</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244,007,726.61</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143,171,322.41</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支付的与基金销售有关的现金</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1,436,417.43</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14,354,299.68</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16,389,973.76</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18,977,007.27</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2"/>
                <w:sz w:val="21"/>
                <w:szCs w:val="21"/>
              </w:rPr>
              <w:t> </w:t>
            </w:r>
            <w:r>
              <w:rPr>
                <w:rFonts w:ascii="宋体" w:hAnsi="宋体" w:cs="宋体" w:eastAsia="宋体" w:hint="default"/>
                <w:sz w:val="21"/>
                <w:szCs w:val="21"/>
              </w:rPr>
              <w:t>他</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2,989,076.14</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2,116,849.17</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661,539,479.98</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500,240,883.90</w:t>
            </w:r>
          </w:p>
        </w:tc>
      </w:tr>
    </w:tbl>
    <w:p>
      <w:pPr>
        <w:spacing w:line="240" w:lineRule="auto" w:before="2"/>
        <w:rPr>
          <w:rFonts w:ascii="宋体" w:hAnsi="宋体" w:cs="宋体" w:eastAsia="宋体" w:hint="default"/>
          <w:sz w:val="20"/>
          <w:szCs w:val="20"/>
        </w:rPr>
      </w:pPr>
    </w:p>
    <w:p>
      <w:pPr>
        <w:pStyle w:val="BodyText"/>
        <w:spacing w:line="240" w:lineRule="auto" w:before="36"/>
        <w:ind w:left="158" w:right="0"/>
        <w:jc w:val="left"/>
      </w:pPr>
      <w:r>
        <w:rPr/>
        <w:t>支付的其他与经营活动有关的现金说明：</w:t>
      </w:r>
    </w:p>
    <w:p>
      <w:pPr>
        <w:spacing w:line="240" w:lineRule="auto" w:before="3"/>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7"/>
          <w:szCs w:val="27"/>
        </w:rPr>
      </w:pPr>
    </w:p>
    <w:p>
      <w:pPr>
        <w:pStyle w:val="Heading4"/>
        <w:tabs>
          <w:tab w:pos="885" w:val="left" w:leader="none"/>
        </w:tabs>
        <w:spacing w:line="240" w:lineRule="auto"/>
        <w:ind w:left="158" w:right="0"/>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51" w:val="left" w:leader="none"/>
        </w:tabs>
        <w:spacing w:line="240" w:lineRule="auto" w:before="56"/>
        <w:ind w:left="0" w:right="150"/>
        <w:jc w:val="right"/>
      </w:pPr>
      <w:r>
        <w:rPr>
          <w:spacing w:val="-1"/>
        </w:rPr>
        <w:t>单位：元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收回计息借款本息</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5,001,917.00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与资产相关的政府补助收入</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2,400,000.00</w:t>
            </w:r>
          </w:p>
        </w:tc>
      </w:tr>
      <w:tr>
        <w:trPr>
          <w:trHeight w:val="28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5,001,917.00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2,400,000.00</w:t>
            </w:r>
          </w:p>
        </w:tc>
      </w:tr>
    </w:tbl>
    <w:p>
      <w:pPr>
        <w:spacing w:line="240" w:lineRule="auto" w:before="12"/>
        <w:rPr>
          <w:rFonts w:ascii="宋体" w:hAnsi="宋体" w:cs="宋体" w:eastAsia="宋体" w:hint="default"/>
          <w:sz w:val="19"/>
          <w:szCs w:val="19"/>
        </w:rPr>
      </w:pPr>
    </w:p>
    <w:p>
      <w:pPr>
        <w:pStyle w:val="BodyText"/>
        <w:spacing w:line="240" w:lineRule="auto" w:before="36"/>
        <w:ind w:left="158" w:right="0"/>
        <w:jc w:val="left"/>
      </w:pPr>
      <w:r>
        <w:rPr/>
        <w:t>收到的其他与投资活动有关的现金说明：</w:t>
      </w:r>
    </w:p>
    <w:p>
      <w:pPr>
        <w:spacing w:line="240" w:lineRule="auto" w:before="6"/>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885" w:val="left" w:leader="none"/>
        </w:tabs>
        <w:spacing w:line="240" w:lineRule="auto"/>
        <w:ind w:left="158" w:right="0"/>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tabs>
          <w:tab w:pos="1051" w:val="left" w:leader="none"/>
        </w:tabs>
        <w:spacing w:line="240" w:lineRule="auto" w:before="56"/>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因处置子公司而减少的现金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583,282,836.21</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支付计息借款本金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588,282,836.21</w:t>
            </w:r>
          </w:p>
        </w:tc>
        <w:tc>
          <w:tcPr>
            <w:tcW w:w="268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6"/>
        <w:ind w:left="158" w:right="0"/>
        <w:jc w:val="left"/>
      </w:pPr>
      <w:r>
        <w:rPr/>
        <w:t>支付的其他与投资活动有关的现金说明：</w:t>
      </w:r>
    </w:p>
    <w:p>
      <w:pPr>
        <w:spacing w:line="240" w:lineRule="auto" w:before="3"/>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64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1057" w:val="left" w:leader="none"/>
        </w:tabs>
        <w:spacing w:line="240" w:lineRule="auto" w:before="175"/>
        <w:ind w:right="0"/>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tabs>
          <w:tab w:pos="1051" w:val="left" w:leader="none"/>
        </w:tabs>
        <w:spacing w:line="240" w:lineRule="auto" w:before="56"/>
        <w:ind w:left="0" w:right="21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收到计息借款本金</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290,000.00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290,000.00</w:t>
            </w:r>
          </w:p>
        </w:tc>
      </w:tr>
    </w:tbl>
    <w:p>
      <w:pPr>
        <w:pStyle w:val="BodyText"/>
        <w:spacing w:line="240" w:lineRule="auto" w:before="26"/>
        <w:ind w:right="0"/>
        <w:jc w:val="left"/>
      </w:pPr>
      <w:r>
        <w:rPr/>
        <w:t>收到的其他与筹资活动有关的现金说明：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1057" w:val="left" w:leader="none"/>
        </w:tabs>
        <w:spacing w:line="240" w:lineRule="auto"/>
        <w:ind w:right="0"/>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tabs>
          <w:tab w:pos="1051" w:val="left" w:leader="none"/>
        </w:tabs>
        <w:spacing w:line="240" w:lineRule="auto" w:before="56"/>
        <w:ind w:left="0" w:right="21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归还计息借款本金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290,000.00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290,000.00</w:t>
            </w:r>
          </w:p>
        </w:tc>
        <w:tc>
          <w:tcPr>
            <w:tcW w:w="268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6"/>
        <w:ind w:right="0"/>
        <w:jc w:val="left"/>
      </w:pPr>
      <w:r>
        <w:rPr/>
        <w:t>支付的其他与筹资活动有关的现金说明：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42"/>
          <w:pgSz w:w="11910" w:h="16840"/>
          <w:pgMar w:footer="1195" w:header="882" w:top="1120" w:bottom="1380" w:left="1580" w:right="1060"/>
        </w:sectPr>
      </w:pPr>
    </w:p>
    <w:p>
      <w:pPr>
        <w:pStyle w:val="Heading4"/>
        <w:spacing w:line="290" w:lineRule="auto" w:before="37"/>
        <w:ind w:right="-18"/>
        <w:jc w:val="left"/>
        <w:rPr>
          <w:b w:val="0"/>
          <w:bCs w:val="0"/>
        </w:rPr>
      </w:pPr>
      <w:r>
        <w:rPr>
          <w:rFonts w:ascii="宋体" w:hAnsi="宋体" w:cs="宋体" w:eastAsia="宋体" w:hint="default"/>
        </w:rPr>
        <w:t>74</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8"/>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60"/>
          <w:cols w:num="2" w:equalWidth="0">
            <w:col w:w="2623" w:space="3898"/>
            <w:col w:w="274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11"/>
        <w:gridCol w:w="1843"/>
        <w:gridCol w:w="1985"/>
      </w:tblGrid>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843"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left="49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85" w:type="dxa"/>
            <w:tcBorders>
              <w:top w:val="single" w:sz="4" w:space="0" w:color="000000"/>
              <w:left w:val="single" w:sz="5" w:space="0" w:color="000000"/>
              <w:bottom w:val="single" w:sz="4" w:space="0" w:color="000000"/>
              <w:right w:val="single" w:sz="5" w:space="0" w:color="000000"/>
            </w:tcBorders>
          </w:tcPr>
          <w:p>
            <w:pPr>
              <w:pStyle w:val="TableParagraph"/>
              <w:spacing w:line="243" w:lineRule="exact"/>
              <w:ind w:left="565"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843" w:type="dxa"/>
            <w:tcBorders>
              <w:top w:val="single" w:sz="4" w:space="0" w:color="000000"/>
              <w:left w:val="single" w:sz="4" w:space="0" w:color="000000"/>
              <w:bottom w:val="single" w:sz="6" w:space="0" w:color="000000"/>
              <w:right w:val="single" w:sz="6" w:space="0" w:color="000000"/>
            </w:tcBorders>
          </w:tcPr>
          <w:p>
            <w:pPr/>
          </w:p>
        </w:tc>
        <w:tc>
          <w:tcPr>
            <w:tcW w:w="1985" w:type="dxa"/>
            <w:tcBorders>
              <w:top w:val="single" w:sz="4" w:space="0" w:color="000000"/>
              <w:left w:val="single" w:sz="6" w:space="0" w:color="000000"/>
              <w:bottom w:val="single" w:sz="6" w:space="0" w:color="000000"/>
              <w:right w:val="single" w:sz="6" w:space="0" w:color="000000"/>
            </w:tcBorders>
          </w:tcPr>
          <w:p>
            <w:pPr/>
          </w:p>
        </w:tc>
      </w:tr>
      <w:tr>
        <w:trPr>
          <w:trHeight w:val="286"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43"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448,791,860.22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355,020,858.09</w:t>
            </w:r>
          </w:p>
        </w:tc>
      </w:tr>
      <w:tr>
        <w:trPr>
          <w:trHeight w:val="288"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843"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123,993,607.72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5,196,031.88</w:t>
            </w:r>
          </w:p>
        </w:tc>
      </w:tr>
      <w:tr>
        <w:trPr>
          <w:trHeight w:val="288"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84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33,974,896.90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15,524,619.60</w:t>
            </w:r>
          </w:p>
        </w:tc>
      </w:tr>
      <w:tr>
        <w:trPr>
          <w:trHeight w:val="288"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84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6,986,011.48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7,623,665.22</w:t>
            </w:r>
          </w:p>
        </w:tc>
      </w:tr>
      <w:tr>
        <w:trPr>
          <w:trHeight w:val="286"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84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616,668.60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3,188,132.70</w:t>
            </w:r>
          </w:p>
        </w:tc>
      </w:tr>
      <w:tr>
        <w:trPr>
          <w:trHeight w:val="562"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处置固定资产、无形资产和其他长期资产的损失（收益</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以“－”号填列）</w:t>
            </w:r>
          </w:p>
        </w:tc>
        <w:tc>
          <w:tcPr>
            <w:tcW w:w="184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61,381.59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94,856.66</w:t>
            </w:r>
          </w:p>
        </w:tc>
      </w:tr>
      <w:tr>
        <w:trPr>
          <w:trHeight w:val="286"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843" w:type="dxa"/>
            <w:tcBorders>
              <w:top w:val="single" w:sz="6" w:space="0" w:color="000000"/>
              <w:left w:val="single" w:sz="4"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843"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1,824,177.73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-12,482,267.18</w:t>
            </w:r>
          </w:p>
        </w:tc>
      </w:tr>
      <w:tr>
        <w:trPr>
          <w:trHeight w:val="288"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84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10,713.85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-484,815.30</w:t>
            </w:r>
          </w:p>
        </w:tc>
      </w:tr>
      <w:tr>
        <w:trPr>
          <w:trHeight w:val="288"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84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-164,007,889.38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-122,563,741.47</w:t>
            </w:r>
          </w:p>
        </w:tc>
      </w:tr>
      <w:tr>
        <w:trPr>
          <w:trHeight w:val="286"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843"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-12,372,895.93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-467,998.66</w:t>
            </w:r>
          </w:p>
        </w:tc>
      </w:tr>
      <w:tr>
        <w:trPr>
          <w:trHeight w:val="288"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84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209,140.29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967,576.29</w:t>
            </w:r>
          </w:p>
        </w:tc>
      </w:tr>
      <w:tr>
        <w:trPr>
          <w:trHeight w:val="288"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84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-2,254,356.43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9,365,345.26</w:t>
            </w:r>
          </w:p>
        </w:tc>
      </w:tr>
      <w:tr>
        <w:trPr>
          <w:trHeight w:val="286"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84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-306,174,668.41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-56,890,407.67</w:t>
            </w:r>
          </w:p>
        </w:tc>
      </w:tr>
      <w:tr>
        <w:trPr>
          <w:trHeight w:val="288"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843"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860,004,764.42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409,442,889.05</w:t>
            </w:r>
          </w:p>
        </w:tc>
      </w:tr>
      <w:tr>
        <w:trPr>
          <w:trHeight w:val="288"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3" w:type="dxa"/>
            <w:tcBorders>
              <w:top w:val="single" w:sz="6" w:space="0" w:color="000000"/>
              <w:left w:val="single" w:sz="4"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4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991,663,412.65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613,534,744.47</w:t>
            </w:r>
          </w:p>
        </w:tc>
      </w:tr>
      <w:tr>
        <w:trPr>
          <w:trHeight w:val="286"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1843" w:type="dxa"/>
            <w:tcBorders>
              <w:top w:val="single" w:sz="6" w:space="0" w:color="000000"/>
              <w:left w:val="single" w:sz="4"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843" w:type="dxa"/>
            <w:tcBorders>
              <w:top w:val="single" w:sz="6" w:space="0" w:color="000000"/>
              <w:left w:val="single" w:sz="4"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843" w:type="dxa"/>
            <w:tcBorders>
              <w:top w:val="single" w:sz="6" w:space="0" w:color="000000"/>
              <w:left w:val="single" w:sz="4"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843" w:type="dxa"/>
            <w:tcBorders>
              <w:top w:val="single" w:sz="6" w:space="0" w:color="000000"/>
              <w:left w:val="single" w:sz="4"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1843" w:type="dxa"/>
            <w:tcBorders>
              <w:top w:val="single" w:sz="6" w:space="0" w:color="000000"/>
              <w:left w:val="single" w:sz="4"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84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300,479,331.69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519,931,614.63</w:t>
            </w:r>
          </w:p>
        </w:tc>
      </w:tr>
      <w:tr>
        <w:trPr>
          <w:trHeight w:val="288"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84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519,931,614.63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340,736,502.37</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211"/>
        <w:gridCol w:w="1843"/>
        <w:gridCol w:w="1985"/>
      </w:tblGrid>
      <w:tr>
        <w:trPr>
          <w:trHeight w:val="288"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843" w:type="dxa"/>
            <w:tcBorders>
              <w:top w:val="single" w:sz="6" w:space="0" w:color="000000"/>
              <w:left w:val="single" w:sz="4"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843" w:type="dxa"/>
            <w:tcBorders>
              <w:top w:val="single" w:sz="6" w:space="0" w:color="000000"/>
              <w:left w:val="single" w:sz="4"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84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55" w:right="0"/>
              <w:jc w:val="left"/>
              <w:rPr>
                <w:rFonts w:ascii="宋体" w:hAnsi="宋体" w:cs="宋体" w:eastAsia="宋体" w:hint="default"/>
                <w:sz w:val="21"/>
                <w:szCs w:val="21"/>
              </w:rPr>
            </w:pPr>
            <w:r>
              <w:rPr>
                <w:rFonts w:ascii="宋体"/>
                <w:sz w:val="21"/>
              </w:rPr>
              <w:t>-219,452,282.94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8" w:right="0"/>
              <w:jc w:val="left"/>
              <w:rPr>
                <w:rFonts w:ascii="宋体" w:hAnsi="宋体" w:cs="宋体" w:eastAsia="宋体" w:hint="default"/>
                <w:sz w:val="21"/>
                <w:szCs w:val="21"/>
              </w:rPr>
            </w:pPr>
            <w:r>
              <w:rPr>
                <w:rFonts w:ascii="宋体"/>
                <w:sz w:val="21"/>
              </w:rPr>
              <w:t>179,195,112.26</w:t>
            </w:r>
          </w:p>
        </w:tc>
      </w:tr>
    </w:tbl>
    <w:p>
      <w:pPr>
        <w:spacing w:line="240" w:lineRule="auto" w:before="2"/>
        <w:rPr>
          <w:rFonts w:ascii="宋体" w:hAnsi="宋体" w:cs="宋体" w:eastAsia="宋体" w:hint="default"/>
          <w:sz w:val="20"/>
          <w:szCs w:val="20"/>
        </w:rPr>
      </w:pPr>
    </w:p>
    <w:p>
      <w:pPr>
        <w:pStyle w:val="Heading4"/>
        <w:spacing w:line="240" w:lineRule="auto"/>
        <w:ind w:right="222"/>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8"/>
        <w:ind w:right="22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43"/>
          <w:pgSz w:w="11910" w:h="16840"/>
          <w:pgMar w:footer="1195" w:header="882" w:top="1120" w:bottom="1380" w:left="1580" w:right="1020"/>
          <w:pgNumType w:start="121"/>
        </w:sectPr>
      </w:pPr>
    </w:p>
    <w:p>
      <w:pPr>
        <w:pStyle w:val="Heading4"/>
        <w:spacing w:line="240" w:lineRule="auto"/>
        <w:ind w:right="-19"/>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20"/>
          <w:cols w:num="2" w:equalWidth="0">
            <w:col w:w="3807" w:space="2715"/>
            <w:col w:w="278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05"/>
        <w:gridCol w:w="3145"/>
      </w:tblGrid>
      <w:tr>
        <w:trPr>
          <w:trHeight w:val="286" w:hRule="exact"/>
        </w:trPr>
        <w:tc>
          <w:tcPr>
            <w:tcW w:w="5905"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4,606,857.82</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其中：杭州恒生智能系统集成有限公司</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4,606,857.82</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杭州数米基金销售有限公司</w:t>
            </w: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583,282,836.21</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其中：杭州恒生智能系统集成有限公司</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282,749.80</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杭州数米基金销售有限公司</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583,000,086.41</w:t>
            </w:r>
          </w:p>
        </w:tc>
      </w:tr>
      <w:tr>
        <w:trPr>
          <w:trHeight w:val="286"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05"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-578,675,978.39</w:t>
            </w:r>
          </w:p>
        </w:tc>
      </w:tr>
    </w:tbl>
    <w:p>
      <w:pPr>
        <w:pStyle w:val="BodyText"/>
        <w:spacing w:line="241" w:lineRule="exact"/>
        <w:ind w:right="222"/>
        <w:jc w:val="left"/>
        <w:rPr>
          <w:rFonts w:ascii="宋体" w:hAnsi="宋体" w:cs="宋体" w:eastAsia="宋体" w:hint="default"/>
        </w:rPr>
      </w:pPr>
      <w:r>
        <w:rPr/>
        <w:t>其他说明</w:t>
      </w:r>
      <w:r>
        <w:rPr>
          <w:rFonts w:ascii="宋体" w:hAnsi="宋体" w:cs="宋体" w:eastAsia="宋体" w:hint="default"/>
        </w:rPr>
        <w:t>:</w:t>
      </w:r>
    </w:p>
    <w:p>
      <w:pPr>
        <w:spacing w:line="240" w:lineRule="auto" w:before="6"/>
        <w:rPr>
          <w:rFonts w:ascii="宋体" w:hAnsi="宋体" w:cs="宋体" w:eastAsia="宋体" w:hint="default"/>
          <w:sz w:val="22"/>
          <w:szCs w:val="22"/>
        </w:rPr>
      </w:pPr>
    </w:p>
    <w:p>
      <w:pPr>
        <w:pStyle w:val="Heading4"/>
        <w:spacing w:line="240" w:lineRule="auto"/>
        <w:ind w:right="222"/>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tabs>
          <w:tab w:pos="1051" w:val="left" w:leader="none"/>
        </w:tabs>
        <w:spacing w:line="240" w:lineRule="auto" w:before="58"/>
        <w:ind w:left="0" w:right="2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34"/>
      </w:tblGrid>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300,479,331.69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519,931,614.63</w:t>
            </w: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205,727.59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270,234.41</w:t>
            </w: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299,855,073.95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255,190,558.96</w:t>
            </w: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73"/>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418,530.15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264,470,821.26</w:t>
            </w: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73"/>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300,479,331.69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519,931,614.63</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限制的现金和现金等价物</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2,073,600.00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2,393,950.00</w:t>
            </w:r>
          </w:p>
        </w:tc>
      </w:tr>
    </w:tbl>
    <w:p>
      <w:pPr>
        <w:pStyle w:val="BodyText"/>
        <w:spacing w:line="240" w:lineRule="auto" w:before="26"/>
        <w:ind w:right="222"/>
        <w:jc w:val="left"/>
      </w:pPr>
      <w:r>
        <w:rPr/>
        <w:t>其他说明：</w:t>
      </w:r>
    </w:p>
    <w:p>
      <w:pPr>
        <w:pStyle w:val="BodyText"/>
        <w:spacing w:line="240" w:lineRule="auto" w:before="58"/>
        <w:ind w:left="638" w:right="222"/>
        <w:jc w:val="left"/>
      </w:pPr>
      <w:r>
        <w:rPr/>
        <w:t>不属于现金及现金等价物的货币资金情况的说明：</w:t>
      </w:r>
    </w:p>
    <w:p>
      <w:pPr>
        <w:pStyle w:val="BodyText"/>
        <w:spacing w:line="240" w:lineRule="auto" w:before="133"/>
        <w:ind w:left="638" w:right="222"/>
        <w:jc w:val="left"/>
      </w:pPr>
      <w:r>
        <w:rPr>
          <w:rFonts w:ascii="宋体" w:hAnsi="宋体" w:cs="宋体" w:eastAsia="宋体" w:hint="default"/>
        </w:rPr>
        <w:t>2015</w:t>
      </w:r>
      <w:r>
        <w:rPr>
          <w:rFonts w:ascii="宋体" w:hAnsi="宋体" w:cs="宋体" w:eastAsia="宋体" w:hint="default"/>
          <w:spacing w:val="-57"/>
        </w:rPr>
        <w:t> </w:t>
      </w:r>
      <w:r>
        <w:rPr/>
        <w:t>年度现金流量表中期末现金及现金等价物余额为</w:t>
      </w:r>
      <w:r>
        <w:rPr>
          <w:spacing w:val="-54"/>
        </w:rPr>
        <w:t> </w:t>
      </w:r>
      <w:r>
        <w:rPr>
          <w:rFonts w:ascii="宋体" w:hAnsi="宋体" w:cs="宋体" w:eastAsia="宋体" w:hint="default"/>
        </w:rPr>
        <w:t>300,479,331.69</w:t>
      </w:r>
      <w:r>
        <w:rPr>
          <w:rFonts w:ascii="宋体" w:hAnsi="宋体" w:cs="宋体" w:eastAsia="宋体" w:hint="default"/>
          <w:spacing w:val="-57"/>
        </w:rPr>
        <w:t> </w:t>
      </w:r>
      <w:r>
        <w:rPr/>
        <w:t>元，资产负债表中货</w:t>
      </w:r>
    </w:p>
    <w:p>
      <w:pPr>
        <w:pStyle w:val="BodyText"/>
        <w:spacing w:line="240" w:lineRule="auto" w:before="133"/>
        <w:ind w:right="222"/>
        <w:jc w:val="left"/>
      </w:pPr>
      <w:r>
        <w:rPr>
          <w:w w:val="100"/>
        </w:rPr>
        <w:t>币资</w:t>
      </w:r>
      <w:r>
        <w:rPr>
          <w:spacing w:val="-3"/>
          <w:w w:val="100"/>
        </w:rPr>
        <w:t>金</w:t>
      </w:r>
      <w:r>
        <w:rPr>
          <w:w w:val="100"/>
        </w:rPr>
        <w:t>期</w:t>
      </w:r>
      <w:r>
        <w:rPr>
          <w:spacing w:val="-3"/>
          <w:w w:val="100"/>
        </w:rPr>
        <w:t>末数</w:t>
      </w:r>
      <w:r>
        <w:rPr>
          <w:w w:val="100"/>
        </w:rPr>
        <w:t>为</w:t>
      </w:r>
      <w:r>
        <w:rPr>
          <w:spacing w:val="-53"/>
        </w:rPr>
        <w:t> </w:t>
      </w:r>
      <w:r>
        <w:rPr>
          <w:rFonts w:ascii="宋体" w:hAnsi="宋体" w:cs="宋体" w:eastAsia="宋体" w:hint="default"/>
          <w:w w:val="100"/>
        </w:rPr>
        <w:t>30</w:t>
      </w:r>
      <w:r>
        <w:rPr>
          <w:rFonts w:ascii="宋体" w:hAnsi="宋体" w:cs="宋体" w:eastAsia="宋体" w:hint="default"/>
          <w:spacing w:val="-3"/>
          <w:w w:val="100"/>
        </w:rPr>
        <w:t>2</w:t>
      </w:r>
      <w:r>
        <w:rPr>
          <w:rFonts w:ascii="宋体" w:hAnsi="宋体" w:cs="宋体" w:eastAsia="宋体" w:hint="default"/>
          <w:w w:val="100"/>
        </w:rPr>
        <w:t>,55</w:t>
      </w:r>
      <w:r>
        <w:rPr>
          <w:rFonts w:ascii="宋体" w:hAnsi="宋体" w:cs="宋体" w:eastAsia="宋体" w:hint="default"/>
          <w:spacing w:val="-3"/>
          <w:w w:val="100"/>
        </w:rPr>
        <w:t>2,</w:t>
      </w:r>
      <w:r>
        <w:rPr>
          <w:rFonts w:ascii="宋体" w:hAnsi="宋体" w:cs="宋体" w:eastAsia="宋体" w:hint="default"/>
          <w:w w:val="100"/>
        </w:rPr>
        <w:t>931.</w:t>
      </w:r>
      <w:r>
        <w:rPr>
          <w:rFonts w:ascii="宋体" w:hAnsi="宋体" w:cs="宋体" w:eastAsia="宋体" w:hint="default"/>
          <w:spacing w:val="-3"/>
          <w:w w:val="100"/>
        </w:rPr>
        <w:t>6</w:t>
      </w:r>
      <w:r>
        <w:rPr>
          <w:rFonts w:ascii="宋体" w:hAnsi="宋体" w:cs="宋体" w:eastAsia="宋体" w:hint="default"/>
          <w:w w:val="100"/>
        </w:rPr>
        <w:t>9</w:t>
      </w:r>
      <w:r>
        <w:rPr>
          <w:rFonts w:ascii="宋体" w:hAnsi="宋体" w:cs="宋体" w:eastAsia="宋体" w:hint="default"/>
          <w:spacing w:val="-52"/>
        </w:rPr>
        <w:t> </w:t>
      </w:r>
      <w:r>
        <w:rPr>
          <w:spacing w:val="-3"/>
          <w:w w:val="100"/>
        </w:rPr>
        <w:t>元</w:t>
      </w:r>
      <w:r>
        <w:rPr>
          <w:spacing w:val="-92"/>
          <w:w w:val="100"/>
        </w:rPr>
        <w:t>，</w:t>
      </w:r>
      <w:r>
        <w:rPr>
          <w:spacing w:val="-3"/>
          <w:w w:val="100"/>
        </w:rPr>
        <w:t>差</w:t>
      </w:r>
      <w:r>
        <w:rPr>
          <w:w w:val="100"/>
        </w:rPr>
        <w:t>额</w:t>
      </w:r>
      <w:r>
        <w:rPr>
          <w:spacing w:val="-3"/>
          <w:w w:val="100"/>
        </w:rPr>
        <w:t>系</w:t>
      </w:r>
      <w:r>
        <w:rPr>
          <w:w w:val="100"/>
        </w:rPr>
        <w:t>公</w:t>
      </w:r>
      <w:r>
        <w:rPr>
          <w:spacing w:val="-3"/>
          <w:w w:val="100"/>
        </w:rPr>
        <w:t>司现</w:t>
      </w:r>
      <w:r>
        <w:rPr>
          <w:w w:val="100"/>
        </w:rPr>
        <w:t>金流</w:t>
      </w:r>
      <w:r>
        <w:rPr>
          <w:spacing w:val="-3"/>
          <w:w w:val="100"/>
        </w:rPr>
        <w:t>量</w:t>
      </w:r>
      <w:r>
        <w:rPr>
          <w:w w:val="100"/>
        </w:rPr>
        <w:t>表</w:t>
      </w:r>
      <w:r>
        <w:rPr>
          <w:spacing w:val="-3"/>
          <w:w w:val="100"/>
        </w:rPr>
        <w:t>期</w:t>
      </w:r>
      <w:r>
        <w:rPr>
          <w:w w:val="100"/>
        </w:rPr>
        <w:t>末</w:t>
      </w:r>
      <w:r>
        <w:rPr>
          <w:spacing w:val="-3"/>
          <w:w w:val="100"/>
        </w:rPr>
        <w:t>现</w:t>
      </w:r>
      <w:r>
        <w:rPr>
          <w:w w:val="100"/>
        </w:rPr>
        <w:t>金</w:t>
      </w:r>
      <w:r>
        <w:rPr>
          <w:spacing w:val="-3"/>
          <w:w w:val="100"/>
        </w:rPr>
        <w:t>及</w:t>
      </w:r>
      <w:r>
        <w:rPr>
          <w:w w:val="100"/>
        </w:rPr>
        <w:t>现</w:t>
      </w:r>
      <w:r>
        <w:rPr>
          <w:spacing w:val="-3"/>
          <w:w w:val="100"/>
        </w:rPr>
        <w:t>金</w:t>
      </w:r>
      <w:r>
        <w:rPr>
          <w:w w:val="100"/>
        </w:rPr>
        <w:t>等价</w:t>
      </w:r>
      <w:r>
        <w:rPr>
          <w:spacing w:val="-3"/>
          <w:w w:val="100"/>
        </w:rPr>
        <w:t>物</w:t>
      </w:r>
      <w:r>
        <w:rPr>
          <w:w w:val="100"/>
        </w:rPr>
        <w:t>余</w:t>
      </w:r>
      <w:r>
        <w:rPr>
          <w:spacing w:val="-3"/>
          <w:w w:val="100"/>
        </w:rPr>
        <w:t>额</w:t>
      </w:r>
      <w:r>
        <w:rPr>
          <w:w w:val="100"/>
        </w:rPr>
        <w:t>扣</w:t>
      </w:r>
      <w:r>
        <w:rPr>
          <w:spacing w:val="-3"/>
          <w:w w:val="100"/>
        </w:rPr>
        <w:t>除</w:t>
      </w:r>
      <w:r>
        <w:rPr>
          <w:w w:val="100"/>
        </w:rPr>
        <w:t>了不</w:t>
      </w:r>
    </w:p>
    <w:p>
      <w:pPr>
        <w:pStyle w:val="BodyText"/>
        <w:spacing w:line="240" w:lineRule="auto" w:before="136"/>
        <w:ind w:right="222"/>
        <w:jc w:val="left"/>
      </w:pPr>
      <w:r>
        <w:rPr/>
        <w:t>符合现金及现金等价物标准的保证金等</w:t>
      </w:r>
      <w:r>
        <w:rPr>
          <w:spacing w:val="-55"/>
        </w:rPr>
        <w:t> </w:t>
      </w:r>
      <w:r>
        <w:rPr>
          <w:rFonts w:ascii="宋体" w:hAnsi="宋体" w:cs="宋体" w:eastAsia="宋体" w:hint="default"/>
        </w:rPr>
        <w:t>2,073,600.00</w:t>
      </w:r>
      <w:r>
        <w:rPr>
          <w:rFonts w:ascii="宋体" w:hAnsi="宋体" w:cs="宋体" w:eastAsia="宋体" w:hint="default"/>
          <w:spacing w:val="-55"/>
        </w:rPr>
        <w:t> </w:t>
      </w:r>
      <w:r>
        <w:rPr>
          <w:spacing w:val="-3"/>
        </w:rPr>
        <w:t>元。</w:t>
      </w:r>
      <w:r>
        <w:rPr/>
      </w:r>
    </w:p>
    <w:p>
      <w:pPr>
        <w:spacing w:after="0" w:line="240" w:lineRule="auto"/>
        <w:jc w:val="left"/>
        <w:sectPr>
          <w:type w:val="continuous"/>
          <w:pgSz w:w="11910" w:h="16840"/>
          <w:pgMar w:top="1120" w:bottom="1380" w:left="1580" w:right="1020"/>
        </w:sectPr>
      </w:pPr>
    </w:p>
    <w:p>
      <w:pPr>
        <w:spacing w:line="240" w:lineRule="auto" w:before="1"/>
        <w:rPr>
          <w:rFonts w:ascii="宋体" w:hAnsi="宋体" w:cs="宋体" w:eastAsia="宋体" w:hint="default"/>
          <w:sz w:val="25"/>
          <w:szCs w:val="25"/>
        </w:rPr>
      </w:pPr>
    </w:p>
    <w:p>
      <w:pPr>
        <w:pStyle w:val="BodyText"/>
        <w:spacing w:line="240" w:lineRule="auto" w:before="36"/>
        <w:ind w:left="638" w:right="227"/>
        <w:jc w:val="left"/>
      </w:pPr>
      <w:r>
        <w:rPr>
          <w:rFonts w:ascii="宋体" w:hAnsi="宋体" w:cs="宋体" w:eastAsia="宋体" w:hint="default"/>
        </w:rPr>
        <w:t>2014</w:t>
      </w:r>
      <w:r>
        <w:rPr>
          <w:rFonts w:ascii="宋体" w:hAnsi="宋体" w:cs="宋体" w:eastAsia="宋体" w:hint="default"/>
          <w:spacing w:val="-57"/>
        </w:rPr>
        <w:t> </w:t>
      </w:r>
      <w:r>
        <w:rPr/>
        <w:t>年度现金流量表中期末现金及现金等价物余额为</w:t>
      </w:r>
      <w:r>
        <w:rPr>
          <w:spacing w:val="-54"/>
        </w:rPr>
        <w:t> </w:t>
      </w:r>
      <w:r>
        <w:rPr>
          <w:rFonts w:ascii="宋体" w:hAnsi="宋体" w:cs="宋体" w:eastAsia="宋体" w:hint="default"/>
        </w:rPr>
        <w:t>519,931,614.63</w:t>
      </w:r>
      <w:r>
        <w:rPr>
          <w:rFonts w:ascii="宋体" w:hAnsi="宋体" w:cs="宋体" w:eastAsia="宋体" w:hint="default"/>
          <w:spacing w:val="-57"/>
        </w:rPr>
        <w:t> </w:t>
      </w:r>
      <w:r>
        <w:rPr/>
        <w:t>元，资产负债表中货</w:t>
      </w:r>
    </w:p>
    <w:p>
      <w:pPr>
        <w:pStyle w:val="BodyText"/>
        <w:spacing w:line="240" w:lineRule="auto" w:before="135"/>
        <w:ind w:right="98"/>
        <w:jc w:val="left"/>
      </w:pPr>
      <w:r>
        <w:rPr>
          <w:w w:val="100"/>
        </w:rPr>
        <w:t>币资</w:t>
      </w:r>
      <w:r>
        <w:rPr>
          <w:spacing w:val="-3"/>
          <w:w w:val="100"/>
        </w:rPr>
        <w:t>金</w:t>
      </w:r>
      <w:r>
        <w:rPr>
          <w:w w:val="100"/>
        </w:rPr>
        <w:t>期</w:t>
      </w:r>
      <w:r>
        <w:rPr>
          <w:spacing w:val="-3"/>
          <w:w w:val="100"/>
        </w:rPr>
        <w:t>末数</w:t>
      </w:r>
      <w:r>
        <w:rPr>
          <w:w w:val="100"/>
        </w:rPr>
        <w:t>为</w:t>
      </w:r>
      <w:r>
        <w:rPr>
          <w:spacing w:val="-53"/>
        </w:rPr>
        <w:t> </w:t>
      </w:r>
      <w:r>
        <w:rPr>
          <w:rFonts w:ascii="宋体" w:hAnsi="宋体" w:cs="宋体" w:eastAsia="宋体" w:hint="default"/>
          <w:w w:val="100"/>
        </w:rPr>
        <w:t>52</w:t>
      </w:r>
      <w:r>
        <w:rPr>
          <w:rFonts w:ascii="宋体" w:hAnsi="宋体" w:cs="宋体" w:eastAsia="宋体" w:hint="default"/>
          <w:spacing w:val="-3"/>
          <w:w w:val="100"/>
        </w:rPr>
        <w:t>2</w:t>
      </w:r>
      <w:r>
        <w:rPr>
          <w:rFonts w:ascii="宋体" w:hAnsi="宋体" w:cs="宋体" w:eastAsia="宋体" w:hint="default"/>
          <w:w w:val="100"/>
        </w:rPr>
        <w:t>,32</w:t>
      </w:r>
      <w:r>
        <w:rPr>
          <w:rFonts w:ascii="宋体" w:hAnsi="宋体" w:cs="宋体" w:eastAsia="宋体" w:hint="default"/>
          <w:spacing w:val="-3"/>
          <w:w w:val="100"/>
        </w:rPr>
        <w:t>5,</w:t>
      </w:r>
      <w:r>
        <w:rPr>
          <w:rFonts w:ascii="宋体" w:hAnsi="宋体" w:cs="宋体" w:eastAsia="宋体" w:hint="default"/>
          <w:w w:val="100"/>
        </w:rPr>
        <w:t>564.</w:t>
      </w:r>
      <w:r>
        <w:rPr>
          <w:rFonts w:ascii="宋体" w:hAnsi="宋体" w:cs="宋体" w:eastAsia="宋体" w:hint="default"/>
          <w:spacing w:val="-3"/>
          <w:w w:val="100"/>
        </w:rPr>
        <w:t>6</w:t>
      </w:r>
      <w:r>
        <w:rPr>
          <w:rFonts w:ascii="宋体" w:hAnsi="宋体" w:cs="宋体" w:eastAsia="宋体" w:hint="default"/>
          <w:w w:val="100"/>
        </w:rPr>
        <w:t>3</w:t>
      </w:r>
      <w:r>
        <w:rPr>
          <w:rFonts w:ascii="宋体" w:hAnsi="宋体" w:cs="宋体" w:eastAsia="宋体" w:hint="default"/>
          <w:spacing w:val="-52"/>
        </w:rPr>
        <w:t> </w:t>
      </w:r>
      <w:r>
        <w:rPr>
          <w:spacing w:val="-3"/>
          <w:w w:val="100"/>
        </w:rPr>
        <w:t>元</w:t>
      </w:r>
      <w:r>
        <w:rPr>
          <w:spacing w:val="-92"/>
          <w:w w:val="100"/>
        </w:rPr>
        <w:t>，</w:t>
      </w:r>
      <w:r>
        <w:rPr>
          <w:spacing w:val="-3"/>
          <w:w w:val="100"/>
        </w:rPr>
        <w:t>差</w:t>
      </w:r>
      <w:r>
        <w:rPr>
          <w:w w:val="100"/>
        </w:rPr>
        <w:t>额</w:t>
      </w:r>
      <w:r>
        <w:rPr>
          <w:spacing w:val="-3"/>
          <w:w w:val="100"/>
        </w:rPr>
        <w:t>系</w:t>
      </w:r>
      <w:r>
        <w:rPr>
          <w:w w:val="100"/>
        </w:rPr>
        <w:t>公</w:t>
      </w:r>
      <w:r>
        <w:rPr>
          <w:spacing w:val="-3"/>
          <w:w w:val="100"/>
        </w:rPr>
        <w:t>司现</w:t>
      </w:r>
      <w:r>
        <w:rPr>
          <w:w w:val="100"/>
        </w:rPr>
        <w:t>金流</w:t>
      </w:r>
      <w:r>
        <w:rPr>
          <w:spacing w:val="-3"/>
          <w:w w:val="100"/>
        </w:rPr>
        <w:t>量</w:t>
      </w:r>
      <w:r>
        <w:rPr>
          <w:w w:val="100"/>
        </w:rPr>
        <w:t>表</w:t>
      </w:r>
      <w:r>
        <w:rPr>
          <w:spacing w:val="-3"/>
          <w:w w:val="100"/>
        </w:rPr>
        <w:t>期</w:t>
      </w:r>
      <w:r>
        <w:rPr>
          <w:w w:val="100"/>
        </w:rPr>
        <w:t>末</w:t>
      </w:r>
      <w:r>
        <w:rPr>
          <w:spacing w:val="-3"/>
          <w:w w:val="100"/>
        </w:rPr>
        <w:t>现</w:t>
      </w:r>
      <w:r>
        <w:rPr>
          <w:w w:val="100"/>
        </w:rPr>
        <w:t>金</w:t>
      </w:r>
      <w:r>
        <w:rPr>
          <w:spacing w:val="-3"/>
          <w:w w:val="100"/>
        </w:rPr>
        <w:t>及</w:t>
      </w:r>
      <w:r>
        <w:rPr>
          <w:w w:val="100"/>
        </w:rPr>
        <w:t>现</w:t>
      </w:r>
      <w:r>
        <w:rPr>
          <w:spacing w:val="-3"/>
          <w:w w:val="100"/>
        </w:rPr>
        <w:t>金</w:t>
      </w:r>
      <w:r>
        <w:rPr>
          <w:w w:val="100"/>
        </w:rPr>
        <w:t>等价</w:t>
      </w:r>
      <w:r>
        <w:rPr>
          <w:spacing w:val="-3"/>
          <w:w w:val="100"/>
        </w:rPr>
        <w:t>物</w:t>
      </w:r>
      <w:r>
        <w:rPr>
          <w:w w:val="100"/>
        </w:rPr>
        <w:t>余</w:t>
      </w:r>
      <w:r>
        <w:rPr>
          <w:spacing w:val="-3"/>
          <w:w w:val="100"/>
        </w:rPr>
        <w:t>额</w:t>
      </w:r>
      <w:r>
        <w:rPr>
          <w:w w:val="100"/>
        </w:rPr>
        <w:t>扣</w:t>
      </w:r>
      <w:r>
        <w:rPr>
          <w:spacing w:val="-3"/>
          <w:w w:val="100"/>
        </w:rPr>
        <w:t>除</w:t>
      </w:r>
      <w:r>
        <w:rPr>
          <w:w w:val="100"/>
        </w:rPr>
        <w:t>了不</w:t>
      </w:r>
    </w:p>
    <w:p>
      <w:pPr>
        <w:pStyle w:val="BodyText"/>
        <w:spacing w:line="240" w:lineRule="auto" w:before="133"/>
        <w:ind w:right="2940"/>
        <w:jc w:val="left"/>
      </w:pPr>
      <w:r>
        <w:rPr/>
        <w:t>符合现金及现金等价物标准的保证金等</w:t>
      </w:r>
      <w:r>
        <w:rPr>
          <w:spacing w:val="-55"/>
        </w:rPr>
        <w:t> </w:t>
      </w:r>
      <w:r>
        <w:rPr>
          <w:rFonts w:ascii="宋体" w:hAnsi="宋体" w:cs="宋体" w:eastAsia="宋体" w:hint="default"/>
        </w:rPr>
        <w:t>2,393,950.00</w:t>
      </w:r>
      <w:r>
        <w:rPr>
          <w:rFonts w:ascii="宋体" w:hAnsi="宋体" w:cs="宋体" w:eastAsia="宋体" w:hint="default"/>
          <w:spacing w:val="-55"/>
        </w:rPr>
        <w:t> </w:t>
      </w:r>
      <w:r>
        <w:rPr>
          <w:spacing w:val="-3"/>
        </w:rPr>
        <w:t>元。</w:t>
      </w:r>
      <w:r>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290" w:lineRule="auto" w:before="0"/>
        <w:ind w:left="218" w:right="227"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spacing w:line="240" w:lineRule="auto" w:before="4"/>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ind w:right="-17"/>
        <w:jc w:val="left"/>
        <w:rPr>
          <w:b w:val="0"/>
          <w:bCs w:val="0"/>
        </w:rPr>
      </w:pPr>
      <w:r>
        <w:rPr>
          <w:rFonts w:ascii="宋体" w:hAnsi="宋体" w:cs="宋体" w:eastAsia="宋体" w:hint="default"/>
        </w:rPr>
        <w:t>76</w:t>
      </w:r>
      <w:r>
        <w:rPr/>
        <w:t>、</w:t>
      </w:r>
      <w:r>
        <w:rPr>
          <w:spacing w:val="-27"/>
        </w:rPr>
        <w:t> </w:t>
      </w:r>
      <w:r>
        <w:rPr/>
        <w:t>所有权或使用权受到限制的资产</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75" w:space="2847"/>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7"/>
        <w:gridCol w:w="3046"/>
        <w:gridCol w:w="2693"/>
      </w:tblGrid>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9"/>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2,073,600.00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保证金</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157"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
        </w:tc>
        <w:tc>
          <w:tcPr>
            <w:tcW w:w="2693" w:type="dxa"/>
            <w:tcBorders>
              <w:top w:val="single" w:sz="4" w:space="0" w:color="000000"/>
              <w:left w:val="single" w:sz="4" w:space="0" w:color="000000"/>
              <w:bottom w:val="single" w:sz="6" w:space="0" w:color="000000"/>
              <w:right w:val="single" w:sz="4" w:space="0" w:color="000000"/>
            </w:tcBorders>
          </w:tcPr>
          <w:p>
            <w:pPr/>
          </w:p>
        </w:tc>
      </w:tr>
      <w:tr>
        <w:trPr>
          <w:trHeight w:val="286" w:hRule="exact"/>
        </w:trPr>
        <w:tc>
          <w:tcPr>
            <w:tcW w:w="315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046"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59"/>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2,073,600.00</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r>
    </w:tbl>
    <w:p>
      <w:pPr>
        <w:pStyle w:val="BodyText"/>
        <w:spacing w:line="240" w:lineRule="auto" w:before="26"/>
        <w:ind w:right="2940"/>
        <w:jc w:val="left"/>
      </w:pPr>
      <w:r>
        <w:rPr/>
        <w:t>其他说明：</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4"/>
        <w:spacing w:line="240" w:lineRule="auto"/>
        <w:ind w:right="-15"/>
        <w:jc w:val="left"/>
        <w:rPr>
          <w:b w:val="0"/>
          <w:bCs w:val="0"/>
        </w:rPr>
      </w:pPr>
      <w:r>
        <w:rPr>
          <w:rFonts w:ascii="宋体" w:hAnsi="宋体" w:cs="宋体" w:eastAsia="宋体" w:hint="default"/>
        </w:rPr>
        <w:t>77</w:t>
      </w:r>
      <w:r>
        <w:rPr/>
        <w:t>、</w:t>
      </w:r>
      <w:r>
        <w:rPr>
          <w:spacing w:val="-24"/>
        </w:rPr>
        <w:t> </w:t>
      </w:r>
      <w:r>
        <w:rPr/>
        <w:t>外币货币性项目</w:t>
      </w:r>
      <w:r>
        <w:rPr>
          <w:b w:val="0"/>
          <w:bCs w:val="0"/>
        </w:rPr>
      </w:r>
    </w:p>
    <w:p>
      <w:pPr>
        <w:pStyle w:val="BodyText"/>
        <w:spacing w:line="240" w:lineRule="auto" w:before="56"/>
        <w:ind w:right="-15"/>
        <w:jc w:val="left"/>
      </w:pPr>
      <w:r>
        <w:rPr/>
        <w:t>√适用</w:t>
      </w:r>
      <w:r>
        <w:rPr>
          <w:spacing w:val="-1"/>
        </w:rPr>
        <w:t> </w:t>
      </w:r>
      <w:r>
        <w:rPr/>
        <w:t>□不适用</w:t>
      </w:r>
    </w:p>
    <w:p>
      <w:pPr>
        <w:pStyle w:val="Heading4"/>
        <w:tabs>
          <w:tab w:pos="918" w:val="left" w:leader="none"/>
        </w:tabs>
        <w:spacing w:line="240" w:lineRule="auto" w:before="58"/>
        <w:ind w:right="-15"/>
        <w:jc w:val="left"/>
        <w:rPr>
          <w:rFonts w:ascii="宋体" w:hAnsi="宋体" w:cs="宋体" w:eastAsia="宋体" w:hint="default"/>
          <w:b w:val="0"/>
          <w:bCs w:val="0"/>
        </w:rPr>
      </w:pP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2610" w:space="5384"/>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6.4936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15.71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4"/>
              <w:jc w:val="center"/>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4"/>
              <w:jc w:val="center"/>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25,930,120.61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0.83778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21,723,736.44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4"/>
              <w:jc w:val="center"/>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277,026,011.00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0.053875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14,924,776.34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97"/>
              <w:jc w:val="righ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4"/>
              <w:jc w:val="center"/>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4"/>
              <w:jc w:val="center"/>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7,599,080.00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0.83778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6,366,357.24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4"/>
              <w:jc w:val="center"/>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58,469,708.00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0.053875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3,150,055.52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97"/>
              <w:jc w:val="righ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4"/>
              <w:jc w:val="center"/>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4"/>
              <w:jc w:val="center"/>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121,350.00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0.83778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101,664.60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4"/>
              <w:jc w:val="center"/>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15,515,076.37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0.053875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835,874.74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97"/>
              <w:jc w:val="righ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08"/>
              <w:jc w:val="right"/>
              <w:rPr>
                <w:rFonts w:ascii="宋体" w:hAnsi="宋体" w:cs="宋体" w:eastAsia="宋体" w:hint="default"/>
                <w:sz w:val="21"/>
                <w:szCs w:val="21"/>
              </w:rPr>
            </w:pPr>
            <w:r>
              <w:rPr>
                <w:rFonts w:ascii="宋体" w:hAnsi="宋体" w:cs="宋体" w:eastAsia="宋体" w:hint="default"/>
                <w:spacing w:val="-1"/>
                <w:sz w:val="21"/>
                <w:szCs w:val="21"/>
              </w:rPr>
              <w:t>其中：日元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59,891,026.08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0.053875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3,226,629.03</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08"/>
              <w:jc w:val="right"/>
              <w:rPr>
                <w:rFonts w:ascii="宋体" w:hAnsi="宋体" w:cs="宋体" w:eastAsia="宋体" w:hint="default"/>
                <w:sz w:val="21"/>
                <w:szCs w:val="21"/>
              </w:rPr>
            </w:pPr>
            <w:r>
              <w:rPr>
                <w:rFonts w:ascii="宋体" w:hAnsi="宋体" w:cs="宋体" w:eastAsia="宋体" w:hint="default"/>
                <w:spacing w:val="-1"/>
                <w:sz w:val="21"/>
                <w:szCs w:val="21"/>
              </w:rPr>
              <w:t>其中：日元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101,924,033.00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0.053875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5,491,157.28</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0"/>
              <w:jc w:val="righ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3,922,596.05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0.83778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3,286,272.52</w:t>
            </w:r>
          </w:p>
        </w:tc>
      </w:tr>
    </w:tbl>
    <w:p>
      <w:pPr>
        <w:spacing w:line="240" w:lineRule="auto" w:before="12"/>
        <w:rPr>
          <w:rFonts w:ascii="宋体" w:hAnsi="宋体" w:cs="宋体" w:eastAsia="宋体" w:hint="default"/>
          <w:sz w:val="19"/>
          <w:szCs w:val="19"/>
        </w:rPr>
      </w:pPr>
    </w:p>
    <w:p>
      <w:pPr>
        <w:pStyle w:val="BodyText"/>
        <w:spacing w:line="240" w:lineRule="auto" w:before="36"/>
        <w:ind w:right="2940"/>
        <w:jc w:val="left"/>
      </w:pPr>
      <w:r>
        <w:rPr/>
        <w:t>其他说明：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918" w:val="left" w:leader="none"/>
        </w:tabs>
        <w:spacing w:line="272" w:lineRule="exact" w:before="64"/>
        <w:ind w:left="638" w:right="22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40" w:lineRule="auto" w:before="34"/>
        <w:ind w:right="2940"/>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记账本位币</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选择依据</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日本恒生</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日本东京</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2"/>
                <w:sz w:val="21"/>
                <w:szCs w:val="21"/>
              </w:rPr>
              <w:t> </w:t>
            </w:r>
            <w:r>
              <w:rPr>
                <w:rFonts w:ascii="宋体" w:hAnsi="宋体" w:cs="宋体" w:eastAsia="宋体" w:hint="default"/>
                <w:sz w:val="21"/>
                <w:szCs w:val="21"/>
              </w:rPr>
              <w:t>元</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重要子公司</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香港恒生</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香</w:t>
            </w:r>
            <w:r>
              <w:rPr>
                <w:rFonts w:ascii="宋体" w:hAnsi="宋体" w:cs="宋体" w:eastAsia="宋体" w:hint="default"/>
                <w:spacing w:val="2"/>
                <w:sz w:val="21"/>
                <w:szCs w:val="21"/>
              </w:rPr>
              <w:t> </w:t>
            </w:r>
            <w:r>
              <w:rPr>
                <w:rFonts w:ascii="宋体" w:hAnsi="宋体" w:cs="宋体" w:eastAsia="宋体" w:hint="default"/>
                <w:sz w:val="21"/>
                <w:szCs w:val="21"/>
              </w:rPr>
              <w:t>港</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spacing w:val="2"/>
                <w:sz w:val="21"/>
                <w:szCs w:val="21"/>
              </w:rPr>
              <w:t> </w:t>
            </w:r>
            <w:r>
              <w:rPr>
                <w:rFonts w:ascii="宋体" w:hAnsi="宋体" w:cs="宋体" w:eastAsia="宋体" w:hint="default"/>
                <w:sz w:val="21"/>
                <w:szCs w:val="21"/>
              </w:rPr>
              <w:t>元</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重要子公司</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美国恒生</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美国德拉威州</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美</w:t>
            </w:r>
            <w:r>
              <w:rPr>
                <w:rFonts w:ascii="宋体" w:hAnsi="宋体" w:cs="宋体" w:eastAsia="宋体" w:hint="default"/>
                <w:spacing w:val="2"/>
                <w:sz w:val="21"/>
                <w:szCs w:val="21"/>
              </w:rPr>
              <w:t> </w:t>
            </w:r>
            <w:r>
              <w:rPr>
                <w:rFonts w:ascii="宋体" w:hAnsi="宋体" w:cs="宋体" w:eastAsia="宋体" w:hint="default"/>
                <w:sz w:val="21"/>
                <w:szCs w:val="21"/>
              </w:rPr>
              <w:t>元</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重要子公司</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78</w:t>
      </w:r>
      <w:r>
        <w:rPr/>
        <w:t>、</w:t>
      </w:r>
      <w:r>
        <w:rPr>
          <w:spacing w:val="-26"/>
        </w:rPr>
        <w:t> </w:t>
      </w:r>
      <w:r>
        <w:rPr/>
        <w:t>套期</w:t>
      </w:r>
      <w:r>
        <w:rPr>
          <w:b w:val="0"/>
          <w:bCs w:val="0"/>
        </w:rPr>
      </w:r>
    </w:p>
    <w:p>
      <w:pPr>
        <w:pStyle w:val="BodyText"/>
        <w:spacing w:line="240" w:lineRule="auto" w:before="58"/>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0"/>
        <w:ind w:right="2940"/>
        <w:jc w:val="left"/>
        <w:rPr>
          <w:b w:val="0"/>
          <w:bCs w:val="0"/>
        </w:rPr>
      </w:pPr>
      <w:r>
        <w:rPr>
          <w:rFonts w:ascii="宋体" w:hAnsi="宋体" w:cs="宋体" w:eastAsia="宋体" w:hint="default"/>
        </w:rPr>
        <w:t>79</w:t>
      </w:r>
      <w:r>
        <w:rPr/>
        <w:t>、</w:t>
      </w:r>
      <w:r>
        <w:rPr>
          <w:spacing w:val="-26"/>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right="2940"/>
        <w:jc w:val="left"/>
        <w:rPr>
          <w:b w:val="0"/>
          <w:bCs w:val="0"/>
        </w:rPr>
      </w:pPr>
      <w:r>
        <w:rPr/>
        <w:t>八、合并范围的变更</w:t>
      </w:r>
      <w:r>
        <w:rPr>
          <w:b w:val="0"/>
          <w:bCs w:val="0"/>
        </w:rPr>
      </w:r>
    </w:p>
    <w:p>
      <w:pPr>
        <w:pStyle w:val="Heading4"/>
        <w:spacing w:line="240" w:lineRule="auto" w:before="56"/>
        <w:ind w:right="2940"/>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8"/>
        <w:ind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940"/>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0"/>
        <w:ind w:right="2940"/>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8"/>
        <w:ind w:right="2940"/>
        <w:jc w:val="left"/>
      </w:pPr>
      <w:r>
        <w:rPr/>
        <w:t>□适用</w:t>
      </w:r>
      <w:r>
        <w:rPr>
          <w:spacing w:val="-1"/>
        </w:rPr>
        <w:t> </w:t>
      </w:r>
      <w:r>
        <w:rPr/>
        <w:t>√不适用</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44"/>
          <w:footerReference w:type="default" r:id="rId45"/>
          <w:pgSz w:w="16840" w:h="11910" w:orient="landscape"/>
          <w:pgMar w:header="882" w:footer="1195" w:top="1120" w:bottom="1380" w:left="1300" w:right="740"/>
          <w:pgNumType w:start="124"/>
        </w:sectPr>
      </w:pPr>
    </w:p>
    <w:p>
      <w:pPr>
        <w:spacing w:line="240" w:lineRule="auto" w:before="4"/>
        <w:rPr>
          <w:rFonts w:ascii="宋体" w:hAnsi="宋体" w:cs="宋体" w:eastAsia="宋体" w:hint="default"/>
          <w:sz w:val="14"/>
          <w:szCs w:val="14"/>
        </w:rPr>
      </w:pPr>
    </w:p>
    <w:p>
      <w:pPr>
        <w:spacing w:line="290" w:lineRule="auto" w:before="0"/>
        <w:ind w:left="224"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7" w:lineRule="exact"/>
        <w:ind w:left="224"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tabs>
          <w:tab w:pos="1169" w:val="left" w:leader="none"/>
        </w:tabs>
        <w:spacing w:line="240" w:lineRule="auto"/>
        <w:ind w:left="224"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00" w:right="740"/>
          <w:cols w:num="2" w:equalWidth="0">
            <w:col w:w="5059" w:space="6715"/>
            <w:col w:w="3026"/>
          </w:cols>
        </w:sectPr>
      </w:pPr>
    </w:p>
    <w:p>
      <w:pPr>
        <w:spacing w:line="240" w:lineRule="auto" w:before="4"/>
        <w:rPr>
          <w:rFonts w:ascii="宋体" w:hAnsi="宋体" w:cs="宋体" w:eastAsia="宋体" w:hint="default"/>
          <w:sz w:val="2"/>
          <w:szCs w:val="2"/>
        </w:rPr>
      </w:pPr>
    </w:p>
    <w:tbl>
      <w:tblPr>
        <w:tblW w:w="0" w:type="auto"/>
        <w:jc w:val="left"/>
        <w:tblInd w:w="214" w:type="dxa"/>
        <w:tblLayout w:type="fixed"/>
        <w:tblCellMar>
          <w:top w:w="0" w:type="dxa"/>
          <w:left w:w="0" w:type="dxa"/>
          <w:bottom w:w="0" w:type="dxa"/>
          <w:right w:w="0" w:type="dxa"/>
        </w:tblCellMar>
        <w:tblLook w:val="01E0"/>
      </w:tblPr>
      <w:tblGrid>
        <w:gridCol w:w="886"/>
        <w:gridCol w:w="545"/>
        <w:gridCol w:w="965"/>
        <w:gridCol w:w="854"/>
        <w:gridCol w:w="853"/>
        <w:gridCol w:w="1147"/>
        <w:gridCol w:w="1022"/>
        <w:gridCol w:w="987"/>
        <w:gridCol w:w="1462"/>
        <w:gridCol w:w="1613"/>
        <w:gridCol w:w="1435"/>
        <w:gridCol w:w="1193"/>
        <w:gridCol w:w="1500"/>
      </w:tblGrid>
      <w:tr>
        <w:trPr>
          <w:trHeight w:val="2463"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28" w:right="117"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57" w:right="53"/>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处置</w:t>
            </w:r>
            <w:r>
              <w:rPr>
                <w:rFonts w:ascii="宋体" w:hAnsi="宋体" w:cs="宋体" w:eastAsia="宋体" w:hint="default"/>
                <w:spacing w:val="-103"/>
                <w:sz w:val="21"/>
                <w:szCs w:val="21"/>
              </w:rPr>
              <w:t> </w:t>
            </w:r>
            <w:r>
              <w:rPr>
                <w:rFonts w:ascii="宋体" w:hAnsi="宋体" w:cs="宋体" w:eastAsia="宋体" w:hint="default"/>
                <w:sz w:val="21"/>
                <w:szCs w:val="21"/>
              </w:rPr>
              <w:t>价款</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4" w:right="0" w:firstLine="50"/>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13" w:right="-1" w:hanging="212"/>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0"/>
              <w:jc w:val="left"/>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权的时点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45" w:right="36"/>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时点的确定</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处置价款</w:t>
            </w:r>
          </w:p>
          <w:p>
            <w:pPr>
              <w:pStyle w:val="TableParagraph"/>
              <w:spacing w:line="237" w:lineRule="auto" w:before="2"/>
              <w:ind w:left="86" w:right="81"/>
              <w:jc w:val="center"/>
              <w:rPr>
                <w:rFonts w:ascii="宋体" w:hAnsi="宋体" w:cs="宋体" w:eastAsia="宋体" w:hint="default"/>
                <w:sz w:val="21"/>
                <w:szCs w:val="21"/>
              </w:rPr>
            </w:pPr>
            <w:r>
              <w:rPr>
                <w:rFonts w:ascii="宋体" w:hAnsi="宋体" w:cs="宋体" w:eastAsia="宋体" w:hint="default"/>
                <w:sz w:val="21"/>
                <w:szCs w:val="21"/>
              </w:rPr>
              <w:t>与处置投</w:t>
            </w:r>
            <w:r>
              <w:rPr>
                <w:rFonts w:ascii="宋体" w:hAnsi="宋体" w:cs="宋体" w:eastAsia="宋体" w:hint="default"/>
                <w:w w:val="100"/>
                <w:sz w:val="21"/>
                <w:szCs w:val="21"/>
              </w:rPr>
              <w:t> </w:t>
            </w:r>
            <w:r>
              <w:rPr>
                <w:rFonts w:ascii="宋体" w:hAnsi="宋体" w:cs="宋体" w:eastAsia="宋体" w:hint="default"/>
                <w:sz w:val="21"/>
                <w:szCs w:val="21"/>
              </w:rPr>
              <w:t>资对应的</w:t>
            </w:r>
            <w:r>
              <w:rPr>
                <w:rFonts w:ascii="宋体" w:hAnsi="宋体" w:cs="宋体" w:eastAsia="宋体" w:hint="default"/>
                <w:w w:val="100"/>
                <w:sz w:val="21"/>
                <w:szCs w:val="21"/>
              </w:rPr>
              <w:t> </w:t>
            </w:r>
            <w:r>
              <w:rPr>
                <w:rFonts w:ascii="宋体" w:hAnsi="宋体" w:cs="宋体" w:eastAsia="宋体" w:hint="default"/>
                <w:sz w:val="21"/>
                <w:szCs w:val="21"/>
              </w:rPr>
              <w:t>合并财务</w:t>
            </w:r>
            <w:r>
              <w:rPr>
                <w:rFonts w:ascii="宋体" w:hAnsi="宋体" w:cs="宋体" w:eastAsia="宋体" w:hint="default"/>
                <w:w w:val="100"/>
                <w:sz w:val="21"/>
                <w:szCs w:val="21"/>
              </w:rPr>
              <w:t> </w:t>
            </w:r>
            <w:r>
              <w:rPr>
                <w:rFonts w:ascii="宋体" w:hAnsi="宋体" w:cs="宋体" w:eastAsia="宋体" w:hint="default"/>
                <w:sz w:val="21"/>
                <w:szCs w:val="21"/>
              </w:rPr>
              <w:t>报表层面</w:t>
            </w:r>
            <w:r>
              <w:rPr>
                <w:rFonts w:ascii="宋体" w:hAnsi="宋体" w:cs="宋体" w:eastAsia="宋体" w:hint="default"/>
                <w:w w:val="100"/>
                <w:sz w:val="21"/>
                <w:szCs w:val="21"/>
              </w:rPr>
              <w:t> </w:t>
            </w:r>
            <w:r>
              <w:rPr>
                <w:rFonts w:ascii="宋体" w:hAnsi="宋体" w:cs="宋体" w:eastAsia="宋体" w:hint="default"/>
                <w:sz w:val="21"/>
                <w:szCs w:val="21"/>
              </w:rPr>
              <w:t>享有该子</w:t>
            </w:r>
            <w:r>
              <w:rPr>
                <w:rFonts w:ascii="宋体" w:hAnsi="宋体" w:cs="宋体" w:eastAsia="宋体" w:hint="default"/>
                <w:w w:val="100"/>
                <w:sz w:val="21"/>
                <w:szCs w:val="21"/>
              </w:rPr>
              <w:t> </w:t>
            </w:r>
            <w:r>
              <w:rPr>
                <w:rFonts w:ascii="宋体" w:hAnsi="宋体" w:cs="宋体" w:eastAsia="宋体" w:hint="default"/>
                <w:sz w:val="21"/>
                <w:szCs w:val="21"/>
              </w:rPr>
              <w:t>公司净资</w:t>
            </w:r>
            <w:r>
              <w:rPr>
                <w:rFonts w:ascii="宋体" w:hAnsi="宋体" w:cs="宋体" w:eastAsia="宋体" w:hint="default"/>
                <w:w w:val="100"/>
                <w:sz w:val="21"/>
                <w:szCs w:val="21"/>
              </w:rPr>
              <w:t> </w:t>
            </w:r>
            <w:r>
              <w:rPr>
                <w:rFonts w:ascii="宋体" w:hAnsi="宋体" w:cs="宋体" w:eastAsia="宋体" w:hint="default"/>
                <w:sz w:val="21"/>
                <w:szCs w:val="21"/>
              </w:rPr>
              <w:t>产份额的</w:t>
            </w:r>
            <w:r>
              <w:rPr>
                <w:rFonts w:ascii="宋体" w:hAnsi="宋体" w:cs="宋体" w:eastAsia="宋体" w:hint="default"/>
                <w:w w:val="100"/>
                <w:sz w:val="21"/>
                <w:szCs w:val="21"/>
              </w:rPr>
              <w:t> </w:t>
            </w:r>
            <w:r>
              <w:rPr>
                <w:rFonts w:ascii="宋体" w:hAnsi="宋体" w:cs="宋体" w:eastAsia="宋体" w:hint="default"/>
                <w:sz w:val="21"/>
                <w:szCs w:val="21"/>
              </w:rPr>
              <w:t>差额</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67" w:right="65"/>
              <w:jc w:val="center"/>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余股权的</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95" w:right="91"/>
              <w:jc w:val="center"/>
              <w:rPr>
                <w:rFonts w:ascii="宋体" w:hAnsi="宋体" w:cs="宋体" w:eastAsia="宋体" w:hint="default"/>
                <w:sz w:val="21"/>
                <w:szCs w:val="21"/>
              </w:rPr>
            </w:pPr>
            <w:r>
              <w:rPr>
                <w:rFonts w:ascii="宋体" w:hAnsi="宋体" w:cs="宋体" w:eastAsia="宋体" w:hint="default"/>
                <w:spacing w:val="-1"/>
                <w:sz w:val="21"/>
                <w:szCs w:val="21"/>
              </w:rPr>
              <w:t>丧失控制权之</w:t>
            </w:r>
            <w:r>
              <w:rPr>
                <w:rFonts w:ascii="宋体" w:hAnsi="宋体" w:cs="宋体" w:eastAsia="宋体" w:hint="default"/>
                <w:w w:val="100"/>
                <w:sz w:val="21"/>
                <w:szCs w:val="21"/>
              </w:rPr>
              <w:t> </w:t>
            </w:r>
            <w:r>
              <w:rPr>
                <w:rFonts w:ascii="宋体" w:hAnsi="宋体" w:cs="宋体" w:eastAsia="宋体" w:hint="default"/>
                <w:spacing w:val="-1"/>
                <w:sz w:val="21"/>
                <w:szCs w:val="21"/>
              </w:rPr>
              <w:t>日剩余股权的</w:t>
            </w:r>
            <w:r>
              <w:rPr>
                <w:rFonts w:ascii="宋体" w:hAnsi="宋体" w:cs="宋体" w:eastAsia="宋体" w:hint="default"/>
                <w:w w:val="100"/>
                <w:sz w:val="21"/>
                <w:szCs w:val="21"/>
              </w:rPr>
              <w:t> </w:t>
            </w:r>
            <w:r>
              <w:rPr>
                <w:rFonts w:ascii="宋体" w:hAnsi="宋体" w:cs="宋体" w:eastAsia="宋体" w:hint="default"/>
                <w:sz w:val="21"/>
                <w:szCs w:val="21"/>
              </w:rPr>
              <w:t>账面价值</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67" w:right="60"/>
              <w:jc w:val="center"/>
              <w:rPr>
                <w:rFonts w:ascii="宋体" w:hAnsi="宋体" w:cs="宋体" w:eastAsia="宋体" w:hint="default"/>
                <w:sz w:val="21"/>
                <w:szCs w:val="21"/>
              </w:rPr>
            </w:pPr>
            <w:r>
              <w:rPr>
                <w:rFonts w:ascii="宋体" w:hAnsi="宋体" w:cs="宋体" w:eastAsia="宋体" w:hint="default"/>
                <w:spacing w:val="-1"/>
                <w:sz w:val="21"/>
                <w:szCs w:val="21"/>
              </w:rPr>
              <w:t>丧失控制权之日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剩余股权的公允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价值</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84" w:right="77"/>
              <w:jc w:val="center"/>
              <w:rPr>
                <w:rFonts w:ascii="宋体" w:hAnsi="宋体" w:cs="宋体" w:eastAsia="宋体" w:hint="default"/>
                <w:sz w:val="21"/>
                <w:szCs w:val="21"/>
              </w:rPr>
            </w:pPr>
            <w:r>
              <w:rPr>
                <w:rFonts w:ascii="宋体" w:hAnsi="宋体" w:cs="宋体" w:eastAsia="宋体" w:hint="default"/>
                <w:spacing w:val="-1"/>
                <w:sz w:val="21"/>
                <w:szCs w:val="21"/>
              </w:rPr>
              <w:t>按照公允价值</w:t>
            </w:r>
            <w:r>
              <w:rPr>
                <w:rFonts w:ascii="宋体" w:hAnsi="宋体" w:cs="宋体" w:eastAsia="宋体" w:hint="default"/>
                <w:w w:val="100"/>
                <w:sz w:val="21"/>
                <w:szCs w:val="21"/>
              </w:rPr>
              <w:t> </w:t>
            </w:r>
            <w:r>
              <w:rPr>
                <w:rFonts w:ascii="宋体" w:hAnsi="宋体" w:cs="宋体" w:eastAsia="宋体" w:hint="default"/>
                <w:spacing w:val="-1"/>
                <w:sz w:val="21"/>
                <w:szCs w:val="21"/>
              </w:rPr>
              <w:t>重新计量剩余</w:t>
            </w:r>
            <w:r>
              <w:rPr>
                <w:rFonts w:ascii="宋体" w:hAnsi="宋体" w:cs="宋体" w:eastAsia="宋体" w:hint="default"/>
                <w:w w:val="100"/>
                <w:sz w:val="21"/>
                <w:szCs w:val="21"/>
              </w:rPr>
              <w:t> </w:t>
            </w:r>
            <w:r>
              <w:rPr>
                <w:rFonts w:ascii="宋体" w:hAnsi="宋体" w:cs="宋体" w:eastAsia="宋体" w:hint="default"/>
                <w:spacing w:val="-1"/>
                <w:sz w:val="21"/>
                <w:szCs w:val="21"/>
              </w:rPr>
              <w:t>股权产生的利</w:t>
            </w:r>
            <w:r>
              <w:rPr>
                <w:rFonts w:ascii="宋体" w:hAnsi="宋体" w:cs="宋体" w:eastAsia="宋体" w:hint="default"/>
                <w:w w:val="100"/>
                <w:sz w:val="21"/>
                <w:szCs w:val="21"/>
              </w:rPr>
              <w:t> </w:t>
            </w:r>
            <w:r>
              <w:rPr>
                <w:rFonts w:ascii="宋体" w:hAnsi="宋体" w:cs="宋体" w:eastAsia="宋体" w:hint="default"/>
                <w:sz w:val="21"/>
                <w:szCs w:val="21"/>
              </w:rPr>
              <w:t>得或损失</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67" w:right="60"/>
              <w:jc w:val="both"/>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之日剩余股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权公允价值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的确定方法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及主要假设</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9" w:right="5"/>
              <w:jc w:val="both"/>
              <w:rPr>
                <w:rFonts w:ascii="宋体" w:hAnsi="宋体" w:cs="宋体" w:eastAsia="宋体" w:hint="default"/>
                <w:sz w:val="21"/>
                <w:szCs w:val="21"/>
              </w:rPr>
            </w:pPr>
            <w:r>
              <w:rPr>
                <w:rFonts w:ascii="宋体" w:hAnsi="宋体" w:cs="宋体" w:eastAsia="宋体" w:hint="default"/>
                <w:sz w:val="21"/>
                <w:szCs w:val="21"/>
              </w:rPr>
              <w:t>与原子公司股权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投资相关的其他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综合收益转入投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资损益的金额</w:t>
            </w:r>
          </w:p>
        </w:tc>
      </w:tr>
      <w:tr>
        <w:trPr>
          <w:trHeight w:val="370"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 w:right="0"/>
              <w:jc w:val="left"/>
              <w:rPr>
                <w:rFonts w:ascii="宋体" w:hAnsi="宋体" w:cs="宋体" w:eastAsia="宋体" w:hint="default"/>
                <w:sz w:val="21"/>
                <w:szCs w:val="21"/>
              </w:rPr>
            </w:pPr>
            <w:r>
              <w:rPr>
                <w:rFonts w:ascii="宋体" w:hAnsi="宋体" w:cs="宋体" w:eastAsia="宋体" w:hint="default"/>
                <w:sz w:val="21"/>
                <w:szCs w:val="21"/>
              </w:rPr>
              <w:t>数米基金</w:t>
            </w:r>
          </w:p>
        </w:tc>
        <w:tc>
          <w:tcPr>
            <w:tcW w:w="54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7" w:right="0"/>
              <w:jc w:val="left"/>
              <w:rPr>
                <w:rFonts w:ascii="宋体" w:hAnsi="宋体" w:cs="宋体" w:eastAsia="宋体" w:hint="default"/>
                <w:sz w:val="21"/>
                <w:szCs w:val="21"/>
              </w:rPr>
            </w:pPr>
            <w:r>
              <w:rPr>
                <w:rFonts w:ascii="宋体"/>
                <w:sz w:val="21"/>
              </w:rPr>
              <w:t>50.9028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1"/>
              <w:jc w:val="left"/>
              <w:rPr>
                <w:rFonts w:ascii="宋体" w:hAnsi="宋体" w:cs="宋体" w:eastAsia="宋体" w:hint="default"/>
                <w:sz w:val="21"/>
                <w:szCs w:val="21"/>
              </w:rPr>
            </w:pPr>
            <w:r>
              <w:rPr>
                <w:rFonts w:ascii="宋体" w:hAnsi="宋体" w:cs="宋体" w:eastAsia="宋体" w:hint="default"/>
                <w:sz w:val="21"/>
                <w:szCs w:val="21"/>
              </w:rPr>
              <w:t>股权稀释</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5" w:right="0"/>
              <w:jc w:val="left"/>
              <w:rPr>
                <w:rFonts w:ascii="宋体" w:hAnsi="宋体" w:cs="宋体" w:eastAsia="宋体" w:hint="default"/>
                <w:sz w:val="21"/>
                <w:szCs w:val="21"/>
              </w:rPr>
            </w:pPr>
            <w:r>
              <w:rPr>
                <w:rFonts w:ascii="宋体"/>
                <w:sz w:val="21"/>
              </w:rPr>
              <w:t>2015.6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5" w:right="0"/>
              <w:jc w:val="left"/>
              <w:rPr>
                <w:rFonts w:ascii="宋体" w:hAnsi="宋体" w:cs="宋体" w:eastAsia="宋体" w:hint="default"/>
                <w:sz w:val="21"/>
                <w:szCs w:val="21"/>
              </w:rPr>
            </w:pPr>
            <w:r>
              <w:rPr>
                <w:rFonts w:ascii="宋体" w:hAnsi="宋体" w:cs="宋体" w:eastAsia="宋体" w:hint="default"/>
                <w:sz w:val="21"/>
                <w:szCs w:val="21"/>
              </w:rPr>
              <w:t>控制权转移</w:t>
            </w:r>
          </w:p>
        </w:tc>
        <w:tc>
          <w:tcPr>
            <w:tcW w:w="1022"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7" w:right="0"/>
              <w:jc w:val="left"/>
              <w:rPr>
                <w:rFonts w:ascii="宋体" w:hAnsi="宋体" w:cs="宋体" w:eastAsia="宋体" w:hint="default"/>
                <w:sz w:val="21"/>
                <w:szCs w:val="21"/>
              </w:rPr>
            </w:pPr>
            <w:r>
              <w:rPr>
                <w:rFonts w:ascii="宋体"/>
                <w:sz w:val="21"/>
              </w:rPr>
              <w:t>24.0972%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6" w:right="-3"/>
              <w:jc w:val="left"/>
              <w:rPr>
                <w:rFonts w:ascii="宋体" w:hAnsi="宋体" w:cs="宋体" w:eastAsia="宋体" w:hint="default"/>
                <w:sz w:val="21"/>
                <w:szCs w:val="21"/>
              </w:rPr>
            </w:pPr>
            <w:r>
              <w:rPr>
                <w:rFonts w:ascii="宋体"/>
                <w:sz w:val="21"/>
              </w:rPr>
              <w:t>63,410,682.67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2" w:right="0"/>
              <w:jc w:val="left"/>
              <w:rPr>
                <w:rFonts w:ascii="宋体" w:hAnsi="宋体" w:cs="宋体" w:eastAsia="宋体" w:hint="default"/>
                <w:sz w:val="21"/>
                <w:szCs w:val="21"/>
              </w:rPr>
            </w:pPr>
            <w:r>
              <w:rPr>
                <w:rFonts w:ascii="宋体"/>
                <w:sz w:val="21"/>
              </w:rPr>
              <w:t>78,750,071.29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2" w:right="-5"/>
              <w:jc w:val="left"/>
              <w:rPr>
                <w:rFonts w:ascii="宋体" w:hAnsi="宋体" w:cs="宋体" w:eastAsia="宋体" w:hint="default"/>
                <w:sz w:val="21"/>
                <w:szCs w:val="21"/>
              </w:rPr>
            </w:pPr>
            <w:r>
              <w:rPr>
                <w:rFonts w:ascii="宋体"/>
                <w:sz w:val="21"/>
              </w:rPr>
              <w:t>15,339,388.62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4" w:right="-3"/>
              <w:jc w:val="left"/>
              <w:rPr>
                <w:rFonts w:ascii="宋体" w:hAnsi="宋体" w:cs="宋体" w:eastAsia="宋体" w:hint="default"/>
                <w:sz w:val="21"/>
                <w:szCs w:val="21"/>
              </w:rPr>
            </w:pPr>
            <w:r>
              <w:rPr>
                <w:rFonts w:ascii="宋体"/>
                <w:sz w:val="21"/>
              </w:rPr>
              <w:t>10,349,146.55</w:t>
            </w:r>
          </w:p>
        </w:tc>
      </w:tr>
    </w:tbl>
    <w:p>
      <w:pPr>
        <w:pStyle w:val="BodyText"/>
        <w:spacing w:line="241" w:lineRule="exact"/>
        <w:ind w:left="224" w:right="6375"/>
        <w:jc w:val="left"/>
      </w:pPr>
      <w:r>
        <w:rPr/>
        <w:t>其他说明：</w:t>
      </w:r>
    </w:p>
    <w:p>
      <w:pPr>
        <w:spacing w:line="240" w:lineRule="auto" w:before="9"/>
        <w:rPr>
          <w:rFonts w:ascii="宋体" w:hAnsi="宋体" w:cs="宋体" w:eastAsia="宋体" w:hint="default"/>
          <w:sz w:val="20"/>
          <w:szCs w:val="20"/>
        </w:rPr>
      </w:pPr>
    </w:p>
    <w:p>
      <w:pPr>
        <w:spacing w:line="20" w:lineRule="exact"/>
        <w:ind w:left="21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600010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6"/>
          <w:szCs w:val="16"/>
        </w:rPr>
      </w:pPr>
    </w:p>
    <w:p>
      <w:pPr>
        <w:pStyle w:val="BodyText"/>
        <w:spacing w:line="274" w:lineRule="exact" w:before="36"/>
        <w:ind w:left="224" w:right="6375"/>
        <w:jc w:val="left"/>
      </w:pPr>
      <w:r>
        <w:rPr/>
        <w:t>是否存在通过多次交易分步处置对子公司投资且在本期丧失控制权的情形</w:t>
      </w:r>
    </w:p>
    <w:p>
      <w:pPr>
        <w:pStyle w:val="BodyText"/>
        <w:spacing w:line="274" w:lineRule="exact"/>
        <w:ind w:left="224" w:right="6375"/>
        <w:jc w:val="left"/>
      </w:pPr>
      <w:r>
        <w:rPr/>
        <w:t>□适用√不适用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4"/>
        <w:spacing w:line="240" w:lineRule="auto" w:before="0"/>
        <w:ind w:left="224" w:right="6375"/>
        <w:jc w:val="left"/>
        <w:rPr>
          <w:b w:val="0"/>
          <w:bCs w:val="0"/>
        </w:rPr>
      </w:pPr>
      <w:r>
        <w:rPr>
          <w:rFonts w:ascii="宋体" w:hAnsi="宋体" w:cs="宋体" w:eastAsia="宋体" w:hint="default"/>
        </w:rPr>
        <w:t>5</w:t>
      </w:r>
      <w:r>
        <w:rPr/>
        <w:t>、</w:t>
      </w:r>
      <w:r>
        <w:rPr>
          <w:spacing w:val="-2"/>
        </w:rPr>
        <w:t> </w:t>
      </w:r>
      <w:r>
        <w:rPr/>
        <w:t>其他原因的合并范围变动</w:t>
      </w:r>
      <w:r>
        <w:rPr>
          <w:b w:val="0"/>
          <w:bCs w:val="0"/>
        </w:rPr>
      </w:r>
    </w:p>
    <w:p>
      <w:pPr>
        <w:pStyle w:val="BodyText"/>
        <w:spacing w:line="272" w:lineRule="exact" w:before="84"/>
        <w:ind w:left="224" w:right="6375"/>
        <w:jc w:val="left"/>
      </w:pPr>
      <w:r>
        <w:rPr>
          <w:spacing w:val="-2"/>
        </w:rPr>
        <w:t>说明其他原因导致的合并范围变动（如，新设子公司、清算子公司等）及其相关情况：</w:t>
      </w:r>
      <w:r>
        <w:rPr>
          <w:spacing w:val="-32"/>
        </w:rPr>
        <w:t> </w:t>
      </w:r>
      <w:r>
        <w:rPr>
          <w:spacing w:val="-32"/>
        </w:rPr>
      </w:r>
      <w:r>
        <w:rPr>
          <w:rFonts w:ascii="宋体" w:hAnsi="宋体" w:cs="宋体" w:eastAsia="宋体" w:hint="default"/>
        </w:rPr>
        <w:t>(1)</w:t>
      </w:r>
      <w:r>
        <w:rPr>
          <w:rFonts w:ascii="宋体" w:hAnsi="宋体" w:cs="宋体" w:eastAsia="宋体" w:hint="default"/>
          <w:spacing w:val="1"/>
        </w:rPr>
        <w:t> </w:t>
      </w:r>
      <w:r>
        <w:rPr/>
        <w:t>合并范围增加</w:t>
      </w:r>
    </w:p>
    <w:p>
      <w:pPr>
        <w:spacing w:line="240" w:lineRule="auto" w:before="1"/>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235"/>
        <w:gridCol w:w="2261"/>
        <w:gridCol w:w="2415"/>
        <w:gridCol w:w="2208"/>
        <w:gridCol w:w="2247"/>
      </w:tblGrid>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1"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出资额</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出资比例</w:t>
            </w:r>
            <w:r>
              <w:rPr>
                <w:rFonts w:ascii="宋体" w:hAnsi="宋体" w:cs="宋体" w:eastAsia="宋体" w:hint="default"/>
                <w:sz w:val="21"/>
                <w:szCs w:val="21"/>
              </w:rPr>
              <w:t>(%)</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恒生云融</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2015.3</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36,000,000.00</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60.00</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上海数淘</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2015.7</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50.00</w:t>
            </w:r>
          </w:p>
        </w:tc>
      </w:tr>
    </w:tbl>
    <w:p>
      <w:pPr>
        <w:spacing w:line="240" w:lineRule="auto" w:before="5"/>
        <w:rPr>
          <w:rFonts w:ascii="宋体" w:hAnsi="宋体" w:cs="宋体" w:eastAsia="宋体" w:hint="default"/>
          <w:sz w:val="15"/>
          <w:szCs w:val="15"/>
        </w:rPr>
      </w:pPr>
    </w:p>
    <w:p>
      <w:pPr>
        <w:pStyle w:val="BodyText"/>
        <w:spacing w:line="240" w:lineRule="auto" w:before="36"/>
        <w:ind w:left="224" w:right="6375"/>
        <w:jc w:val="left"/>
      </w:pPr>
      <w:r>
        <w:rPr>
          <w:rFonts w:ascii="宋体" w:hAnsi="宋体" w:cs="宋体" w:eastAsia="宋体" w:hint="default"/>
        </w:rPr>
        <w:t>(2)</w:t>
      </w:r>
      <w:r>
        <w:rPr>
          <w:rFonts w:ascii="宋体" w:hAnsi="宋体" w:cs="宋体" w:eastAsia="宋体" w:hint="default"/>
          <w:spacing w:val="1"/>
        </w:rPr>
        <w:t> </w:t>
      </w:r>
      <w:r>
        <w:rPr/>
        <w:t>合并范围减少</w:t>
      </w:r>
    </w:p>
    <w:p>
      <w:pPr>
        <w:spacing w:after="0" w:line="240" w:lineRule="auto"/>
        <w:jc w:val="left"/>
        <w:sectPr>
          <w:type w:val="continuous"/>
          <w:pgSz w:w="16840" w:h="11910" w:orient="landscape"/>
          <w:pgMar w:top="1120" w:bottom="1380" w:left="1300" w:right="740"/>
        </w:sectPr>
      </w:pPr>
    </w:p>
    <w:p>
      <w:pPr>
        <w:spacing w:line="240" w:lineRule="auto" w:before="8"/>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235"/>
        <w:gridCol w:w="2269"/>
        <w:gridCol w:w="2410"/>
        <w:gridCol w:w="2268"/>
        <w:gridCol w:w="2269"/>
      </w:tblGrid>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1"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股权处置方式</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股权处置时点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恒生智能</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股权转让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2015.3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sz w:val="21"/>
              </w:rPr>
              <w:t>4,591,041.79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1" w:right="0"/>
              <w:jc w:val="left"/>
              <w:rPr>
                <w:rFonts w:ascii="宋体" w:hAnsi="宋体" w:cs="宋体" w:eastAsia="宋体" w:hint="default"/>
                <w:sz w:val="21"/>
                <w:szCs w:val="21"/>
              </w:rPr>
            </w:pPr>
            <w:r>
              <w:rPr>
                <w:rFonts w:ascii="宋体"/>
                <w:sz w:val="21"/>
              </w:rPr>
              <w:t>-780.05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40" w:lineRule="auto"/>
        <w:ind w:left="224" w:right="0"/>
        <w:jc w:val="left"/>
        <w:rPr>
          <w:b w:val="0"/>
          <w:bCs w:val="0"/>
        </w:rPr>
      </w:pPr>
      <w:r>
        <w:rPr>
          <w:rFonts w:ascii="宋体" w:hAnsi="宋体" w:cs="宋体" w:eastAsia="宋体" w:hint="default"/>
        </w:rPr>
        <w:t>6</w:t>
      </w:r>
      <w:r>
        <w:rPr/>
        <w:t>、</w:t>
      </w:r>
      <w:r>
        <w:rPr>
          <w:spacing w:val="-3"/>
        </w:rPr>
        <w:t> </w:t>
      </w:r>
      <w:r>
        <w:rPr/>
        <w:t>其他</w:t>
      </w:r>
      <w:r>
        <w:rPr>
          <w:b w:val="0"/>
          <w:bCs w:val="0"/>
        </w:rPr>
      </w:r>
    </w:p>
    <w:p>
      <w:pPr>
        <w:spacing w:line="240" w:lineRule="auto" w:before="3"/>
        <w:rPr>
          <w:rFonts w:ascii="宋体" w:hAnsi="宋体" w:cs="宋体" w:eastAsia="宋体" w:hint="default"/>
          <w:b/>
          <w:bCs/>
          <w:sz w:val="25"/>
          <w:szCs w:val="25"/>
        </w:rPr>
      </w:pPr>
    </w:p>
    <w:p>
      <w:pPr>
        <w:spacing w:line="20" w:lineRule="exact"/>
        <w:ind w:left="21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882" w:footer="1195" w:top="1120" w:bottom="1380" w:left="1300" w:right="13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4"/>
        <w:spacing w:line="290" w:lineRule="auto" w:before="175"/>
        <w:ind w:right="6709"/>
        <w:jc w:val="left"/>
        <w:rPr>
          <w:b w:val="0"/>
          <w:bCs w:val="0"/>
        </w:rPr>
      </w:pPr>
      <w:r>
        <w:rPr/>
        <w:t>九、在其他主体中的权益</w:t>
      </w:r>
      <w:r>
        <w:rPr>
          <w:spacing w:val="-100"/>
        </w:rPr>
        <w:t> </w:t>
      </w:r>
      <w:r>
        <w:rPr>
          <w:spacing w:val="-100"/>
        </w:rPr>
      </w:r>
      <w:r>
        <w:rPr>
          <w:rFonts w:ascii="宋体" w:hAnsi="宋体" w:cs="宋体" w:eastAsia="宋体" w:hint="default"/>
        </w:rPr>
        <w:t>1</w:t>
      </w:r>
      <w:r>
        <w:rPr/>
        <w:t>、 在子公司中的权益</w:t>
      </w:r>
      <w:r>
        <w:rPr>
          <w:b w:val="0"/>
          <w:bCs w:val="0"/>
        </w:rPr>
      </w:r>
    </w:p>
    <w:p>
      <w:pPr>
        <w:pStyle w:val="BodyText"/>
        <w:spacing w:line="240" w:lineRule="auto" w:before="14"/>
        <w:ind w:right="0"/>
        <w:jc w:val="left"/>
      </w:pPr>
      <w:r>
        <w:rPr/>
        <w:t>√适用</w:t>
      </w:r>
      <w:r>
        <w:rPr>
          <w:spacing w:val="-1"/>
        </w:rPr>
        <w:t> </w:t>
      </w:r>
      <w:r>
        <w:rPr/>
        <w:t>□不适用</w:t>
      </w:r>
    </w:p>
    <w:p>
      <w:pPr>
        <w:pStyle w:val="Heading4"/>
        <w:tabs>
          <w:tab w:pos="861" w:val="left" w:leader="none"/>
        </w:tabs>
        <w:spacing w:line="240" w:lineRule="auto" w:before="56"/>
        <w:ind w:right="0"/>
        <w:jc w:val="left"/>
        <w:rPr>
          <w:b w:val="0"/>
          <w:bCs w:val="0"/>
        </w:rPr>
      </w:pPr>
      <w:r>
        <w:rPr>
          <w:rFonts w:ascii="宋体" w:hAnsi="宋体" w:cs="宋体" w:eastAsia="宋体" w:hint="default"/>
          <w:w w:val="95"/>
        </w:rPr>
        <w:t>(1).</w:t>
        <w:tab/>
      </w:r>
      <w:r>
        <w:rPr/>
        <w:t>企业集团的构成</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094"/>
        <w:gridCol w:w="1568"/>
        <w:gridCol w:w="1558"/>
        <w:gridCol w:w="1136"/>
        <w:gridCol w:w="1138"/>
        <w:gridCol w:w="1136"/>
        <w:gridCol w:w="1409"/>
      </w:tblGrid>
      <w:tr>
        <w:trPr>
          <w:trHeight w:val="283" w:hRule="exact"/>
        </w:trPr>
        <w:tc>
          <w:tcPr>
            <w:tcW w:w="1094" w:type="dxa"/>
            <w:vMerge w:val="restart"/>
            <w:tcBorders>
              <w:top w:val="single" w:sz="4" w:space="0" w:color="000000"/>
              <w:left w:val="single" w:sz="4" w:space="0" w:color="000000"/>
              <w:right w:val="single" w:sz="6" w:space="0" w:color="000000"/>
            </w:tcBorders>
          </w:tcPr>
          <w:p>
            <w:pPr>
              <w:pStyle w:val="TableParagraph"/>
              <w:spacing w:line="274" w:lineRule="exact" w:before="1"/>
              <w:ind w:left="331" w:right="221"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568" w:type="dxa"/>
            <w:vMerge w:val="restart"/>
            <w:tcBorders>
              <w:top w:val="single" w:sz="4" w:space="0" w:color="000000"/>
              <w:left w:val="single" w:sz="6" w:space="0" w:color="000000"/>
              <w:right w:val="single" w:sz="6" w:space="0" w:color="000000"/>
            </w:tcBorders>
          </w:tcPr>
          <w:p>
            <w:pPr>
              <w:pStyle w:val="TableParagraph"/>
              <w:spacing w:line="240" w:lineRule="auto" w:before="112"/>
              <w:ind w:left="24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558" w:type="dxa"/>
            <w:vMerge w:val="restart"/>
            <w:tcBorders>
              <w:top w:val="single" w:sz="4" w:space="0" w:color="000000"/>
              <w:left w:val="single" w:sz="6" w:space="0" w:color="000000"/>
              <w:right w:val="single" w:sz="6" w:space="0" w:color="000000"/>
            </w:tcBorders>
          </w:tcPr>
          <w:p>
            <w:pPr>
              <w:pStyle w:val="TableParagraph"/>
              <w:spacing w:line="240" w:lineRule="auto" w:before="112"/>
              <w:ind w:left="45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36" w:type="dxa"/>
            <w:vMerge w:val="restart"/>
            <w:tcBorders>
              <w:top w:val="single" w:sz="4" w:space="0" w:color="000000"/>
              <w:left w:val="single" w:sz="6" w:space="0" w:color="000000"/>
              <w:right w:val="single" w:sz="6" w:space="0" w:color="000000"/>
            </w:tcBorders>
          </w:tcPr>
          <w:p>
            <w:pPr>
              <w:pStyle w:val="TableParagraph"/>
              <w:spacing w:line="240" w:lineRule="auto" w:before="112"/>
              <w:ind w:left="139"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273"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09" w:type="dxa"/>
            <w:vMerge w:val="restart"/>
            <w:tcBorders>
              <w:top w:val="single" w:sz="4" w:space="0" w:color="000000"/>
              <w:left w:val="single" w:sz="6" w:space="0" w:color="000000"/>
              <w:right w:val="single" w:sz="4" w:space="0" w:color="000000"/>
            </w:tcBorders>
          </w:tcPr>
          <w:p>
            <w:pPr>
              <w:pStyle w:val="TableParagraph"/>
              <w:spacing w:line="274" w:lineRule="exact" w:before="1"/>
              <w:ind w:left="484" w:right="487"/>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95" w:hRule="exact"/>
        </w:trPr>
        <w:tc>
          <w:tcPr>
            <w:tcW w:w="1094" w:type="dxa"/>
            <w:vMerge/>
            <w:tcBorders>
              <w:left w:val="single" w:sz="4" w:space="0" w:color="000000"/>
              <w:bottom w:val="single" w:sz="6" w:space="0" w:color="000000"/>
              <w:right w:val="single" w:sz="6" w:space="0" w:color="000000"/>
            </w:tcBorders>
          </w:tcPr>
          <w:p>
            <w:pPr/>
          </w:p>
        </w:tc>
        <w:tc>
          <w:tcPr>
            <w:tcW w:w="1568"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1136" w:type="dxa"/>
            <w:vMerge/>
            <w:tcBorders>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50"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47"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409" w:type="dxa"/>
            <w:vMerge/>
            <w:tcBorders>
              <w:left w:val="single" w:sz="6" w:space="0" w:color="000000"/>
              <w:bottom w:val="single" w:sz="6" w:space="0" w:color="000000"/>
              <w:right w:val="single" w:sz="4" w:space="0" w:color="000000"/>
            </w:tcBorders>
          </w:tcPr>
          <w:p>
            <w:pPr/>
          </w:p>
        </w:tc>
      </w:tr>
      <w:tr>
        <w:trPr>
          <w:trHeight w:val="286" w:hRule="exact"/>
        </w:trPr>
        <w:tc>
          <w:tcPr>
            <w:tcW w:w="10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云投资</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69.70</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pacing w:val="-1"/>
                <w:sz w:val="21"/>
                <w:szCs w:val="21"/>
              </w:rPr>
              <w:t>投资设立</w:t>
            </w:r>
          </w:p>
        </w:tc>
      </w:tr>
      <w:tr>
        <w:trPr>
          <w:trHeight w:val="288" w:hRule="exact"/>
        </w:trPr>
        <w:tc>
          <w:tcPr>
            <w:tcW w:w="109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无锡恒华</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江苏无锡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江苏无锡</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55.00</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278"/>
              <w:jc w:val="right"/>
              <w:rPr>
                <w:rFonts w:ascii="宋体" w:hAnsi="宋体" w:cs="宋体" w:eastAsia="宋体" w:hint="default"/>
                <w:sz w:val="21"/>
                <w:szCs w:val="21"/>
              </w:rPr>
            </w:pPr>
            <w:r>
              <w:rPr>
                <w:rFonts w:ascii="宋体" w:hAnsi="宋体" w:cs="宋体" w:eastAsia="宋体" w:hint="default"/>
                <w:spacing w:val="-1"/>
                <w:sz w:val="21"/>
                <w:szCs w:val="21"/>
              </w:rPr>
              <w:t>投资设立</w:t>
            </w:r>
          </w:p>
        </w:tc>
      </w:tr>
      <w:tr>
        <w:trPr>
          <w:trHeight w:val="288" w:hRule="exact"/>
        </w:trPr>
        <w:tc>
          <w:tcPr>
            <w:tcW w:w="10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数据安全</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87.70</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pacing w:val="-1"/>
                <w:sz w:val="21"/>
                <w:szCs w:val="21"/>
              </w:rPr>
              <w:t>投资设立</w:t>
            </w:r>
          </w:p>
        </w:tc>
      </w:tr>
      <w:tr>
        <w:trPr>
          <w:trHeight w:val="286" w:hRule="exact"/>
        </w:trPr>
        <w:tc>
          <w:tcPr>
            <w:tcW w:w="10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网络技术</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60.00</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pacing w:val="-1"/>
                <w:sz w:val="21"/>
                <w:szCs w:val="21"/>
              </w:rPr>
              <w:t>投资设立</w:t>
            </w:r>
          </w:p>
        </w:tc>
      </w:tr>
      <w:tr>
        <w:trPr>
          <w:trHeight w:val="288" w:hRule="exact"/>
        </w:trPr>
        <w:tc>
          <w:tcPr>
            <w:tcW w:w="109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恒生科技</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spacing w:val="2"/>
                <w:sz w:val="21"/>
                <w:szCs w:val="21"/>
              </w:rPr>
              <w:t> </w:t>
            </w:r>
            <w:r>
              <w:rPr>
                <w:rFonts w:ascii="宋体" w:hAnsi="宋体" w:cs="宋体" w:eastAsia="宋体" w:hint="default"/>
                <w:sz w:val="21"/>
                <w:szCs w:val="21"/>
              </w:rPr>
              <w:t>业</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100.00</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278"/>
              <w:jc w:val="right"/>
              <w:rPr>
                <w:rFonts w:ascii="宋体" w:hAnsi="宋体" w:cs="宋体" w:eastAsia="宋体" w:hint="default"/>
                <w:sz w:val="21"/>
                <w:szCs w:val="21"/>
              </w:rPr>
            </w:pPr>
            <w:r>
              <w:rPr>
                <w:rFonts w:ascii="宋体" w:hAnsi="宋体" w:cs="宋体" w:eastAsia="宋体" w:hint="default"/>
                <w:spacing w:val="-1"/>
                <w:sz w:val="21"/>
                <w:szCs w:val="21"/>
              </w:rPr>
              <w:t>投资设立</w:t>
            </w:r>
          </w:p>
        </w:tc>
      </w:tr>
      <w:tr>
        <w:trPr>
          <w:trHeight w:val="288" w:hRule="exact"/>
        </w:trPr>
        <w:tc>
          <w:tcPr>
            <w:tcW w:w="10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北京钱塘</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30.00</w:t>
            </w:r>
          </w:p>
        </w:tc>
        <w:tc>
          <w:tcPr>
            <w:tcW w:w="140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pacing w:val="-1"/>
                <w:sz w:val="21"/>
                <w:szCs w:val="21"/>
              </w:rPr>
              <w:t>投资设立</w:t>
            </w:r>
          </w:p>
        </w:tc>
      </w:tr>
      <w:tr>
        <w:trPr>
          <w:trHeight w:val="288" w:hRule="exact"/>
        </w:trPr>
        <w:tc>
          <w:tcPr>
            <w:tcW w:w="10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杭州云晖</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管理咨询</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pacing w:val="-1"/>
                <w:sz w:val="21"/>
                <w:szCs w:val="21"/>
              </w:rPr>
              <w:t>投资设立</w:t>
            </w:r>
          </w:p>
        </w:tc>
      </w:tr>
      <w:tr>
        <w:trPr>
          <w:trHeight w:val="286" w:hRule="exact"/>
        </w:trPr>
        <w:tc>
          <w:tcPr>
            <w:tcW w:w="10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上海易锐</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管理咨询</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70.00</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pacing w:val="-1"/>
                <w:sz w:val="21"/>
                <w:szCs w:val="21"/>
              </w:rPr>
              <w:t>投资设立</w:t>
            </w:r>
          </w:p>
        </w:tc>
      </w:tr>
      <w:tr>
        <w:trPr>
          <w:trHeight w:val="288" w:hRule="exact"/>
        </w:trPr>
        <w:tc>
          <w:tcPr>
            <w:tcW w:w="109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恒生云融</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60.00</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278"/>
              <w:jc w:val="right"/>
              <w:rPr>
                <w:rFonts w:ascii="宋体" w:hAnsi="宋体" w:cs="宋体" w:eastAsia="宋体" w:hint="default"/>
                <w:sz w:val="21"/>
                <w:szCs w:val="21"/>
              </w:rPr>
            </w:pPr>
            <w:r>
              <w:rPr>
                <w:rFonts w:ascii="宋体" w:hAnsi="宋体" w:cs="宋体" w:eastAsia="宋体" w:hint="default"/>
                <w:spacing w:val="-1"/>
                <w:sz w:val="21"/>
                <w:szCs w:val="21"/>
              </w:rPr>
              <w:t>投资设立</w:t>
            </w:r>
          </w:p>
        </w:tc>
      </w:tr>
      <w:tr>
        <w:trPr>
          <w:trHeight w:val="288" w:hRule="exact"/>
        </w:trPr>
        <w:tc>
          <w:tcPr>
            <w:tcW w:w="10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日本恒生</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日本东京</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日本东京</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48.95</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pacing w:val="-1"/>
                <w:sz w:val="21"/>
                <w:szCs w:val="21"/>
              </w:rPr>
              <w:t>投资设立</w:t>
            </w:r>
          </w:p>
        </w:tc>
      </w:tr>
      <w:tr>
        <w:trPr>
          <w:trHeight w:val="288" w:hRule="exact"/>
        </w:trPr>
        <w:tc>
          <w:tcPr>
            <w:tcW w:w="10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香港恒生</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w:t>
            </w:r>
            <w:r>
              <w:rPr>
                <w:rFonts w:ascii="宋体" w:hAnsi="宋体" w:cs="宋体" w:eastAsia="宋体" w:hint="default"/>
                <w:spacing w:val="2"/>
                <w:sz w:val="21"/>
                <w:szCs w:val="21"/>
              </w:rPr>
              <w:t> </w:t>
            </w:r>
            <w:r>
              <w:rPr>
                <w:rFonts w:ascii="宋体" w:hAnsi="宋体" w:cs="宋体" w:eastAsia="宋体" w:hint="default"/>
                <w:sz w:val="21"/>
                <w:szCs w:val="21"/>
              </w:rPr>
              <w:t>港</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w:t>
            </w:r>
            <w:r>
              <w:rPr>
                <w:rFonts w:ascii="宋体" w:hAnsi="宋体" w:cs="宋体" w:eastAsia="宋体" w:hint="default"/>
                <w:spacing w:val="2"/>
                <w:sz w:val="21"/>
                <w:szCs w:val="21"/>
              </w:rPr>
              <w:t> </w:t>
            </w:r>
            <w:r>
              <w:rPr>
                <w:rFonts w:ascii="宋体" w:hAnsi="宋体" w:cs="宋体" w:eastAsia="宋体" w:hint="default"/>
                <w:sz w:val="21"/>
                <w:szCs w:val="21"/>
              </w:rPr>
              <w:t>港</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76.00</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pacing w:val="-1"/>
                <w:sz w:val="21"/>
                <w:szCs w:val="21"/>
              </w:rPr>
              <w:t>投资设立</w:t>
            </w:r>
          </w:p>
        </w:tc>
      </w:tr>
      <w:tr>
        <w:trPr>
          <w:trHeight w:val="286" w:hRule="exact"/>
        </w:trPr>
        <w:tc>
          <w:tcPr>
            <w:tcW w:w="10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上海数淘</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30.00</w:t>
            </w:r>
          </w:p>
        </w:tc>
        <w:tc>
          <w:tcPr>
            <w:tcW w:w="140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pacing w:val="-1"/>
                <w:sz w:val="21"/>
                <w:szCs w:val="21"/>
              </w:rPr>
              <w:t>投资设立</w:t>
            </w:r>
          </w:p>
        </w:tc>
      </w:tr>
      <w:tr>
        <w:trPr>
          <w:trHeight w:val="559" w:hRule="exact"/>
        </w:trPr>
        <w:tc>
          <w:tcPr>
            <w:tcW w:w="109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上海聚源</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99.9857</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68"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6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62" w:hRule="exact"/>
        </w:trPr>
        <w:tc>
          <w:tcPr>
            <w:tcW w:w="109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上海力铭</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100.00</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left="168"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6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7" w:hRule="exact"/>
        </w:trPr>
        <w:tc>
          <w:tcPr>
            <w:tcW w:w="1094"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美国恒生</w:t>
            </w:r>
          </w:p>
        </w:tc>
        <w:tc>
          <w:tcPr>
            <w:tcW w:w="156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美国德拉威州</w:t>
            </w:r>
          </w:p>
        </w:tc>
        <w:tc>
          <w:tcPr>
            <w:tcW w:w="155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美国德拉威州</w:t>
            </w:r>
          </w:p>
        </w:tc>
        <w:tc>
          <w:tcPr>
            <w:tcW w:w="113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8" w:type="dxa"/>
            <w:tcBorders>
              <w:top w:val="single" w:sz="6" w:space="0" w:color="000000"/>
              <w:left w:val="single" w:sz="6" w:space="0" w:color="000000"/>
              <w:bottom w:val="single" w:sz="4" w:space="0" w:color="000000"/>
              <w:right w:val="single" w:sz="6" w:space="0" w:color="000000"/>
            </w:tcBorders>
          </w:tcPr>
          <w:p>
            <w:pPr/>
          </w:p>
        </w:tc>
        <w:tc>
          <w:tcPr>
            <w:tcW w:w="113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100.00</w:t>
            </w:r>
          </w:p>
        </w:tc>
        <w:tc>
          <w:tcPr>
            <w:tcW w:w="1409" w:type="dxa"/>
            <w:tcBorders>
              <w:top w:val="single" w:sz="6" w:space="0" w:color="000000"/>
              <w:left w:val="single" w:sz="6" w:space="0" w:color="000000"/>
              <w:bottom w:val="single" w:sz="4" w:space="0" w:color="000000"/>
              <w:right w:val="single" w:sz="4" w:space="0" w:color="000000"/>
            </w:tcBorders>
          </w:tcPr>
          <w:p>
            <w:pPr>
              <w:pStyle w:val="TableParagraph"/>
              <w:spacing w:line="239" w:lineRule="exact"/>
              <w:ind w:left="168"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6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bl>
    <w:p>
      <w:pPr>
        <w:spacing w:line="240" w:lineRule="auto" w:before="5"/>
        <w:rPr>
          <w:rFonts w:ascii="宋体" w:hAnsi="宋体" w:cs="宋体" w:eastAsia="宋体" w:hint="default"/>
          <w:b/>
          <w:bCs/>
          <w:sz w:val="15"/>
          <w:szCs w:val="15"/>
        </w:rPr>
      </w:pPr>
    </w:p>
    <w:p>
      <w:pPr>
        <w:pStyle w:val="BodyText"/>
        <w:spacing w:line="240" w:lineRule="auto" w:before="36"/>
        <w:ind w:right="0"/>
        <w:jc w:val="left"/>
      </w:pPr>
      <w:r>
        <w:rPr/>
        <w:t>在子公司的持股比例不同于表决权比例的说明：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72" w:lineRule="exact" w:before="64"/>
        <w:ind w:right="0"/>
        <w:jc w:val="left"/>
      </w:pPr>
      <w:r>
        <w:rPr>
          <w:spacing w:val="-2"/>
        </w:rPr>
        <w:t>持有半数或以下表决权但仍控制被投资单位、以及持有半数以上表决权但不控制被投资单位的依</w:t>
      </w:r>
      <w:r>
        <w:rPr>
          <w:spacing w:val="-25"/>
        </w:rPr>
        <w:t> </w:t>
      </w:r>
      <w:r>
        <w:rPr>
          <w:spacing w:val="-25"/>
        </w:rPr>
      </w:r>
      <w:r>
        <w:rPr/>
        <w:t>据：</w:t>
      </w:r>
    </w:p>
    <w:p>
      <w:pPr>
        <w:pStyle w:val="BodyText"/>
        <w:spacing w:line="249" w:lineRule="exact"/>
        <w:ind w:left="638" w:right="0"/>
        <w:jc w:val="left"/>
      </w:pPr>
      <w:r>
        <w:rPr/>
        <w:t>公司持有日本恒生</w:t>
      </w:r>
      <w:r>
        <w:rPr>
          <w:spacing w:val="-32"/>
        </w:rPr>
        <w:t> </w:t>
      </w:r>
      <w:r>
        <w:rPr>
          <w:rFonts w:ascii="宋体" w:hAnsi="宋体" w:cs="宋体" w:eastAsia="宋体" w:hint="default"/>
          <w:spacing w:val="-3"/>
        </w:rPr>
        <w:t>48.95%</w:t>
      </w:r>
      <w:r>
        <w:rPr>
          <w:spacing w:val="-3"/>
        </w:rPr>
        <w:t>的股权，为该公司第一大股东，该公司董事会</w:t>
      </w:r>
      <w:r>
        <w:rPr>
          <w:spacing w:val="-34"/>
        </w:rPr>
        <w:t> </w:t>
      </w:r>
      <w:r>
        <w:rPr>
          <w:rFonts w:ascii="宋体" w:hAnsi="宋体" w:cs="宋体" w:eastAsia="宋体" w:hint="default"/>
        </w:rPr>
        <w:t>5</w:t>
      </w:r>
      <w:r>
        <w:rPr>
          <w:rFonts w:ascii="宋体" w:hAnsi="宋体" w:cs="宋体" w:eastAsia="宋体" w:hint="default"/>
          <w:spacing w:val="-35"/>
        </w:rPr>
        <w:t> </w:t>
      </w:r>
      <w:r>
        <w:rPr>
          <w:spacing w:val="-4"/>
        </w:rPr>
        <w:t>名董事，其中公司</w:t>
      </w:r>
    </w:p>
    <w:p>
      <w:pPr>
        <w:pStyle w:val="BodyText"/>
        <w:spacing w:line="357" w:lineRule="auto" w:before="133"/>
        <w:ind w:left="638" w:right="207" w:hanging="420"/>
        <w:jc w:val="left"/>
      </w:pPr>
      <w:r>
        <w:rPr/>
        <w:t>委派</w:t>
      </w:r>
      <w:r>
        <w:rPr>
          <w:spacing w:val="-53"/>
        </w:rPr>
        <w:t> </w:t>
      </w:r>
      <w:r>
        <w:rPr>
          <w:rFonts w:ascii="宋体" w:hAnsi="宋体" w:cs="宋体" w:eastAsia="宋体" w:hint="default"/>
        </w:rPr>
        <w:t>3</w:t>
      </w:r>
      <w:r>
        <w:rPr>
          <w:rFonts w:ascii="宋体" w:hAnsi="宋体" w:cs="宋体" w:eastAsia="宋体" w:hint="default"/>
          <w:spacing w:val="-56"/>
        </w:rPr>
        <w:t> </w:t>
      </w:r>
      <w:r>
        <w:rPr/>
        <w:t>名董事，拥有对其的实质控制权，故将其纳入合并财务报表范围。</w:t>
      </w:r>
      <w:r>
        <w:rPr>
          <w:w w:val="100"/>
        </w:rPr>
        <w:t> </w:t>
      </w:r>
      <w:r>
        <w:rPr/>
        <w:t>公司控股子公司网络技术目前持有上海数淘</w:t>
      </w:r>
      <w:r>
        <w:rPr>
          <w:spacing w:val="-8"/>
        </w:rPr>
        <w:t> </w:t>
      </w:r>
      <w:r>
        <w:rPr>
          <w:rFonts w:ascii="宋体" w:hAnsi="宋体" w:cs="宋体" w:eastAsia="宋体" w:hint="default"/>
          <w:spacing w:val="-4"/>
        </w:rPr>
        <w:t>50.00%</w:t>
      </w:r>
      <w:r>
        <w:rPr>
          <w:spacing w:val="-4"/>
        </w:rPr>
        <w:t>的股权，根据上海数淘管理层意图，网络</w:t>
      </w:r>
    </w:p>
    <w:p>
      <w:pPr>
        <w:pStyle w:val="BodyText"/>
        <w:spacing w:line="592" w:lineRule="auto" w:before="32"/>
        <w:ind w:right="0"/>
        <w:jc w:val="left"/>
      </w:pPr>
      <w:r>
        <w:rPr/>
        <w:pict>
          <v:group style="position:absolute;margin-left:89.903999pt;margin-top:63.243675pt;width:31.6pt;height:.1pt;mso-position-horizontal-relative:page;mso-position-vertical-relative:paragraph;z-index:-1076800" coordorigin="1798,1265" coordsize="632,2">
            <v:shape style="position:absolute;left:1798;top:1265;width:632;height:2" coordorigin="1798,1265" coordsize="632,0" path="m1798,1265l2429,1265e" filled="false" stroked="true" strokeweight=".599980pt" strokecolor="#333399">
              <v:path arrowok="t"/>
            </v:shape>
            <w10:wrap type="none"/>
          </v:group>
        </w:pict>
      </w:r>
      <w:r>
        <w:rPr>
          <w:spacing w:val="-2"/>
        </w:rPr>
        <w:t>技术将成为该公司第一大股东，拥有对其的实质控制权，故将其纳入合并财务报表范围。</w:t>
      </w:r>
      <w:r>
        <w:rPr>
          <w:spacing w:val="-31"/>
        </w:rPr>
        <w:t> </w:t>
      </w:r>
      <w:r>
        <w:rPr>
          <w:spacing w:val="-31"/>
        </w:rPr>
      </w:r>
      <w:r>
        <w:rPr/>
        <w:t>对于纳入合并范围的重要的结构化主体，控制的依据：</w:t>
      </w:r>
    </w:p>
    <w:p>
      <w:pPr>
        <w:spacing w:line="240" w:lineRule="auto" w:before="2"/>
        <w:rPr>
          <w:rFonts w:ascii="宋体" w:hAnsi="宋体" w:cs="宋体" w:eastAsia="宋体" w:hint="default"/>
          <w:sz w:val="15"/>
          <w:szCs w:val="15"/>
        </w:rPr>
      </w:pPr>
    </w:p>
    <w:p>
      <w:pPr>
        <w:pStyle w:val="BodyText"/>
        <w:spacing w:line="240" w:lineRule="auto" w:before="36"/>
        <w:ind w:right="0"/>
        <w:jc w:val="left"/>
      </w:pPr>
      <w:r>
        <w:rPr/>
        <w:t>确定公司是代理人还是委托人的依据：</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right="0"/>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46"/>
          <w:footerReference w:type="default" r:id="rId47"/>
          <w:pgSz w:w="11910" w:h="16840"/>
          <w:pgMar w:header="882" w:footer="1195" w:top="1120" w:bottom="1380" w:left="1580" w:right="1060"/>
          <w:pgNumType w:start="126"/>
        </w:sectPr>
      </w:pPr>
    </w:p>
    <w:p>
      <w:pPr>
        <w:spacing w:line="240" w:lineRule="auto" w:before="1"/>
        <w:rPr>
          <w:rFonts w:ascii="宋体" w:hAnsi="宋体" w:cs="宋体" w:eastAsia="宋体" w:hint="default"/>
          <w:sz w:val="25"/>
          <w:szCs w:val="25"/>
        </w:rPr>
      </w:pPr>
    </w:p>
    <w:p>
      <w:pPr>
        <w:pStyle w:val="Heading4"/>
        <w:tabs>
          <w:tab w:pos="2321" w:val="left" w:leader="none"/>
        </w:tabs>
        <w:spacing w:line="240" w:lineRule="auto"/>
        <w:ind w:left="1678" w:right="49"/>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6" w:val="left" w:leader="none"/>
        </w:tabs>
        <w:spacing w:line="240" w:lineRule="auto" w:before="58"/>
        <w:ind w:left="0" w:right="119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565" w:type="dxa"/>
        <w:tblLayout w:type="fixed"/>
        <w:tblCellMar>
          <w:top w:w="0" w:type="dxa"/>
          <w:left w:w="0" w:type="dxa"/>
          <w:bottom w:w="0" w:type="dxa"/>
          <w:right w:w="0" w:type="dxa"/>
        </w:tblCellMar>
        <w:tblLook w:val="01E0"/>
      </w:tblPr>
      <w:tblGrid>
        <w:gridCol w:w="1613"/>
        <w:gridCol w:w="1815"/>
        <w:gridCol w:w="1935"/>
        <w:gridCol w:w="1945"/>
        <w:gridCol w:w="1742"/>
      </w:tblGrid>
      <w:tr>
        <w:trPr>
          <w:trHeight w:val="557" w:hRule="exact"/>
        </w:trPr>
        <w:tc>
          <w:tcPr>
            <w:tcW w:w="161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935"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5"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6"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288"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云投资</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30.30</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6,066,527.12</w:t>
            </w:r>
          </w:p>
        </w:tc>
        <w:tc>
          <w:tcPr>
            <w:tcW w:w="1945"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74,278,404.36</w:t>
            </w:r>
          </w:p>
        </w:tc>
      </w:tr>
      <w:tr>
        <w:trPr>
          <w:trHeight w:val="288"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无锡恒华</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45.00</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-1,842,894.67</w:t>
            </w:r>
          </w:p>
        </w:tc>
        <w:tc>
          <w:tcPr>
            <w:tcW w:w="1945"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30,486,497.96</w:t>
            </w:r>
          </w:p>
        </w:tc>
      </w:tr>
      <w:tr>
        <w:trPr>
          <w:trHeight w:val="288"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数据安全</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12.30</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204,898.81</w:t>
            </w:r>
          </w:p>
        </w:tc>
        <w:tc>
          <w:tcPr>
            <w:tcW w:w="1945"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2,273,573.86</w:t>
            </w:r>
          </w:p>
        </w:tc>
      </w:tr>
      <w:tr>
        <w:trPr>
          <w:trHeight w:val="286"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网络技术</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11.05</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-18,829,393.69</w:t>
            </w:r>
          </w:p>
        </w:tc>
        <w:tc>
          <w:tcPr>
            <w:tcW w:w="1945"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4,629,362.96</w:t>
            </w:r>
          </w:p>
        </w:tc>
      </w:tr>
      <w:tr>
        <w:trPr>
          <w:trHeight w:val="288"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日本恒生</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51.05</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872,805.98</w:t>
            </w:r>
          </w:p>
        </w:tc>
        <w:tc>
          <w:tcPr>
            <w:tcW w:w="1945"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3,763,370.86</w:t>
            </w:r>
          </w:p>
        </w:tc>
      </w:tr>
      <w:tr>
        <w:trPr>
          <w:trHeight w:val="288"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香港恒生</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6.60</w:t>
            </w:r>
          </w:p>
        </w:tc>
        <w:tc>
          <w:tcPr>
            <w:tcW w:w="1935"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1,558,345.07</w:t>
            </w:r>
          </w:p>
        </w:tc>
      </w:tr>
      <w:tr>
        <w:trPr>
          <w:trHeight w:val="288"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上海聚源</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0.0143</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-2,186.07</w:t>
            </w:r>
          </w:p>
        </w:tc>
        <w:tc>
          <w:tcPr>
            <w:tcW w:w="1945"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-3,059.77</w:t>
            </w:r>
          </w:p>
        </w:tc>
      </w:tr>
      <w:tr>
        <w:trPr>
          <w:trHeight w:val="284" w:hRule="exact"/>
        </w:trPr>
        <w:tc>
          <w:tcPr>
            <w:tcW w:w="1613"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恒生云融</w:t>
            </w:r>
          </w:p>
        </w:tc>
        <w:tc>
          <w:tcPr>
            <w:tcW w:w="181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9.67</w:t>
            </w:r>
          </w:p>
        </w:tc>
        <w:tc>
          <w:tcPr>
            <w:tcW w:w="193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-2,670,673.88</w:t>
            </w:r>
          </w:p>
        </w:tc>
        <w:tc>
          <w:tcPr>
            <w:tcW w:w="1945" w:type="dxa"/>
            <w:tcBorders>
              <w:top w:val="single" w:sz="6" w:space="0" w:color="000000"/>
              <w:left w:val="single" w:sz="6" w:space="0" w:color="000000"/>
              <w:bottom w:val="single" w:sz="4" w:space="0" w:color="000000"/>
              <w:right w:val="single" w:sz="6" w:space="0" w:color="000000"/>
            </w:tcBorders>
          </w:tcPr>
          <w:p>
            <w:pPr/>
          </w:p>
        </w:tc>
        <w:tc>
          <w:tcPr>
            <w:tcW w:w="174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3,129,735.27</w:t>
            </w:r>
          </w:p>
        </w:tc>
      </w:tr>
    </w:tbl>
    <w:p>
      <w:pPr>
        <w:spacing w:line="240" w:lineRule="auto" w:before="7"/>
        <w:rPr>
          <w:rFonts w:ascii="宋体" w:hAnsi="宋体" w:cs="宋体" w:eastAsia="宋体" w:hint="default"/>
          <w:sz w:val="15"/>
          <w:szCs w:val="15"/>
        </w:rPr>
      </w:pPr>
    </w:p>
    <w:p>
      <w:pPr>
        <w:pStyle w:val="BodyText"/>
        <w:spacing w:line="240" w:lineRule="auto" w:before="36"/>
        <w:ind w:left="1678" w:right="49"/>
        <w:jc w:val="left"/>
      </w:pPr>
      <w:r>
        <w:rPr/>
        <w:t>子公司少数股东的持股比例不同于表决权比例的说明：</w:t>
      </w:r>
    </w:p>
    <w:p>
      <w:pPr>
        <w:spacing w:line="240" w:lineRule="auto" w:before="9"/>
        <w:rPr>
          <w:rFonts w:ascii="宋体" w:hAnsi="宋体" w:cs="宋体" w:eastAsia="宋体" w:hint="default"/>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left="1678" w:right="49"/>
        <w:jc w:val="left"/>
      </w:pPr>
      <w:r>
        <w:rPr/>
        <w:t>其他说明：</w:t>
      </w:r>
    </w:p>
    <w:p>
      <w:pPr>
        <w:spacing w:line="240" w:lineRule="auto" w:before="11"/>
        <w:rPr>
          <w:rFonts w:ascii="宋体" w:hAnsi="宋体" w:cs="宋体" w:eastAsia="宋体" w:hint="default"/>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2321" w:val="left" w:leader="none"/>
        </w:tabs>
        <w:spacing w:line="240" w:lineRule="auto"/>
        <w:ind w:left="1678" w:right="49"/>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1157" w:val="left" w:leader="none"/>
        </w:tabs>
        <w:spacing w:line="240" w:lineRule="auto" w:before="56"/>
        <w:ind w:left="0" w:right="1190"/>
        <w:jc w:val="right"/>
      </w:pPr>
      <w:r>
        <w:rPr>
          <w:spacing w:val="-1"/>
        </w:rPr>
        <w:t>单位</w:t>
      </w:r>
      <w:r>
        <w:rPr>
          <w:rFonts w:ascii="宋体" w:hAnsi="宋体" w:cs="宋体" w:eastAsia="宋体" w:hint="default"/>
          <w:spacing w:val="-1"/>
        </w:rPr>
        <w:t>:</w:t>
      </w:r>
      <w:r>
        <w:rPr>
          <w:spacing w:val="-1"/>
        </w:rPr>
        <w:t>万元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071"/>
        <w:gridCol w:w="953"/>
        <w:gridCol w:w="953"/>
        <w:gridCol w:w="865"/>
        <w:gridCol w:w="842"/>
        <w:gridCol w:w="842"/>
        <w:gridCol w:w="872"/>
        <w:gridCol w:w="850"/>
        <w:gridCol w:w="902"/>
        <w:gridCol w:w="884"/>
        <w:gridCol w:w="852"/>
        <w:gridCol w:w="722"/>
        <w:gridCol w:w="852"/>
      </w:tblGrid>
      <w:tr>
        <w:trPr>
          <w:trHeight w:val="283" w:hRule="exact"/>
        </w:trPr>
        <w:tc>
          <w:tcPr>
            <w:tcW w:w="1071" w:type="dxa"/>
            <w:vMerge w:val="restart"/>
            <w:tcBorders>
              <w:top w:val="single" w:sz="4" w:space="0" w:color="000000"/>
              <w:left w:val="single" w:sz="4" w:space="0" w:color="000000"/>
              <w:right w:val="single" w:sz="6" w:space="0" w:color="000000"/>
            </w:tcBorders>
          </w:tcPr>
          <w:p>
            <w:pPr>
              <w:pStyle w:val="TableParagraph"/>
              <w:spacing w:line="272" w:lineRule="exact" w:before="137"/>
              <w:ind w:left="328" w:right="200"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5327" w:type="dxa"/>
            <w:gridSpan w:val="6"/>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063" w:type="dxa"/>
            <w:gridSpan w:val="6"/>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62" w:hRule="exact"/>
        </w:trPr>
        <w:tc>
          <w:tcPr>
            <w:tcW w:w="1071" w:type="dxa"/>
            <w:vMerge/>
            <w:tcBorders>
              <w:left w:val="single" w:sz="4"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59" w:right="0" w:hanging="3"/>
              <w:jc w:val="left"/>
              <w:rPr>
                <w:rFonts w:ascii="宋体" w:hAnsi="宋体" w:cs="宋体" w:eastAsia="宋体" w:hint="default"/>
                <w:sz w:val="21"/>
                <w:szCs w:val="21"/>
              </w:rPr>
            </w:pPr>
            <w:r>
              <w:rPr>
                <w:rFonts w:ascii="宋体" w:hAnsi="宋体" w:cs="宋体" w:eastAsia="宋体" w:hint="default"/>
                <w:sz w:val="21"/>
                <w:szCs w:val="21"/>
              </w:rPr>
              <w:t>流动</w:t>
            </w:r>
          </w:p>
          <w:p>
            <w:pPr>
              <w:pStyle w:val="TableParagraph"/>
              <w:spacing w:line="273" w:lineRule="exact"/>
              <w:ind w:left="259"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0" w:right="0"/>
              <w:jc w:val="center"/>
              <w:rPr>
                <w:rFonts w:ascii="宋体" w:hAnsi="宋体" w:cs="宋体" w:eastAsia="宋体" w:hint="default"/>
                <w:sz w:val="21"/>
                <w:szCs w:val="21"/>
              </w:rPr>
            </w:pPr>
            <w:r>
              <w:rPr>
                <w:rFonts w:ascii="宋体" w:hAnsi="宋体" w:cs="宋体" w:eastAsia="宋体" w:hint="default"/>
                <w:sz w:val="21"/>
                <w:szCs w:val="21"/>
              </w:rPr>
              <w:t>非流动</w:t>
            </w:r>
          </w:p>
          <w:p>
            <w:pPr>
              <w:pStyle w:val="TableParagraph"/>
              <w:spacing w:line="273" w:lineRule="exact"/>
              <w:ind w:left="60"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13" w:right="0" w:hanging="3"/>
              <w:jc w:val="left"/>
              <w:rPr>
                <w:rFonts w:ascii="宋体" w:hAnsi="宋体" w:cs="宋体" w:eastAsia="宋体" w:hint="default"/>
                <w:sz w:val="21"/>
                <w:szCs w:val="21"/>
              </w:rPr>
            </w:pPr>
            <w:r>
              <w:rPr>
                <w:rFonts w:ascii="宋体" w:hAnsi="宋体" w:cs="宋体" w:eastAsia="宋体" w:hint="default"/>
                <w:sz w:val="21"/>
                <w:szCs w:val="21"/>
              </w:rPr>
              <w:t>资产</w:t>
            </w:r>
          </w:p>
          <w:p>
            <w:pPr>
              <w:pStyle w:val="TableParagraph"/>
              <w:spacing w:line="273" w:lineRule="exact"/>
              <w:ind w:left="2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1" w:right="0" w:hanging="3"/>
              <w:jc w:val="left"/>
              <w:rPr>
                <w:rFonts w:ascii="宋体" w:hAnsi="宋体" w:cs="宋体" w:eastAsia="宋体" w:hint="default"/>
                <w:sz w:val="21"/>
                <w:szCs w:val="21"/>
              </w:rPr>
            </w:pPr>
            <w:r>
              <w:rPr>
                <w:rFonts w:ascii="宋体" w:hAnsi="宋体" w:cs="宋体" w:eastAsia="宋体" w:hint="default"/>
                <w:sz w:val="21"/>
                <w:szCs w:val="21"/>
              </w:rPr>
              <w:t>流动</w:t>
            </w:r>
          </w:p>
          <w:p>
            <w:pPr>
              <w:pStyle w:val="TableParagraph"/>
              <w:spacing w:line="273" w:lineRule="exact"/>
              <w:ind w:left="201"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0" w:right="0"/>
              <w:jc w:val="center"/>
              <w:rPr>
                <w:rFonts w:ascii="宋体" w:hAnsi="宋体" w:cs="宋体" w:eastAsia="宋体" w:hint="default"/>
                <w:sz w:val="21"/>
                <w:szCs w:val="21"/>
              </w:rPr>
            </w:pPr>
            <w:r>
              <w:rPr>
                <w:rFonts w:ascii="宋体" w:hAnsi="宋体" w:cs="宋体" w:eastAsia="宋体" w:hint="default"/>
                <w:sz w:val="21"/>
                <w:szCs w:val="21"/>
              </w:rPr>
              <w:t>非流动</w:t>
            </w:r>
          </w:p>
          <w:p>
            <w:pPr>
              <w:pStyle w:val="TableParagraph"/>
              <w:spacing w:line="273" w:lineRule="exact"/>
              <w:ind w:left="60"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18" w:right="0" w:hanging="3"/>
              <w:jc w:val="left"/>
              <w:rPr>
                <w:rFonts w:ascii="宋体" w:hAnsi="宋体" w:cs="宋体" w:eastAsia="宋体" w:hint="default"/>
                <w:sz w:val="21"/>
                <w:szCs w:val="21"/>
              </w:rPr>
            </w:pPr>
            <w:r>
              <w:rPr>
                <w:rFonts w:ascii="宋体" w:hAnsi="宋体" w:cs="宋体" w:eastAsia="宋体" w:hint="default"/>
                <w:sz w:val="21"/>
                <w:szCs w:val="21"/>
              </w:rPr>
              <w:t>负债</w:t>
            </w:r>
          </w:p>
          <w:p>
            <w:pPr>
              <w:pStyle w:val="TableParagraph"/>
              <w:spacing w:line="273" w:lineRule="exact"/>
              <w:ind w:left="21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6" w:right="0"/>
              <w:jc w:val="left"/>
              <w:rPr>
                <w:rFonts w:ascii="宋体" w:hAnsi="宋体" w:cs="宋体" w:eastAsia="宋体" w:hint="default"/>
                <w:sz w:val="21"/>
                <w:szCs w:val="21"/>
              </w:rPr>
            </w:pPr>
            <w:r>
              <w:rPr>
                <w:rFonts w:ascii="宋体" w:hAnsi="宋体" w:cs="宋体" w:eastAsia="宋体" w:hint="default"/>
                <w:sz w:val="21"/>
                <w:szCs w:val="21"/>
              </w:rPr>
              <w:t>流动</w:t>
            </w:r>
          </w:p>
          <w:p>
            <w:pPr>
              <w:pStyle w:val="TableParagraph"/>
              <w:spacing w:line="273" w:lineRule="exact"/>
              <w:ind w:left="206"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7" w:right="0"/>
              <w:jc w:val="center"/>
              <w:rPr>
                <w:rFonts w:ascii="宋体" w:hAnsi="宋体" w:cs="宋体" w:eastAsia="宋体" w:hint="default"/>
                <w:sz w:val="21"/>
                <w:szCs w:val="21"/>
              </w:rPr>
            </w:pPr>
            <w:r>
              <w:rPr>
                <w:rFonts w:ascii="宋体" w:hAnsi="宋体" w:cs="宋体" w:eastAsia="宋体" w:hint="default"/>
                <w:sz w:val="21"/>
                <w:szCs w:val="21"/>
              </w:rPr>
              <w:t>非流动</w:t>
            </w:r>
          </w:p>
          <w:p>
            <w:pPr>
              <w:pStyle w:val="TableParagraph"/>
              <w:spacing w:line="273" w:lineRule="exact"/>
              <w:ind w:left="57"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23" w:right="0" w:hanging="3"/>
              <w:jc w:val="left"/>
              <w:rPr>
                <w:rFonts w:ascii="宋体" w:hAnsi="宋体" w:cs="宋体" w:eastAsia="宋体" w:hint="default"/>
                <w:sz w:val="21"/>
                <w:szCs w:val="21"/>
              </w:rPr>
            </w:pPr>
            <w:r>
              <w:rPr>
                <w:rFonts w:ascii="宋体" w:hAnsi="宋体" w:cs="宋体" w:eastAsia="宋体" w:hint="default"/>
                <w:sz w:val="21"/>
                <w:szCs w:val="21"/>
              </w:rPr>
              <w:t>资产</w:t>
            </w:r>
          </w:p>
          <w:p>
            <w:pPr>
              <w:pStyle w:val="TableParagraph"/>
              <w:spacing w:line="273" w:lineRule="exact"/>
              <w:ind w:left="2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6" w:right="0"/>
              <w:jc w:val="left"/>
              <w:rPr>
                <w:rFonts w:ascii="宋体" w:hAnsi="宋体" w:cs="宋体" w:eastAsia="宋体" w:hint="default"/>
                <w:sz w:val="21"/>
                <w:szCs w:val="21"/>
              </w:rPr>
            </w:pPr>
            <w:r>
              <w:rPr>
                <w:rFonts w:ascii="宋体" w:hAnsi="宋体" w:cs="宋体" w:eastAsia="宋体" w:hint="default"/>
                <w:sz w:val="21"/>
                <w:szCs w:val="21"/>
              </w:rPr>
              <w:t>流动</w:t>
            </w:r>
          </w:p>
          <w:p>
            <w:pPr>
              <w:pStyle w:val="TableParagraph"/>
              <w:spacing w:line="273" w:lineRule="exact"/>
              <w:ind w:left="206"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5" w:right="0"/>
              <w:jc w:val="center"/>
              <w:rPr>
                <w:rFonts w:ascii="宋体" w:hAnsi="宋体" w:cs="宋体" w:eastAsia="宋体" w:hint="default"/>
                <w:sz w:val="21"/>
                <w:szCs w:val="21"/>
              </w:rPr>
            </w:pPr>
            <w:r>
              <w:rPr>
                <w:rFonts w:ascii="宋体" w:hAnsi="宋体" w:cs="宋体" w:eastAsia="宋体" w:hint="default"/>
                <w:sz w:val="21"/>
                <w:szCs w:val="21"/>
              </w:rPr>
              <w:t>非流动</w:t>
            </w:r>
          </w:p>
          <w:p>
            <w:pPr>
              <w:pStyle w:val="TableParagraph"/>
              <w:spacing w:line="273" w:lineRule="exact"/>
              <w:ind w:left="55"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852"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left="208" w:right="0" w:hanging="3"/>
              <w:jc w:val="left"/>
              <w:rPr>
                <w:rFonts w:ascii="宋体" w:hAnsi="宋体" w:cs="宋体" w:eastAsia="宋体" w:hint="default"/>
                <w:sz w:val="21"/>
                <w:szCs w:val="21"/>
              </w:rPr>
            </w:pPr>
            <w:r>
              <w:rPr>
                <w:rFonts w:ascii="宋体" w:hAnsi="宋体" w:cs="宋体" w:eastAsia="宋体" w:hint="default"/>
                <w:sz w:val="21"/>
                <w:szCs w:val="21"/>
              </w:rPr>
              <w:t>负债</w:t>
            </w:r>
          </w:p>
          <w:p>
            <w:pPr>
              <w:pStyle w:val="TableParagraph"/>
              <w:spacing w:line="273" w:lineRule="exact"/>
              <w:ind w:left="208"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286" w:hRule="exact"/>
        </w:trPr>
        <w:tc>
          <w:tcPr>
            <w:tcW w:w="10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云投资</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24,494</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24,522</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842"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22,488</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22,519</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722"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r>
      <w:tr>
        <w:trPr>
          <w:trHeight w:val="288" w:hRule="exact"/>
        </w:trPr>
        <w:tc>
          <w:tcPr>
            <w:tcW w:w="107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无锡恒华</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7,060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1,489</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8,549</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1,774</w:t>
            </w:r>
          </w:p>
        </w:tc>
        <w:tc>
          <w:tcPr>
            <w:tcW w:w="842"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1,774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8,214</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1,575</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9,789</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2,605</w:t>
            </w:r>
          </w:p>
        </w:tc>
        <w:tc>
          <w:tcPr>
            <w:tcW w:w="722"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2,605</w:t>
            </w:r>
          </w:p>
        </w:tc>
      </w:tr>
      <w:tr>
        <w:trPr>
          <w:trHeight w:val="288" w:hRule="exact"/>
        </w:trPr>
        <w:tc>
          <w:tcPr>
            <w:tcW w:w="10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数据安全</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2,387</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2,453</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604</w:t>
            </w:r>
          </w:p>
        </w:tc>
        <w:tc>
          <w:tcPr>
            <w:tcW w:w="842"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2,489</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2,528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846</w:t>
            </w:r>
          </w:p>
        </w:tc>
        <w:tc>
          <w:tcPr>
            <w:tcW w:w="722"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846</w:t>
            </w:r>
          </w:p>
        </w:tc>
      </w:tr>
      <w:tr>
        <w:trPr>
          <w:trHeight w:val="288" w:hRule="exact"/>
        </w:trPr>
        <w:tc>
          <w:tcPr>
            <w:tcW w:w="10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网络技术</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9,695</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2,567</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12,262</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6,040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5,789</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11,829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5,410</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2,071</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7,481</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2,213</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2</w:t>
            </w:r>
          </w:p>
        </w:tc>
        <w:tc>
          <w:tcPr>
            <w:tcW w:w="85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2,215</w:t>
            </w:r>
          </w:p>
        </w:tc>
      </w:tr>
      <w:tr>
        <w:trPr>
          <w:trHeight w:val="286" w:hRule="exact"/>
        </w:trPr>
        <w:tc>
          <w:tcPr>
            <w:tcW w:w="10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日本恒生</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1,852</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7</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1,859</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1,104</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1,122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860</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341</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w:t>
            </w:r>
          </w:p>
        </w:tc>
        <w:tc>
          <w:tcPr>
            <w:tcW w:w="85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354</w:t>
            </w:r>
          </w:p>
        </w:tc>
      </w:tr>
      <w:tr>
        <w:trPr>
          <w:trHeight w:val="288" w:hRule="exact"/>
        </w:trPr>
        <w:tc>
          <w:tcPr>
            <w:tcW w:w="10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香港恒生</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2,885</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128</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3,013</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649</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4</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653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786</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449</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3</w:t>
            </w:r>
          </w:p>
        </w:tc>
        <w:tc>
          <w:tcPr>
            <w:tcW w:w="85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452</w:t>
            </w:r>
          </w:p>
        </w:tc>
      </w:tr>
      <w:tr>
        <w:trPr>
          <w:trHeight w:val="288" w:hRule="exact"/>
        </w:trPr>
        <w:tc>
          <w:tcPr>
            <w:tcW w:w="10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上海聚源</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2,084</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2,142</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4,226</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6,366</w:t>
            </w:r>
          </w:p>
        </w:tc>
        <w:tc>
          <w:tcPr>
            <w:tcW w:w="842"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6,366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1,598</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2,359</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3,957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4,568</w:t>
            </w:r>
          </w:p>
        </w:tc>
        <w:tc>
          <w:tcPr>
            <w:tcW w:w="722"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4,568</w:t>
            </w:r>
          </w:p>
        </w:tc>
      </w:tr>
      <w:tr>
        <w:trPr>
          <w:trHeight w:val="286" w:hRule="exact"/>
        </w:trPr>
        <w:tc>
          <w:tcPr>
            <w:tcW w:w="107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恒生云融</w:t>
            </w:r>
          </w:p>
        </w:tc>
        <w:tc>
          <w:tcPr>
            <w:tcW w:w="95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4,150</w:t>
            </w:r>
          </w:p>
        </w:tc>
        <w:tc>
          <w:tcPr>
            <w:tcW w:w="95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113</w:t>
            </w:r>
          </w:p>
        </w:tc>
        <w:tc>
          <w:tcPr>
            <w:tcW w:w="86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4,263</w:t>
            </w:r>
          </w:p>
        </w:tc>
        <w:tc>
          <w:tcPr>
            <w:tcW w:w="84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1,026</w:t>
            </w:r>
          </w:p>
        </w:tc>
        <w:tc>
          <w:tcPr>
            <w:tcW w:w="842" w:type="dxa"/>
            <w:tcBorders>
              <w:top w:val="single" w:sz="6" w:space="0" w:color="000000"/>
              <w:left w:val="single" w:sz="6" w:space="0" w:color="000000"/>
              <w:bottom w:val="single" w:sz="4" w:space="0" w:color="000000"/>
              <w:right w:val="single" w:sz="6" w:space="0" w:color="000000"/>
            </w:tcBorders>
          </w:tcPr>
          <w:p>
            <w:pPr/>
          </w:p>
        </w:tc>
        <w:tc>
          <w:tcPr>
            <w:tcW w:w="87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1,026</w:t>
            </w:r>
          </w:p>
        </w:tc>
        <w:tc>
          <w:tcPr>
            <w:tcW w:w="850" w:type="dxa"/>
            <w:tcBorders>
              <w:top w:val="single" w:sz="6" w:space="0" w:color="000000"/>
              <w:left w:val="single" w:sz="6" w:space="0" w:color="000000"/>
              <w:bottom w:val="single" w:sz="4" w:space="0" w:color="000000"/>
              <w:right w:val="single" w:sz="6" w:space="0" w:color="000000"/>
            </w:tcBorders>
          </w:tcPr>
          <w:p>
            <w:pPr/>
          </w:p>
        </w:tc>
        <w:tc>
          <w:tcPr>
            <w:tcW w:w="902" w:type="dxa"/>
            <w:tcBorders>
              <w:top w:val="single" w:sz="6" w:space="0" w:color="000000"/>
              <w:left w:val="single" w:sz="6" w:space="0" w:color="000000"/>
              <w:bottom w:val="single" w:sz="4" w:space="0" w:color="000000"/>
              <w:right w:val="single" w:sz="6" w:space="0" w:color="000000"/>
            </w:tcBorders>
          </w:tcPr>
          <w:p>
            <w:pPr/>
          </w:p>
        </w:tc>
        <w:tc>
          <w:tcPr>
            <w:tcW w:w="884" w:type="dxa"/>
            <w:tcBorders>
              <w:top w:val="single" w:sz="6" w:space="0" w:color="000000"/>
              <w:left w:val="single" w:sz="6" w:space="0" w:color="000000"/>
              <w:bottom w:val="single" w:sz="4" w:space="0" w:color="000000"/>
              <w:right w:val="single" w:sz="6" w:space="0" w:color="000000"/>
            </w:tcBorders>
          </w:tcPr>
          <w:p>
            <w:pPr/>
          </w:p>
        </w:tc>
        <w:tc>
          <w:tcPr>
            <w:tcW w:w="852" w:type="dxa"/>
            <w:tcBorders>
              <w:top w:val="single" w:sz="6" w:space="0" w:color="000000"/>
              <w:left w:val="single" w:sz="6" w:space="0" w:color="000000"/>
              <w:bottom w:val="single" w:sz="4" w:space="0" w:color="000000"/>
              <w:right w:val="single" w:sz="6" w:space="0" w:color="000000"/>
            </w:tcBorders>
          </w:tcPr>
          <w:p>
            <w:pPr/>
          </w:p>
        </w:tc>
        <w:tc>
          <w:tcPr>
            <w:tcW w:w="722" w:type="dxa"/>
            <w:tcBorders>
              <w:top w:val="single" w:sz="6" w:space="0" w:color="000000"/>
              <w:left w:val="single" w:sz="6" w:space="0" w:color="000000"/>
              <w:bottom w:val="single" w:sz="4" w:space="0" w:color="000000"/>
              <w:right w:val="single" w:sz="6" w:space="0" w:color="000000"/>
            </w:tcBorders>
          </w:tcPr>
          <w:p>
            <w:pPr/>
          </w:p>
        </w:tc>
        <w:tc>
          <w:tcPr>
            <w:tcW w:w="852"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679" w:type="dxa"/>
        <w:tblLayout w:type="fixed"/>
        <w:tblCellMar>
          <w:top w:w="0" w:type="dxa"/>
          <w:left w:w="0" w:type="dxa"/>
          <w:bottom w:w="0" w:type="dxa"/>
          <w:right w:w="0" w:type="dxa"/>
        </w:tblCellMar>
        <w:tblLook w:val="01E0"/>
      </w:tblPr>
      <w:tblGrid>
        <w:gridCol w:w="1277"/>
        <w:gridCol w:w="1049"/>
        <w:gridCol w:w="1136"/>
        <w:gridCol w:w="1138"/>
        <w:gridCol w:w="1138"/>
        <w:gridCol w:w="1140"/>
        <w:gridCol w:w="1138"/>
        <w:gridCol w:w="1066"/>
        <w:gridCol w:w="1238"/>
      </w:tblGrid>
      <w:tr>
        <w:trPr>
          <w:trHeight w:val="325" w:hRule="exact"/>
        </w:trPr>
        <w:tc>
          <w:tcPr>
            <w:tcW w:w="1277" w:type="dxa"/>
            <w:vMerge w:val="restart"/>
            <w:tcBorders>
              <w:top w:val="single" w:sz="4" w:space="0" w:color="000000"/>
              <w:left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4460" w:type="dxa"/>
            <w:gridSpan w:val="4"/>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582" w:type="dxa"/>
            <w:gridSpan w:val="4"/>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97" w:hRule="exact"/>
        </w:trPr>
        <w:tc>
          <w:tcPr>
            <w:tcW w:w="1277" w:type="dxa"/>
            <w:vMerge/>
            <w:tcBorders>
              <w:left w:val="single" w:sz="4" w:space="0" w:color="000000"/>
              <w:bottom w:val="single" w:sz="6" w:space="0" w:color="000000"/>
              <w:right w:val="single" w:sz="6" w:space="0" w:color="000000"/>
            </w:tcBorders>
          </w:tcPr>
          <w:p>
            <w:pP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307" w:right="302" w:hanging="3"/>
              <w:jc w:val="left"/>
              <w:rPr>
                <w:rFonts w:ascii="宋体" w:hAnsi="宋体" w:cs="宋体" w:eastAsia="宋体" w:hint="default"/>
                <w:sz w:val="21"/>
                <w:szCs w:val="21"/>
              </w:rPr>
            </w:pPr>
            <w:r>
              <w:rPr>
                <w:rFonts w:ascii="宋体" w:hAnsi="宋体" w:cs="宋体" w:eastAsia="宋体" w:hint="default"/>
                <w:sz w:val="21"/>
                <w:szCs w:val="21"/>
              </w:rPr>
              <w:t>营业</w:t>
            </w:r>
            <w:r>
              <w:rPr>
                <w:rFonts w:ascii="宋体" w:hAnsi="宋体" w:cs="宋体" w:eastAsia="宋体" w:hint="default"/>
                <w:spacing w:val="-103"/>
                <w:sz w:val="21"/>
                <w:szCs w:val="21"/>
              </w:rPr>
              <w:t> </w:t>
            </w:r>
            <w:r>
              <w:rPr>
                <w:rFonts w:ascii="宋体" w:hAnsi="宋体" w:cs="宋体" w:eastAsia="宋体" w:hint="default"/>
                <w:sz w:val="21"/>
                <w:szCs w:val="21"/>
              </w:rPr>
              <w:t>收入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244" w:right="242"/>
              <w:jc w:val="left"/>
              <w:rPr>
                <w:rFonts w:ascii="宋体" w:hAnsi="宋体" w:cs="宋体" w:eastAsia="宋体" w:hint="default"/>
                <w:sz w:val="21"/>
                <w:szCs w:val="21"/>
              </w:rPr>
            </w:pPr>
            <w:r>
              <w:rPr>
                <w:rFonts w:ascii="宋体" w:hAnsi="宋体" w:cs="宋体" w:eastAsia="宋体" w:hint="default"/>
                <w:sz w:val="21"/>
                <w:szCs w:val="21"/>
              </w:rPr>
              <w:t>综合收</w:t>
            </w:r>
            <w:r>
              <w:rPr>
                <w:rFonts w:ascii="宋体" w:hAnsi="宋体" w:cs="宋体" w:eastAsia="宋体" w:hint="default"/>
                <w:spacing w:val="-102"/>
                <w:sz w:val="21"/>
                <w:szCs w:val="21"/>
              </w:rPr>
              <w:t> </w:t>
            </w:r>
            <w:r>
              <w:rPr>
                <w:rFonts w:ascii="宋体" w:hAnsi="宋体" w:cs="宋体" w:eastAsia="宋体" w:hint="default"/>
                <w:sz w:val="21"/>
                <w:szCs w:val="21"/>
              </w:rPr>
              <w:t>益总额</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41" w:right="137"/>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352" w:right="348" w:hanging="3"/>
              <w:jc w:val="left"/>
              <w:rPr>
                <w:rFonts w:ascii="宋体" w:hAnsi="宋体" w:cs="宋体" w:eastAsia="宋体" w:hint="default"/>
                <w:sz w:val="21"/>
                <w:szCs w:val="21"/>
              </w:rPr>
            </w:pPr>
            <w:r>
              <w:rPr>
                <w:rFonts w:ascii="宋体" w:hAnsi="宋体" w:cs="宋体" w:eastAsia="宋体" w:hint="default"/>
                <w:sz w:val="21"/>
                <w:szCs w:val="21"/>
              </w:rPr>
              <w:t>营业</w:t>
            </w:r>
            <w:r>
              <w:rPr>
                <w:rFonts w:ascii="宋体" w:hAnsi="宋体" w:cs="宋体" w:eastAsia="宋体" w:hint="default"/>
                <w:spacing w:val="-103"/>
                <w:sz w:val="21"/>
                <w:szCs w:val="21"/>
              </w:rPr>
              <w:t> </w:t>
            </w:r>
            <w:r>
              <w:rPr>
                <w:rFonts w:ascii="宋体" w:hAnsi="宋体" w:cs="宋体" w:eastAsia="宋体" w:hint="default"/>
                <w:sz w:val="21"/>
                <w:szCs w:val="21"/>
              </w:rPr>
              <w:t>收入</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209" w:right="206"/>
              <w:jc w:val="left"/>
              <w:rPr>
                <w:rFonts w:ascii="宋体" w:hAnsi="宋体" w:cs="宋体" w:eastAsia="宋体" w:hint="default"/>
                <w:sz w:val="21"/>
                <w:szCs w:val="21"/>
              </w:rPr>
            </w:pPr>
            <w:r>
              <w:rPr>
                <w:rFonts w:ascii="宋体" w:hAnsi="宋体" w:cs="宋体" w:eastAsia="宋体" w:hint="default"/>
                <w:sz w:val="21"/>
                <w:szCs w:val="21"/>
              </w:rPr>
              <w:t>综合收</w:t>
            </w:r>
            <w:r>
              <w:rPr>
                <w:rFonts w:ascii="宋体" w:hAnsi="宋体" w:cs="宋体" w:eastAsia="宋体" w:hint="default"/>
                <w:spacing w:val="-102"/>
                <w:sz w:val="21"/>
                <w:szCs w:val="21"/>
              </w:rPr>
              <w:t> </w:t>
            </w:r>
            <w:r>
              <w:rPr>
                <w:rFonts w:ascii="宋体" w:hAnsi="宋体" w:cs="宋体" w:eastAsia="宋体" w:hint="default"/>
                <w:sz w:val="21"/>
                <w:szCs w:val="21"/>
              </w:rPr>
              <w:t>益总额</w:t>
            </w:r>
          </w:p>
        </w:tc>
        <w:tc>
          <w:tcPr>
            <w:tcW w:w="1238"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before="113"/>
              <w:ind w:left="192" w:right="189"/>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w:t>
            </w:r>
          </w:p>
        </w:tc>
      </w:tr>
      <w:tr>
        <w:trPr>
          <w:trHeight w:val="329" w:hRule="exact"/>
        </w:trPr>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云投资</w:t>
            </w:r>
          </w:p>
        </w:tc>
        <w:tc>
          <w:tcPr>
            <w:tcW w:w="1049"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2,002</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2,002</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w:t>
            </w:r>
          </w:p>
        </w:tc>
        <w:tc>
          <w:tcPr>
            <w:tcW w:w="1140"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2,842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2,842</w:t>
            </w:r>
          </w:p>
        </w:tc>
        <w:tc>
          <w:tcPr>
            <w:tcW w:w="123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w:t>
            </w:r>
          </w:p>
        </w:tc>
      </w:tr>
      <w:tr>
        <w:trPr>
          <w:trHeight w:val="326" w:hRule="exact"/>
        </w:trPr>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无锡恒华</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767</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-410</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-410</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-96</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2,543</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118</w:t>
            </w:r>
          </w:p>
        </w:tc>
        <w:tc>
          <w:tcPr>
            <w:tcW w:w="123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1,687</w:t>
            </w:r>
          </w:p>
        </w:tc>
      </w:tr>
      <w:tr>
        <w:trPr>
          <w:trHeight w:val="329" w:hRule="exact"/>
        </w:trPr>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数据安全</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1,013</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167</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167</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-5</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1,164</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229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229</w:t>
            </w:r>
          </w:p>
        </w:tc>
        <w:tc>
          <w:tcPr>
            <w:tcW w:w="1238"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277</w:t>
            </w:r>
          </w:p>
        </w:tc>
      </w:tr>
      <w:tr>
        <w:trPr>
          <w:trHeight w:val="329" w:hRule="exact"/>
        </w:trPr>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网络技术</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28,538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-16,767</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-16,767</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-7,934</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1,458</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-3,300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-3,300</w:t>
            </w:r>
          </w:p>
        </w:tc>
        <w:tc>
          <w:tcPr>
            <w:tcW w:w="123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-2,095</w:t>
            </w:r>
          </w:p>
        </w:tc>
      </w:tr>
      <w:tr>
        <w:trPr>
          <w:trHeight w:val="329" w:hRule="exact"/>
        </w:trPr>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日本恒生</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3,663</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171</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171</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872</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2,504</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-48</w:t>
            </w:r>
          </w:p>
        </w:tc>
        <w:tc>
          <w:tcPr>
            <w:tcW w:w="123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217</w:t>
            </w:r>
          </w:p>
        </w:tc>
      </w:tr>
      <w:tr>
        <w:trPr>
          <w:trHeight w:val="326" w:hRule="exact"/>
        </w:trPr>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香港恒生</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869</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-1,029</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-1,029</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-1,066</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542</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-391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-391</w:t>
            </w:r>
          </w:p>
        </w:tc>
        <w:tc>
          <w:tcPr>
            <w:tcW w:w="123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-437</w:t>
            </w:r>
          </w:p>
        </w:tc>
      </w:tr>
      <w:tr>
        <w:trPr>
          <w:trHeight w:val="329" w:hRule="exact"/>
        </w:trPr>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上海聚源</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6,622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-1,529</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-1,529</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492</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5,288</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-1,737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-1,737</w:t>
            </w:r>
          </w:p>
        </w:tc>
        <w:tc>
          <w:tcPr>
            <w:tcW w:w="1238"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396</w:t>
            </w:r>
          </w:p>
        </w:tc>
      </w:tr>
      <w:tr>
        <w:trPr>
          <w:trHeight w:val="326" w:hRule="exact"/>
        </w:trPr>
        <w:tc>
          <w:tcPr>
            <w:tcW w:w="1277"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恒生云融</w:t>
            </w:r>
          </w:p>
        </w:tc>
        <w:tc>
          <w:tcPr>
            <w:tcW w:w="104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485</w:t>
            </w:r>
          </w:p>
        </w:tc>
        <w:tc>
          <w:tcPr>
            <w:tcW w:w="113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-2,763</w:t>
            </w:r>
          </w:p>
        </w:tc>
        <w:tc>
          <w:tcPr>
            <w:tcW w:w="113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-2,763</w:t>
            </w:r>
          </w:p>
        </w:tc>
        <w:tc>
          <w:tcPr>
            <w:tcW w:w="113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-1,936</w:t>
            </w:r>
          </w:p>
        </w:tc>
        <w:tc>
          <w:tcPr>
            <w:tcW w:w="1140" w:type="dxa"/>
            <w:tcBorders>
              <w:top w:val="single" w:sz="6" w:space="0" w:color="000000"/>
              <w:left w:val="single" w:sz="6" w:space="0" w:color="000000"/>
              <w:bottom w:val="single" w:sz="4" w:space="0" w:color="000000"/>
              <w:right w:val="single" w:sz="6" w:space="0" w:color="000000"/>
            </w:tcBorders>
          </w:tcPr>
          <w:p>
            <w:pPr/>
          </w:p>
        </w:tc>
        <w:tc>
          <w:tcPr>
            <w:tcW w:w="1138" w:type="dxa"/>
            <w:tcBorders>
              <w:top w:val="single" w:sz="6" w:space="0" w:color="000000"/>
              <w:left w:val="single" w:sz="6" w:space="0" w:color="000000"/>
              <w:bottom w:val="single" w:sz="4" w:space="0" w:color="000000"/>
              <w:right w:val="single" w:sz="6" w:space="0" w:color="000000"/>
            </w:tcBorders>
          </w:tcPr>
          <w:p>
            <w:pPr/>
          </w:p>
        </w:tc>
        <w:tc>
          <w:tcPr>
            <w:tcW w:w="1066" w:type="dxa"/>
            <w:tcBorders>
              <w:top w:val="single" w:sz="6" w:space="0" w:color="000000"/>
              <w:left w:val="single" w:sz="6" w:space="0" w:color="000000"/>
              <w:bottom w:val="single" w:sz="4" w:space="0" w:color="000000"/>
              <w:right w:val="single" w:sz="6" w:space="0" w:color="000000"/>
            </w:tcBorders>
          </w:tcPr>
          <w:p>
            <w:pPr/>
          </w:p>
        </w:tc>
        <w:tc>
          <w:tcPr>
            <w:tcW w:w="1238" w:type="dxa"/>
            <w:tcBorders>
              <w:top w:val="single" w:sz="6" w:space="0" w:color="000000"/>
              <w:left w:val="single" w:sz="6" w:space="0" w:color="000000"/>
              <w:bottom w:val="single" w:sz="4" w:space="0" w:color="000000"/>
              <w:right w:val="single" w:sz="4" w:space="0" w:color="000000"/>
            </w:tcBorders>
          </w:tcPr>
          <w:p>
            <w:pPr/>
          </w:p>
        </w:tc>
      </w:tr>
    </w:tbl>
    <w:p>
      <w:pPr>
        <w:spacing w:after="0"/>
        <w:sectPr>
          <w:pgSz w:w="11910" w:h="16840"/>
          <w:pgMar w:header="882" w:footer="1195" w:top="1120" w:bottom="1380" w:left="120" w:right="80"/>
        </w:sectPr>
      </w:pPr>
    </w:p>
    <w:p>
      <w:pPr>
        <w:spacing w:line="240" w:lineRule="auto" w:before="1"/>
        <w:rPr>
          <w:rFonts w:ascii="宋体" w:hAnsi="宋体" w:cs="宋体" w:eastAsia="宋体" w:hint="default"/>
          <w:sz w:val="25"/>
          <w:szCs w:val="25"/>
        </w:rPr>
      </w:pPr>
    </w:p>
    <w:p>
      <w:pPr>
        <w:pStyle w:val="BodyText"/>
        <w:spacing w:line="240" w:lineRule="auto" w:before="36"/>
        <w:ind w:right="2940"/>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861" w:val="left" w:leader="none"/>
        </w:tabs>
        <w:spacing w:line="240" w:lineRule="auto"/>
        <w:ind w:right="2940"/>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tabs>
          <w:tab w:pos="861" w:val="left" w:leader="none"/>
        </w:tabs>
        <w:spacing w:line="240" w:lineRule="auto"/>
        <w:ind w:right="227"/>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6"/>
          <w:szCs w:val="16"/>
        </w:rPr>
      </w:pPr>
    </w:p>
    <w:p>
      <w:pPr>
        <w:pStyle w:val="BodyText"/>
        <w:spacing w:line="240" w:lineRule="auto" w:before="36"/>
        <w:ind w:right="294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4"/>
        <w:spacing w:line="240" w:lineRule="auto"/>
        <w:ind w:right="294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90" w:lineRule="auto" w:before="58"/>
        <w:ind w:left="218" w:right="44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9"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变动时间</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变动前持股比例</w:t>
            </w:r>
            <w:r>
              <w:rPr>
                <w:rFonts w:ascii="宋体" w:hAnsi="宋体" w:cs="宋体" w:eastAsia="宋体" w:hint="default"/>
                <w:sz w:val="21"/>
                <w:szCs w:val="21"/>
              </w:rPr>
              <w:t>(%)</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变动后持股比例</w:t>
            </w:r>
            <w:r>
              <w:rPr>
                <w:rFonts w:ascii="宋体" w:hAnsi="宋体" w:cs="宋体" w:eastAsia="宋体" w:hint="default"/>
                <w:sz w:val="21"/>
                <w:szCs w:val="21"/>
              </w:rPr>
              <w:t>(%)</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网络技术</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59.00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91.30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网络技术</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91.30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香港恒生</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76.00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right="2940"/>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b w:val="0"/>
          <w:bCs w:val="0"/>
        </w:rPr>
        <w:t>：</w:t>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500"/>
        <w:gridCol w:w="2777"/>
        <w:gridCol w:w="2744"/>
      </w:tblGrid>
      <w:tr>
        <w:trPr>
          <w:trHeight w:val="286" w:hRule="exact"/>
        </w:trPr>
        <w:tc>
          <w:tcPr>
            <w:tcW w:w="3500" w:type="dxa"/>
            <w:tcBorders>
              <w:top w:val="single" w:sz="6" w:space="0" w:color="000000"/>
              <w:left w:val="single" w:sz="4" w:space="0" w:color="000000"/>
              <w:bottom w:val="single" w:sz="6" w:space="0" w:color="000000"/>
              <w:right w:val="single" w:sz="6" w:space="0" w:color="000000"/>
            </w:tcBorders>
          </w:tcPr>
          <w:p>
            <w:pP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网络技术</w:t>
            </w:r>
          </w:p>
        </w:tc>
        <w:tc>
          <w:tcPr>
            <w:tcW w:w="274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香港恒生</w:t>
            </w:r>
          </w:p>
        </w:tc>
      </w:tr>
      <w:tr>
        <w:trPr>
          <w:trHeight w:val="288" w:hRule="exact"/>
        </w:trPr>
        <w:tc>
          <w:tcPr>
            <w:tcW w:w="350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2777" w:type="dxa"/>
            <w:tcBorders>
              <w:top w:val="single" w:sz="6" w:space="0" w:color="000000"/>
              <w:left w:val="single" w:sz="6" w:space="0" w:color="000000"/>
              <w:bottom w:val="single" w:sz="6" w:space="0" w:color="000000"/>
              <w:right w:val="single" w:sz="6" w:space="0" w:color="000000"/>
            </w:tcBorders>
          </w:tcPr>
          <w:p>
            <w:pPr/>
          </w:p>
        </w:tc>
        <w:tc>
          <w:tcPr>
            <w:tcW w:w="274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5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2777" w:type="dxa"/>
            <w:tcBorders>
              <w:top w:val="single" w:sz="6" w:space="0" w:color="000000"/>
              <w:left w:val="single" w:sz="6" w:space="0" w:color="000000"/>
              <w:bottom w:val="single" w:sz="6" w:space="0" w:color="000000"/>
              <w:right w:val="single" w:sz="6" w:space="0" w:color="000000"/>
            </w:tcBorders>
          </w:tcPr>
          <w:p>
            <w:pPr/>
          </w:p>
        </w:tc>
        <w:tc>
          <w:tcPr>
            <w:tcW w:w="274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5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2777" w:type="dxa"/>
            <w:tcBorders>
              <w:top w:val="single" w:sz="6" w:space="0" w:color="000000"/>
              <w:left w:val="single" w:sz="6" w:space="0" w:color="000000"/>
              <w:bottom w:val="single" w:sz="6" w:space="0" w:color="000000"/>
              <w:right w:val="single" w:sz="6" w:space="0" w:color="000000"/>
            </w:tcBorders>
          </w:tcPr>
          <w:p>
            <w:pPr/>
          </w:p>
        </w:tc>
        <w:tc>
          <w:tcPr>
            <w:tcW w:w="2744"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500" w:type="dxa"/>
            <w:tcBorders>
              <w:top w:val="single" w:sz="6" w:space="0" w:color="000000"/>
              <w:left w:val="single" w:sz="4" w:space="0" w:color="000000"/>
              <w:bottom w:val="single" w:sz="6" w:space="0" w:color="000000"/>
              <w:right w:val="single" w:sz="6" w:space="0" w:color="000000"/>
            </w:tcBorders>
          </w:tcPr>
          <w:p>
            <w:pPr/>
          </w:p>
        </w:tc>
        <w:tc>
          <w:tcPr>
            <w:tcW w:w="2777" w:type="dxa"/>
            <w:tcBorders>
              <w:top w:val="single" w:sz="6" w:space="0" w:color="000000"/>
              <w:left w:val="single" w:sz="6" w:space="0" w:color="000000"/>
              <w:bottom w:val="single" w:sz="6" w:space="0" w:color="000000"/>
              <w:right w:val="single" w:sz="6" w:space="0" w:color="000000"/>
            </w:tcBorders>
          </w:tcPr>
          <w:p>
            <w:pPr/>
          </w:p>
        </w:tc>
        <w:tc>
          <w:tcPr>
            <w:tcW w:w="274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50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2777" w:type="dxa"/>
            <w:tcBorders>
              <w:top w:val="single" w:sz="6" w:space="0" w:color="000000"/>
              <w:left w:val="single" w:sz="6" w:space="0" w:color="000000"/>
              <w:bottom w:val="single" w:sz="6" w:space="0" w:color="000000"/>
              <w:right w:val="single" w:sz="6" w:space="0" w:color="000000"/>
            </w:tcBorders>
          </w:tcPr>
          <w:p>
            <w:pPr/>
          </w:p>
        </w:tc>
        <w:tc>
          <w:tcPr>
            <w:tcW w:w="2744"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35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宋体" w:hAnsi="宋体" w:cs="宋体" w:eastAsia="宋体" w:hint="default"/>
                <w:sz w:val="21"/>
                <w:szCs w:val="21"/>
              </w:rPr>
              <w:t>/</w:t>
            </w:r>
            <w:r>
              <w:rPr>
                <w:rFonts w:ascii="宋体" w:hAnsi="宋体" w:cs="宋体" w:eastAsia="宋体" w:hint="default"/>
                <w:sz w:val="21"/>
                <w:szCs w:val="21"/>
              </w:rPr>
              <w:t>处置的股权比例计算的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子公司净资产份额</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298,545.38</w:t>
            </w:r>
          </w:p>
        </w:tc>
        <w:tc>
          <w:tcPr>
            <w:tcW w:w="274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-4,405,220.53</w:t>
            </w:r>
          </w:p>
        </w:tc>
      </w:tr>
      <w:tr>
        <w:trPr>
          <w:trHeight w:val="288" w:hRule="exact"/>
        </w:trPr>
        <w:tc>
          <w:tcPr>
            <w:tcW w:w="350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-298,545.38</w:t>
            </w:r>
          </w:p>
        </w:tc>
        <w:tc>
          <w:tcPr>
            <w:tcW w:w="2744"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4,405,220.53</w:t>
            </w:r>
          </w:p>
        </w:tc>
      </w:tr>
      <w:tr>
        <w:trPr>
          <w:trHeight w:val="289" w:hRule="exact"/>
        </w:trPr>
        <w:tc>
          <w:tcPr>
            <w:tcW w:w="35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-298,545.38</w:t>
            </w:r>
          </w:p>
        </w:tc>
        <w:tc>
          <w:tcPr>
            <w:tcW w:w="274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4,405,220.53</w:t>
            </w:r>
          </w:p>
        </w:tc>
      </w:tr>
      <w:tr>
        <w:trPr>
          <w:trHeight w:val="286" w:hRule="exact"/>
        </w:trPr>
        <w:tc>
          <w:tcPr>
            <w:tcW w:w="35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2777" w:type="dxa"/>
            <w:tcBorders>
              <w:top w:val="single" w:sz="6" w:space="0" w:color="000000"/>
              <w:left w:val="single" w:sz="6" w:space="0" w:color="000000"/>
              <w:bottom w:val="single" w:sz="6" w:space="0" w:color="000000"/>
              <w:right w:val="single" w:sz="6" w:space="0" w:color="000000"/>
            </w:tcBorders>
          </w:tcPr>
          <w:p>
            <w:pPr/>
          </w:p>
        </w:tc>
        <w:tc>
          <w:tcPr>
            <w:tcW w:w="2744"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500"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2777" w:type="dxa"/>
            <w:tcBorders>
              <w:top w:val="single" w:sz="6" w:space="0" w:color="000000"/>
              <w:left w:val="single" w:sz="6" w:space="0" w:color="000000"/>
              <w:bottom w:val="single" w:sz="4" w:space="0" w:color="000000"/>
              <w:right w:val="single" w:sz="6" w:space="0" w:color="000000"/>
            </w:tcBorders>
          </w:tcPr>
          <w:p>
            <w:pPr/>
          </w:p>
        </w:tc>
        <w:tc>
          <w:tcPr>
            <w:tcW w:w="2744"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right="294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8"/>
        <w:ind w:right="-18"/>
        <w:jc w:val="left"/>
      </w:pPr>
      <w:r>
        <w:rPr/>
        <w:t>√适用</w:t>
      </w:r>
      <w:r>
        <w:rPr>
          <w:spacing w:val="-1"/>
        </w:rPr>
        <w:t> </w:t>
      </w:r>
      <w:r>
        <w:rPr/>
        <w:t>□不适用</w:t>
      </w:r>
    </w:p>
    <w:p>
      <w:pPr>
        <w:pStyle w:val="Heading4"/>
        <w:tabs>
          <w:tab w:pos="849" w:val="left" w:leader="none"/>
        </w:tabs>
        <w:spacing w:line="240" w:lineRule="auto" w:before="56"/>
        <w:ind w:right="-18"/>
        <w:jc w:val="left"/>
        <w:rPr>
          <w:b w:val="0"/>
          <w:bCs w:val="0"/>
        </w:rPr>
      </w:pP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591" w:space="3142"/>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31"/>
        <w:gridCol w:w="1273"/>
        <w:gridCol w:w="1267"/>
        <w:gridCol w:w="1217"/>
        <w:gridCol w:w="1039"/>
        <w:gridCol w:w="994"/>
        <w:gridCol w:w="1718"/>
      </w:tblGrid>
      <w:tr>
        <w:trPr>
          <w:trHeight w:val="464" w:hRule="exact"/>
        </w:trPr>
        <w:tc>
          <w:tcPr>
            <w:tcW w:w="1531" w:type="dxa"/>
            <w:vMerge w:val="restart"/>
            <w:tcBorders>
              <w:top w:val="single" w:sz="4" w:space="0" w:color="000000"/>
              <w:left w:val="single" w:sz="4" w:space="0" w:color="000000"/>
              <w:right w:val="single" w:sz="6" w:space="0" w:color="000000"/>
            </w:tcBorders>
          </w:tcPr>
          <w:p>
            <w:pPr>
              <w:pStyle w:val="TableParagraph"/>
              <w:spacing w:line="272" w:lineRule="exact" w:before="94"/>
              <w:ind w:left="232" w:right="124" w:hanging="104"/>
              <w:jc w:val="left"/>
              <w:rPr>
                <w:rFonts w:ascii="宋体" w:hAnsi="宋体" w:cs="宋体" w:eastAsia="宋体" w:hint="default"/>
                <w:sz w:val="21"/>
                <w:szCs w:val="21"/>
              </w:rPr>
            </w:pPr>
            <w:r>
              <w:rPr>
                <w:rFonts w:ascii="宋体" w:hAnsi="宋体" w:cs="宋体" w:eastAsia="宋体" w:hint="default"/>
                <w:sz w:val="21"/>
                <w:szCs w:val="21"/>
              </w:rPr>
              <w:t>合营企业或联</w:t>
            </w:r>
            <w:r>
              <w:rPr>
                <w:rFonts w:ascii="宋体" w:hAnsi="宋体" w:cs="宋体" w:eastAsia="宋体" w:hint="default"/>
                <w:w w:val="100"/>
                <w:sz w:val="21"/>
                <w:szCs w:val="21"/>
              </w:rPr>
              <w:t> </w:t>
            </w:r>
            <w:r>
              <w:rPr>
                <w:rFonts w:ascii="宋体" w:hAnsi="宋体" w:cs="宋体" w:eastAsia="宋体" w:hint="default"/>
                <w:sz w:val="21"/>
                <w:szCs w:val="21"/>
              </w:rPr>
              <w:t>营企业名称</w:t>
            </w:r>
          </w:p>
        </w:tc>
        <w:tc>
          <w:tcPr>
            <w:tcW w:w="1273" w:type="dxa"/>
            <w:vMerge w:val="restart"/>
            <w:tcBorders>
              <w:top w:val="single" w:sz="4"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67" w:type="dxa"/>
            <w:vMerge w:val="restart"/>
            <w:tcBorders>
              <w:top w:val="single" w:sz="4"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17" w:type="dxa"/>
            <w:vMerge w:val="restart"/>
            <w:tcBorders>
              <w:top w:val="single" w:sz="4"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033"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7"/>
              <w:ind w:left="429"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718" w:type="dxa"/>
            <w:vMerge w:val="restart"/>
            <w:tcBorders>
              <w:top w:val="single" w:sz="4" w:space="0" w:color="000000"/>
              <w:left w:val="single" w:sz="6" w:space="0" w:color="000000"/>
              <w:right w:val="single" w:sz="4" w:space="0" w:color="000000"/>
            </w:tcBorders>
          </w:tcPr>
          <w:p>
            <w:pPr>
              <w:pStyle w:val="TableParagraph"/>
              <w:spacing w:line="272" w:lineRule="exact" w:before="94"/>
              <w:ind w:left="112" w:right="117"/>
              <w:jc w:val="left"/>
              <w:rPr>
                <w:rFonts w:ascii="宋体" w:hAnsi="宋体" w:cs="宋体" w:eastAsia="宋体" w:hint="default"/>
                <w:sz w:val="21"/>
                <w:szCs w:val="21"/>
              </w:rPr>
            </w:pPr>
            <w:r>
              <w:rPr>
                <w:rFonts w:ascii="宋体" w:hAnsi="宋体" w:cs="宋体" w:eastAsia="宋体" w:hint="default"/>
                <w:sz w:val="21"/>
                <w:szCs w:val="21"/>
              </w:rPr>
              <w:t>对合营企业或联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营企业投资的会</w:t>
            </w:r>
          </w:p>
        </w:tc>
      </w:tr>
      <w:tr>
        <w:trPr>
          <w:trHeight w:val="295" w:hRule="exact"/>
        </w:trPr>
        <w:tc>
          <w:tcPr>
            <w:tcW w:w="1531" w:type="dxa"/>
            <w:vMerge/>
            <w:tcBorders>
              <w:left w:val="single" w:sz="4" w:space="0" w:color="000000"/>
              <w:bottom w:val="single" w:sz="6" w:space="0" w:color="000000"/>
              <w:right w:val="single" w:sz="6" w:space="0" w:color="000000"/>
            </w:tcBorders>
          </w:tcPr>
          <w:p>
            <w:pPr/>
          </w:p>
        </w:tc>
        <w:tc>
          <w:tcPr>
            <w:tcW w:w="1273" w:type="dxa"/>
            <w:vMerge/>
            <w:tcBorders>
              <w:left w:val="single" w:sz="6" w:space="0" w:color="000000"/>
              <w:bottom w:val="single" w:sz="6" w:space="0" w:color="000000"/>
              <w:right w:val="single" w:sz="6" w:space="0" w:color="000000"/>
            </w:tcBorders>
          </w:tcPr>
          <w:p>
            <w:pPr/>
          </w:p>
        </w:tc>
        <w:tc>
          <w:tcPr>
            <w:tcW w:w="1267" w:type="dxa"/>
            <w:vMerge/>
            <w:tcBorders>
              <w:left w:val="single" w:sz="6" w:space="0" w:color="000000"/>
              <w:bottom w:val="single" w:sz="6" w:space="0" w:color="000000"/>
              <w:right w:val="single" w:sz="6" w:space="0" w:color="000000"/>
            </w:tcBorders>
          </w:tcPr>
          <w:p>
            <w:pPr/>
          </w:p>
        </w:tc>
        <w:tc>
          <w:tcPr>
            <w:tcW w:w="1217" w:type="dxa"/>
            <w:vMerge/>
            <w:tcBorders>
              <w:left w:val="single" w:sz="6" w:space="0" w:color="000000"/>
              <w:bottom w:val="single" w:sz="6" w:space="0" w:color="000000"/>
              <w:right w:val="single" w:sz="6" w:space="0" w:color="000000"/>
            </w:tcBorders>
          </w:tcPr>
          <w:p>
            <w:pP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99"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7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718" w:type="dxa"/>
            <w:vMerge/>
            <w:tcBorders>
              <w:left w:val="single" w:sz="6" w:space="0" w:color="000000"/>
              <w:bottom w:val="single" w:sz="6"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31"/>
        <w:gridCol w:w="1273"/>
        <w:gridCol w:w="1267"/>
        <w:gridCol w:w="1217"/>
        <w:gridCol w:w="1039"/>
        <w:gridCol w:w="994"/>
        <w:gridCol w:w="1718"/>
      </w:tblGrid>
      <w:tr>
        <w:trPr>
          <w:trHeight w:val="291" w:hRule="exact"/>
        </w:trPr>
        <w:tc>
          <w:tcPr>
            <w:tcW w:w="1531" w:type="dxa"/>
            <w:tcBorders>
              <w:top w:val="single" w:sz="4" w:space="0" w:color="000000"/>
              <w:left w:val="single" w:sz="4" w:space="0" w:color="000000"/>
              <w:bottom w:val="single" w:sz="6" w:space="0" w:color="000000"/>
              <w:right w:val="single" w:sz="6" w:space="0" w:color="000000"/>
            </w:tcBorders>
          </w:tcPr>
          <w:p>
            <w:pPr/>
          </w:p>
        </w:tc>
        <w:tc>
          <w:tcPr>
            <w:tcW w:w="1273" w:type="dxa"/>
            <w:tcBorders>
              <w:top w:val="single" w:sz="4" w:space="0" w:color="000000"/>
              <w:left w:val="single" w:sz="6" w:space="0" w:color="000000"/>
              <w:bottom w:val="single" w:sz="6" w:space="0" w:color="000000"/>
              <w:right w:val="single" w:sz="6" w:space="0" w:color="000000"/>
            </w:tcBorders>
          </w:tcPr>
          <w:p>
            <w:pPr/>
          </w:p>
        </w:tc>
        <w:tc>
          <w:tcPr>
            <w:tcW w:w="1267" w:type="dxa"/>
            <w:tcBorders>
              <w:top w:val="single" w:sz="4" w:space="0" w:color="000000"/>
              <w:left w:val="single" w:sz="6" w:space="0" w:color="000000"/>
              <w:bottom w:val="single" w:sz="6" w:space="0" w:color="000000"/>
              <w:right w:val="single" w:sz="6" w:space="0" w:color="000000"/>
            </w:tcBorders>
          </w:tcPr>
          <w:p>
            <w:pPr/>
          </w:p>
        </w:tc>
        <w:tc>
          <w:tcPr>
            <w:tcW w:w="1217" w:type="dxa"/>
            <w:tcBorders>
              <w:top w:val="single" w:sz="4" w:space="0" w:color="000000"/>
              <w:left w:val="single" w:sz="6" w:space="0" w:color="000000"/>
              <w:bottom w:val="single" w:sz="6" w:space="0" w:color="000000"/>
              <w:right w:val="single" w:sz="6" w:space="0" w:color="000000"/>
            </w:tcBorders>
          </w:tcPr>
          <w:p>
            <w:pPr/>
          </w:p>
        </w:tc>
        <w:tc>
          <w:tcPr>
            <w:tcW w:w="1039" w:type="dxa"/>
            <w:tcBorders>
              <w:top w:val="single" w:sz="4" w:space="0" w:color="000000"/>
              <w:left w:val="single" w:sz="6" w:space="0" w:color="000000"/>
              <w:bottom w:val="single" w:sz="6" w:space="0" w:color="000000"/>
              <w:right w:val="single" w:sz="6" w:space="0" w:color="000000"/>
            </w:tcBorders>
          </w:tcPr>
          <w:p>
            <w:pPr/>
          </w:p>
        </w:tc>
        <w:tc>
          <w:tcPr>
            <w:tcW w:w="994" w:type="dxa"/>
            <w:tcBorders>
              <w:top w:val="single" w:sz="4" w:space="0" w:color="000000"/>
              <w:left w:val="single" w:sz="6" w:space="0" w:color="000000"/>
              <w:bottom w:val="single" w:sz="6" w:space="0" w:color="000000"/>
              <w:right w:val="single" w:sz="6" w:space="0" w:color="000000"/>
            </w:tcBorders>
          </w:tcPr>
          <w:p>
            <w:pPr/>
          </w:p>
        </w:tc>
        <w:tc>
          <w:tcPr>
            <w:tcW w:w="1718" w:type="dxa"/>
            <w:tcBorders>
              <w:top w:val="single" w:sz="4" w:space="0" w:color="000000"/>
              <w:left w:val="single" w:sz="6" w:space="0" w:color="000000"/>
              <w:bottom w:val="single" w:sz="6"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计处理方法</w:t>
            </w:r>
          </w:p>
        </w:tc>
      </w:tr>
      <w:tr>
        <w:trPr>
          <w:trHeight w:val="562" w:hRule="exact"/>
        </w:trPr>
        <w:tc>
          <w:tcPr>
            <w:tcW w:w="153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杭州恒生鼎汇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10.58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27.77</w:t>
            </w:r>
          </w:p>
        </w:tc>
        <w:tc>
          <w:tcPr>
            <w:tcW w:w="17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9" w:hRule="exact"/>
        </w:trPr>
        <w:tc>
          <w:tcPr>
            <w:tcW w:w="1531"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杭州恒生百川</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1039"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41.78</w:t>
            </w:r>
          </w:p>
        </w:tc>
        <w:tc>
          <w:tcPr>
            <w:tcW w:w="17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9" w:hRule="exact"/>
        </w:trPr>
        <w:tc>
          <w:tcPr>
            <w:tcW w:w="153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杭州数米基金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金融业</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24.0972</w:t>
            </w:r>
          </w:p>
        </w:tc>
        <w:tc>
          <w:tcPr>
            <w:tcW w:w="994"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7" w:hRule="exact"/>
        </w:trPr>
        <w:tc>
          <w:tcPr>
            <w:tcW w:w="1531"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深圳开拓者科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7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26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21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3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29.40</w:t>
            </w:r>
          </w:p>
        </w:tc>
        <w:tc>
          <w:tcPr>
            <w:tcW w:w="99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13.975</w:t>
            </w:r>
          </w:p>
        </w:tc>
        <w:tc>
          <w:tcPr>
            <w:tcW w:w="171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权益法核算</w:t>
            </w:r>
          </w:p>
        </w:tc>
      </w:tr>
    </w:tbl>
    <w:p>
      <w:pPr>
        <w:spacing w:line="240" w:lineRule="auto" w:before="7"/>
        <w:rPr>
          <w:rFonts w:ascii="宋体" w:hAnsi="宋体" w:cs="宋体" w:eastAsia="宋体" w:hint="default"/>
          <w:sz w:val="15"/>
          <w:szCs w:val="15"/>
        </w:rPr>
      </w:pPr>
    </w:p>
    <w:p>
      <w:pPr>
        <w:pStyle w:val="BodyText"/>
        <w:spacing w:line="240" w:lineRule="auto" w:before="36"/>
        <w:ind w:right="2940"/>
        <w:jc w:val="left"/>
      </w:pPr>
      <w:r>
        <w:rPr/>
        <w:t>在合营企业或联营企业的持股比例不同于表决权比例的说明：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6"/>
          <w:szCs w:val="16"/>
        </w:rPr>
      </w:pPr>
    </w:p>
    <w:p>
      <w:pPr>
        <w:pStyle w:val="BodyText"/>
        <w:spacing w:line="240" w:lineRule="auto" w:before="36"/>
        <w:ind w:right="227"/>
        <w:jc w:val="left"/>
      </w:pPr>
      <w:r>
        <w:rPr/>
        <w:t>持有</w:t>
      </w:r>
      <w:r>
        <w:rPr>
          <w:spacing w:val="-58"/>
        </w:rPr>
        <w:t> </w:t>
      </w:r>
      <w:r>
        <w:rPr>
          <w:rFonts w:ascii="宋体" w:hAnsi="宋体" w:cs="宋体" w:eastAsia="宋体" w:hint="default"/>
        </w:rPr>
        <w:t>20%</w:t>
      </w:r>
      <w:r>
        <w:rPr/>
        <w:t>以下表决权但具有重大影响，或者持有</w:t>
      </w:r>
      <w:r>
        <w:rPr>
          <w:spacing w:val="-58"/>
        </w:rPr>
        <w:t> </w:t>
      </w:r>
      <w:r>
        <w:rPr>
          <w:rFonts w:ascii="宋体" w:hAnsi="宋体" w:cs="宋体" w:eastAsia="宋体" w:hint="default"/>
        </w:rPr>
        <w:t>20%</w:t>
      </w:r>
      <w:r>
        <w:rPr/>
        <w:t>或以上表决权但不具有重大影响的依据：</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849" w:val="left" w:leader="none"/>
        </w:tabs>
        <w:spacing w:line="240" w:lineRule="auto"/>
        <w:ind w:right="2940"/>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57"/>
        <w:gridCol w:w="1548"/>
        <w:gridCol w:w="1546"/>
        <w:gridCol w:w="1501"/>
        <w:gridCol w:w="1498"/>
      </w:tblGrid>
      <w:tr>
        <w:trPr>
          <w:trHeight w:val="283" w:hRule="exact"/>
        </w:trPr>
        <w:tc>
          <w:tcPr>
            <w:tcW w:w="2957" w:type="dxa"/>
            <w:vMerge w:val="restart"/>
            <w:tcBorders>
              <w:top w:val="single" w:sz="4" w:space="0" w:color="000000"/>
              <w:left w:val="single" w:sz="4" w:space="0" w:color="000000"/>
              <w:right w:val="single" w:sz="6" w:space="0" w:color="000000"/>
            </w:tcBorders>
          </w:tcPr>
          <w:p>
            <w:pPr/>
          </w:p>
        </w:tc>
        <w:tc>
          <w:tcPr>
            <w:tcW w:w="3094"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299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2957" w:type="dxa"/>
            <w:vMerge/>
            <w:tcBorders>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投资的公允价值</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48" w:type="dxa"/>
            <w:tcBorders>
              <w:top w:val="single" w:sz="6" w:space="0" w:color="000000"/>
              <w:left w:val="single" w:sz="6" w:space="0" w:color="000000"/>
              <w:bottom w:val="single" w:sz="4" w:space="0" w:color="000000"/>
              <w:right w:val="single" w:sz="6" w:space="0" w:color="000000"/>
            </w:tcBorders>
          </w:tcPr>
          <w:p>
            <w:pPr/>
          </w:p>
        </w:tc>
        <w:tc>
          <w:tcPr>
            <w:tcW w:w="1546" w:type="dxa"/>
            <w:tcBorders>
              <w:top w:val="single" w:sz="6" w:space="0" w:color="000000"/>
              <w:left w:val="single" w:sz="6" w:space="0" w:color="000000"/>
              <w:bottom w:val="single" w:sz="4"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425" w:type="dxa"/>
        <w:tblLayout w:type="fixed"/>
        <w:tblCellMar>
          <w:top w:w="0" w:type="dxa"/>
          <w:left w:w="0" w:type="dxa"/>
          <w:bottom w:w="0" w:type="dxa"/>
          <w:right w:w="0" w:type="dxa"/>
        </w:tblCellMar>
        <w:tblLook w:val="01E0"/>
      </w:tblPr>
      <w:tblGrid>
        <w:gridCol w:w="2957"/>
        <w:gridCol w:w="1548"/>
        <w:gridCol w:w="1546"/>
        <w:gridCol w:w="1501"/>
        <w:gridCol w:w="1498"/>
      </w:tblGrid>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2957"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w:t>
            </w:r>
          </w:p>
        </w:tc>
        <w:tc>
          <w:tcPr>
            <w:tcW w:w="1548" w:type="dxa"/>
            <w:tcBorders>
              <w:top w:val="single" w:sz="6" w:space="0" w:color="000000"/>
              <w:left w:val="single" w:sz="6" w:space="0" w:color="000000"/>
              <w:bottom w:val="single" w:sz="4" w:space="0" w:color="000000"/>
              <w:right w:val="single" w:sz="6" w:space="0" w:color="000000"/>
            </w:tcBorders>
          </w:tcPr>
          <w:p>
            <w:pPr/>
          </w:p>
        </w:tc>
        <w:tc>
          <w:tcPr>
            <w:tcW w:w="1546" w:type="dxa"/>
            <w:tcBorders>
              <w:top w:val="single" w:sz="6" w:space="0" w:color="000000"/>
              <w:left w:val="single" w:sz="6" w:space="0" w:color="000000"/>
              <w:bottom w:val="single" w:sz="4" w:space="0" w:color="000000"/>
              <w:right w:val="single" w:sz="6" w:space="0" w:color="000000"/>
            </w:tcBorders>
          </w:tcPr>
          <w:p>
            <w:pPr/>
          </w:p>
        </w:tc>
        <w:tc>
          <w:tcPr>
            <w:tcW w:w="1501" w:type="dxa"/>
            <w:tcBorders>
              <w:top w:val="single" w:sz="6" w:space="0" w:color="000000"/>
              <w:left w:val="single" w:sz="6" w:space="0" w:color="000000"/>
              <w:bottom w:val="single" w:sz="4" w:space="0" w:color="000000"/>
              <w:right w:val="single" w:sz="6" w:space="0" w:color="000000"/>
            </w:tcBorders>
          </w:tcPr>
          <w:p>
            <w:pPr/>
          </w:p>
        </w:tc>
        <w:tc>
          <w:tcPr>
            <w:tcW w:w="1498"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1" w:lineRule="exact"/>
        <w:ind w:left="1538" w:right="0"/>
        <w:jc w:val="left"/>
      </w:pPr>
      <w:r>
        <w:rPr/>
        <w:t>其他说明</w:t>
      </w:r>
    </w:p>
    <w:p>
      <w:pPr>
        <w:spacing w:line="240" w:lineRule="auto" w:before="9"/>
        <w:rPr>
          <w:rFonts w:ascii="宋体" w:hAnsi="宋体" w:cs="宋体" w:eastAsia="宋体" w:hint="default"/>
          <w:sz w:val="20"/>
          <w:szCs w:val="20"/>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2169" w:val="left" w:leader="none"/>
        </w:tabs>
        <w:spacing w:line="240" w:lineRule="auto"/>
        <w:ind w:left="1538" w:right="0"/>
        <w:jc w:val="left"/>
        <w:rPr>
          <w:b w:val="0"/>
          <w:bCs w:val="0"/>
        </w:rPr>
      </w:pPr>
      <w:r>
        <w:rPr>
          <w:rFonts w:ascii="宋体" w:hAnsi="宋体" w:cs="宋体" w:eastAsia="宋体" w:hint="default"/>
          <w:w w:val="95"/>
        </w:rPr>
        <w:t>(3).</w:t>
        <w:tab/>
      </w:r>
      <w:r>
        <w:rPr/>
        <w:t>重要联营企业的主要财务信息</w:t>
      </w:r>
      <w:r>
        <w:rPr>
          <w:b w:val="0"/>
          <w:bCs w:val="0"/>
        </w:rPr>
      </w:r>
    </w:p>
    <w:p>
      <w:pPr>
        <w:pStyle w:val="BodyText"/>
        <w:tabs>
          <w:tab w:pos="1262" w:val="left" w:leader="none"/>
        </w:tabs>
        <w:spacing w:line="240" w:lineRule="auto" w:before="58"/>
        <w:ind w:left="0" w:right="121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416"/>
        <w:gridCol w:w="1279"/>
        <w:gridCol w:w="1273"/>
        <w:gridCol w:w="1279"/>
        <w:gridCol w:w="1275"/>
        <w:gridCol w:w="1409"/>
        <w:gridCol w:w="1280"/>
        <w:gridCol w:w="1121"/>
        <w:gridCol w:w="1001"/>
      </w:tblGrid>
      <w:tr>
        <w:trPr>
          <w:trHeight w:val="286" w:hRule="exact"/>
        </w:trPr>
        <w:tc>
          <w:tcPr>
            <w:tcW w:w="1416" w:type="dxa"/>
            <w:vMerge w:val="restart"/>
            <w:tcBorders>
              <w:top w:val="single" w:sz="4" w:space="0" w:color="000000"/>
              <w:left w:val="single" w:sz="4" w:space="0" w:color="000000"/>
              <w:right w:val="single" w:sz="6" w:space="0" w:color="000000"/>
            </w:tcBorders>
          </w:tcPr>
          <w:p>
            <w:pPr/>
          </w:p>
        </w:tc>
        <w:tc>
          <w:tcPr>
            <w:tcW w:w="5106" w:type="dxa"/>
            <w:gridSpan w:val="4"/>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49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4811" w:type="dxa"/>
            <w:gridSpan w:val="4"/>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34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1105" w:hRule="exact"/>
        </w:trPr>
        <w:tc>
          <w:tcPr>
            <w:tcW w:w="1416" w:type="dxa"/>
            <w:vMerge/>
            <w:tcBorders>
              <w:left w:val="single" w:sz="4"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5" w:right="103"/>
              <w:jc w:val="center"/>
              <w:rPr>
                <w:rFonts w:ascii="宋体" w:hAnsi="宋体" w:cs="宋体" w:eastAsia="宋体" w:hint="default"/>
                <w:sz w:val="21"/>
                <w:szCs w:val="21"/>
              </w:rPr>
            </w:pPr>
            <w:r>
              <w:rPr>
                <w:rFonts w:ascii="宋体" w:hAnsi="宋体" w:cs="宋体" w:eastAsia="宋体" w:hint="default"/>
                <w:sz w:val="21"/>
                <w:szCs w:val="21"/>
              </w:rPr>
              <w:t>杭州恒生鼎</w:t>
            </w:r>
            <w:r>
              <w:rPr>
                <w:rFonts w:ascii="宋体" w:hAnsi="宋体" w:cs="宋体" w:eastAsia="宋体" w:hint="default"/>
                <w:w w:val="100"/>
                <w:sz w:val="21"/>
                <w:szCs w:val="21"/>
              </w:rPr>
              <w:t> </w:t>
            </w:r>
            <w:r>
              <w:rPr>
                <w:rFonts w:ascii="宋体" w:hAnsi="宋体" w:cs="宋体" w:eastAsia="宋体" w:hint="default"/>
                <w:sz w:val="21"/>
                <w:szCs w:val="21"/>
              </w:rPr>
              <w:t>汇科技有限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101"/>
              <w:jc w:val="center"/>
              <w:rPr>
                <w:rFonts w:ascii="宋体" w:hAnsi="宋体" w:cs="宋体" w:eastAsia="宋体" w:hint="default"/>
                <w:sz w:val="21"/>
                <w:szCs w:val="21"/>
              </w:rPr>
            </w:pPr>
            <w:r>
              <w:rPr>
                <w:rFonts w:ascii="宋体" w:hAnsi="宋体" w:cs="宋体" w:eastAsia="宋体" w:hint="default"/>
                <w:sz w:val="21"/>
                <w:szCs w:val="21"/>
              </w:rPr>
              <w:t>杭州恒生百</w:t>
            </w:r>
            <w:r>
              <w:rPr>
                <w:rFonts w:ascii="宋体" w:hAnsi="宋体" w:cs="宋体" w:eastAsia="宋体" w:hint="default"/>
                <w:w w:val="100"/>
                <w:sz w:val="21"/>
                <w:szCs w:val="21"/>
              </w:rPr>
              <w:t> </w:t>
            </w:r>
            <w:r>
              <w:rPr>
                <w:rFonts w:ascii="宋体" w:hAnsi="宋体" w:cs="宋体" w:eastAsia="宋体" w:hint="default"/>
                <w:sz w:val="21"/>
                <w:szCs w:val="21"/>
              </w:rPr>
              <w:t>川科技有限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5" w:right="103"/>
              <w:jc w:val="center"/>
              <w:rPr>
                <w:rFonts w:ascii="宋体" w:hAnsi="宋体" w:cs="宋体" w:eastAsia="宋体" w:hint="default"/>
                <w:sz w:val="21"/>
                <w:szCs w:val="21"/>
              </w:rPr>
            </w:pPr>
            <w:r>
              <w:rPr>
                <w:rFonts w:ascii="宋体" w:hAnsi="宋体" w:cs="宋体" w:eastAsia="宋体" w:hint="default"/>
                <w:sz w:val="21"/>
                <w:szCs w:val="21"/>
              </w:rPr>
              <w:t>杭州数米基</w:t>
            </w:r>
            <w:r>
              <w:rPr>
                <w:rFonts w:ascii="宋体" w:hAnsi="宋体" w:cs="宋体" w:eastAsia="宋体" w:hint="default"/>
                <w:w w:val="100"/>
                <w:sz w:val="21"/>
                <w:szCs w:val="21"/>
              </w:rPr>
              <w:t> </w:t>
            </w:r>
            <w:r>
              <w:rPr>
                <w:rFonts w:ascii="宋体" w:hAnsi="宋体" w:cs="宋体" w:eastAsia="宋体" w:hint="default"/>
                <w:sz w:val="21"/>
                <w:szCs w:val="21"/>
              </w:rPr>
              <w:t>金销售有限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60" w:right="43"/>
              <w:jc w:val="center"/>
              <w:rPr>
                <w:rFonts w:ascii="宋体" w:hAnsi="宋体" w:cs="宋体" w:eastAsia="宋体" w:hint="default"/>
                <w:sz w:val="21"/>
                <w:szCs w:val="21"/>
              </w:rPr>
            </w:pPr>
            <w:r>
              <w:rPr>
                <w:rFonts w:ascii="宋体" w:hAnsi="宋体" w:cs="宋体" w:eastAsia="宋体" w:hint="default"/>
                <w:sz w:val="21"/>
                <w:szCs w:val="21"/>
              </w:rPr>
              <w:t>深圳开拓者</w:t>
            </w:r>
            <w:r>
              <w:rPr>
                <w:rFonts w:ascii="宋体" w:hAnsi="宋体" w:cs="宋体" w:eastAsia="宋体" w:hint="default"/>
                <w:w w:val="100"/>
                <w:sz w:val="21"/>
                <w:szCs w:val="21"/>
              </w:rPr>
              <w:t> </w:t>
            </w:r>
            <w:r>
              <w:rPr>
                <w:rFonts w:ascii="宋体" w:hAnsi="宋体" w:cs="宋体" w:eastAsia="宋体" w:hint="default"/>
                <w:sz w:val="21"/>
                <w:szCs w:val="21"/>
              </w:rPr>
              <w:t>科技有限公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70" w:right="168"/>
              <w:jc w:val="center"/>
              <w:rPr>
                <w:rFonts w:ascii="宋体" w:hAnsi="宋体" w:cs="宋体" w:eastAsia="宋体" w:hint="default"/>
                <w:sz w:val="21"/>
                <w:szCs w:val="21"/>
              </w:rPr>
            </w:pPr>
            <w:r>
              <w:rPr>
                <w:rFonts w:ascii="宋体" w:hAnsi="宋体" w:cs="宋体" w:eastAsia="宋体" w:hint="default"/>
                <w:sz w:val="21"/>
                <w:szCs w:val="21"/>
              </w:rPr>
              <w:t>杭州恒生鼎</w:t>
            </w:r>
            <w:r>
              <w:rPr>
                <w:rFonts w:ascii="宋体" w:hAnsi="宋体" w:cs="宋体" w:eastAsia="宋体" w:hint="default"/>
                <w:w w:val="100"/>
                <w:sz w:val="21"/>
                <w:szCs w:val="21"/>
              </w:rPr>
              <w:t> </w:t>
            </w:r>
            <w:r>
              <w:rPr>
                <w:rFonts w:ascii="宋体" w:hAnsi="宋体" w:cs="宋体" w:eastAsia="宋体" w:hint="default"/>
                <w:sz w:val="21"/>
                <w:szCs w:val="21"/>
              </w:rPr>
              <w:t>汇科技有限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5" w:right="104"/>
              <w:jc w:val="center"/>
              <w:rPr>
                <w:rFonts w:ascii="宋体" w:hAnsi="宋体" w:cs="宋体" w:eastAsia="宋体" w:hint="default"/>
                <w:sz w:val="21"/>
                <w:szCs w:val="21"/>
              </w:rPr>
            </w:pPr>
            <w:r>
              <w:rPr>
                <w:rFonts w:ascii="宋体" w:hAnsi="宋体" w:cs="宋体" w:eastAsia="宋体" w:hint="default"/>
                <w:sz w:val="21"/>
                <w:szCs w:val="21"/>
              </w:rPr>
              <w:t>杭州恒生百</w:t>
            </w:r>
            <w:r>
              <w:rPr>
                <w:rFonts w:ascii="宋体" w:hAnsi="宋体" w:cs="宋体" w:eastAsia="宋体" w:hint="default"/>
                <w:w w:val="100"/>
                <w:sz w:val="21"/>
                <w:szCs w:val="21"/>
              </w:rPr>
              <w:t> </w:t>
            </w:r>
            <w:r>
              <w:rPr>
                <w:rFonts w:ascii="宋体" w:hAnsi="宋体" w:cs="宋体" w:eastAsia="宋体" w:hint="default"/>
                <w:sz w:val="21"/>
                <w:szCs w:val="21"/>
              </w:rPr>
              <w:t>川科技有限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34" w:right="127"/>
              <w:jc w:val="both"/>
              <w:rPr>
                <w:rFonts w:ascii="宋体" w:hAnsi="宋体" w:cs="宋体" w:eastAsia="宋体" w:hint="default"/>
                <w:sz w:val="21"/>
                <w:szCs w:val="21"/>
              </w:rPr>
            </w:pPr>
            <w:r>
              <w:rPr>
                <w:rFonts w:ascii="宋体" w:hAnsi="宋体" w:cs="宋体" w:eastAsia="宋体" w:hint="default"/>
                <w:sz w:val="21"/>
                <w:szCs w:val="21"/>
              </w:rPr>
              <w:t>杭州数米</w:t>
            </w:r>
            <w:r>
              <w:rPr>
                <w:rFonts w:ascii="宋体" w:hAnsi="宋体" w:cs="宋体" w:eastAsia="宋体" w:hint="default"/>
                <w:w w:val="100"/>
                <w:sz w:val="21"/>
                <w:szCs w:val="21"/>
              </w:rPr>
              <w:t> </w:t>
            </w:r>
            <w:r>
              <w:rPr>
                <w:rFonts w:ascii="宋体" w:hAnsi="宋体" w:cs="宋体" w:eastAsia="宋体" w:hint="default"/>
                <w:sz w:val="21"/>
                <w:szCs w:val="21"/>
              </w:rPr>
              <w:t>基金销售</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5" w:right="0"/>
              <w:jc w:val="both"/>
              <w:rPr>
                <w:rFonts w:ascii="宋体" w:hAnsi="宋体" w:cs="宋体" w:eastAsia="宋体" w:hint="default"/>
                <w:sz w:val="21"/>
                <w:szCs w:val="21"/>
              </w:rPr>
            </w:pPr>
            <w:r>
              <w:rPr>
                <w:rFonts w:ascii="宋体" w:hAnsi="宋体" w:cs="宋体" w:eastAsia="宋体" w:hint="default"/>
                <w:sz w:val="21"/>
                <w:szCs w:val="21"/>
              </w:rPr>
              <w:t>深圳开</w:t>
            </w:r>
          </w:p>
          <w:p>
            <w:pPr>
              <w:pStyle w:val="TableParagraph"/>
              <w:spacing w:line="237" w:lineRule="auto" w:before="2"/>
              <w:ind w:left="175" w:right="177"/>
              <w:jc w:val="both"/>
              <w:rPr>
                <w:rFonts w:ascii="宋体" w:hAnsi="宋体" w:cs="宋体" w:eastAsia="宋体" w:hint="default"/>
                <w:sz w:val="21"/>
                <w:szCs w:val="21"/>
              </w:rPr>
            </w:pPr>
            <w:r>
              <w:rPr>
                <w:rFonts w:ascii="宋体" w:hAnsi="宋体" w:cs="宋体" w:eastAsia="宋体" w:hint="default"/>
                <w:sz w:val="21"/>
                <w:szCs w:val="21"/>
              </w:rPr>
              <w:t>拓者科</w:t>
            </w:r>
            <w:r>
              <w:rPr>
                <w:rFonts w:ascii="宋体" w:hAnsi="宋体" w:cs="宋体" w:eastAsia="宋体" w:hint="default"/>
                <w:spacing w:val="-102"/>
                <w:sz w:val="21"/>
                <w:szCs w:val="21"/>
              </w:rPr>
              <w:t> </w:t>
            </w:r>
            <w:r>
              <w:rPr>
                <w:rFonts w:ascii="宋体" w:hAnsi="宋体" w:cs="宋体" w:eastAsia="宋体" w:hint="default"/>
                <w:sz w:val="21"/>
                <w:szCs w:val="21"/>
              </w:rPr>
              <w:t>技有限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r>
      <w:tr>
        <w:trPr>
          <w:trHeight w:val="288" w:hRule="exact"/>
        </w:trPr>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107,196.39</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52,599.87</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60,748.51</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14,406.30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109,810.75</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46,698.61</w:t>
            </w: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25,458.45</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7,623.14</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553.78</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50.60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26,249.89</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7,829.75</w:t>
            </w: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132,654.84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60,223.01</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61,302.29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14,456.90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136,060.64</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54,528.36</w:t>
            </w: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16" w:type="dxa"/>
            <w:tcBorders>
              <w:top w:val="single" w:sz="6" w:space="0" w:color="000000"/>
              <w:left w:val="single" w:sz="4"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58,970.90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16,675.11</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34,862.81</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429.44</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63,644.12</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19,109.44</w:t>
            </w: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21,207.69</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20,550.00</w:t>
            </w:r>
          </w:p>
        </w:tc>
        <w:tc>
          <w:tcPr>
            <w:tcW w:w="1279"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121.95</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23,600.00</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14,800.00</w:t>
            </w: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80,178.59</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37,225.11</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34,862.81</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551.39</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87,244.12</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33,909.44</w:t>
            </w: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16" w:type="dxa"/>
            <w:tcBorders>
              <w:top w:val="single" w:sz="6" w:space="0" w:color="000000"/>
              <w:left w:val="single" w:sz="4"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2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z w:val="21"/>
              </w:rPr>
              <w:t>2.26</w:t>
            </w:r>
          </w:p>
        </w:tc>
        <w:tc>
          <w:tcPr>
            <w:tcW w:w="1409"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司股东权益</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52,476.25</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22,997.90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26,439.49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13,903.25</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48,816.52</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20,618.92</w:t>
            </w: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16" w:type="dxa"/>
            <w:tcBorders>
              <w:top w:val="single" w:sz="6" w:space="0" w:color="000000"/>
              <w:left w:val="single" w:sz="4"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w:t>
            </w:r>
          </w:p>
          <w:p>
            <w:pPr>
              <w:pStyle w:val="TableParagraph"/>
              <w:spacing w:line="272" w:lineRule="exact" w:before="27"/>
              <w:ind w:left="103" w:right="245"/>
              <w:jc w:val="left"/>
              <w:rPr>
                <w:rFonts w:ascii="宋体" w:hAnsi="宋体" w:cs="宋体" w:eastAsia="宋体" w:hint="default"/>
                <w:sz w:val="21"/>
                <w:szCs w:val="21"/>
              </w:rPr>
            </w:pPr>
            <w:r>
              <w:rPr>
                <w:rFonts w:ascii="宋体" w:hAnsi="宋体" w:cs="宋体" w:eastAsia="宋体" w:hint="default"/>
                <w:sz w:val="21"/>
                <w:szCs w:val="21"/>
              </w:rPr>
              <w:t>计算的净资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产份额</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20,124.64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9,608.52</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6,371.18</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6,030.52</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18,721.14</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7,216.62</w:t>
            </w: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-102.12</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352.04</w:t>
            </w:r>
          </w:p>
        </w:tc>
        <w:tc>
          <w:tcPr>
            <w:tcW w:w="1279"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2,832.43</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-102.12</w:t>
            </w:r>
          </w:p>
        </w:tc>
        <w:tc>
          <w:tcPr>
            <w:tcW w:w="1280"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2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352.04</w:t>
            </w:r>
          </w:p>
        </w:tc>
        <w:tc>
          <w:tcPr>
            <w:tcW w:w="1279"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4,575.70</w:t>
            </w:r>
          </w:p>
        </w:tc>
        <w:tc>
          <w:tcPr>
            <w:tcW w:w="1409"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未实现利润</w:t>
            </w:r>
          </w:p>
        </w:tc>
        <w:tc>
          <w:tcPr>
            <w:tcW w:w="12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-102.12</w:t>
            </w:r>
          </w:p>
        </w:tc>
        <w:tc>
          <w:tcPr>
            <w:tcW w:w="1273"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-1,743.27</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-102.12</w:t>
            </w:r>
          </w:p>
        </w:tc>
        <w:tc>
          <w:tcPr>
            <w:tcW w:w="1280"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w:t>
            </w:r>
          </w:p>
          <w:p>
            <w:pPr>
              <w:pStyle w:val="TableParagraph"/>
              <w:spacing w:line="272" w:lineRule="exact" w:before="27"/>
              <w:ind w:left="103" w:right="245"/>
              <w:jc w:val="left"/>
              <w:rPr>
                <w:rFonts w:ascii="宋体" w:hAnsi="宋体" w:cs="宋体" w:eastAsia="宋体" w:hint="default"/>
                <w:sz w:val="21"/>
                <w:szCs w:val="21"/>
              </w:rPr>
            </w:pPr>
            <w:r>
              <w:rPr>
                <w:rFonts w:ascii="宋体" w:hAnsi="宋体" w:cs="宋体" w:eastAsia="宋体" w:hint="default"/>
                <w:sz w:val="21"/>
                <w:szCs w:val="21"/>
              </w:rPr>
              <w:t>权益投资的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账面价值</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20,022.52</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9,960.56</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6,371.18</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8,862.95</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18,619.01</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7,216.62</w:t>
            </w: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存在公开报</w:t>
            </w:r>
          </w:p>
          <w:p>
            <w:pPr>
              <w:pStyle w:val="TableParagraph"/>
              <w:spacing w:line="237" w:lineRule="auto" w:before="2"/>
              <w:ind w:left="103" w:right="245"/>
              <w:jc w:val="both"/>
              <w:rPr>
                <w:rFonts w:ascii="宋体" w:hAnsi="宋体" w:cs="宋体" w:eastAsia="宋体" w:hint="default"/>
                <w:sz w:val="21"/>
                <w:szCs w:val="21"/>
              </w:rPr>
            </w:pPr>
            <w:r>
              <w:rPr>
                <w:rFonts w:ascii="宋体" w:hAnsi="宋体" w:cs="宋体" w:eastAsia="宋体" w:hint="default"/>
                <w:sz w:val="21"/>
                <w:szCs w:val="21"/>
              </w:rPr>
              <w:t>价的联营企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业权益投资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的公允价值</w:t>
            </w:r>
          </w:p>
        </w:tc>
        <w:tc>
          <w:tcPr>
            <w:tcW w:w="12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16" w:type="dxa"/>
            <w:tcBorders>
              <w:top w:val="single" w:sz="6" w:space="0" w:color="000000"/>
              <w:left w:val="single" w:sz="4"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32,943.83</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8,816.26</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16,949.10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2,916.41</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31,694.33</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19,577.94</w:t>
            </w: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3,659.73</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2,378.97</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3,982.29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2,056.61</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3,019.19</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5,765.52</w:t>
            </w: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279" w:type="dxa"/>
            <w:tcBorders>
              <w:top w:val="single" w:sz="6" w:space="0" w:color="000000"/>
              <w:left w:val="single" w:sz="6" w:space="0" w:color="000000"/>
              <w:bottom w:val="single" w:sz="4" w:space="0" w:color="000000"/>
              <w:right w:val="single" w:sz="6" w:space="0" w:color="000000"/>
            </w:tcBorders>
          </w:tcPr>
          <w:p>
            <w:pPr/>
          </w:p>
        </w:tc>
        <w:tc>
          <w:tcPr>
            <w:tcW w:w="1273" w:type="dxa"/>
            <w:tcBorders>
              <w:top w:val="single" w:sz="6" w:space="0" w:color="000000"/>
              <w:left w:val="single" w:sz="6" w:space="0" w:color="000000"/>
              <w:bottom w:val="single" w:sz="4" w:space="0" w:color="000000"/>
              <w:right w:val="single" w:sz="6" w:space="0" w:color="000000"/>
            </w:tcBorders>
          </w:tcPr>
          <w:p>
            <w:pPr/>
          </w:p>
        </w:tc>
        <w:tc>
          <w:tcPr>
            <w:tcW w:w="1279" w:type="dxa"/>
            <w:tcBorders>
              <w:top w:val="single" w:sz="6" w:space="0" w:color="000000"/>
              <w:left w:val="single" w:sz="6" w:space="0" w:color="000000"/>
              <w:bottom w:val="single" w:sz="4" w:space="0" w:color="000000"/>
              <w:right w:val="single" w:sz="6" w:space="0" w:color="000000"/>
            </w:tcBorders>
          </w:tcPr>
          <w:p>
            <w:pPr/>
          </w:p>
        </w:tc>
        <w:tc>
          <w:tcPr>
            <w:tcW w:w="1275" w:type="dxa"/>
            <w:tcBorders>
              <w:top w:val="single" w:sz="6" w:space="0" w:color="000000"/>
              <w:left w:val="single" w:sz="6" w:space="0" w:color="000000"/>
              <w:bottom w:val="single" w:sz="4"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48"/>
          <w:pgSz w:w="11910" w:h="16840"/>
          <w:pgMar w:footer="1195" w:header="882" w:top="1120" w:bottom="1380" w:left="260" w:right="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416"/>
        <w:gridCol w:w="1279"/>
        <w:gridCol w:w="1273"/>
        <w:gridCol w:w="1279"/>
        <w:gridCol w:w="1275"/>
        <w:gridCol w:w="1409"/>
        <w:gridCol w:w="1280"/>
        <w:gridCol w:w="1121"/>
        <w:gridCol w:w="1001"/>
      </w:tblGrid>
      <w:tr>
        <w:trPr>
          <w:trHeight w:val="562" w:hRule="exact"/>
        </w:trPr>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279" w:type="dxa"/>
            <w:tcBorders>
              <w:top w:val="single" w:sz="4" w:space="0" w:color="000000"/>
              <w:left w:val="single" w:sz="6" w:space="0" w:color="000000"/>
              <w:bottom w:val="single" w:sz="6" w:space="0" w:color="000000"/>
              <w:right w:val="single" w:sz="6" w:space="0" w:color="000000"/>
            </w:tcBorders>
          </w:tcPr>
          <w:p>
            <w:pPr/>
          </w:p>
        </w:tc>
        <w:tc>
          <w:tcPr>
            <w:tcW w:w="1273" w:type="dxa"/>
            <w:tcBorders>
              <w:top w:val="single" w:sz="4" w:space="0" w:color="000000"/>
              <w:left w:val="single" w:sz="6" w:space="0" w:color="000000"/>
              <w:bottom w:val="single" w:sz="6" w:space="0" w:color="000000"/>
              <w:right w:val="single" w:sz="6" w:space="0" w:color="000000"/>
            </w:tcBorders>
          </w:tcPr>
          <w:p>
            <w:pPr/>
          </w:p>
        </w:tc>
        <w:tc>
          <w:tcPr>
            <w:tcW w:w="1279" w:type="dxa"/>
            <w:tcBorders>
              <w:top w:val="single" w:sz="4" w:space="0" w:color="000000"/>
              <w:left w:val="single" w:sz="6" w:space="0" w:color="000000"/>
              <w:bottom w:val="single" w:sz="6" w:space="0" w:color="000000"/>
              <w:right w:val="single" w:sz="6" w:space="0" w:color="000000"/>
            </w:tcBorders>
          </w:tcPr>
          <w:p>
            <w:pPr/>
          </w:p>
        </w:tc>
        <w:tc>
          <w:tcPr>
            <w:tcW w:w="1275" w:type="dxa"/>
            <w:tcBorders>
              <w:top w:val="single" w:sz="4"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23" w:right="0"/>
              <w:jc w:val="left"/>
              <w:rPr>
                <w:rFonts w:ascii="宋体" w:hAnsi="宋体" w:cs="宋体" w:eastAsia="宋体" w:hint="default"/>
                <w:sz w:val="21"/>
                <w:szCs w:val="21"/>
              </w:rPr>
            </w:pPr>
            <w:r>
              <w:rPr>
                <w:rFonts w:ascii="宋体"/>
                <w:sz w:val="21"/>
              </w:rPr>
              <w:t>3,659.73</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4" w:right="0"/>
              <w:jc w:val="left"/>
              <w:rPr>
                <w:rFonts w:ascii="宋体" w:hAnsi="宋体" w:cs="宋体" w:eastAsia="宋体" w:hint="default"/>
                <w:sz w:val="21"/>
                <w:szCs w:val="21"/>
              </w:rPr>
            </w:pPr>
            <w:r>
              <w:rPr>
                <w:rFonts w:ascii="宋体"/>
                <w:sz w:val="21"/>
              </w:rPr>
              <w:t>2,378.97</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23" w:right="0"/>
              <w:jc w:val="left"/>
              <w:rPr>
                <w:rFonts w:ascii="宋体" w:hAnsi="宋体" w:cs="宋体" w:eastAsia="宋体" w:hint="default"/>
                <w:sz w:val="21"/>
                <w:szCs w:val="21"/>
              </w:rPr>
            </w:pPr>
            <w:r>
              <w:rPr>
                <w:rFonts w:ascii="宋体"/>
                <w:sz w:val="21"/>
              </w:rPr>
              <w:t>3,982.29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9" w:right="0"/>
              <w:jc w:val="left"/>
              <w:rPr>
                <w:rFonts w:ascii="宋体" w:hAnsi="宋体" w:cs="宋体" w:eastAsia="宋体" w:hint="default"/>
                <w:sz w:val="21"/>
                <w:szCs w:val="21"/>
              </w:rPr>
            </w:pPr>
            <w:r>
              <w:rPr>
                <w:rFonts w:ascii="宋体"/>
                <w:sz w:val="21"/>
              </w:rPr>
              <w:t>2,056.61</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3" w:right="0"/>
              <w:jc w:val="left"/>
              <w:rPr>
                <w:rFonts w:ascii="宋体" w:hAnsi="宋体" w:cs="宋体" w:eastAsia="宋体" w:hint="default"/>
                <w:sz w:val="21"/>
                <w:szCs w:val="21"/>
              </w:rPr>
            </w:pPr>
            <w:r>
              <w:rPr>
                <w:rFonts w:ascii="宋体"/>
                <w:sz w:val="21"/>
              </w:rPr>
              <w:t>3,019.19</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5,765.52</w:t>
            </w: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16" w:type="dxa"/>
            <w:tcBorders>
              <w:top w:val="single" w:sz="6" w:space="0" w:color="000000"/>
              <w:left w:val="single" w:sz="4"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828" w:hRule="exact"/>
        </w:trPr>
        <w:tc>
          <w:tcPr>
            <w:tcW w:w="1416"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w:t>
            </w:r>
          </w:p>
          <w:p>
            <w:pPr>
              <w:pStyle w:val="TableParagraph"/>
              <w:spacing w:line="240" w:lineRule="auto"/>
              <w:ind w:left="103" w:right="245"/>
              <w:jc w:val="left"/>
              <w:rPr>
                <w:rFonts w:ascii="宋体" w:hAnsi="宋体" w:cs="宋体" w:eastAsia="宋体" w:hint="default"/>
                <w:sz w:val="21"/>
                <w:szCs w:val="21"/>
              </w:rPr>
            </w:pPr>
            <w:r>
              <w:rPr>
                <w:rFonts w:ascii="宋体" w:hAnsi="宋体" w:cs="宋体" w:eastAsia="宋体" w:hint="default"/>
                <w:sz w:val="21"/>
                <w:szCs w:val="21"/>
              </w:rPr>
              <w:t>的来自联营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企业的股利</w:t>
            </w:r>
          </w:p>
        </w:tc>
        <w:tc>
          <w:tcPr>
            <w:tcW w:w="1279" w:type="dxa"/>
            <w:tcBorders>
              <w:top w:val="single" w:sz="6" w:space="0" w:color="000000"/>
              <w:left w:val="single" w:sz="6" w:space="0" w:color="000000"/>
              <w:bottom w:val="single" w:sz="4" w:space="0" w:color="000000"/>
              <w:right w:val="single" w:sz="6" w:space="0" w:color="000000"/>
            </w:tcBorders>
          </w:tcPr>
          <w:p>
            <w:pPr/>
          </w:p>
        </w:tc>
        <w:tc>
          <w:tcPr>
            <w:tcW w:w="1273" w:type="dxa"/>
            <w:tcBorders>
              <w:top w:val="single" w:sz="6" w:space="0" w:color="000000"/>
              <w:left w:val="single" w:sz="6" w:space="0" w:color="000000"/>
              <w:bottom w:val="single" w:sz="4" w:space="0" w:color="000000"/>
              <w:right w:val="single" w:sz="6" w:space="0" w:color="000000"/>
            </w:tcBorders>
          </w:tcPr>
          <w:p>
            <w:pPr/>
          </w:p>
        </w:tc>
        <w:tc>
          <w:tcPr>
            <w:tcW w:w="1279" w:type="dxa"/>
            <w:tcBorders>
              <w:top w:val="single" w:sz="6" w:space="0" w:color="000000"/>
              <w:left w:val="single" w:sz="6" w:space="0" w:color="000000"/>
              <w:bottom w:val="single" w:sz="4" w:space="0" w:color="000000"/>
              <w:right w:val="single" w:sz="6" w:space="0" w:color="000000"/>
            </w:tcBorders>
          </w:tcPr>
          <w:p>
            <w:pPr/>
          </w:p>
        </w:tc>
        <w:tc>
          <w:tcPr>
            <w:tcW w:w="1275" w:type="dxa"/>
            <w:tcBorders>
              <w:top w:val="single" w:sz="6" w:space="0" w:color="000000"/>
              <w:left w:val="single" w:sz="6" w:space="0" w:color="000000"/>
              <w:bottom w:val="single" w:sz="4" w:space="0" w:color="000000"/>
              <w:right w:val="single" w:sz="6" w:space="0" w:color="000000"/>
            </w:tcBorders>
          </w:tcPr>
          <w:p>
            <w:pPr/>
          </w:p>
        </w:tc>
        <w:tc>
          <w:tcPr>
            <w:tcW w:w="1409" w:type="dxa"/>
            <w:tcBorders>
              <w:top w:val="single" w:sz="6" w:space="0" w:color="000000"/>
              <w:left w:val="single" w:sz="6" w:space="0" w:color="000000"/>
              <w:bottom w:val="single" w:sz="4" w:space="0" w:color="000000"/>
              <w:right w:val="single" w:sz="6" w:space="0" w:color="000000"/>
            </w:tcBorders>
          </w:tcPr>
          <w:p>
            <w:pPr/>
          </w:p>
        </w:tc>
        <w:tc>
          <w:tcPr>
            <w:tcW w:w="128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2,800.00</w:t>
            </w:r>
          </w:p>
        </w:tc>
        <w:tc>
          <w:tcPr>
            <w:tcW w:w="1121" w:type="dxa"/>
            <w:tcBorders>
              <w:top w:val="single" w:sz="6" w:space="0" w:color="000000"/>
              <w:left w:val="single" w:sz="6" w:space="0" w:color="000000"/>
              <w:bottom w:val="single" w:sz="4" w:space="0" w:color="000000"/>
              <w:right w:val="single" w:sz="6" w:space="0" w:color="000000"/>
            </w:tcBorders>
          </w:tcPr>
          <w:p>
            <w:pPr/>
          </w:p>
        </w:tc>
        <w:tc>
          <w:tcPr>
            <w:tcW w:w="1001"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1538" w:right="0"/>
        <w:jc w:val="left"/>
      </w:pPr>
      <w:r>
        <w:rPr/>
        <w:t>其他说明</w:t>
      </w:r>
    </w:p>
    <w:p>
      <w:pPr>
        <w:spacing w:line="240" w:lineRule="auto" w:before="9"/>
        <w:rPr>
          <w:rFonts w:ascii="宋体" w:hAnsi="宋体" w:cs="宋体" w:eastAsia="宋体" w:hint="default"/>
          <w:sz w:val="20"/>
          <w:szCs w:val="20"/>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4"/>
        <w:tabs>
          <w:tab w:pos="2169" w:val="left" w:leader="none"/>
        </w:tabs>
        <w:spacing w:line="240" w:lineRule="auto"/>
        <w:ind w:left="1538" w:right="0"/>
        <w:jc w:val="left"/>
        <w:rPr>
          <w:b w:val="0"/>
          <w:bCs w:val="0"/>
        </w:rPr>
      </w:pPr>
      <w:r>
        <w:rPr>
          <w:rFonts w:ascii="宋体" w:hAnsi="宋体" w:cs="宋体" w:eastAsia="宋体" w:hint="default"/>
          <w:w w:val="95"/>
        </w:rPr>
        <w:t>(4).</w:t>
        <w:tab/>
      </w:r>
      <w:r>
        <w:rPr/>
        <w:t>不重要的合营企业和联营企业的汇总财务信息</w:t>
      </w:r>
      <w:r>
        <w:rPr>
          <w:b w:val="0"/>
          <w:bCs w:val="0"/>
        </w:rPr>
      </w:r>
    </w:p>
    <w:p>
      <w:pPr>
        <w:pStyle w:val="BodyText"/>
        <w:tabs>
          <w:tab w:pos="1051" w:val="left" w:leader="none"/>
        </w:tabs>
        <w:spacing w:line="240" w:lineRule="auto" w:before="58"/>
        <w:ind w:left="0" w:right="121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2905"/>
        <w:gridCol w:w="3070"/>
        <w:gridCol w:w="3075"/>
      </w:tblGrid>
      <w:tr>
        <w:trPr>
          <w:trHeight w:val="286" w:hRule="exact"/>
        </w:trPr>
        <w:tc>
          <w:tcPr>
            <w:tcW w:w="2905" w:type="dxa"/>
            <w:tcBorders>
              <w:top w:val="single" w:sz="4" w:space="0" w:color="000000"/>
              <w:left w:val="single" w:sz="4" w:space="0" w:color="000000"/>
              <w:bottom w:val="single" w:sz="6" w:space="0" w:color="000000"/>
              <w:right w:val="single" w:sz="6" w:space="0" w:color="000000"/>
            </w:tcBorders>
          </w:tcPr>
          <w:p>
            <w:pPr/>
          </w:p>
        </w:tc>
        <w:tc>
          <w:tcPr>
            <w:tcW w:w="3070"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075"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152,694,636.38</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63,510,423.76</w:t>
            </w:r>
          </w:p>
        </w:tc>
      </w:tr>
      <w:tr>
        <w:trPr>
          <w:trHeight w:val="562"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-7,464,738.09</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6,366,345.82</w:t>
            </w: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-2,910,044.15</w:t>
            </w:r>
          </w:p>
        </w:tc>
      </w:tr>
      <w:tr>
        <w:trPr>
          <w:trHeight w:val="286" w:hRule="exact"/>
        </w:trPr>
        <w:tc>
          <w:tcPr>
            <w:tcW w:w="2905"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-7,464,738.09</w:t>
            </w:r>
          </w:p>
        </w:tc>
        <w:tc>
          <w:tcPr>
            <w:tcW w:w="3075"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3,456,301.67</w:t>
            </w:r>
          </w:p>
        </w:tc>
      </w:tr>
    </w:tbl>
    <w:p>
      <w:pPr>
        <w:pStyle w:val="BodyText"/>
        <w:spacing w:line="241" w:lineRule="exact"/>
        <w:ind w:left="1538" w:right="0"/>
        <w:jc w:val="left"/>
      </w:pPr>
      <w:r>
        <w:rPr/>
        <w:t>其他说明</w:t>
      </w:r>
    </w:p>
    <w:p>
      <w:pPr>
        <w:spacing w:line="240" w:lineRule="auto" w:before="9"/>
        <w:rPr>
          <w:rFonts w:ascii="宋体" w:hAnsi="宋体" w:cs="宋体" w:eastAsia="宋体" w:hint="default"/>
          <w:sz w:val="20"/>
          <w:szCs w:val="20"/>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4"/>
        <w:tabs>
          <w:tab w:pos="2169" w:val="left" w:leader="none"/>
        </w:tabs>
        <w:spacing w:line="240" w:lineRule="auto"/>
        <w:ind w:left="1538" w:right="0"/>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spacing w:line="240" w:lineRule="auto" w:before="6"/>
        <w:rPr>
          <w:rFonts w:ascii="宋体" w:hAnsi="宋体" w:cs="宋体" w:eastAsia="宋体" w:hint="default"/>
          <w:b/>
          <w:bCs/>
          <w:sz w:val="25"/>
          <w:szCs w:val="25"/>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tabs>
          <w:tab w:pos="2169" w:val="left" w:leader="none"/>
        </w:tabs>
        <w:spacing w:line="240" w:lineRule="auto"/>
        <w:ind w:left="1538" w:right="0"/>
        <w:jc w:val="left"/>
        <w:rPr>
          <w:b w:val="0"/>
          <w:bCs w:val="0"/>
        </w:rPr>
      </w:pPr>
      <w:r>
        <w:rPr>
          <w:rFonts w:ascii="宋体" w:hAnsi="宋体" w:cs="宋体" w:eastAsia="宋体" w:hint="default"/>
          <w:w w:val="95"/>
        </w:rPr>
        <w:t>(6).</w:t>
        <w:tab/>
      </w:r>
      <w:r>
        <w:rPr/>
        <w:t>合营企业或联营企业发生的超额亏损</w:t>
      </w:r>
      <w:r>
        <w:rPr>
          <w:b w:val="0"/>
          <w:bCs w:val="0"/>
        </w:rPr>
      </w:r>
    </w:p>
    <w:p>
      <w:pPr>
        <w:pStyle w:val="BodyText"/>
        <w:tabs>
          <w:tab w:pos="946" w:val="left" w:leader="none"/>
        </w:tabs>
        <w:spacing w:line="240" w:lineRule="auto" w:before="56"/>
        <w:ind w:left="0" w:right="121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1985"/>
        <w:gridCol w:w="2266"/>
        <w:gridCol w:w="2549"/>
        <w:gridCol w:w="2249"/>
      </w:tblGrid>
      <w:tr>
        <w:trPr>
          <w:trHeight w:val="557" w:hRule="exact"/>
        </w:trPr>
        <w:tc>
          <w:tcPr>
            <w:tcW w:w="1985" w:type="dxa"/>
            <w:tcBorders>
              <w:top w:val="single" w:sz="4" w:space="0" w:color="000000"/>
              <w:left w:val="single" w:sz="4"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合营企业或联营企</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业名称</w:t>
            </w:r>
          </w:p>
        </w:tc>
        <w:tc>
          <w:tcPr>
            <w:tcW w:w="2266"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累积未确认前期累计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的损失</w:t>
            </w:r>
          </w:p>
        </w:tc>
        <w:tc>
          <w:tcPr>
            <w:tcW w:w="2549"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本期未确认的损失</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（或本期分享的净利润）</w:t>
            </w:r>
          </w:p>
        </w:tc>
        <w:tc>
          <w:tcPr>
            <w:tcW w:w="2249" w:type="dxa"/>
            <w:tcBorders>
              <w:top w:val="single" w:sz="4" w:space="0" w:color="000000"/>
              <w:left w:val="single" w:sz="6" w:space="0" w:color="000000"/>
              <w:bottom w:val="single" w:sz="6"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本期末累积未确认的</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损失</w:t>
            </w:r>
          </w:p>
        </w:tc>
      </w:tr>
      <w:tr>
        <w:trPr>
          <w:trHeight w:val="288" w:hRule="exact"/>
        </w:trPr>
        <w:tc>
          <w:tcPr>
            <w:tcW w:w="1985" w:type="dxa"/>
            <w:tcBorders>
              <w:top w:val="single" w:sz="6" w:space="0" w:color="000000"/>
              <w:left w:val="single" w:sz="4"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c>
          <w:tcPr>
            <w:tcW w:w="2249" w:type="dxa"/>
            <w:tcBorders>
              <w:top w:val="single" w:sz="6" w:space="0" w:color="000000"/>
              <w:left w:val="single" w:sz="6" w:space="0" w:color="000000"/>
              <w:bottom w:val="single" w:sz="6" w:space="0" w:color="000000"/>
              <w:right w:val="single" w:sz="4" w:space="0" w:color="000000"/>
            </w:tcBorders>
          </w:tcPr>
          <w:p>
            <w:pPr/>
          </w:p>
        </w:tc>
      </w:tr>
      <w:tr>
        <w:trPr>
          <w:trHeight w:val="283" w:hRule="exact"/>
        </w:trPr>
        <w:tc>
          <w:tcPr>
            <w:tcW w:w="1985" w:type="dxa"/>
            <w:tcBorders>
              <w:top w:val="single" w:sz="6" w:space="0" w:color="000000"/>
              <w:left w:val="single" w:sz="4" w:space="0" w:color="000000"/>
              <w:bottom w:val="single" w:sz="4" w:space="0" w:color="000000"/>
              <w:right w:val="single" w:sz="6" w:space="0" w:color="000000"/>
            </w:tcBorders>
          </w:tcPr>
          <w:p>
            <w:pPr/>
          </w:p>
        </w:tc>
        <w:tc>
          <w:tcPr>
            <w:tcW w:w="2266" w:type="dxa"/>
            <w:tcBorders>
              <w:top w:val="single" w:sz="6" w:space="0" w:color="000000"/>
              <w:left w:val="single" w:sz="6" w:space="0" w:color="000000"/>
              <w:bottom w:val="single" w:sz="4" w:space="0" w:color="000000"/>
              <w:right w:val="single" w:sz="6" w:space="0" w:color="000000"/>
            </w:tcBorders>
          </w:tcPr>
          <w:p>
            <w:pPr/>
          </w:p>
        </w:tc>
        <w:tc>
          <w:tcPr>
            <w:tcW w:w="2549" w:type="dxa"/>
            <w:tcBorders>
              <w:top w:val="single" w:sz="6" w:space="0" w:color="000000"/>
              <w:left w:val="single" w:sz="6" w:space="0" w:color="000000"/>
              <w:bottom w:val="single" w:sz="4" w:space="0" w:color="000000"/>
              <w:right w:val="single" w:sz="6" w:space="0" w:color="000000"/>
            </w:tcBorders>
          </w:tcPr>
          <w:p>
            <w:pPr/>
          </w:p>
        </w:tc>
        <w:tc>
          <w:tcPr>
            <w:tcW w:w="2249"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1" w:lineRule="exact"/>
        <w:ind w:left="1538" w:right="0"/>
        <w:jc w:val="left"/>
      </w:pPr>
      <w:r>
        <w:rPr/>
        <w:t>其他说明</w:t>
      </w:r>
    </w:p>
    <w:p>
      <w:pPr>
        <w:spacing w:line="240" w:lineRule="auto" w:before="12"/>
        <w:rPr>
          <w:rFonts w:ascii="宋体" w:hAnsi="宋体" w:cs="宋体" w:eastAsia="宋体" w:hint="default"/>
          <w:sz w:val="20"/>
          <w:szCs w:val="20"/>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49"/>
          <w:pgSz w:w="11910" w:h="16840"/>
          <w:pgMar w:footer="1195" w:header="882" w:top="1120" w:bottom="1380" w:left="260" w:right="60"/>
          <w:pgNumType w:start="131"/>
        </w:sectPr>
      </w:pPr>
    </w:p>
    <w:p>
      <w:pPr>
        <w:spacing w:line="240" w:lineRule="auto" w:before="1"/>
        <w:rPr>
          <w:rFonts w:ascii="宋体" w:hAnsi="宋体" w:cs="宋体" w:eastAsia="宋体" w:hint="default"/>
          <w:sz w:val="25"/>
          <w:szCs w:val="25"/>
        </w:rPr>
      </w:pPr>
    </w:p>
    <w:p>
      <w:pPr>
        <w:pStyle w:val="Heading4"/>
        <w:tabs>
          <w:tab w:pos="769" w:val="left" w:leader="none"/>
        </w:tabs>
        <w:spacing w:line="240" w:lineRule="auto"/>
        <w:ind w:left="138" w:right="108"/>
        <w:jc w:val="left"/>
        <w:rPr>
          <w:b w:val="0"/>
          <w:bCs w:val="0"/>
        </w:rPr>
      </w:pPr>
      <w:r>
        <w:rPr>
          <w:rFonts w:ascii="宋体" w:hAnsi="宋体" w:cs="宋体" w:eastAsia="宋体" w:hint="default"/>
          <w:w w:val="95"/>
        </w:rPr>
        <w:t>(7).</w:t>
        <w:tab/>
      </w:r>
      <w:r>
        <w:rPr/>
        <w:t>与合营企业投资相关的未确认承诺</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tabs>
          <w:tab w:pos="769" w:val="left" w:leader="none"/>
        </w:tabs>
        <w:spacing w:line="240" w:lineRule="auto"/>
        <w:ind w:left="138" w:right="108"/>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138" w:right="108"/>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8"/>
        <w:ind w:left="138" w:right="10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line="292" w:lineRule="auto" w:before="0"/>
        <w:ind w:left="138" w:right="397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spacing w:line="240" w:lineRule="auto" w:before="2"/>
        <w:rPr>
          <w:rFonts w:ascii="宋体" w:hAnsi="宋体" w:cs="宋体" w:eastAsia="宋体" w:hint="default"/>
          <w:sz w:val="17"/>
          <w:szCs w:val="17"/>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left="138" w:right="108"/>
        <w:jc w:val="left"/>
        <w:rPr>
          <w:b w:val="0"/>
          <w:bCs w:val="0"/>
        </w:rPr>
      </w:pPr>
      <w:r>
        <w:rPr>
          <w:rFonts w:ascii="宋体" w:hAnsi="宋体" w:cs="宋体" w:eastAsia="宋体" w:hint="default"/>
        </w:rPr>
        <w:t>6</w:t>
      </w:r>
      <w:r>
        <w:rPr/>
        <w:t>、</w:t>
      </w:r>
      <w:r>
        <w:rPr>
          <w:spacing w:val="-3"/>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138" w:right="108"/>
        <w:jc w:val="left"/>
        <w:rPr>
          <w:b w:val="0"/>
          <w:bCs w:val="0"/>
        </w:rPr>
      </w:pPr>
      <w:r>
        <w:rPr/>
        <w:t>十、与金融工具相关的风险</w:t>
      </w:r>
      <w:r>
        <w:rPr>
          <w:b w:val="0"/>
          <w:bCs w:val="0"/>
        </w:rPr>
      </w:r>
    </w:p>
    <w:p>
      <w:pPr>
        <w:pStyle w:val="BodyText"/>
        <w:spacing w:line="240" w:lineRule="auto" w:before="56"/>
        <w:ind w:left="138" w:right="108"/>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357" w:lineRule="auto"/>
        <w:ind w:left="138" w:right="98" w:firstLine="419"/>
        <w:jc w:val="left"/>
      </w:pPr>
      <w:r>
        <w:rPr/>
        <w:t>本公司从事风险管理的目标是在风险和收益之间取得平衡，将风险对本公司经营业绩的负面</w:t>
      </w:r>
      <w:r>
        <w:rPr>
          <w:w w:val="100"/>
        </w:rPr>
        <w:t> </w:t>
      </w:r>
      <w:r>
        <w:rPr/>
        <w:t>影响降至最低水平，使股东和其他权益投资者的利益最大化。基于该风险管理目标，本公司风险</w:t>
      </w:r>
      <w:r>
        <w:rPr>
          <w:w w:val="100"/>
        </w:rPr>
        <w:t> </w:t>
      </w:r>
      <w:r>
        <w:rPr>
          <w:spacing w:val="-4"/>
          <w:w w:val="100"/>
        </w:rPr>
        <w:t>管理的基本策略是确认和分析本公司面临的各种风险，建立适当的风险承受底线和进行风险管理，</w:t>
      </w:r>
      <w:r>
        <w:rPr>
          <w:spacing w:val="-85"/>
          <w:w w:val="100"/>
        </w:rPr>
        <w:t> </w:t>
      </w:r>
      <w:r>
        <w:rPr>
          <w:spacing w:val="-85"/>
          <w:w w:val="100"/>
        </w:rPr>
      </w:r>
      <w:r>
        <w:rPr/>
        <w:t>并及时可靠地对各种风险进行监督，将风险控制在限定的范围内。</w:t>
      </w:r>
    </w:p>
    <w:p>
      <w:pPr>
        <w:pStyle w:val="BodyText"/>
        <w:spacing w:line="355" w:lineRule="auto" w:before="30"/>
        <w:ind w:left="138" w:right="108" w:firstLine="419"/>
        <w:jc w:val="left"/>
      </w:pPr>
      <w:r>
        <w:rPr>
          <w:spacing w:val="-2"/>
        </w:rPr>
        <w:t>本公司在日常活动中面临各种与金融工具相关的风险，主要包括信用风险、流动风险及市场</w:t>
      </w:r>
      <w:r>
        <w:rPr>
          <w:w w:val="100"/>
        </w:rPr>
        <w:t> </w:t>
      </w:r>
      <w:r>
        <w:rPr/>
        <w:t>风险。管理层已审议并批准管理这些风险的政策，概括如下：</w:t>
      </w:r>
    </w:p>
    <w:p>
      <w:pPr>
        <w:pStyle w:val="BodyText"/>
        <w:spacing w:line="357" w:lineRule="auto" w:before="32"/>
        <w:ind w:left="558" w:right="534"/>
        <w:jc w:val="left"/>
      </w:pPr>
      <w:r>
        <w:rPr>
          <w:rFonts w:ascii="宋体" w:hAnsi="宋体" w:cs="宋体" w:eastAsia="宋体" w:hint="default"/>
        </w:rPr>
        <w:t>(</w:t>
      </w:r>
      <w:r>
        <w:rPr/>
        <w:t>一</w:t>
      </w:r>
      <w:r>
        <w:rPr>
          <w:rFonts w:ascii="宋体" w:hAnsi="宋体" w:cs="宋体" w:eastAsia="宋体" w:hint="default"/>
        </w:rPr>
        <w:t>) </w:t>
      </w:r>
      <w:r>
        <w:rPr/>
        <w:t>信用风险</w:t>
      </w:r>
      <w:r>
        <w:rPr>
          <w:spacing w:val="-103"/>
        </w:rPr>
        <w:t> </w:t>
      </w:r>
      <w:r>
        <w:rPr>
          <w:spacing w:val="-103"/>
        </w:rPr>
      </w:r>
      <w:r>
        <w:rPr/>
        <w:t>信用风险，是指金融工具的一方不能履行义务，造成另一方发生财务损失的风险。</w:t>
      </w:r>
      <w:r>
        <w:rPr>
          <w:w w:val="100"/>
        </w:rPr>
        <w:t> </w:t>
      </w:r>
      <w:r>
        <w:rPr>
          <w:spacing w:val="-2"/>
        </w:rPr>
        <w:t>本公司的信用风险主要来自应收款项。为控制该项风险，本公司分别采取了以下措施。</w:t>
      </w:r>
      <w:r>
        <w:rPr>
          <w:spacing w:val="-32"/>
        </w:rPr>
        <w:t> </w:t>
      </w:r>
      <w:r>
        <w:rPr>
          <w:spacing w:val="-32"/>
        </w:rPr>
      </w:r>
      <w:r>
        <w:rPr>
          <w:rFonts w:ascii="宋体" w:hAnsi="宋体" w:cs="宋体" w:eastAsia="宋体" w:hint="default"/>
        </w:rPr>
        <w:t>1. </w:t>
      </w:r>
      <w:r>
        <w:rPr/>
        <w:t>应收账款</w:t>
      </w:r>
    </w:p>
    <w:p>
      <w:pPr>
        <w:pStyle w:val="BodyText"/>
        <w:spacing w:line="357" w:lineRule="auto" w:before="30"/>
        <w:ind w:left="138" w:right="217" w:firstLine="419"/>
        <w:jc w:val="both"/>
      </w:pPr>
      <w:r>
        <w:rPr>
          <w:spacing w:val="-2"/>
        </w:rPr>
        <w:t>本公司仅与经认可的、信誉良好的第三方进行交易。按照本公司的政策，需对所有要求采用</w:t>
      </w:r>
      <w:r>
        <w:rPr>
          <w:w w:val="100"/>
        </w:rPr>
        <w:t> </w:t>
      </w:r>
      <w:r>
        <w:rPr>
          <w:spacing w:val="-2"/>
        </w:rPr>
        <w:t>信用方式进行交易的客户进行信用审核。另外，本公司对应收账款余额进行持续监控，以确保本</w:t>
      </w:r>
      <w:r>
        <w:rPr>
          <w:spacing w:val="-25"/>
        </w:rPr>
        <w:t> </w:t>
      </w:r>
      <w:r>
        <w:rPr>
          <w:spacing w:val="-25"/>
        </w:rPr>
      </w:r>
      <w:r>
        <w:rPr/>
        <w:t>公司不致面临重大坏账风险。</w:t>
      </w:r>
    </w:p>
    <w:p>
      <w:pPr>
        <w:pStyle w:val="BodyText"/>
        <w:spacing w:line="240" w:lineRule="auto" w:before="30"/>
        <w:ind w:left="558" w:right="108"/>
        <w:jc w:val="left"/>
      </w:pPr>
      <w:r>
        <w:rPr>
          <w:spacing w:val="-3"/>
        </w:rPr>
        <w:t>由于本公司的应收账款风险点分布多个合作方和多个客户，截至</w:t>
      </w:r>
      <w:r>
        <w:rPr>
          <w:spacing w:val="-46"/>
        </w:rPr>
        <w:t> </w:t>
      </w:r>
      <w:r>
        <w:rPr>
          <w:rFonts w:ascii="宋体" w:hAnsi="宋体" w:cs="宋体" w:eastAsia="宋体" w:hint="default"/>
        </w:rPr>
        <w:t>2015</w:t>
      </w:r>
      <w:r>
        <w:rPr>
          <w:rFonts w:ascii="宋体" w:hAnsi="宋体" w:cs="宋体" w:eastAsia="宋体" w:hint="default"/>
          <w:spacing w:val="-48"/>
        </w:rPr>
        <w:t> </w:t>
      </w:r>
      <w:r>
        <w:rPr/>
        <w:t>年</w:t>
      </w:r>
      <w:r>
        <w:rPr>
          <w:spacing w:val="-46"/>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8"/>
        </w:rPr>
        <w:t> </w:t>
      </w:r>
      <w:r>
        <w:rPr>
          <w:spacing w:val="-11"/>
        </w:rPr>
        <w:t>日，本公司</w:t>
      </w:r>
    </w:p>
    <w:p>
      <w:pPr>
        <w:pStyle w:val="BodyText"/>
        <w:spacing w:line="355" w:lineRule="auto" w:before="133"/>
        <w:ind w:left="138" w:right="108"/>
        <w:jc w:val="left"/>
      </w:pPr>
      <w:r>
        <w:rPr/>
        <w:t>应收账款</w:t>
      </w:r>
      <w:r>
        <w:rPr>
          <w:spacing w:val="-54"/>
        </w:rPr>
        <w:t> </w:t>
      </w:r>
      <w:r>
        <w:rPr>
          <w:rFonts w:ascii="宋体" w:hAnsi="宋体" w:cs="宋体" w:eastAsia="宋体" w:hint="default"/>
        </w:rPr>
        <w:t>12.40%</w:t>
      </w:r>
      <w:r>
        <w:rPr>
          <w:rFonts w:ascii="宋体" w:hAnsi="宋体" w:cs="宋体" w:eastAsia="宋体" w:hint="default"/>
          <w:spacing w:val="-1"/>
        </w:rPr>
        <w:t> </w:t>
      </w:r>
      <w:r>
        <w:rPr>
          <w:rFonts w:ascii="宋体" w:hAnsi="宋体" w:cs="宋体" w:eastAsia="宋体" w:hint="default"/>
        </w:rPr>
        <w:t>(2014</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w:t>
      </w:r>
      <w:r>
        <w:rPr>
          <w:rFonts w:ascii="宋体" w:hAnsi="宋体" w:cs="宋体" w:eastAsia="宋体" w:hint="default"/>
        </w:rPr>
        <w:t>14.30%)</w:t>
      </w:r>
      <w:r>
        <w:rPr/>
        <w:t>源于前五大客户，本公司不存在重大的信用集中</w:t>
      </w:r>
      <w:r>
        <w:rPr>
          <w:w w:val="100"/>
        </w:rPr>
        <w:t> </w:t>
      </w:r>
      <w:r>
        <w:rPr/>
        <w:t>风险。</w:t>
      </w:r>
    </w:p>
    <w:p>
      <w:pPr>
        <w:pStyle w:val="BodyText"/>
        <w:spacing w:line="357" w:lineRule="auto" w:before="32"/>
        <w:ind w:left="558" w:right="108"/>
        <w:jc w:val="left"/>
      </w:pPr>
      <w:r>
        <w:rPr>
          <w:rFonts w:ascii="宋体" w:hAnsi="宋体" w:cs="宋体" w:eastAsia="宋体" w:hint="default"/>
        </w:rPr>
        <w:t>2. </w:t>
      </w:r>
      <w:r>
        <w:rPr/>
        <w:t>其他应收款</w:t>
      </w:r>
      <w:r>
        <w:rPr>
          <w:w w:val="100"/>
        </w:rPr>
        <w:t> </w:t>
      </w:r>
      <w:r>
        <w:rPr>
          <w:spacing w:val="-2"/>
        </w:rPr>
        <w:t>本公司的其他应收款主要系单位往来款、保证金等，公司对此等款项与相关经济业务一并管</w:t>
      </w:r>
    </w:p>
    <w:p>
      <w:pPr>
        <w:pStyle w:val="BodyText"/>
        <w:spacing w:line="240" w:lineRule="auto" w:before="30"/>
        <w:ind w:left="138" w:right="108"/>
        <w:jc w:val="left"/>
      </w:pPr>
      <w:r>
        <w:rPr/>
        <w:t>理并持续监控，以确保本公司不致面临重大坏账风险。</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238" w:right="312" w:firstLine="419"/>
        <w:jc w:val="left"/>
      </w:pPr>
      <w:r>
        <w:rPr>
          <w:rFonts w:ascii="宋体" w:hAnsi="宋体" w:cs="宋体" w:eastAsia="宋体" w:hint="default"/>
        </w:rPr>
        <w:t>(1)</w:t>
      </w:r>
      <w:r>
        <w:rPr>
          <w:rFonts w:ascii="宋体" w:hAnsi="宋体" w:cs="宋体" w:eastAsia="宋体" w:hint="default"/>
          <w:spacing w:val="-3"/>
        </w:rPr>
        <w:t> </w:t>
      </w:r>
      <w:r>
        <w:rPr/>
        <w:t>本公司的应收款项中尚未逾期和发生减值的金额，以及虽已逾期但未减值的金额和逾期</w:t>
      </w:r>
      <w:r>
        <w:rPr>
          <w:w w:val="100"/>
        </w:rPr>
        <w:t> </w:t>
      </w:r>
      <w:r>
        <w:rPr/>
        <w:t>账龄分析如下：</w:t>
      </w:r>
    </w:p>
    <w:p>
      <w:pPr>
        <w:spacing w:line="240" w:lineRule="auto" w:before="12"/>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1385"/>
        <w:gridCol w:w="1652"/>
        <w:gridCol w:w="1385"/>
        <w:gridCol w:w="1373"/>
        <w:gridCol w:w="1373"/>
        <w:gridCol w:w="1371"/>
      </w:tblGrid>
      <w:tr>
        <w:trPr>
          <w:trHeight w:val="252" w:hRule="exact"/>
        </w:trPr>
        <w:tc>
          <w:tcPr>
            <w:tcW w:w="1385"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153" w:type="dxa"/>
            <w:gridSpan w:val="5"/>
            <w:tcBorders>
              <w:top w:val="single" w:sz="4" w:space="0" w:color="000000"/>
              <w:left w:val="single" w:sz="4" w:space="0" w:color="000000"/>
              <w:bottom w:val="single" w:sz="4" w:space="0" w:color="000000"/>
              <w:right w:val="nil" w:sz="6" w:space="0" w:color="auto"/>
            </w:tcBorders>
          </w:tcPr>
          <w:p>
            <w:pPr>
              <w:pStyle w:val="TableParagraph"/>
              <w:spacing w:line="210" w:lineRule="exact"/>
              <w:ind w:right="4"/>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45" w:hRule="exact"/>
        </w:trPr>
        <w:tc>
          <w:tcPr>
            <w:tcW w:w="1385" w:type="dxa"/>
            <w:vMerge/>
            <w:tcBorders>
              <w:left w:val="nil" w:sz="6" w:space="0" w:color="auto"/>
              <w:right w:val="single" w:sz="4" w:space="0" w:color="000000"/>
            </w:tcBorders>
          </w:tcPr>
          <w:p>
            <w:pP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before="92"/>
              <w:ind w:left="280"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41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371" w:type="dxa"/>
            <w:vMerge w:val="restart"/>
            <w:tcBorders>
              <w:top w:val="single" w:sz="4" w:space="0" w:color="000000"/>
              <w:left w:val="single" w:sz="4" w:space="0" w:color="000000"/>
              <w:right w:val="nil" w:sz="6" w:space="0" w:color="auto"/>
            </w:tcBorders>
          </w:tcPr>
          <w:p>
            <w:pPr>
              <w:pStyle w:val="TableParagraph"/>
              <w:spacing w:line="240" w:lineRule="auto" w:before="92"/>
              <w:ind w:left="451"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r>
      <w:tr>
        <w:trPr>
          <w:trHeight w:val="242" w:hRule="exact"/>
        </w:trPr>
        <w:tc>
          <w:tcPr>
            <w:tcW w:w="1385" w:type="dxa"/>
            <w:vMerge/>
            <w:tcBorders>
              <w:left w:val="nil" w:sz="6" w:space="0" w:color="auto"/>
              <w:bottom w:val="single" w:sz="4" w:space="0" w:color="000000"/>
              <w:right w:val="single" w:sz="4" w:space="0" w:color="000000"/>
            </w:tcBorders>
          </w:tcPr>
          <w:p>
            <w:pPr/>
          </w:p>
        </w:tc>
        <w:tc>
          <w:tcPr>
            <w:tcW w:w="1652" w:type="dxa"/>
            <w:vMerge/>
            <w:tcBorders>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371" w:type="dxa"/>
            <w:vMerge/>
            <w:tcBorders>
              <w:left w:val="single" w:sz="4" w:space="0" w:color="000000"/>
              <w:bottom w:val="single" w:sz="4" w:space="0" w:color="000000"/>
              <w:right w:val="nil" w:sz="6" w:space="0" w:color="auto"/>
            </w:tcBorders>
          </w:tcPr>
          <w:p>
            <w:pPr/>
          </w:p>
        </w:tc>
      </w:tr>
      <w:tr>
        <w:trPr>
          <w:trHeight w:val="362"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nil" w:sz="6" w:space="0" w:color="auto"/>
            </w:tcBorders>
          </w:tcPr>
          <w:p>
            <w:pPr/>
          </w:p>
        </w:tc>
      </w:tr>
      <w:tr>
        <w:trPr>
          <w:trHeight w:val="425"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8" w:right="85"/>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435"/>
        <w:gridCol w:w="1664"/>
        <w:gridCol w:w="1176"/>
        <w:gridCol w:w="1421"/>
        <w:gridCol w:w="1421"/>
        <w:gridCol w:w="1421"/>
      </w:tblGrid>
      <w:tr>
        <w:trPr>
          <w:trHeight w:val="243" w:hRule="exact"/>
        </w:trPr>
        <w:tc>
          <w:tcPr>
            <w:tcW w:w="1435"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103" w:type="dxa"/>
            <w:gridSpan w:val="5"/>
            <w:tcBorders>
              <w:top w:val="single" w:sz="4" w:space="0" w:color="000000"/>
              <w:left w:val="single" w:sz="4" w:space="0" w:color="000000"/>
              <w:bottom w:val="single" w:sz="4" w:space="0" w:color="000000"/>
              <w:right w:val="nil" w:sz="6" w:space="0" w:color="auto"/>
            </w:tcBorders>
          </w:tcPr>
          <w:p>
            <w:pPr>
              <w:pStyle w:val="TableParagraph"/>
              <w:spacing w:line="206" w:lineRule="exact"/>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5" w:hRule="exact"/>
        </w:trPr>
        <w:tc>
          <w:tcPr>
            <w:tcW w:w="1435" w:type="dxa"/>
            <w:vMerge/>
            <w:tcBorders>
              <w:left w:val="nil" w:sz="6" w:space="0" w:color="auto"/>
              <w:right w:val="single" w:sz="4" w:space="0" w:color="000000"/>
            </w:tcBorders>
          </w:tcPr>
          <w:p>
            <w:pPr/>
          </w:p>
        </w:tc>
        <w:tc>
          <w:tcPr>
            <w:tcW w:w="1664" w:type="dxa"/>
            <w:vMerge w:val="restart"/>
            <w:tcBorders>
              <w:top w:val="single" w:sz="4" w:space="0" w:color="000000"/>
              <w:left w:val="single" w:sz="4" w:space="0" w:color="000000"/>
              <w:right w:val="single" w:sz="4" w:space="0" w:color="000000"/>
            </w:tcBorders>
          </w:tcPr>
          <w:p>
            <w:pPr>
              <w:pStyle w:val="TableParagraph"/>
              <w:spacing w:line="240" w:lineRule="auto" w:before="92"/>
              <w:ind w:left="285"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40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421" w:type="dxa"/>
            <w:vMerge w:val="restart"/>
            <w:tcBorders>
              <w:top w:val="single" w:sz="4" w:space="0" w:color="000000"/>
              <w:left w:val="single" w:sz="4" w:space="0" w:color="000000"/>
              <w:right w:val="nil" w:sz="6" w:space="0" w:color="auto"/>
            </w:tcBorders>
          </w:tcPr>
          <w:p>
            <w:pPr>
              <w:pStyle w:val="TableParagraph"/>
              <w:spacing w:line="240" w:lineRule="auto" w:before="92"/>
              <w:ind w:right="6"/>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r>
      <w:tr>
        <w:trPr>
          <w:trHeight w:val="242" w:hRule="exact"/>
        </w:trPr>
        <w:tc>
          <w:tcPr>
            <w:tcW w:w="1435" w:type="dxa"/>
            <w:vMerge/>
            <w:tcBorders>
              <w:left w:val="nil" w:sz="6" w:space="0" w:color="auto"/>
              <w:bottom w:val="single" w:sz="4" w:space="0" w:color="000000"/>
              <w:right w:val="single" w:sz="4" w:space="0" w:color="000000"/>
            </w:tcBorders>
          </w:tcPr>
          <w:p>
            <w:pPr/>
          </w:p>
        </w:tc>
        <w:tc>
          <w:tcPr>
            <w:tcW w:w="1664" w:type="dxa"/>
            <w:vMerge/>
            <w:tcBorders>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421" w:type="dxa"/>
            <w:vMerge/>
            <w:tcBorders>
              <w:left w:val="single" w:sz="4" w:space="0" w:color="000000"/>
              <w:bottom w:val="single" w:sz="4" w:space="0" w:color="000000"/>
              <w:right w:val="nil" w:sz="6" w:space="0" w:color="auto"/>
            </w:tcBorders>
          </w:tcPr>
          <w:p>
            <w:pPr/>
          </w:p>
        </w:tc>
      </w:tr>
      <w:tr>
        <w:trPr>
          <w:trHeight w:val="410"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3,199,000.00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pacing w:val="-1"/>
                <w:sz w:val="18"/>
              </w:rPr>
              <w:t>3,199,000.00</w:t>
            </w:r>
          </w:p>
        </w:tc>
      </w:tr>
      <w:tr>
        <w:trPr>
          <w:trHeight w:val="413"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29,131,319.84</w:t>
            </w:r>
          </w:p>
        </w:tc>
        <w:tc>
          <w:tcPr>
            <w:tcW w:w="117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pacing w:val="-1"/>
                <w:sz w:val="18"/>
              </w:rPr>
              <w:t>29,131,319.84</w:t>
            </w:r>
          </w:p>
        </w:tc>
      </w:tr>
      <w:tr>
        <w:trPr>
          <w:trHeight w:val="437"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pacing w:val="-1"/>
                <w:sz w:val="18"/>
              </w:rPr>
              <w:t>32,330,319.84</w:t>
            </w:r>
          </w:p>
        </w:tc>
        <w:tc>
          <w:tcPr>
            <w:tcW w:w="117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8"/>
              <w:jc w:val="right"/>
              <w:rPr>
                <w:rFonts w:ascii="宋体" w:hAnsi="宋体" w:cs="宋体" w:eastAsia="宋体" w:hint="default"/>
                <w:sz w:val="18"/>
                <w:szCs w:val="18"/>
              </w:rPr>
            </w:pPr>
            <w:r>
              <w:rPr>
                <w:rFonts w:ascii="宋体"/>
                <w:spacing w:val="-1"/>
                <w:sz w:val="18"/>
              </w:rPr>
              <w:t>32,330,319.84</w:t>
            </w:r>
          </w:p>
        </w:tc>
      </w:tr>
    </w:tbl>
    <w:p>
      <w:pPr>
        <w:pStyle w:val="BodyText"/>
        <w:spacing w:line="241" w:lineRule="exact"/>
        <w:ind w:left="658" w:right="0"/>
        <w:jc w:val="left"/>
      </w:pPr>
      <w:r>
        <w:rPr>
          <w:rFonts w:ascii="宋体" w:hAnsi="宋体" w:cs="宋体" w:eastAsia="宋体" w:hint="default"/>
        </w:rPr>
        <w:t>(2)</w:t>
      </w:r>
      <w:r>
        <w:rPr>
          <w:rFonts w:ascii="宋体" w:hAnsi="宋体" w:cs="宋体" w:eastAsia="宋体" w:hint="default"/>
          <w:spacing w:val="3"/>
        </w:rPr>
        <w:t> </w:t>
      </w:r>
      <w:r>
        <w:rPr/>
        <w:t>单项计提减值的应收款项情况见本财务报表附注合并财务报表项目注释之应收款项说明。</w:t>
      </w:r>
    </w:p>
    <w:p>
      <w:pPr>
        <w:pStyle w:val="BodyText"/>
        <w:spacing w:line="355" w:lineRule="auto" w:before="135"/>
        <w:ind w:left="658" w:right="85"/>
        <w:jc w:val="left"/>
      </w:pPr>
      <w:r>
        <w:rPr>
          <w:rFonts w:ascii="宋体" w:hAnsi="宋体" w:cs="宋体" w:eastAsia="宋体" w:hint="default"/>
        </w:rPr>
        <w:t>(</w:t>
      </w:r>
      <w:r>
        <w:rPr/>
        <w:t>二</w:t>
      </w:r>
      <w:r>
        <w:rPr>
          <w:rFonts w:ascii="宋体" w:hAnsi="宋体" w:cs="宋体" w:eastAsia="宋体" w:hint="default"/>
        </w:rPr>
        <w:t>) </w:t>
      </w:r>
      <w:r>
        <w:rPr/>
        <w:t>流动风险</w:t>
      </w:r>
      <w:r>
        <w:rPr>
          <w:spacing w:val="-103"/>
        </w:rPr>
        <w:t> </w:t>
      </w:r>
      <w:r>
        <w:rPr>
          <w:spacing w:val="-103"/>
        </w:rPr>
      </w:r>
      <w:r>
        <w:rPr>
          <w:spacing w:val="-2"/>
        </w:rPr>
        <w:t>流动风险，是指本公司在履行以交付现金或其他金融资产的方式结算的义务时发生资金短缺</w:t>
      </w:r>
    </w:p>
    <w:p>
      <w:pPr>
        <w:pStyle w:val="BodyText"/>
        <w:spacing w:line="355" w:lineRule="auto" w:before="32"/>
        <w:ind w:left="238" w:right="85"/>
        <w:jc w:val="left"/>
      </w:pPr>
      <w:r>
        <w:rPr>
          <w:spacing w:val="-2"/>
        </w:rPr>
        <w:t>的风险。流动风险可能源于无法尽快以公允价值售出金融资产；或者源于对方无法偿还其合同债</w:t>
      </w:r>
      <w:r>
        <w:rPr>
          <w:spacing w:val="-25"/>
        </w:rPr>
        <w:t> </w:t>
      </w:r>
      <w:r>
        <w:rPr>
          <w:spacing w:val="-25"/>
        </w:rPr>
      </w:r>
      <w:r>
        <w:rPr/>
        <w:t>务；或者源于提前到期的债务；或者源于无法产生预期的现金流量。</w:t>
      </w:r>
    </w:p>
    <w:p>
      <w:pPr>
        <w:pStyle w:val="BodyText"/>
        <w:spacing w:line="357" w:lineRule="auto" w:before="32"/>
        <w:ind w:left="238" w:right="317" w:firstLine="419"/>
        <w:jc w:val="both"/>
      </w:pPr>
      <w:r>
        <w:rPr>
          <w:spacing w:val="-2"/>
        </w:rPr>
        <w:t>为控制该项风险，本公司综合运用票据结算、银行借款等多种融资手段，优化融资结构，保</w:t>
      </w:r>
      <w:r>
        <w:rPr>
          <w:w w:val="100"/>
        </w:rPr>
        <w:t> </w:t>
      </w:r>
      <w:r>
        <w:rPr>
          <w:spacing w:val="-2"/>
        </w:rPr>
        <w:t>持融资持续性与灵活性之间的平衡。本公司已从多家商业银行取得银行授信额度以满足营运资金</w:t>
      </w:r>
      <w:r>
        <w:rPr>
          <w:spacing w:val="-25"/>
        </w:rPr>
        <w:t> </w:t>
      </w:r>
      <w:r>
        <w:rPr>
          <w:spacing w:val="-25"/>
        </w:rPr>
      </w:r>
      <w:r>
        <w:rPr/>
        <w:t>需求和资本开支。</w:t>
      </w:r>
    </w:p>
    <w:p>
      <w:pPr>
        <w:pStyle w:val="BodyText"/>
        <w:spacing w:line="240" w:lineRule="auto" w:before="30"/>
        <w:ind w:left="658" w:right="85"/>
        <w:jc w:val="left"/>
      </w:pPr>
      <w:r>
        <w:rPr/>
        <w:t>金融负债按剩余到期日分类</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762"/>
        <w:gridCol w:w="1582"/>
        <w:gridCol w:w="979"/>
        <w:gridCol w:w="1532"/>
        <w:gridCol w:w="1498"/>
        <w:gridCol w:w="1279"/>
      </w:tblGrid>
      <w:tr>
        <w:trPr>
          <w:trHeight w:val="360" w:hRule="exact"/>
        </w:trPr>
        <w:tc>
          <w:tcPr>
            <w:tcW w:w="1762"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6870" w:type="dxa"/>
            <w:gridSpan w:val="5"/>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78" w:hRule="exact"/>
        </w:trPr>
        <w:tc>
          <w:tcPr>
            <w:tcW w:w="1762" w:type="dxa"/>
            <w:vMerge/>
            <w:tcBorders>
              <w:left w:val="nil" w:sz="6" w:space="0" w:color="auto"/>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1" w:right="0" w:hanging="89"/>
              <w:jc w:val="left"/>
              <w:rPr>
                <w:rFonts w:ascii="宋体" w:hAnsi="宋体" w:cs="宋体" w:eastAsia="宋体" w:hint="default"/>
                <w:sz w:val="18"/>
                <w:szCs w:val="18"/>
              </w:rPr>
            </w:pPr>
            <w:r>
              <w:rPr>
                <w:rFonts w:ascii="宋体" w:hAnsi="宋体" w:cs="宋体" w:eastAsia="宋体" w:hint="default"/>
                <w:sz w:val="18"/>
                <w:szCs w:val="18"/>
              </w:rPr>
              <w:t>未折现合</w:t>
            </w: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同金额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6"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29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361"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8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96"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53"/>
              <w:jc w:val="right"/>
              <w:rPr>
                <w:rFonts w:ascii="宋体" w:hAnsi="宋体" w:cs="宋体" w:eastAsia="宋体" w:hint="default"/>
                <w:sz w:val="18"/>
                <w:szCs w:val="18"/>
              </w:rPr>
            </w:pPr>
            <w:r>
              <w:rPr>
                <w:rFonts w:ascii="宋体"/>
                <w:spacing w:val="-1"/>
                <w:sz w:val="18"/>
              </w:rPr>
              <w:t>63,233,888.90</w:t>
            </w:r>
          </w:p>
        </w:tc>
        <w:tc>
          <w:tcPr>
            <w:tcW w:w="97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51"/>
              <w:jc w:val="right"/>
              <w:rPr>
                <w:rFonts w:ascii="宋体" w:hAnsi="宋体" w:cs="宋体" w:eastAsia="宋体" w:hint="default"/>
                <w:sz w:val="18"/>
                <w:szCs w:val="18"/>
              </w:rPr>
            </w:pPr>
            <w:r>
              <w:rPr>
                <w:rFonts w:ascii="宋体"/>
                <w:spacing w:val="-1"/>
                <w:sz w:val="18"/>
              </w:rPr>
              <w:t>63,233,888.90</w:t>
            </w:r>
          </w:p>
        </w:tc>
        <w:tc>
          <w:tcPr>
            <w:tcW w:w="149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8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3"/>
              <w:jc w:val="right"/>
              <w:rPr>
                <w:rFonts w:ascii="宋体" w:hAnsi="宋体" w:cs="宋体" w:eastAsia="宋体" w:hint="default"/>
                <w:sz w:val="18"/>
                <w:szCs w:val="18"/>
              </w:rPr>
            </w:pPr>
            <w:r>
              <w:rPr>
                <w:rFonts w:ascii="宋体"/>
                <w:spacing w:val="-1"/>
                <w:sz w:val="18"/>
              </w:rPr>
              <w:t>84,996,521.69</w:t>
            </w:r>
          </w:p>
        </w:tc>
        <w:tc>
          <w:tcPr>
            <w:tcW w:w="97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1"/>
              <w:jc w:val="right"/>
              <w:rPr>
                <w:rFonts w:ascii="宋体" w:hAnsi="宋体" w:cs="宋体" w:eastAsia="宋体" w:hint="default"/>
                <w:sz w:val="18"/>
                <w:szCs w:val="18"/>
              </w:rPr>
            </w:pPr>
            <w:r>
              <w:rPr>
                <w:rFonts w:ascii="宋体"/>
                <w:spacing w:val="-1"/>
                <w:sz w:val="18"/>
              </w:rPr>
              <w:t>84,996,521.69</w:t>
            </w:r>
          </w:p>
        </w:tc>
        <w:tc>
          <w:tcPr>
            <w:tcW w:w="149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3"/>
              <w:jc w:val="right"/>
              <w:rPr>
                <w:rFonts w:ascii="宋体" w:hAnsi="宋体" w:cs="宋体" w:eastAsia="宋体" w:hint="default"/>
                <w:sz w:val="18"/>
                <w:szCs w:val="18"/>
              </w:rPr>
            </w:pPr>
            <w:r>
              <w:rPr>
                <w:rFonts w:ascii="宋体"/>
                <w:spacing w:val="-1"/>
                <w:sz w:val="18"/>
              </w:rPr>
              <w:t>148,230,410.59</w:t>
            </w:r>
          </w:p>
        </w:tc>
        <w:tc>
          <w:tcPr>
            <w:tcW w:w="97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1"/>
              <w:jc w:val="right"/>
              <w:rPr>
                <w:rFonts w:ascii="宋体" w:hAnsi="宋体" w:cs="宋体" w:eastAsia="宋体" w:hint="default"/>
                <w:sz w:val="18"/>
                <w:szCs w:val="18"/>
              </w:rPr>
            </w:pPr>
            <w:r>
              <w:rPr>
                <w:rFonts w:ascii="宋体"/>
                <w:spacing w:val="-1"/>
                <w:sz w:val="18"/>
              </w:rPr>
              <w:t>148,230,410.59</w:t>
            </w:r>
          </w:p>
        </w:tc>
        <w:tc>
          <w:tcPr>
            <w:tcW w:w="149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8" w:right="85"/>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762"/>
        <w:gridCol w:w="1582"/>
        <w:gridCol w:w="979"/>
        <w:gridCol w:w="1532"/>
        <w:gridCol w:w="1498"/>
        <w:gridCol w:w="1279"/>
      </w:tblGrid>
      <w:tr>
        <w:trPr>
          <w:trHeight w:val="360" w:hRule="exact"/>
        </w:trPr>
        <w:tc>
          <w:tcPr>
            <w:tcW w:w="1762"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6870" w:type="dxa"/>
            <w:gridSpan w:val="5"/>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1762" w:type="dxa"/>
            <w:vMerge/>
            <w:tcBorders>
              <w:left w:val="nil" w:sz="6" w:space="0" w:color="auto"/>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1" w:right="0" w:hanging="89"/>
              <w:jc w:val="left"/>
              <w:rPr>
                <w:rFonts w:ascii="宋体" w:hAnsi="宋体" w:cs="宋体" w:eastAsia="宋体" w:hint="default"/>
                <w:sz w:val="18"/>
                <w:szCs w:val="18"/>
              </w:rPr>
            </w:pPr>
            <w:r>
              <w:rPr>
                <w:rFonts w:ascii="宋体" w:hAnsi="宋体" w:cs="宋体" w:eastAsia="宋体" w:hint="default"/>
                <w:sz w:val="18"/>
                <w:szCs w:val="18"/>
              </w:rPr>
              <w:t>未折现合</w:t>
            </w: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同金额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6"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29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360"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3"/>
              <w:jc w:val="right"/>
              <w:rPr>
                <w:rFonts w:ascii="宋体" w:hAnsi="宋体" w:cs="宋体" w:eastAsia="宋体" w:hint="default"/>
                <w:sz w:val="18"/>
                <w:szCs w:val="18"/>
              </w:rPr>
            </w:pPr>
            <w:r>
              <w:rPr>
                <w:rFonts w:ascii="宋体"/>
                <w:spacing w:val="-1"/>
                <w:sz w:val="18"/>
              </w:rPr>
              <w:t>30,199,000.00</w:t>
            </w:r>
          </w:p>
        </w:tc>
        <w:tc>
          <w:tcPr>
            <w:tcW w:w="97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63" w:right="0"/>
              <w:jc w:val="left"/>
              <w:rPr>
                <w:rFonts w:ascii="宋体" w:hAnsi="宋体" w:cs="宋体" w:eastAsia="宋体" w:hint="default"/>
                <w:sz w:val="18"/>
                <w:szCs w:val="18"/>
              </w:rPr>
            </w:pPr>
            <w:r>
              <w:rPr>
                <w:rFonts w:ascii="宋体"/>
                <w:sz w:val="18"/>
              </w:rPr>
              <w:t>30,199,000.00</w:t>
            </w: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3"/>
              <w:jc w:val="right"/>
              <w:rPr>
                <w:rFonts w:ascii="宋体" w:hAnsi="宋体" w:cs="宋体" w:eastAsia="宋体" w:hint="default"/>
                <w:sz w:val="18"/>
                <w:szCs w:val="18"/>
              </w:rPr>
            </w:pPr>
            <w:r>
              <w:rPr>
                <w:rFonts w:ascii="宋体"/>
                <w:spacing w:val="-1"/>
                <w:sz w:val="18"/>
              </w:rPr>
              <w:t>37,231,500.31</w:t>
            </w:r>
          </w:p>
        </w:tc>
        <w:tc>
          <w:tcPr>
            <w:tcW w:w="97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97" w:right="0"/>
              <w:jc w:val="left"/>
              <w:rPr>
                <w:rFonts w:ascii="宋体" w:hAnsi="宋体" w:cs="宋体" w:eastAsia="宋体" w:hint="default"/>
                <w:sz w:val="18"/>
                <w:szCs w:val="18"/>
              </w:rPr>
            </w:pPr>
            <w:r>
              <w:rPr>
                <w:rFonts w:ascii="宋体"/>
                <w:sz w:val="18"/>
              </w:rPr>
              <w:t>37,231,500.31</w:t>
            </w:r>
          </w:p>
        </w:tc>
        <w:tc>
          <w:tcPr>
            <w:tcW w:w="149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82" w:footer="1195" w:top="1120" w:bottom="1380" w:left="156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762"/>
        <w:gridCol w:w="1582"/>
        <w:gridCol w:w="979"/>
        <w:gridCol w:w="1532"/>
        <w:gridCol w:w="1498"/>
        <w:gridCol w:w="1279"/>
      </w:tblGrid>
      <w:tr>
        <w:trPr>
          <w:trHeight w:val="360"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2"/>
              <w:jc w:val="right"/>
              <w:rPr>
                <w:rFonts w:ascii="宋体" w:hAnsi="宋体" w:cs="宋体" w:eastAsia="宋体" w:hint="default"/>
                <w:sz w:val="18"/>
                <w:szCs w:val="18"/>
              </w:rPr>
            </w:pPr>
            <w:r>
              <w:rPr>
                <w:rFonts w:ascii="宋体"/>
                <w:spacing w:val="-1"/>
                <w:sz w:val="18"/>
              </w:rPr>
              <w:t>50,883.25</w:t>
            </w:r>
          </w:p>
        </w:tc>
        <w:tc>
          <w:tcPr>
            <w:tcW w:w="97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0"/>
              <w:jc w:val="right"/>
              <w:rPr>
                <w:rFonts w:ascii="宋体" w:hAnsi="宋体" w:cs="宋体" w:eastAsia="宋体" w:hint="default"/>
                <w:sz w:val="18"/>
                <w:szCs w:val="18"/>
              </w:rPr>
            </w:pPr>
            <w:r>
              <w:rPr>
                <w:rFonts w:ascii="宋体"/>
                <w:spacing w:val="-1"/>
                <w:sz w:val="18"/>
              </w:rPr>
              <w:t>50,883.25</w:t>
            </w:r>
          </w:p>
        </w:tc>
        <w:tc>
          <w:tcPr>
            <w:tcW w:w="149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pacing w:val="-1"/>
                <w:sz w:val="18"/>
              </w:rPr>
              <w:t>245,676,109.85</w:t>
            </w:r>
          </w:p>
        </w:tc>
        <w:tc>
          <w:tcPr>
            <w:tcW w:w="97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
              <w:jc w:val="right"/>
              <w:rPr>
                <w:rFonts w:ascii="宋体" w:hAnsi="宋体" w:cs="宋体" w:eastAsia="宋体" w:hint="default"/>
                <w:sz w:val="18"/>
                <w:szCs w:val="18"/>
              </w:rPr>
            </w:pPr>
            <w:r>
              <w:rPr>
                <w:rFonts w:ascii="宋体"/>
                <w:spacing w:val="-1"/>
                <w:sz w:val="18"/>
              </w:rPr>
              <w:t>245,676,109.85</w:t>
            </w:r>
          </w:p>
        </w:tc>
        <w:tc>
          <w:tcPr>
            <w:tcW w:w="149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3"/>
              <w:jc w:val="right"/>
              <w:rPr>
                <w:rFonts w:ascii="宋体" w:hAnsi="宋体" w:cs="宋体" w:eastAsia="宋体" w:hint="default"/>
                <w:sz w:val="18"/>
                <w:szCs w:val="18"/>
              </w:rPr>
            </w:pPr>
            <w:r>
              <w:rPr>
                <w:rFonts w:ascii="宋体"/>
                <w:spacing w:val="-1"/>
                <w:sz w:val="18"/>
              </w:rPr>
              <w:t>313,157,493.41</w:t>
            </w:r>
          </w:p>
        </w:tc>
        <w:tc>
          <w:tcPr>
            <w:tcW w:w="97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1"/>
              <w:jc w:val="right"/>
              <w:rPr>
                <w:rFonts w:ascii="宋体" w:hAnsi="宋体" w:cs="宋体" w:eastAsia="宋体" w:hint="default"/>
                <w:sz w:val="18"/>
                <w:szCs w:val="18"/>
              </w:rPr>
            </w:pPr>
            <w:r>
              <w:rPr>
                <w:rFonts w:ascii="宋体"/>
                <w:spacing w:val="-1"/>
                <w:sz w:val="18"/>
              </w:rPr>
              <w:t>282,958,493.41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63" w:right="0"/>
              <w:jc w:val="left"/>
              <w:rPr>
                <w:rFonts w:ascii="宋体" w:hAnsi="宋体" w:cs="宋体" w:eastAsia="宋体" w:hint="default"/>
                <w:sz w:val="18"/>
                <w:szCs w:val="18"/>
              </w:rPr>
            </w:pPr>
            <w:r>
              <w:rPr>
                <w:rFonts w:ascii="宋体"/>
                <w:sz w:val="18"/>
              </w:rPr>
              <w:t>30,199,000.00</w:t>
            </w:r>
          </w:p>
        </w:tc>
        <w:tc>
          <w:tcPr>
            <w:tcW w:w="1279"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8" w:right="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市场风险</w:t>
      </w:r>
    </w:p>
    <w:p>
      <w:pPr>
        <w:pStyle w:val="BodyText"/>
        <w:spacing w:line="355" w:lineRule="auto" w:before="133"/>
        <w:ind w:left="238" w:right="0" w:firstLine="419"/>
        <w:jc w:val="left"/>
      </w:pPr>
      <w:r>
        <w:rPr>
          <w:spacing w:val="-2"/>
        </w:rPr>
        <w:t>市场风险，是指金融工具的公允价值或未来现金流量因市场价格变动而发生波动的风险。市</w:t>
      </w:r>
      <w:r>
        <w:rPr>
          <w:w w:val="100"/>
        </w:rPr>
        <w:t> </w:t>
      </w:r>
      <w:r>
        <w:rPr/>
        <w:t>场风险主要包括利率风险和外汇风险。</w:t>
      </w:r>
    </w:p>
    <w:p>
      <w:pPr>
        <w:pStyle w:val="BodyText"/>
        <w:spacing w:line="357" w:lineRule="auto" w:before="32"/>
        <w:ind w:left="658" w:right="0"/>
        <w:jc w:val="left"/>
      </w:pPr>
      <w:r>
        <w:rPr>
          <w:rFonts w:ascii="宋体" w:hAnsi="宋体" w:cs="宋体" w:eastAsia="宋体" w:hint="default"/>
        </w:rPr>
        <w:t>1. </w:t>
      </w:r>
      <w:r>
        <w:rPr/>
        <w:t>利率风险</w:t>
      </w:r>
      <w:r>
        <w:rPr>
          <w:w w:val="100"/>
        </w:rPr>
        <w:t> </w:t>
      </w:r>
      <w:r>
        <w:rPr>
          <w:spacing w:val="-2"/>
        </w:rPr>
        <w:t>利率风险，是指金融工具的公允价值或未来现金流量因市场利率变动而发生波动的风险。截</w:t>
      </w:r>
    </w:p>
    <w:p>
      <w:pPr>
        <w:pStyle w:val="BodyText"/>
        <w:spacing w:line="357" w:lineRule="auto" w:before="30"/>
        <w:ind w:left="238" w:right="0"/>
        <w:jc w:val="left"/>
      </w:pPr>
      <w:r>
        <w:rPr/>
        <w:t>至</w:t>
      </w:r>
      <w:r>
        <w:rPr>
          <w:spacing w:val="-41"/>
        </w:rPr>
        <w:t> </w:t>
      </w:r>
      <w:r>
        <w:rPr>
          <w:rFonts w:ascii="宋体" w:hAnsi="宋体" w:cs="宋体" w:eastAsia="宋体" w:hint="default"/>
        </w:rPr>
        <w:t>2015</w:t>
      </w:r>
      <w:r>
        <w:rPr>
          <w:rFonts w:ascii="宋体" w:hAnsi="宋体" w:cs="宋体" w:eastAsia="宋体" w:hint="default"/>
          <w:spacing w:val="-41"/>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1"/>
        </w:rPr>
        <w:t> </w:t>
      </w:r>
      <w:r>
        <w:rPr>
          <w:rFonts w:ascii="宋体" w:hAnsi="宋体" w:cs="宋体" w:eastAsia="宋体" w:hint="default"/>
        </w:rPr>
        <w:t>31</w:t>
      </w:r>
      <w:r>
        <w:rPr>
          <w:rFonts w:ascii="宋体" w:hAnsi="宋体" w:cs="宋体" w:eastAsia="宋体" w:hint="default"/>
          <w:spacing w:val="-44"/>
        </w:rPr>
        <w:t> </w:t>
      </w:r>
      <w:r>
        <w:rPr>
          <w:spacing w:val="-5"/>
        </w:rPr>
        <w:t>日，本公司不存在金融机构拆借款项，不会对本公司的利润总额和股东权益产</w:t>
      </w:r>
      <w:r>
        <w:rPr>
          <w:spacing w:val="-100"/>
        </w:rPr>
        <w:t> </w:t>
      </w:r>
      <w:r>
        <w:rPr>
          <w:spacing w:val="-100"/>
        </w:rPr>
      </w:r>
      <w:r>
        <w:rPr/>
        <w:t>生影响。</w:t>
      </w:r>
    </w:p>
    <w:p>
      <w:pPr>
        <w:pStyle w:val="BodyText"/>
        <w:spacing w:line="355" w:lineRule="auto" w:before="30"/>
        <w:ind w:left="658" w:right="0"/>
        <w:jc w:val="left"/>
      </w:pPr>
      <w:r>
        <w:rPr>
          <w:rFonts w:ascii="宋体" w:hAnsi="宋体" w:cs="宋体" w:eastAsia="宋体" w:hint="default"/>
        </w:rPr>
        <w:t>2. </w:t>
      </w:r>
      <w:r>
        <w:rPr/>
        <w:t>外汇风险</w:t>
      </w:r>
      <w:r>
        <w:rPr>
          <w:w w:val="100"/>
        </w:rPr>
        <w:t> </w:t>
      </w:r>
      <w:r>
        <w:rPr>
          <w:spacing w:val="-2"/>
        </w:rPr>
        <w:t>外汇风险，是指金融工具的公允价值或未来现金流量因外汇汇率变动而发生波动的风险。本</w:t>
      </w:r>
    </w:p>
    <w:p>
      <w:pPr>
        <w:pStyle w:val="BodyText"/>
        <w:spacing w:line="355" w:lineRule="auto" w:before="34"/>
        <w:ind w:left="238" w:right="0"/>
        <w:jc w:val="left"/>
      </w:pPr>
      <w:r>
        <w:rPr>
          <w:spacing w:val="-2"/>
        </w:rPr>
        <w:t>公司于中国内地经营，且主要活动以人民币计价。因此，本公司所承担的外汇变动市场风险不重</w:t>
      </w:r>
      <w:r>
        <w:rPr>
          <w:spacing w:val="-25"/>
        </w:rPr>
        <w:t> </w:t>
      </w:r>
      <w:r>
        <w:rPr>
          <w:spacing w:val="-25"/>
        </w:rPr>
      </w:r>
      <w:r>
        <w:rPr/>
        <w:t>大。</w:t>
      </w:r>
    </w:p>
    <w:p>
      <w:pPr>
        <w:pStyle w:val="BodyText"/>
        <w:spacing w:line="355" w:lineRule="auto" w:before="32"/>
        <w:ind w:left="238" w:right="0" w:firstLine="419"/>
        <w:jc w:val="left"/>
      </w:pPr>
      <w:r>
        <w:rPr>
          <w:spacing w:val="-2"/>
        </w:rPr>
        <w:t>本公司期末外币货币性资产和负债情况见本财务报表附注合并财务报表项目注释其他之外币</w:t>
      </w:r>
      <w:r>
        <w:rPr>
          <w:w w:val="100"/>
        </w:rPr>
        <w:t> </w:t>
      </w:r>
      <w:r>
        <w:rPr/>
        <w:t>货币性项目说明。</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560" w:right="1120"/>
        </w:sectPr>
      </w:pPr>
    </w:p>
    <w:p>
      <w:pPr>
        <w:pStyle w:val="Heading4"/>
        <w:tabs>
          <w:tab w:pos="1077" w:val="left" w:leader="none"/>
        </w:tabs>
        <w:spacing w:line="240" w:lineRule="auto"/>
        <w:ind w:left="238" w:right="-18"/>
        <w:jc w:val="left"/>
        <w:rPr>
          <w:b w:val="0"/>
          <w:bCs w:val="0"/>
        </w:rPr>
      </w:pPr>
      <w:r>
        <w:rPr/>
        <w:t>十一、</w:t>
        <w:tab/>
        <w:t>公允价值的披露</w:t>
      </w:r>
      <w:r>
        <w:rPr>
          <w:b w:val="0"/>
          <w:bCs w:val="0"/>
        </w:rPr>
      </w:r>
    </w:p>
    <w:p>
      <w:pPr>
        <w:pStyle w:val="BodyText"/>
        <w:spacing w:line="240" w:lineRule="auto" w:before="56"/>
        <w:ind w:left="238" w:right="-18"/>
        <w:jc w:val="left"/>
      </w:pPr>
      <w:r>
        <w:rPr/>
        <w:t>√适用</w:t>
      </w:r>
      <w:r>
        <w:rPr>
          <w:spacing w:val="-1"/>
        </w:rPr>
        <w:t> </w:t>
      </w:r>
      <w:r>
        <w:rPr/>
        <w:t>□不适用</w:t>
      </w:r>
    </w:p>
    <w:p>
      <w:pPr>
        <w:pStyle w:val="Heading4"/>
        <w:spacing w:line="240" w:lineRule="auto" w:before="56"/>
        <w:ind w:left="2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184" w:val="left" w:leader="none"/>
        </w:tabs>
        <w:spacing w:line="240" w:lineRule="auto"/>
        <w:ind w:left="2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60" w:right="1120"/>
          <w:cols w:num="2" w:equalWidth="0">
            <w:col w:w="4883" w:space="1850"/>
            <w:col w:w="2497"/>
          </w:cols>
        </w:sectPr>
      </w:pPr>
    </w:p>
    <w:p>
      <w:pPr>
        <w:spacing w:line="240" w:lineRule="auto" w:before="4"/>
        <w:rPr>
          <w:rFonts w:ascii="宋体" w:hAnsi="宋体" w:cs="宋体" w:eastAsia="宋体" w:hint="default"/>
          <w:sz w:val="2"/>
          <w:szCs w:val="2"/>
        </w:rPr>
      </w:pPr>
    </w:p>
    <w:tbl>
      <w:tblPr>
        <w:tblW w:w="0" w:type="auto"/>
        <w:jc w:val="left"/>
        <w:tblInd w:w="204" w:type="dxa"/>
        <w:tblLayout w:type="fixed"/>
        <w:tblCellMar>
          <w:top w:w="0" w:type="dxa"/>
          <w:left w:w="0" w:type="dxa"/>
          <w:bottom w:w="0" w:type="dxa"/>
          <w:right w:w="0" w:type="dxa"/>
        </w:tblCellMar>
        <w:tblLook w:val="01E0"/>
      </w:tblPr>
      <w:tblGrid>
        <w:gridCol w:w="2372"/>
        <w:gridCol w:w="1668"/>
        <w:gridCol w:w="1628"/>
        <w:gridCol w:w="1697"/>
        <w:gridCol w:w="1526"/>
      </w:tblGrid>
      <w:tr>
        <w:trPr>
          <w:trHeight w:val="283" w:hRule="exact"/>
        </w:trPr>
        <w:tc>
          <w:tcPr>
            <w:tcW w:w="237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372" w:type="dxa"/>
            <w:vMerge/>
            <w:tcBorders>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40" w:lineRule="auto"/>
              <w:ind w:left="23" w:right="22"/>
              <w:jc w:val="left"/>
              <w:rPr>
                <w:rFonts w:ascii="宋体" w:hAnsi="宋体" w:cs="宋体" w:eastAsia="宋体" w:hint="default"/>
                <w:sz w:val="21"/>
                <w:szCs w:val="21"/>
              </w:rPr>
            </w:pPr>
            <w:r>
              <w:rPr>
                <w:rFonts w:ascii="宋体" w:hAnsi="宋体" w:cs="宋体" w:eastAsia="宋体" w:hint="default"/>
                <w:spacing w:val="-2"/>
                <w:sz w:val="21"/>
                <w:szCs w:val="21"/>
              </w:rPr>
              <w:t>变动计入当期损益的金融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资产</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73,378,646.78</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73,378,646.78</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交易性金融资产</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9,371,048.37</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9,371,048.37</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97,110.00</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97,110.00</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w:t>
            </w:r>
            <w:r>
              <w:rPr>
                <w:rFonts w:ascii="宋体" w:hAnsi="宋体" w:cs="宋体" w:eastAsia="宋体" w:hint="default"/>
                <w:spacing w:val="1"/>
                <w:sz w:val="21"/>
                <w:szCs w:val="21"/>
              </w:rPr>
              <w:t> </w:t>
            </w:r>
            <w:r>
              <w:rPr>
                <w:rFonts w:ascii="宋体" w:hAnsi="宋体" w:cs="宋体" w:eastAsia="宋体" w:hint="default"/>
                <w:sz w:val="21"/>
                <w:szCs w:val="21"/>
              </w:rPr>
              <w:t>他</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9,273,938.37</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9,273,938.37</w:t>
            </w:r>
          </w:p>
        </w:tc>
      </w:tr>
      <w:tr>
        <w:trPr>
          <w:trHeight w:val="826"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指定以公允价值计量</w:t>
            </w:r>
          </w:p>
          <w:p>
            <w:pPr>
              <w:pStyle w:val="TableParagraph"/>
              <w:spacing w:line="240" w:lineRule="auto"/>
              <w:ind w:left="23" w:right="22"/>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金融资产</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64,007,598.41</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64,007,598.41</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w:t>
            </w:r>
            <w:r>
              <w:rPr>
                <w:rFonts w:ascii="宋体" w:hAnsi="宋体" w:cs="宋体" w:eastAsia="宋体" w:hint="default"/>
                <w:spacing w:val="1"/>
                <w:sz w:val="21"/>
                <w:szCs w:val="21"/>
              </w:rPr>
              <w:t> </w:t>
            </w:r>
            <w:r>
              <w:rPr>
                <w:rFonts w:ascii="宋体" w:hAnsi="宋体" w:cs="宋体" w:eastAsia="宋体" w:hint="default"/>
                <w:sz w:val="21"/>
                <w:szCs w:val="21"/>
              </w:rPr>
              <w:t>他</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64,007,598.41</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64,007,598.41</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322,927,117.63</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322,927,117.63</w:t>
            </w:r>
          </w:p>
        </w:tc>
      </w:tr>
    </w:tbl>
    <w:p>
      <w:pPr>
        <w:spacing w:after="0" w:line="241" w:lineRule="exact"/>
        <w:jc w:val="right"/>
        <w:rPr>
          <w:rFonts w:ascii="宋体" w:hAnsi="宋体" w:cs="宋体" w:eastAsia="宋体" w:hint="default"/>
          <w:sz w:val="21"/>
          <w:szCs w:val="21"/>
        </w:rPr>
        <w:sectPr>
          <w:type w:val="continuous"/>
          <w:pgSz w:w="11910" w:h="16840"/>
          <w:pgMar w:top="1120" w:bottom="1380" w:left="15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372"/>
        <w:gridCol w:w="1668"/>
        <w:gridCol w:w="1628"/>
        <w:gridCol w:w="1697"/>
        <w:gridCol w:w="1526"/>
      </w:tblGrid>
      <w:tr>
        <w:trPr>
          <w:trHeight w:val="28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134,497,839.67</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134,497,839.67</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188,429,277.96</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188,429,277.96</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396,305,764.41</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396,305,764.41</w:t>
            </w:r>
          </w:p>
        </w:tc>
      </w:tr>
      <w:tr>
        <w:trPr>
          <w:trHeight w:val="30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40" w:lineRule="auto"/>
              <w:ind w:left="23" w:right="22"/>
              <w:jc w:val="left"/>
              <w:rPr>
                <w:rFonts w:ascii="宋体" w:hAnsi="宋体" w:cs="宋体" w:eastAsia="宋体" w:hint="default"/>
                <w:sz w:val="21"/>
                <w:szCs w:val="21"/>
              </w:rPr>
            </w:pPr>
            <w:r>
              <w:rPr>
                <w:rFonts w:ascii="宋体" w:hAnsi="宋体" w:cs="宋体" w:eastAsia="宋体" w:hint="default"/>
                <w:spacing w:val="-2"/>
                <w:sz w:val="21"/>
                <w:szCs w:val="21"/>
              </w:rPr>
              <w:t>计量且变动计入当期损益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的金融负债</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的资产总额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的负债总额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line="410" w:lineRule="auto" w:before="36"/>
        <w:ind w:left="558" w:right="145"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100"/>
          <w:sz w:val="21"/>
          <w:szCs w:val="21"/>
        </w:rPr>
        <w:t> </w:t>
      </w:r>
      <w:r>
        <w:rPr>
          <w:rFonts w:ascii="宋体" w:hAnsi="宋体" w:cs="宋体" w:eastAsia="宋体" w:hint="default"/>
          <w:spacing w:val="-2"/>
          <w:sz w:val="21"/>
          <w:szCs w:val="21"/>
        </w:rPr>
        <w:t>公司按照在计量日能够取得的相同资产或负债在活跃市场上未经调整的报价确认公允价值变</w:t>
      </w:r>
    </w:p>
    <w:p>
      <w:pPr>
        <w:pStyle w:val="BodyText"/>
        <w:spacing w:line="259" w:lineRule="exact"/>
        <w:ind w:left="138" w:right="145"/>
        <w:jc w:val="left"/>
      </w:pPr>
      <w:r>
        <w:rPr/>
        <w:t>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spacing w:line="240" w:lineRule="auto" w:before="0"/>
        <w:ind w:left="138" w:right="145"/>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660" w:right="1120"/>
        </w:sectPr>
      </w:pPr>
    </w:p>
    <w:p>
      <w:pPr>
        <w:spacing w:line="240" w:lineRule="auto" w:before="1"/>
        <w:rPr>
          <w:rFonts w:ascii="宋体" w:hAnsi="宋体" w:cs="宋体" w:eastAsia="宋体" w:hint="default"/>
          <w:b/>
          <w:bCs/>
          <w:sz w:val="25"/>
          <w:szCs w:val="25"/>
        </w:rPr>
      </w:pPr>
    </w:p>
    <w:p>
      <w:pPr>
        <w:pStyle w:val="Heading4"/>
        <w:spacing w:line="240" w:lineRule="auto"/>
        <w:ind w:right="227"/>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72" w:lineRule="exact" w:before="64"/>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spacing w:line="240" w:lineRule="auto" w:before="7"/>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72" w:lineRule="exact" w:before="64"/>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spacing w:line="240" w:lineRule="auto" w:before="7"/>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1"/>
          <w:szCs w:val="21"/>
        </w:rPr>
      </w:pPr>
    </w:p>
    <w:p>
      <w:pPr>
        <w:pStyle w:val="Heading4"/>
        <w:spacing w:line="240" w:lineRule="auto"/>
        <w:ind w:right="294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right="294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right="2940"/>
        <w:jc w:val="left"/>
        <w:rPr>
          <w:b w:val="0"/>
          <w:bCs w:val="0"/>
        </w:rPr>
      </w:pPr>
      <w:r>
        <w:rPr>
          <w:rFonts w:ascii="宋体" w:hAnsi="宋体" w:cs="宋体" w:eastAsia="宋体" w:hint="default"/>
        </w:rPr>
        <w:t>9</w:t>
      </w:r>
      <w:r>
        <w:rPr/>
        <w:t>、</w:t>
      </w:r>
      <w:r>
        <w:rPr>
          <w:spacing w:val="2"/>
        </w:rPr>
        <w:t> </w:t>
      </w:r>
      <w:r>
        <w:rPr/>
        <w:t>其他</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580" w:right="1040"/>
        </w:sectPr>
      </w:pPr>
    </w:p>
    <w:p>
      <w:pPr>
        <w:pStyle w:val="Heading4"/>
        <w:tabs>
          <w:tab w:pos="1057" w:val="left" w:leader="none"/>
        </w:tabs>
        <w:spacing w:line="290" w:lineRule="auto" w:before="37"/>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9"/>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48" w:space="377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07"/>
        <w:gridCol w:w="1011"/>
        <w:gridCol w:w="1262"/>
        <w:gridCol w:w="1582"/>
        <w:gridCol w:w="1802"/>
        <w:gridCol w:w="1875"/>
      </w:tblGrid>
      <w:tr>
        <w:trPr>
          <w:trHeight w:val="852"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213" w:right="156" w:hanging="53"/>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的持股比例</w:t>
            </w:r>
            <w:r>
              <w:rPr>
                <w:rFonts w:ascii="宋体" w:hAnsi="宋体" w:cs="宋体" w:eastAsia="宋体" w:hint="default"/>
                <w:sz w:val="21"/>
                <w:szCs w:val="21"/>
              </w:rPr>
              <w:t>(%)</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44" w:right="141"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宋体" w:hAnsi="宋体" w:cs="宋体" w:eastAsia="宋体" w:hint="default"/>
                <w:sz w:val="21"/>
                <w:szCs w:val="21"/>
              </w:rPr>
              <w:t>(%)</w:t>
            </w:r>
          </w:p>
        </w:tc>
      </w:tr>
      <w:tr>
        <w:trPr>
          <w:trHeight w:val="55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杭州恒生电子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4"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实业投资</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50,000,000.00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63" w:right="0"/>
              <w:jc w:val="left"/>
              <w:rPr>
                <w:rFonts w:ascii="宋体" w:hAnsi="宋体" w:cs="宋体" w:eastAsia="宋体" w:hint="default"/>
                <w:sz w:val="21"/>
                <w:szCs w:val="21"/>
              </w:rPr>
            </w:pPr>
            <w:r>
              <w:rPr>
                <w:rFonts w:ascii="宋体"/>
                <w:sz w:val="21"/>
              </w:rPr>
              <w:t>20.72</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36" w:right="0"/>
              <w:jc w:val="left"/>
              <w:rPr>
                <w:rFonts w:ascii="宋体" w:hAnsi="宋体" w:cs="宋体" w:eastAsia="宋体" w:hint="default"/>
                <w:sz w:val="21"/>
                <w:szCs w:val="21"/>
              </w:rPr>
            </w:pPr>
            <w:r>
              <w:rPr>
                <w:rFonts w:ascii="宋体"/>
                <w:sz w:val="21"/>
              </w:rPr>
              <w:t>20.72</w:t>
            </w:r>
          </w:p>
        </w:tc>
      </w:tr>
    </w:tbl>
    <w:p>
      <w:pPr>
        <w:pStyle w:val="BodyText"/>
        <w:spacing w:line="240" w:lineRule="exact"/>
        <w:ind w:right="2940"/>
        <w:jc w:val="left"/>
      </w:pPr>
      <w:r>
        <w:rPr/>
        <w:t>本企业的母公司情况的说明</w:t>
      </w:r>
    </w:p>
    <w:p>
      <w:pPr>
        <w:pStyle w:val="BodyText"/>
        <w:spacing w:line="237" w:lineRule="auto" w:before="2"/>
        <w:ind w:right="6390"/>
        <w:jc w:val="left"/>
      </w:pPr>
      <w:r>
        <w:rPr>
          <w:spacing w:val="-2"/>
        </w:rPr>
        <w:t>母公司最终控制方为马云。</w:t>
      </w:r>
      <w:r>
        <w:rPr>
          <w:spacing w:val="-82"/>
        </w:rPr>
        <w:t> </w:t>
      </w:r>
      <w:r>
        <w:rPr>
          <w:spacing w:val="-82"/>
        </w:rPr>
      </w:r>
      <w:r>
        <w:rPr/>
        <w:t>本企业最终控制方是马云</w:t>
      </w:r>
      <w:r>
        <w:rPr>
          <w:w w:val="100"/>
        </w:rPr>
        <w:t> </w:t>
      </w: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90" w:lineRule="auto" w:before="40"/>
        <w:ind w:left="218" w:right="504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spacing w:line="240" w:lineRule="auto" w:before="6"/>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spacing w:line="290" w:lineRule="auto" w:before="36"/>
        <w:ind w:left="218" w:right="294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spacing w:line="240" w:lineRule="auto" w:before="4"/>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pStyle w:val="BodyText"/>
        <w:spacing w:line="272" w:lineRule="exact" w:before="7"/>
        <w:ind w:right="227"/>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49" w:lineRule="exact"/>
        <w:ind w:right="294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5"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杭州恒生百川科技有限公司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杭州恒生世纪实业有限公司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浙江互联网金融资产交易中心股份</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84"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杭州恒生芸泰网络科技有限公司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240" w:lineRule="auto" w:before="5"/>
        <w:rPr>
          <w:rFonts w:ascii="宋体" w:hAnsi="宋体" w:cs="宋体" w:eastAsia="宋体" w:hint="default"/>
          <w:sz w:val="15"/>
          <w:szCs w:val="15"/>
        </w:rPr>
      </w:pPr>
    </w:p>
    <w:p>
      <w:pPr>
        <w:pStyle w:val="BodyText"/>
        <w:spacing w:line="240" w:lineRule="auto" w:before="36"/>
        <w:ind w:right="2940"/>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386"/>
      </w:tblGrid>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网络技术有限公司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信息技术有限公司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上海招财宝金融信息服务有限公司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集分宝南京企业管理有限公司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阿里云计算有限公司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1]</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浙江淘宝网络有限公司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浙江蚂蚁小微金融服务集团有限公司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软件有限公司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天弘基金管理有限公司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杭州恒生数字设备科技有限公司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上海云鑫投资管理有限公司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众安在线财产保险股份有限公司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3]</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82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彭政纲、刘曙峰、官晓岚、倪守奇、范径武、傅</w:t>
            </w:r>
          </w:p>
          <w:p>
            <w:pPr>
              <w:pStyle w:val="TableParagraph"/>
              <w:spacing w:line="272" w:lineRule="exact" w:before="27"/>
              <w:ind w:left="103" w:right="119"/>
              <w:jc w:val="left"/>
              <w:rPr>
                <w:rFonts w:ascii="宋体" w:hAnsi="宋体" w:cs="宋体" w:eastAsia="宋体" w:hint="default"/>
                <w:sz w:val="21"/>
                <w:szCs w:val="21"/>
              </w:rPr>
            </w:pPr>
            <w:r>
              <w:rPr>
                <w:rFonts w:ascii="宋体" w:hAnsi="宋体" w:cs="宋体" w:eastAsia="宋体" w:hint="default"/>
                <w:spacing w:val="-2"/>
                <w:sz w:val="21"/>
                <w:szCs w:val="21"/>
              </w:rPr>
              <w:t>美英、童晨晖、廖章勇、蒋建圣、方汉林、井贤</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栋、胡晓明</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4]</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宁波云汉投资管理合伙企业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宋体" w:hAnsi="宋体" w:cs="宋体" w:eastAsia="宋体" w:hint="default"/>
                <w:sz w:val="21"/>
                <w:szCs w:val="21"/>
              </w:rPr>
              <w:t>3]</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7"/>
        <w:rPr>
          <w:rFonts w:ascii="宋体" w:hAnsi="宋体" w:cs="宋体" w:eastAsia="宋体" w:hint="default"/>
          <w:sz w:val="15"/>
          <w:szCs w:val="15"/>
        </w:rPr>
      </w:pPr>
    </w:p>
    <w:p>
      <w:pPr>
        <w:pStyle w:val="BodyText"/>
        <w:spacing w:line="240" w:lineRule="auto" w:before="36"/>
        <w:ind w:right="2940"/>
        <w:jc w:val="left"/>
      </w:pPr>
      <w:r>
        <w:rPr/>
        <w:t>其他说明</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关联单位简称</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杭州恒生百川科技有限公司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恒生百川</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杭州恒生世纪实业有限公司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世纪实业</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浙江互联网金融资产交易中心股份有限公司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金融资产交易中心</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杭州恒生芸泰网络科技有限公司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恒生芸泰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网络技术有限公司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信息技术有限公司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上海招财宝金融信息服务有限公司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上海招财宝</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集分宝南京企业管理有限公司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集分宝南京</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阿里云计算有限公司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阿里云</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浙江淘宝网络有限公司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淘宝网络</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浙江蚂蚁小微金融服务集团有限公司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蚂蚁金服</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软件有限公司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天弘基金管理有限公司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天弘基金</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杭州恒生数字设备科技有限公司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数字设备</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上海云鑫投资管理有限公司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上海云鑫</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众安在线财产保险股份有限公司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众安在线</w:t>
            </w:r>
          </w:p>
        </w:tc>
      </w:tr>
      <w:tr>
        <w:trPr>
          <w:trHeight w:val="82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彭政纲、刘曙峰、官晓岚、倪守奇、范径武、傅</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7"/>
                <w:sz w:val="21"/>
                <w:szCs w:val="21"/>
              </w:rPr>
              <w:t>美英、童晨晖、廖章勇、蒋建圣、方汉林、井贤</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栋、胡晓明</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高级管理人员</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宁波云汉投资管理合伙企业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云汉投资</w:t>
            </w:r>
          </w:p>
        </w:tc>
      </w:tr>
    </w:tbl>
    <w:p>
      <w:pPr>
        <w:spacing w:after="0" w:line="243" w:lineRule="exact"/>
        <w:jc w:val="center"/>
        <w:rPr>
          <w:rFonts w:ascii="宋体" w:hAnsi="宋体" w:cs="宋体" w:eastAsia="宋体" w:hint="default"/>
          <w:sz w:val="21"/>
          <w:szCs w:val="21"/>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left="138" w:right="145"/>
        <w:jc w:val="left"/>
      </w:pPr>
      <w:r>
        <w:rPr>
          <w:rFonts w:ascii="宋体" w:hAnsi="宋体" w:cs="宋体" w:eastAsia="宋体" w:hint="default"/>
        </w:rPr>
        <w:t>[</w:t>
      </w:r>
      <w:r>
        <w:rPr/>
        <w:t>注 </w:t>
      </w:r>
      <w:r>
        <w:rPr>
          <w:rFonts w:ascii="宋体" w:hAnsi="宋体" w:cs="宋体" w:eastAsia="宋体" w:hint="default"/>
        </w:rPr>
        <w:t>1]:</w:t>
      </w:r>
      <w:r>
        <w:rPr>
          <w:rFonts w:ascii="宋体" w:hAnsi="宋体" w:cs="宋体" w:eastAsia="宋体" w:hint="default"/>
          <w:spacing w:val="-56"/>
        </w:rPr>
        <w:t> </w:t>
      </w:r>
      <w:r>
        <w:rPr/>
        <w:t>第一大股东的实际控制人控制的企业。</w:t>
      </w:r>
    </w:p>
    <w:p>
      <w:pPr>
        <w:pStyle w:val="BodyText"/>
        <w:spacing w:line="272" w:lineRule="exact"/>
        <w:ind w:left="138" w:right="145"/>
        <w:jc w:val="left"/>
      </w:pPr>
      <w:r>
        <w:rPr>
          <w:rFonts w:ascii="宋体" w:hAnsi="宋体" w:cs="宋体" w:eastAsia="宋体" w:hint="default"/>
        </w:rPr>
        <w:t>[</w:t>
      </w:r>
      <w:r>
        <w:rPr/>
        <w:t>注 </w:t>
      </w:r>
      <w:r>
        <w:rPr>
          <w:rFonts w:ascii="宋体" w:hAnsi="宋体" w:cs="宋体" w:eastAsia="宋体" w:hint="default"/>
        </w:rPr>
        <w:t>2]:</w:t>
      </w:r>
      <w:r>
        <w:rPr>
          <w:rFonts w:ascii="宋体" w:hAnsi="宋体" w:cs="宋体" w:eastAsia="宋体" w:hint="default"/>
          <w:spacing w:val="-54"/>
        </w:rPr>
        <w:t> </w:t>
      </w:r>
      <w:r>
        <w:rPr/>
        <w:t>参股企业。</w:t>
      </w:r>
    </w:p>
    <w:p>
      <w:pPr>
        <w:pStyle w:val="BodyText"/>
        <w:spacing w:line="272" w:lineRule="exact"/>
        <w:ind w:left="138" w:right="145"/>
        <w:jc w:val="left"/>
      </w:pPr>
      <w:r>
        <w:rPr>
          <w:rFonts w:ascii="宋体" w:hAnsi="宋体" w:cs="宋体" w:eastAsia="宋体" w:hint="default"/>
        </w:rPr>
        <w:t>[</w:t>
      </w:r>
      <w:r>
        <w:rPr/>
        <w:t>注 </w:t>
      </w:r>
      <w:r>
        <w:rPr>
          <w:rFonts w:ascii="宋体" w:hAnsi="宋体" w:cs="宋体" w:eastAsia="宋体" w:hint="default"/>
        </w:rPr>
        <w:t>3]:</w:t>
      </w:r>
      <w:r>
        <w:rPr>
          <w:rFonts w:ascii="宋体" w:hAnsi="宋体" w:cs="宋体" w:eastAsia="宋体" w:hint="default"/>
          <w:spacing w:val="-53"/>
        </w:rPr>
        <w:t> </w:t>
      </w:r>
      <w:r>
        <w:rPr/>
        <w:t>高级管理人员之关联企业。</w:t>
      </w:r>
    </w:p>
    <w:p>
      <w:pPr>
        <w:pStyle w:val="BodyText"/>
        <w:spacing w:line="274" w:lineRule="exact"/>
        <w:ind w:left="138" w:right="145"/>
        <w:jc w:val="left"/>
      </w:pPr>
      <w:r>
        <w:rPr>
          <w:rFonts w:ascii="宋体" w:hAnsi="宋体" w:cs="宋体" w:eastAsia="宋体" w:hint="default"/>
        </w:rPr>
        <w:t>[</w:t>
      </w:r>
      <w:r>
        <w:rPr/>
        <w:t>注 </w:t>
      </w:r>
      <w:r>
        <w:rPr>
          <w:rFonts w:ascii="宋体" w:hAnsi="宋体" w:cs="宋体" w:eastAsia="宋体" w:hint="default"/>
        </w:rPr>
        <w:t>4]:</w:t>
      </w:r>
      <w:r>
        <w:rPr>
          <w:rFonts w:ascii="宋体" w:hAnsi="宋体" w:cs="宋体" w:eastAsia="宋体" w:hint="default"/>
          <w:spacing w:val="-53"/>
        </w:rPr>
        <w:t> </w:t>
      </w:r>
      <w:r>
        <w:rPr/>
        <w:t>高级管理人员。</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120"/>
        </w:sectPr>
      </w:pPr>
    </w:p>
    <w:p>
      <w:pPr>
        <w:pStyle w:val="Heading4"/>
        <w:spacing w:line="240" w:lineRule="auto"/>
        <w:ind w:left="138"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pStyle w:val="Heading4"/>
        <w:spacing w:line="240" w:lineRule="auto" w:before="56"/>
        <w:ind w:left="138" w:right="-18"/>
        <w:jc w:val="left"/>
        <w:rPr>
          <w:b w:val="0"/>
          <w:bCs w:val="0"/>
        </w:rPr>
      </w:pPr>
      <w:r>
        <w:rPr>
          <w:rFonts w:ascii="宋体" w:hAnsi="宋体" w:cs="宋体" w:eastAsia="宋体" w:hint="default"/>
        </w:rPr>
        <w:t>(1).</w:t>
      </w:r>
      <w:r>
        <w:rPr>
          <w:rFonts w:ascii="宋体" w:hAnsi="宋体" w:cs="宋体" w:eastAsia="宋体" w:hint="default"/>
          <w:spacing w:val="87"/>
        </w:rPr>
        <w:t> </w:t>
      </w:r>
      <w:r>
        <w:rPr/>
        <w:t>购销商品、提供和接受劳务的关联交易</w:t>
      </w:r>
      <w:r>
        <w:rPr>
          <w:b w:val="0"/>
          <w:bCs w:val="0"/>
        </w:rPr>
      </w:r>
    </w:p>
    <w:p>
      <w:pPr>
        <w:pStyle w:val="BodyText"/>
        <w:spacing w:line="272" w:lineRule="exact" w:before="86"/>
        <w:ind w:left="138" w:right="258"/>
        <w:jc w:val="left"/>
      </w:pPr>
      <w:r>
        <w:rPr/>
        <w:t>√适用</w:t>
      </w:r>
      <w:r>
        <w:rPr>
          <w:spacing w:val="-2"/>
        </w:rPr>
        <w:t> </w:t>
      </w:r>
      <w:r>
        <w:rPr/>
        <w:t>□不适用</w:t>
      </w:r>
      <w:r>
        <w:rPr>
          <w:w w:val="100"/>
        </w:rPr>
        <w:t> </w:t>
      </w:r>
      <w:r>
        <w:rPr>
          <w:spacing w:val="-2"/>
        </w:rPr>
        <w:t>采购商品</w:t>
      </w:r>
      <w:r>
        <w:rPr>
          <w:rFonts w:ascii="宋体" w:hAnsi="宋体" w:cs="宋体" w:eastAsia="宋体" w:hint="default"/>
          <w:spacing w:val="-2"/>
        </w:rPr>
        <w:t>/</w:t>
      </w:r>
      <w:r>
        <w:rPr>
          <w:spacing w:val="-2"/>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341" w:space="2181"/>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阿里云</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采购货物</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35,656,849.40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1,850,657.50</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68,800.11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131,159.94</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接受服务</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2,445,715.60</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集分宝南京</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接受服务</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438,199.97</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数字设备</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采购货物</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328,717.95</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上海招财宝</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接受服务</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70,007.58</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淘宝网络</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接受服务</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16,053.43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left="138" w:right="145"/>
        <w:jc w:val="left"/>
      </w:pPr>
      <w:r>
        <w:rPr/>
        <w:t>出售商品</w:t>
      </w:r>
      <w:r>
        <w:rPr>
          <w:rFonts w:ascii="宋体" w:hAnsi="宋体" w:cs="宋体" w:eastAsia="宋体" w:hint="default"/>
        </w:rPr>
        <w:t>/</w:t>
      </w:r>
      <w:r>
        <w:rPr/>
        <w:t>提供劳务情况表</w:t>
      </w:r>
    </w:p>
    <w:p>
      <w:pPr>
        <w:pStyle w:val="BodyText"/>
        <w:tabs>
          <w:tab w:pos="1051" w:val="left" w:leader="none"/>
        </w:tabs>
        <w:spacing w:line="273" w:lineRule="exact"/>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蚂蚁金服</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7,530,179.25</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数米基金</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9"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7,296,451.71</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3,762,176.04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532,984.81</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1,137,735.85</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阿里云</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87,100.94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数字设备</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2,830.19</w:t>
            </w:r>
          </w:p>
        </w:tc>
      </w:tr>
    </w:tbl>
    <w:p>
      <w:pPr>
        <w:spacing w:line="240" w:lineRule="auto" w:before="5"/>
        <w:rPr>
          <w:rFonts w:ascii="宋体" w:hAnsi="宋体" w:cs="宋体" w:eastAsia="宋体" w:hint="default"/>
          <w:sz w:val="15"/>
          <w:szCs w:val="15"/>
        </w:rPr>
      </w:pPr>
    </w:p>
    <w:p>
      <w:pPr>
        <w:pStyle w:val="BodyText"/>
        <w:spacing w:line="240" w:lineRule="auto" w:before="36"/>
        <w:ind w:left="138" w:right="145"/>
        <w:jc w:val="left"/>
      </w:pPr>
      <w:r>
        <w:rPr/>
        <w:t>购销商品、提供和接受劳务的关联交易说明</w:t>
      </w:r>
    </w:p>
    <w:p>
      <w:pPr>
        <w:spacing w:line="240" w:lineRule="auto" w:before="11"/>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left="138" w:right="145"/>
        <w:jc w:val="left"/>
        <w:rPr>
          <w:b w:val="0"/>
          <w:bCs w:val="0"/>
        </w:rPr>
      </w:pPr>
      <w:r>
        <w:rPr>
          <w:rFonts w:ascii="宋体" w:hAnsi="宋体" w:cs="宋体" w:eastAsia="宋体" w:hint="default"/>
        </w:rPr>
        <w:t>(2).</w:t>
      </w:r>
      <w:r>
        <w:rPr>
          <w:rFonts w:ascii="宋体" w:hAnsi="宋体" w:cs="宋体" w:eastAsia="宋体" w:hint="default"/>
          <w:spacing w:val="89"/>
        </w:rPr>
        <w:t> </w:t>
      </w:r>
      <w:r>
        <w:rPr/>
        <w:t>关联受托管理</w:t>
      </w:r>
      <w:r>
        <w:rPr>
          <w:rFonts w:ascii="Cambria" w:hAnsi="Cambria" w:cs="Cambria" w:eastAsia="Cambria" w:hint="default"/>
        </w:rPr>
        <w:t>/</w:t>
      </w:r>
      <w:r>
        <w:rPr/>
        <w:t>承包及委托管理</w:t>
      </w:r>
      <w:r>
        <w:rPr>
          <w:rFonts w:ascii="Cambria" w:hAnsi="Cambria" w:cs="Cambria" w:eastAsia="Cambria" w:hint="default"/>
        </w:rPr>
        <w:t>/</w:t>
      </w:r>
      <w:r>
        <w:rPr/>
        <w:t>出包情况</w:t>
      </w:r>
      <w:r>
        <w:rPr>
          <w:b w:val="0"/>
          <w:bCs w:val="0"/>
        </w:rPr>
      </w:r>
    </w:p>
    <w:p>
      <w:pPr>
        <w:pStyle w:val="BodyText"/>
        <w:spacing w:line="240" w:lineRule="auto" w:before="40"/>
        <w:ind w:left="138" w:right="14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120"/>
        </w:sectPr>
      </w:pPr>
    </w:p>
    <w:p>
      <w:pPr>
        <w:pStyle w:val="Heading4"/>
        <w:spacing w:line="240" w:lineRule="auto"/>
        <w:ind w:left="138" w:right="-10"/>
        <w:jc w:val="left"/>
        <w:rPr>
          <w:b w:val="0"/>
          <w:bCs w:val="0"/>
        </w:rPr>
      </w:pPr>
      <w:r>
        <w:rPr>
          <w:rFonts w:ascii="宋体" w:hAnsi="宋体" w:cs="宋体" w:eastAsia="宋体" w:hint="default"/>
        </w:rPr>
        <w:t>(3).</w:t>
      </w:r>
      <w:r>
        <w:rPr>
          <w:rFonts w:ascii="宋体" w:hAnsi="宋体" w:cs="宋体" w:eastAsia="宋体" w:hint="default"/>
          <w:spacing w:val="89"/>
        </w:rPr>
        <w:t> </w:t>
      </w:r>
      <w:r>
        <w:rPr/>
        <w:t>关联租赁情况</w:t>
      </w:r>
      <w:r>
        <w:rPr>
          <w:b w:val="0"/>
          <w:bCs w:val="0"/>
        </w:rPr>
      </w:r>
    </w:p>
    <w:p>
      <w:pPr>
        <w:pStyle w:val="BodyText"/>
        <w:spacing w:line="272" w:lineRule="exact" w:before="86"/>
        <w:ind w:left="138" w:right="-8"/>
        <w:jc w:val="left"/>
      </w:pPr>
      <w:r>
        <w:rPr/>
        <w:t>√适用</w:t>
      </w:r>
      <w:r>
        <w:rPr>
          <w:spacing w:val="-2"/>
        </w:rPr>
        <w:t> </w:t>
      </w:r>
      <w:r>
        <w:rPr/>
        <w:t>□不适用</w:t>
      </w:r>
      <w:r>
        <w:rPr>
          <w:w w:val="100"/>
        </w:rPr>
        <w:t> </w:t>
      </w:r>
      <w:r>
        <w:rPr>
          <w:spacing w:val="-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705"/>
        <w:gridCol w:w="1721"/>
        <w:gridCol w:w="2268"/>
        <w:gridCol w:w="2110"/>
      </w:tblGrid>
      <w:tr>
        <w:trPr>
          <w:trHeight w:val="348"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3"/>
              <w:jc w:val="right"/>
              <w:rPr>
                <w:rFonts w:ascii="宋体" w:hAnsi="宋体" w:cs="宋体" w:eastAsia="宋体" w:hint="default"/>
                <w:sz w:val="21"/>
                <w:szCs w:val="21"/>
              </w:rPr>
            </w:pPr>
            <w:r>
              <w:rPr>
                <w:rFonts w:ascii="宋体" w:hAnsi="宋体" w:cs="宋体" w:eastAsia="宋体" w:hint="default"/>
                <w:spacing w:val="-1"/>
                <w:sz w:val="21"/>
                <w:szCs w:val="21"/>
              </w:rPr>
              <w:t>租赁资产种类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3"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恒生芸泰</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3"/>
              <w:jc w:val="right"/>
              <w:rPr>
                <w:rFonts w:ascii="宋体" w:hAnsi="宋体" w:cs="宋体" w:eastAsia="宋体" w:hint="default"/>
                <w:sz w:val="21"/>
                <w:szCs w:val="21"/>
              </w:rPr>
            </w:pPr>
            <w:r>
              <w:rPr>
                <w:rFonts w:ascii="宋体" w:hAnsi="宋体" w:cs="宋体" w:eastAsia="宋体" w:hint="default"/>
                <w:spacing w:val="-1"/>
                <w:sz w:val="21"/>
                <w:szCs w:val="21"/>
              </w:rPr>
              <w:t>房屋及建筑物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449,115.00</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金融资产交易中心</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3"/>
              <w:jc w:val="right"/>
              <w:rPr>
                <w:rFonts w:ascii="宋体" w:hAnsi="宋体" w:cs="宋体" w:eastAsia="宋体" w:hint="default"/>
                <w:sz w:val="21"/>
                <w:szCs w:val="21"/>
              </w:rPr>
            </w:pPr>
            <w:r>
              <w:rPr>
                <w:rFonts w:ascii="宋体" w:hAnsi="宋体" w:cs="宋体" w:eastAsia="宋体" w:hint="default"/>
                <w:spacing w:val="-1"/>
                <w:sz w:val="21"/>
                <w:szCs w:val="21"/>
              </w:rPr>
              <w:t>房屋及建筑物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446,975.66</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数米基金</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3"/>
              <w:jc w:val="right"/>
              <w:rPr>
                <w:rFonts w:ascii="宋体" w:hAnsi="宋体" w:cs="宋体" w:eastAsia="宋体" w:hint="default"/>
                <w:sz w:val="21"/>
                <w:szCs w:val="21"/>
              </w:rPr>
            </w:pPr>
            <w:r>
              <w:rPr>
                <w:rFonts w:ascii="宋体" w:hAnsi="宋体" w:cs="宋体" w:eastAsia="宋体" w:hint="default"/>
                <w:spacing w:val="-1"/>
                <w:sz w:val="21"/>
                <w:szCs w:val="21"/>
              </w:rPr>
              <w:t>房屋及建筑物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106,557.36</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世纪实业</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3"/>
              <w:jc w:val="right"/>
              <w:rPr>
                <w:rFonts w:ascii="宋体" w:hAnsi="宋体" w:cs="宋体" w:eastAsia="宋体" w:hint="default"/>
                <w:sz w:val="21"/>
                <w:szCs w:val="21"/>
              </w:rPr>
            </w:pPr>
            <w:r>
              <w:rPr>
                <w:rFonts w:ascii="宋体" w:hAnsi="宋体" w:cs="宋体" w:eastAsia="宋体" w:hint="default"/>
                <w:spacing w:val="-1"/>
                <w:sz w:val="21"/>
                <w:szCs w:val="21"/>
              </w:rPr>
              <w:t>房屋及建筑物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89,987.00</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3"/>
              <w:jc w:val="right"/>
              <w:rPr>
                <w:rFonts w:ascii="宋体" w:hAnsi="宋体" w:cs="宋体" w:eastAsia="宋体" w:hint="default"/>
                <w:sz w:val="21"/>
                <w:szCs w:val="21"/>
              </w:rPr>
            </w:pPr>
            <w:r>
              <w:rPr>
                <w:rFonts w:ascii="宋体" w:hAnsi="宋体" w:cs="宋体" w:eastAsia="宋体" w:hint="default"/>
                <w:spacing w:val="-1"/>
                <w:sz w:val="21"/>
                <w:szCs w:val="21"/>
              </w:rPr>
              <w:t>房屋及建筑物</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0" w:right="0"/>
              <w:jc w:val="left"/>
              <w:rPr>
                <w:rFonts w:ascii="宋体" w:hAnsi="宋体" w:cs="宋体" w:eastAsia="宋体" w:hint="default"/>
                <w:sz w:val="21"/>
                <w:szCs w:val="21"/>
              </w:rPr>
            </w:pPr>
            <w:r>
              <w:rPr>
                <w:rFonts w:ascii="宋体"/>
                <w:sz w:val="21"/>
              </w:rPr>
              <w:t>50,000.00</w:t>
            </w:r>
          </w:p>
        </w:tc>
      </w:tr>
    </w:tbl>
    <w:p>
      <w:pPr>
        <w:spacing w:line="240" w:lineRule="auto" w:before="7"/>
        <w:rPr>
          <w:rFonts w:ascii="宋体" w:hAnsi="宋体" w:cs="宋体" w:eastAsia="宋体" w:hint="default"/>
          <w:sz w:val="15"/>
          <w:szCs w:val="15"/>
        </w:rPr>
      </w:pPr>
    </w:p>
    <w:p>
      <w:pPr>
        <w:pStyle w:val="BodyText"/>
        <w:spacing w:line="240" w:lineRule="auto" w:before="36"/>
        <w:ind w:left="138" w:right="145"/>
        <w:jc w:val="left"/>
      </w:pPr>
      <w:r>
        <w:rPr/>
        <w:t>本公司作为承租方：</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66"/>
        <w:gridCol w:w="2005"/>
        <w:gridCol w:w="2460"/>
        <w:gridCol w:w="2665"/>
      </w:tblGrid>
      <w:tr>
        <w:trPr>
          <w:trHeight w:val="319"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65"/>
              <w:jc w:val="right"/>
              <w:rPr>
                <w:rFonts w:ascii="宋体" w:hAnsi="宋体" w:cs="宋体" w:eastAsia="宋体" w:hint="default"/>
                <w:sz w:val="21"/>
                <w:szCs w:val="21"/>
              </w:rPr>
            </w:pPr>
            <w:r>
              <w:rPr>
                <w:rFonts w:ascii="宋体" w:hAnsi="宋体" w:cs="宋体" w:eastAsia="宋体" w:hint="default"/>
                <w:spacing w:val="-1"/>
                <w:sz w:val="21"/>
                <w:szCs w:val="21"/>
              </w:rPr>
              <w:t>租赁资产种类</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恒生百川</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5"/>
              <w:jc w:val="right"/>
              <w:rPr>
                <w:rFonts w:ascii="宋体" w:hAnsi="宋体" w:cs="宋体" w:eastAsia="宋体" w:hint="default"/>
                <w:sz w:val="21"/>
                <w:szCs w:val="21"/>
              </w:rPr>
            </w:pPr>
            <w:r>
              <w:rPr>
                <w:rFonts w:ascii="宋体" w:hAnsi="宋体" w:cs="宋体" w:eastAsia="宋体" w:hint="default"/>
                <w:spacing w:val="-1"/>
                <w:sz w:val="21"/>
                <w:szCs w:val="21"/>
              </w:rPr>
              <w:t>房屋及建筑物</w:t>
            </w:r>
          </w:p>
        </w:tc>
        <w:tc>
          <w:tcPr>
            <w:tcW w:w="2460"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85" w:right="0"/>
              <w:jc w:val="left"/>
              <w:rPr>
                <w:rFonts w:ascii="宋体" w:hAnsi="宋体" w:cs="宋体" w:eastAsia="宋体" w:hint="default"/>
                <w:sz w:val="21"/>
                <w:szCs w:val="21"/>
              </w:rPr>
            </w:pPr>
            <w:r>
              <w:rPr>
                <w:rFonts w:ascii="宋体"/>
                <w:sz w:val="21"/>
              </w:rPr>
              <w:t>30,571.52</w:t>
            </w:r>
          </w:p>
        </w:tc>
      </w:tr>
    </w:tbl>
    <w:p>
      <w:pPr>
        <w:spacing w:line="240" w:lineRule="auto" w:before="7"/>
        <w:rPr>
          <w:rFonts w:ascii="宋体" w:hAnsi="宋体" w:cs="宋体" w:eastAsia="宋体" w:hint="default"/>
          <w:sz w:val="15"/>
          <w:szCs w:val="15"/>
        </w:rPr>
      </w:pPr>
    </w:p>
    <w:p>
      <w:pPr>
        <w:pStyle w:val="BodyText"/>
        <w:spacing w:line="240" w:lineRule="auto" w:before="36"/>
        <w:ind w:right="2940"/>
        <w:jc w:val="left"/>
      </w:pPr>
      <w:r>
        <w:rPr/>
        <w:t>关联租赁情况说明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(4).</w:t>
      </w:r>
      <w:r>
        <w:rPr>
          <w:rFonts w:ascii="宋体" w:hAnsi="宋体" w:cs="宋体" w:eastAsia="宋体" w:hint="default"/>
          <w:spacing w:val="89"/>
        </w:rPr>
        <w:t> </w:t>
      </w:r>
      <w:r>
        <w:rPr/>
        <w:t>关联担保情况</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0"/>
          <w:pgSz w:w="11910" w:h="16840"/>
          <w:pgMar w:footer="1195" w:header="882" w:top="1120" w:bottom="1380" w:left="1580" w:right="1040"/>
          <w:pgNumType w:start="139"/>
        </w:sectPr>
      </w:pPr>
    </w:p>
    <w:p>
      <w:pPr>
        <w:pStyle w:val="Heading4"/>
        <w:spacing w:line="240" w:lineRule="auto"/>
        <w:ind w:right="-19"/>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9"/>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314" w:space="420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81"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sz w:val="21"/>
              </w:rPr>
              <w:t>4,300,000.00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2015.1.7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2015.5.18</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云汉投资</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sz w:val="21"/>
              </w:rPr>
              <w:t>5,000,000.00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2015.12.28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2015.12.30</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8"/>
        <w:ind w:right="-18"/>
        <w:jc w:val="left"/>
      </w:pPr>
      <w:r>
        <w:rPr/>
        <w:t>□适用</w:t>
      </w:r>
      <w:r>
        <w:rPr>
          <w:spacing w:val="-1"/>
        </w:rPr>
        <w:t> </w:t>
      </w:r>
      <w:r>
        <w:rPr/>
        <w:t>√不适用</w:t>
      </w:r>
    </w:p>
    <w:p>
      <w:pPr>
        <w:pStyle w:val="Heading4"/>
        <w:spacing w:line="240" w:lineRule="auto" w:before="56"/>
        <w:ind w:right="-18"/>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478" w:val="left" w:leader="none"/>
        </w:tabs>
        <w:spacing w:line="240" w:lineRule="auto"/>
        <w:ind w:right="0"/>
        <w:jc w:val="left"/>
      </w:pPr>
      <w:r>
        <w:rPr>
          <w:spacing w:val="-1"/>
        </w:rPr>
        <w:t>单位：万元</w:t>
        <w:tab/>
        <w:t>币种：人民币</w:t>
      </w:r>
    </w:p>
    <w:p>
      <w:pPr>
        <w:spacing w:after="0" w:line="240" w:lineRule="auto"/>
        <w:jc w:val="left"/>
        <w:sectPr>
          <w:type w:val="continuous"/>
          <w:pgSz w:w="11910" w:h="16840"/>
          <w:pgMar w:top="1120" w:bottom="1380" w:left="1580" w:right="1040"/>
          <w:cols w:num="2" w:equalWidth="0">
            <w:col w:w="3787" w:space="2523"/>
            <w:col w:w="298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4,000.53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48" w:right="0"/>
              <w:jc w:val="left"/>
              <w:rPr>
                <w:rFonts w:ascii="宋体" w:hAnsi="宋体" w:cs="宋体" w:eastAsia="宋体" w:hint="default"/>
                <w:sz w:val="21"/>
                <w:szCs w:val="21"/>
              </w:rPr>
            </w:pPr>
            <w:r>
              <w:rPr>
                <w:rFonts w:ascii="宋体"/>
                <w:sz w:val="21"/>
              </w:rPr>
              <w:t>1,811.00</w:t>
            </w:r>
          </w:p>
        </w:tc>
      </w:tr>
    </w:tbl>
    <w:p>
      <w:pPr>
        <w:spacing w:line="240" w:lineRule="auto" w:before="2"/>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spacing w:line="240" w:lineRule="auto" w:before="10"/>
        <w:rPr>
          <w:rFonts w:ascii="宋体" w:hAnsi="宋体" w:cs="宋体" w:eastAsia="宋体" w:hint="default"/>
          <w:b/>
          <w:bCs/>
          <w:sz w:val="14"/>
          <w:szCs w:val="14"/>
        </w:rPr>
      </w:pPr>
    </w:p>
    <w:p>
      <w:pPr>
        <w:pStyle w:val="BodyText"/>
        <w:spacing w:line="357" w:lineRule="auto"/>
        <w:ind w:right="98" w:firstLine="419"/>
        <w:jc w:val="left"/>
      </w:pPr>
      <w:r>
        <w:rPr>
          <w:rFonts w:ascii="宋体" w:hAnsi="宋体" w:cs="宋体" w:eastAsia="宋体" w:hint="default"/>
          <w:w w:val="100"/>
        </w:rPr>
        <w:t>1)</w:t>
      </w:r>
      <w:r>
        <w:rPr>
          <w:rFonts w:ascii="宋体" w:hAnsi="宋体" w:cs="宋体" w:eastAsia="宋体" w:hint="default"/>
          <w:spacing w:val="5"/>
          <w:w w:val="100"/>
        </w:rPr>
        <w:t> </w:t>
      </w:r>
      <w:r>
        <w:rPr>
          <w:spacing w:val="-1"/>
          <w:w w:val="100"/>
        </w:rPr>
        <w:t>根据公司</w:t>
      </w:r>
      <w:r>
        <w:rPr>
          <w:spacing w:val="-69"/>
          <w:w w:val="100"/>
        </w:rPr>
        <w:t> </w:t>
      </w:r>
      <w:r>
        <w:rPr>
          <w:rFonts w:ascii="宋体" w:hAnsi="宋体" w:cs="宋体" w:eastAsia="宋体" w:hint="default"/>
          <w:spacing w:val="-1"/>
          <w:w w:val="100"/>
        </w:rPr>
        <w:t>2014</w:t>
      </w:r>
      <w:r>
        <w:rPr>
          <w:rFonts w:ascii="宋体" w:hAnsi="宋体" w:cs="宋体" w:eastAsia="宋体" w:hint="default"/>
          <w:spacing w:val="-68"/>
          <w:w w:val="100"/>
        </w:rPr>
        <w:t> </w:t>
      </w:r>
      <w:r>
        <w:rPr>
          <w:w w:val="100"/>
        </w:rPr>
        <w:t>年</w:t>
      </w:r>
      <w:r>
        <w:rPr>
          <w:spacing w:val="-68"/>
          <w:w w:val="100"/>
        </w:rPr>
        <w:t> </w:t>
      </w:r>
      <w:r>
        <w:rPr>
          <w:rFonts w:ascii="宋体" w:hAnsi="宋体" w:cs="宋体" w:eastAsia="宋体" w:hint="default"/>
          <w:w w:val="100"/>
        </w:rPr>
        <w:t>11</w:t>
      </w:r>
      <w:r>
        <w:rPr>
          <w:rFonts w:ascii="宋体" w:hAnsi="宋体" w:cs="宋体" w:eastAsia="宋体" w:hint="default"/>
          <w:spacing w:val="-68"/>
          <w:w w:val="100"/>
        </w:rPr>
        <w:t> </w:t>
      </w:r>
      <w:r>
        <w:rPr>
          <w:w w:val="100"/>
        </w:rPr>
        <w:t>月</w:t>
      </w:r>
      <w:r>
        <w:rPr>
          <w:spacing w:val="-71"/>
          <w:w w:val="100"/>
        </w:rPr>
        <w:t> </w:t>
      </w:r>
      <w:r>
        <w:rPr>
          <w:rFonts w:ascii="宋体" w:hAnsi="宋体" w:cs="宋体" w:eastAsia="宋体" w:hint="default"/>
          <w:w w:val="100"/>
        </w:rPr>
        <w:t>10</w:t>
      </w:r>
      <w:r>
        <w:rPr>
          <w:rFonts w:ascii="宋体" w:hAnsi="宋体" w:cs="宋体" w:eastAsia="宋体" w:hint="default"/>
          <w:spacing w:val="-68"/>
          <w:w w:val="100"/>
        </w:rPr>
        <w:t> </w:t>
      </w:r>
      <w:r>
        <w:rPr>
          <w:spacing w:val="-6"/>
          <w:w w:val="100"/>
        </w:rPr>
        <w:t>日五届十八次董事会决议，公司拟与中国投融资担保有限公司、</w:t>
      </w:r>
      <w:r>
        <w:rPr>
          <w:w w:val="100"/>
        </w:rPr>
        <w:t> </w:t>
      </w:r>
      <w:r>
        <w:rPr/>
        <w:t>蚂蚁金服、云汉投资、北京盈丰时代投资管理中心</w:t>
      </w:r>
      <w:r>
        <w:rPr>
          <w:rFonts w:ascii="宋体" w:hAnsi="宋体" w:cs="宋体" w:eastAsia="宋体" w:hint="default"/>
        </w:rPr>
        <w:t>(</w:t>
      </w:r>
      <w:r>
        <w:rPr/>
        <w:t>有限合伙</w:t>
      </w:r>
      <w:r>
        <w:rPr>
          <w:rFonts w:ascii="宋体" w:hAnsi="宋体" w:cs="宋体" w:eastAsia="宋体" w:hint="default"/>
        </w:rPr>
        <w:t>)(</w:t>
      </w:r>
      <w:r>
        <w:rPr/>
        <w:t>以下简称盈丰时代</w:t>
      </w:r>
      <w:r>
        <w:rPr>
          <w:rFonts w:ascii="宋体" w:hAnsi="宋体" w:cs="宋体" w:eastAsia="宋体" w:hint="default"/>
        </w:rPr>
        <w:t>)</w:t>
      </w:r>
      <w:r>
        <w:rPr/>
        <w:t>共同发起设立</w:t>
      </w:r>
      <w:r>
        <w:rPr>
          <w:w w:val="100"/>
        </w:rPr>
        <w:t> </w:t>
      </w:r>
      <w:r>
        <w:rPr>
          <w:spacing w:val="-4"/>
          <w:w w:val="100"/>
        </w:rPr>
        <w:t>金融资产交易中心</w:t>
      </w:r>
      <w:r>
        <w:rPr>
          <w:rFonts w:ascii="宋体" w:hAnsi="宋体" w:cs="宋体" w:eastAsia="宋体" w:hint="default"/>
          <w:spacing w:val="-4"/>
          <w:w w:val="100"/>
        </w:rPr>
        <w:t>(</w:t>
      </w:r>
      <w:r>
        <w:rPr>
          <w:spacing w:val="-4"/>
          <w:w w:val="100"/>
        </w:rPr>
        <w:t>原浙江三潭金融信息服务股份公司</w:t>
      </w:r>
      <w:r>
        <w:rPr>
          <w:rFonts w:ascii="宋体" w:hAnsi="宋体" w:cs="宋体" w:eastAsia="宋体" w:hint="default"/>
          <w:spacing w:val="-4"/>
          <w:w w:val="100"/>
        </w:rPr>
        <w:t>)</w:t>
      </w:r>
      <w:r>
        <w:rPr>
          <w:spacing w:val="-4"/>
          <w:w w:val="100"/>
        </w:rPr>
        <w:t>。金融资产交易中心注册资本</w:t>
      </w:r>
      <w:r>
        <w:rPr>
          <w:spacing w:val="-51"/>
          <w:w w:val="100"/>
        </w:rPr>
        <w:t> </w:t>
      </w:r>
      <w:r>
        <w:rPr>
          <w:rFonts w:ascii="宋体" w:hAnsi="宋体" w:cs="宋体" w:eastAsia="宋体" w:hint="default"/>
          <w:spacing w:val="-1"/>
          <w:w w:val="100"/>
        </w:rPr>
        <w:t>5,000</w:t>
      </w:r>
      <w:r>
        <w:rPr>
          <w:rFonts w:ascii="宋体" w:hAnsi="宋体" w:cs="宋体" w:eastAsia="宋体" w:hint="default"/>
          <w:spacing w:val="-51"/>
          <w:w w:val="100"/>
        </w:rPr>
        <w:t> </w:t>
      </w:r>
      <w:r>
        <w:rPr>
          <w:spacing w:val="-1"/>
          <w:w w:val="100"/>
        </w:rPr>
        <w:t>万元，</w:t>
      </w:r>
      <w:r>
        <w:rPr>
          <w:w w:val="100"/>
        </w:rPr>
        <w:t> </w:t>
      </w:r>
      <w:r>
        <w:rPr/>
        <w:t>其中公司认缴</w:t>
      </w:r>
      <w:r>
        <w:rPr>
          <w:spacing w:val="-49"/>
        </w:rPr>
        <w:t> </w:t>
      </w:r>
      <w:r>
        <w:rPr>
          <w:rFonts w:ascii="宋体" w:hAnsi="宋体" w:cs="宋体" w:eastAsia="宋体" w:hint="default"/>
        </w:rPr>
        <w:t>1,087.50</w:t>
      </w:r>
      <w:r>
        <w:rPr>
          <w:rFonts w:ascii="宋体" w:hAnsi="宋体" w:cs="宋体" w:eastAsia="宋体" w:hint="default"/>
          <w:spacing w:val="-51"/>
        </w:rPr>
        <w:t> </w:t>
      </w:r>
      <w:r>
        <w:rPr>
          <w:spacing w:val="-10"/>
        </w:rPr>
        <w:t>万股，占总股本的</w:t>
      </w:r>
      <w:r>
        <w:rPr>
          <w:spacing w:val="-49"/>
        </w:rPr>
        <w:t> </w:t>
      </w:r>
      <w:r>
        <w:rPr>
          <w:rFonts w:ascii="宋体" w:hAnsi="宋体" w:cs="宋体" w:eastAsia="宋体" w:hint="default"/>
          <w:spacing w:val="-7"/>
        </w:rPr>
        <w:t>21.75%</w:t>
      </w:r>
      <w:r>
        <w:rPr>
          <w:spacing w:val="-7"/>
        </w:rPr>
        <w:t>；中投保认缴</w:t>
      </w:r>
      <w:r>
        <w:rPr>
          <w:spacing w:val="-48"/>
        </w:rPr>
        <w:t> </w:t>
      </w:r>
      <w:r>
        <w:rPr>
          <w:rFonts w:ascii="宋体" w:hAnsi="宋体" w:cs="宋体" w:eastAsia="宋体" w:hint="default"/>
        </w:rPr>
        <w:t>1,550</w:t>
      </w:r>
      <w:r>
        <w:rPr>
          <w:rFonts w:ascii="宋体" w:hAnsi="宋体" w:cs="宋体" w:eastAsia="宋体" w:hint="default"/>
          <w:spacing w:val="-51"/>
        </w:rPr>
        <w:t> </w:t>
      </w:r>
      <w:r>
        <w:rPr>
          <w:spacing w:val="-10"/>
        </w:rPr>
        <w:t>万股，占总股本的</w:t>
      </w:r>
      <w:r>
        <w:rPr>
          <w:spacing w:val="-48"/>
        </w:rPr>
        <w:t> </w:t>
      </w:r>
      <w:r>
        <w:rPr>
          <w:rFonts w:ascii="宋体" w:hAnsi="宋体" w:cs="宋体" w:eastAsia="宋体" w:hint="default"/>
        </w:rPr>
        <w:t>31.00%</w:t>
      </w:r>
      <w:r>
        <w:rPr/>
        <w:t>；</w:t>
      </w:r>
      <w:r>
        <w:rPr>
          <w:spacing w:val="-94"/>
        </w:rPr>
        <w:t> </w:t>
      </w:r>
      <w:r>
        <w:rPr/>
        <w:t>蚂蚁金服认缴</w:t>
      </w:r>
      <w:r>
        <w:rPr>
          <w:spacing w:val="-46"/>
        </w:rPr>
        <w:t> </w:t>
      </w:r>
      <w:r>
        <w:rPr>
          <w:rFonts w:ascii="宋体" w:hAnsi="宋体" w:cs="宋体" w:eastAsia="宋体" w:hint="default"/>
        </w:rPr>
        <w:t>1,250</w:t>
      </w:r>
      <w:r>
        <w:rPr>
          <w:rFonts w:ascii="宋体" w:hAnsi="宋体" w:cs="宋体" w:eastAsia="宋体" w:hint="default"/>
          <w:spacing w:val="-48"/>
        </w:rPr>
        <w:t> </w:t>
      </w:r>
      <w:r>
        <w:rPr>
          <w:spacing w:val="-5"/>
        </w:rPr>
        <w:t>万股，占总股本的</w:t>
      </w:r>
      <w:r>
        <w:rPr>
          <w:spacing w:val="-45"/>
        </w:rPr>
        <w:t> </w:t>
      </w:r>
      <w:r>
        <w:rPr>
          <w:rFonts w:ascii="宋体" w:hAnsi="宋体" w:cs="宋体" w:eastAsia="宋体" w:hint="default"/>
          <w:spacing w:val="-4"/>
        </w:rPr>
        <w:t>25.00%</w:t>
      </w:r>
      <w:r>
        <w:rPr>
          <w:spacing w:val="-4"/>
        </w:rPr>
        <w:t>；云汉投资认缴</w:t>
      </w:r>
      <w:r>
        <w:rPr>
          <w:spacing w:val="-46"/>
        </w:rPr>
        <w:t> </w:t>
      </w:r>
      <w:r>
        <w:rPr>
          <w:rFonts w:ascii="宋体" w:hAnsi="宋体" w:cs="宋体" w:eastAsia="宋体" w:hint="default"/>
        </w:rPr>
        <w:t>725</w:t>
      </w:r>
      <w:r>
        <w:rPr>
          <w:rFonts w:ascii="宋体" w:hAnsi="宋体" w:cs="宋体" w:eastAsia="宋体" w:hint="default"/>
          <w:spacing w:val="-48"/>
        </w:rPr>
        <w:t> </w:t>
      </w:r>
      <w:r>
        <w:rPr>
          <w:spacing w:val="-5"/>
        </w:rPr>
        <w:t>万股，占总股本的</w:t>
      </w:r>
      <w:r>
        <w:rPr>
          <w:spacing w:val="-45"/>
        </w:rPr>
        <w:t> </w:t>
      </w:r>
      <w:r>
        <w:rPr>
          <w:rFonts w:ascii="宋体" w:hAnsi="宋体" w:cs="宋体" w:eastAsia="宋体" w:hint="default"/>
          <w:spacing w:val="-7"/>
        </w:rPr>
        <w:t>14.50%</w:t>
      </w:r>
      <w:r>
        <w:rPr>
          <w:spacing w:val="-7"/>
        </w:rPr>
        <w:t>；盈</w:t>
      </w:r>
      <w:r>
        <w:rPr>
          <w:spacing w:val="-84"/>
        </w:rPr>
        <w:t> </w:t>
      </w:r>
      <w:r>
        <w:rPr/>
        <w:t>丰时代认缴</w:t>
      </w:r>
      <w:r>
        <w:rPr>
          <w:spacing w:val="-49"/>
        </w:rPr>
        <w:t> </w:t>
      </w:r>
      <w:r>
        <w:rPr>
          <w:rFonts w:ascii="宋体" w:hAnsi="宋体" w:cs="宋体" w:eastAsia="宋体" w:hint="default"/>
        </w:rPr>
        <w:t>387.50</w:t>
      </w:r>
      <w:r>
        <w:rPr>
          <w:rFonts w:ascii="宋体" w:hAnsi="宋体" w:cs="宋体" w:eastAsia="宋体" w:hint="default"/>
          <w:spacing w:val="-51"/>
        </w:rPr>
        <w:t> </w:t>
      </w:r>
      <w:r>
        <w:rPr>
          <w:spacing w:val="-3"/>
        </w:rPr>
        <w:t>万股，占总股本的</w:t>
      </w:r>
      <w:r>
        <w:rPr>
          <w:spacing w:val="-47"/>
        </w:rPr>
        <w:t> </w:t>
      </w:r>
      <w:r>
        <w:rPr>
          <w:rFonts w:ascii="宋体" w:hAnsi="宋体" w:cs="宋体" w:eastAsia="宋体" w:hint="default"/>
          <w:spacing w:val="-3"/>
        </w:rPr>
        <w:t>7.75%</w:t>
      </w:r>
      <w:r>
        <w:rPr>
          <w:spacing w:val="-3"/>
        </w:rPr>
        <w:t>。本公司于</w:t>
      </w:r>
      <w:r>
        <w:rPr>
          <w:spacing w:val="-47"/>
        </w:rPr>
        <w:t> </w:t>
      </w:r>
      <w:r>
        <w:rPr>
          <w:rFonts w:ascii="宋体" w:hAnsi="宋体" w:cs="宋体" w:eastAsia="宋体" w:hint="default"/>
        </w:rPr>
        <w:t>2015</w:t>
      </w:r>
      <w:r>
        <w:rPr>
          <w:rFonts w:ascii="宋体" w:hAnsi="宋体" w:cs="宋体" w:eastAsia="宋体" w:hint="default"/>
          <w:spacing w:val="-49"/>
        </w:rPr>
        <w:t> </w:t>
      </w:r>
      <w:r>
        <w:rPr/>
        <w:t>年</w:t>
      </w:r>
      <w:r>
        <w:rPr>
          <w:spacing w:val="-51"/>
        </w:rPr>
        <w:t> </w:t>
      </w:r>
      <w:r>
        <w:rPr>
          <w:rFonts w:ascii="宋体" w:hAnsi="宋体" w:cs="宋体" w:eastAsia="宋体" w:hint="default"/>
        </w:rPr>
        <w:t>3</w:t>
      </w:r>
      <w:r>
        <w:rPr>
          <w:rFonts w:ascii="宋体" w:hAnsi="宋体" w:cs="宋体" w:eastAsia="宋体" w:hint="default"/>
          <w:spacing w:val="-49"/>
        </w:rPr>
        <w:t> </w:t>
      </w:r>
      <w:r>
        <w:rPr/>
        <w:t>月</w:t>
      </w:r>
      <w:r>
        <w:rPr>
          <w:spacing w:val="-51"/>
        </w:rPr>
        <w:t> </w:t>
      </w:r>
      <w:r>
        <w:rPr>
          <w:rFonts w:ascii="宋体" w:hAnsi="宋体" w:cs="宋体" w:eastAsia="宋体" w:hint="default"/>
        </w:rPr>
        <w:t>12</w:t>
      </w:r>
      <w:r>
        <w:rPr>
          <w:rFonts w:ascii="宋体" w:hAnsi="宋体" w:cs="宋体" w:eastAsia="宋体" w:hint="default"/>
          <w:spacing w:val="-49"/>
        </w:rPr>
        <w:t> </w:t>
      </w:r>
      <w:r>
        <w:rPr>
          <w:spacing w:val="-3"/>
        </w:rPr>
        <w:t>日支付出资款，金融资产</w:t>
      </w:r>
    </w:p>
    <w:p>
      <w:pPr>
        <w:pStyle w:val="BodyText"/>
        <w:spacing w:line="240" w:lineRule="auto" w:before="30"/>
        <w:ind w:right="2940"/>
        <w:jc w:val="left"/>
      </w:pPr>
      <w:r>
        <w:rPr/>
        <w:t>交易中心于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日办妥工商设立手续。</w:t>
      </w:r>
    </w:p>
    <w:p>
      <w:pPr>
        <w:pStyle w:val="BodyText"/>
        <w:spacing w:line="240" w:lineRule="auto" w:before="133"/>
        <w:ind w:left="638" w:right="98"/>
        <w:jc w:val="left"/>
      </w:pPr>
      <w:r>
        <w:rPr>
          <w:rFonts w:ascii="宋体" w:hAnsi="宋体" w:cs="宋体" w:eastAsia="宋体" w:hint="default"/>
          <w:w w:val="100"/>
        </w:rPr>
        <w:t>2)</w:t>
      </w:r>
      <w:r>
        <w:rPr>
          <w:rFonts w:ascii="宋体" w:hAnsi="宋体" w:cs="宋体" w:eastAsia="宋体" w:hint="default"/>
        </w:rPr>
        <w:t> </w:t>
      </w:r>
      <w:r>
        <w:rPr>
          <w:spacing w:val="-3"/>
          <w:w w:val="100"/>
        </w:rPr>
        <w:t>根</w:t>
      </w:r>
      <w:r>
        <w:rPr>
          <w:w w:val="100"/>
        </w:rPr>
        <w:t>据公司</w:t>
      </w:r>
      <w:r>
        <w:rPr>
          <w:spacing w:val="-70"/>
        </w:rPr>
        <w:t> </w:t>
      </w:r>
      <w:r>
        <w:rPr>
          <w:rFonts w:ascii="宋体" w:hAnsi="宋体" w:cs="宋体" w:eastAsia="宋体" w:hint="default"/>
          <w:spacing w:val="-3"/>
          <w:w w:val="100"/>
        </w:rPr>
        <w:t>2</w:t>
      </w:r>
      <w:r>
        <w:rPr>
          <w:rFonts w:ascii="宋体" w:hAnsi="宋体" w:cs="宋体" w:eastAsia="宋体" w:hint="default"/>
          <w:w w:val="100"/>
        </w:rPr>
        <w:t>014</w:t>
      </w:r>
      <w:r>
        <w:rPr>
          <w:rFonts w:ascii="宋体" w:hAnsi="宋体" w:cs="宋体" w:eastAsia="宋体" w:hint="default"/>
          <w:spacing w:val="-69"/>
        </w:rPr>
        <w:t> </w:t>
      </w:r>
      <w:r>
        <w:rPr>
          <w:w w:val="100"/>
        </w:rPr>
        <w:t>年</w:t>
      </w:r>
      <w:r>
        <w:rPr>
          <w:spacing w:val="-69"/>
        </w:rPr>
        <w:t> </w:t>
      </w:r>
      <w:r>
        <w:rPr>
          <w:rFonts w:ascii="宋体" w:hAnsi="宋体" w:cs="宋体" w:eastAsia="宋体" w:hint="default"/>
          <w:w w:val="100"/>
        </w:rPr>
        <w:t>7</w:t>
      </w:r>
      <w:r>
        <w:rPr>
          <w:rFonts w:ascii="宋体" w:hAnsi="宋体" w:cs="宋体" w:eastAsia="宋体" w:hint="default"/>
          <w:spacing w:val="-69"/>
        </w:rPr>
        <w:t> </w:t>
      </w:r>
      <w:r>
        <w:rPr>
          <w:w w:val="100"/>
        </w:rPr>
        <w:t>月</w:t>
      </w:r>
      <w:r>
        <w:rPr>
          <w:spacing w:val="-69"/>
        </w:rPr>
        <w:t> </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69"/>
        </w:rPr>
        <w:t> </w:t>
      </w:r>
      <w:r>
        <w:rPr>
          <w:w w:val="100"/>
        </w:rPr>
        <w:t>日五</w:t>
      </w:r>
      <w:r>
        <w:rPr>
          <w:spacing w:val="-3"/>
          <w:w w:val="100"/>
        </w:rPr>
        <w:t>届</w:t>
      </w:r>
      <w:r>
        <w:rPr>
          <w:w w:val="100"/>
        </w:rPr>
        <w:t>十</w:t>
      </w:r>
      <w:r>
        <w:rPr>
          <w:spacing w:val="-3"/>
          <w:w w:val="100"/>
        </w:rPr>
        <w:t>三</w:t>
      </w:r>
      <w:r>
        <w:rPr>
          <w:w w:val="100"/>
        </w:rPr>
        <w:t>次</w:t>
      </w:r>
      <w:r>
        <w:rPr>
          <w:spacing w:val="-3"/>
          <w:w w:val="100"/>
        </w:rPr>
        <w:t>董</w:t>
      </w:r>
      <w:r>
        <w:rPr>
          <w:w w:val="100"/>
        </w:rPr>
        <w:t>事</w:t>
      </w:r>
      <w:r>
        <w:rPr>
          <w:spacing w:val="-3"/>
          <w:w w:val="100"/>
        </w:rPr>
        <w:t>会</w:t>
      </w:r>
      <w:r>
        <w:rPr>
          <w:w w:val="100"/>
        </w:rPr>
        <w:t>决</w:t>
      </w:r>
      <w:r>
        <w:rPr>
          <w:spacing w:val="-3"/>
          <w:w w:val="100"/>
        </w:rPr>
        <w:t>议</w:t>
      </w:r>
      <w:r>
        <w:rPr>
          <w:spacing w:val="-106"/>
          <w:w w:val="100"/>
        </w:rPr>
        <w:t>，</w:t>
      </w:r>
      <w:r>
        <w:rPr>
          <w:w w:val="100"/>
        </w:rPr>
        <w:t>公</w:t>
      </w:r>
      <w:r>
        <w:rPr>
          <w:spacing w:val="-3"/>
          <w:w w:val="100"/>
        </w:rPr>
        <w:t>司</w:t>
      </w:r>
      <w:r>
        <w:rPr>
          <w:w w:val="100"/>
        </w:rPr>
        <w:t>拟</w:t>
      </w:r>
      <w:r>
        <w:rPr>
          <w:spacing w:val="-3"/>
          <w:w w:val="100"/>
        </w:rPr>
        <w:t>与</w:t>
      </w:r>
      <w:r>
        <w:rPr>
          <w:w w:val="100"/>
        </w:rPr>
        <w:t>云</w:t>
      </w:r>
      <w:r>
        <w:rPr>
          <w:spacing w:val="-3"/>
          <w:w w:val="100"/>
        </w:rPr>
        <w:t>汉</w:t>
      </w:r>
      <w:r>
        <w:rPr>
          <w:w w:val="100"/>
        </w:rPr>
        <w:t>投</w:t>
      </w:r>
      <w:r>
        <w:rPr>
          <w:spacing w:val="-3"/>
          <w:w w:val="100"/>
        </w:rPr>
        <w:t>资</w:t>
      </w:r>
      <w:r>
        <w:rPr>
          <w:w w:val="100"/>
        </w:rPr>
        <w:t>共</w:t>
      </w:r>
      <w:r>
        <w:rPr>
          <w:spacing w:val="-3"/>
          <w:w w:val="100"/>
        </w:rPr>
        <w:t>同设</w:t>
      </w:r>
      <w:r>
        <w:rPr>
          <w:w w:val="100"/>
        </w:rPr>
        <w:t>立杭</w:t>
      </w:r>
      <w:r>
        <w:rPr>
          <w:spacing w:val="-3"/>
          <w:w w:val="100"/>
        </w:rPr>
        <w:t>州</w:t>
      </w:r>
      <w:r>
        <w:rPr>
          <w:w w:val="100"/>
        </w:rPr>
        <w:t>云</w:t>
      </w:r>
      <w:r>
        <w:rPr>
          <w:spacing w:val="-3"/>
          <w:w w:val="100"/>
        </w:rPr>
        <w:t>融</w:t>
      </w:r>
      <w:r>
        <w:rPr>
          <w:w w:val="100"/>
        </w:rPr>
        <w:t>，</w:t>
      </w:r>
    </w:p>
    <w:p>
      <w:pPr>
        <w:pStyle w:val="BodyText"/>
        <w:spacing w:line="240" w:lineRule="auto" w:before="135"/>
        <w:ind w:right="227"/>
        <w:jc w:val="left"/>
      </w:pPr>
      <w:r>
        <w:rPr/>
        <w:t>其中本公司出资</w:t>
      </w:r>
      <w:r>
        <w:rPr>
          <w:spacing w:val="-55"/>
        </w:rPr>
        <w:t> </w:t>
      </w:r>
      <w:r>
        <w:rPr>
          <w:rFonts w:ascii="宋体" w:hAnsi="宋体" w:cs="宋体" w:eastAsia="宋体" w:hint="default"/>
        </w:rPr>
        <w:t>3,600.00</w:t>
      </w:r>
      <w:r>
        <w:rPr>
          <w:rFonts w:ascii="宋体" w:hAnsi="宋体" w:cs="宋体" w:eastAsia="宋体" w:hint="default"/>
          <w:spacing w:val="-57"/>
        </w:rPr>
        <w:t> </w:t>
      </w:r>
      <w:r>
        <w:rPr/>
        <w:t>万元</w:t>
      </w:r>
      <w:r>
        <w:rPr>
          <w:rFonts w:ascii="宋体" w:hAnsi="宋体" w:cs="宋体" w:eastAsia="宋体" w:hint="default"/>
        </w:rPr>
        <w:t>,</w:t>
      </w:r>
      <w:r>
        <w:rPr/>
        <w:t>持有杭州云融</w:t>
      </w:r>
      <w:r>
        <w:rPr>
          <w:spacing w:val="-57"/>
        </w:rPr>
        <w:t> </w:t>
      </w:r>
      <w:r>
        <w:rPr>
          <w:rFonts w:ascii="宋体" w:hAnsi="宋体" w:cs="宋体" w:eastAsia="宋体" w:hint="default"/>
        </w:rPr>
        <w:t>78.26%</w:t>
      </w:r>
      <w:r>
        <w:rPr/>
        <w:t>股权；云汉投资出资</w:t>
      </w:r>
      <w:r>
        <w:rPr>
          <w:spacing w:val="-55"/>
        </w:rPr>
        <w:t> </w:t>
      </w:r>
      <w:r>
        <w:rPr>
          <w:rFonts w:ascii="宋体" w:hAnsi="宋体" w:cs="宋体" w:eastAsia="宋体" w:hint="default"/>
        </w:rPr>
        <w:t>1,000.00</w:t>
      </w:r>
      <w:r>
        <w:rPr>
          <w:rFonts w:ascii="宋体" w:hAnsi="宋体" w:cs="宋体" w:eastAsia="宋体" w:hint="default"/>
          <w:spacing w:val="-57"/>
        </w:rPr>
        <w:t> </w:t>
      </w:r>
      <w:r>
        <w:rPr/>
        <w:t>万元，持有</w:t>
      </w:r>
    </w:p>
    <w:p>
      <w:pPr>
        <w:pStyle w:val="BodyText"/>
        <w:spacing w:line="355" w:lineRule="auto" w:before="133"/>
        <w:ind w:right="227"/>
        <w:jc w:val="left"/>
      </w:pPr>
      <w:r>
        <w:rPr/>
        <w:t>杭州云融</w:t>
      </w:r>
      <w:r>
        <w:rPr>
          <w:spacing w:val="-50"/>
        </w:rPr>
        <w:t> </w:t>
      </w:r>
      <w:r>
        <w:rPr>
          <w:rFonts w:ascii="宋体" w:hAnsi="宋体" w:cs="宋体" w:eastAsia="宋体" w:hint="default"/>
          <w:spacing w:val="-3"/>
        </w:rPr>
        <w:t>21.74%</w:t>
      </w:r>
      <w:r>
        <w:rPr>
          <w:spacing w:val="-3"/>
        </w:rPr>
        <w:t>股权。本公司于</w:t>
      </w:r>
      <w:r>
        <w:rPr>
          <w:spacing w:val="-49"/>
        </w:rPr>
        <w:t> </w:t>
      </w:r>
      <w:r>
        <w:rPr>
          <w:rFonts w:ascii="宋体" w:hAnsi="宋体" w:cs="宋体" w:eastAsia="宋体" w:hint="default"/>
        </w:rPr>
        <w:t>2015</w:t>
      </w:r>
      <w:r>
        <w:rPr>
          <w:rFonts w:ascii="宋体" w:hAnsi="宋体" w:cs="宋体" w:eastAsia="宋体" w:hint="default"/>
          <w:spacing w:val="-50"/>
        </w:rPr>
        <w:t> </w:t>
      </w:r>
      <w:r>
        <w:rPr/>
        <w:t>年</w:t>
      </w:r>
      <w:r>
        <w:rPr>
          <w:spacing w:val="-52"/>
        </w:rPr>
        <w:t> </w:t>
      </w:r>
      <w:r>
        <w:rPr>
          <w:rFonts w:ascii="宋体" w:hAnsi="宋体" w:cs="宋体" w:eastAsia="宋体" w:hint="default"/>
        </w:rPr>
        <w:t>4</w:t>
      </w:r>
      <w:r>
        <w:rPr>
          <w:rFonts w:ascii="宋体" w:hAnsi="宋体" w:cs="宋体" w:eastAsia="宋体" w:hint="default"/>
          <w:spacing w:val="-50"/>
        </w:rPr>
        <w:t> </w:t>
      </w:r>
      <w:r>
        <w:rPr/>
        <w:t>月</w:t>
      </w:r>
      <w:r>
        <w:rPr>
          <w:spacing w:val="-52"/>
        </w:rPr>
        <w:t> </w:t>
      </w:r>
      <w:r>
        <w:rPr>
          <w:rFonts w:ascii="宋体" w:hAnsi="宋体" w:cs="宋体" w:eastAsia="宋体" w:hint="default"/>
        </w:rPr>
        <w:t>2</w:t>
      </w:r>
      <w:r>
        <w:rPr>
          <w:rFonts w:ascii="宋体" w:hAnsi="宋体" w:cs="宋体" w:eastAsia="宋体" w:hint="default"/>
          <w:spacing w:val="-50"/>
        </w:rPr>
        <w:t> </w:t>
      </w:r>
      <w:r>
        <w:rPr>
          <w:spacing w:val="-4"/>
        </w:rPr>
        <w:t>日支付出资款，杭州云融已于</w:t>
      </w:r>
      <w:r>
        <w:rPr>
          <w:spacing w:val="-49"/>
        </w:rPr>
        <w:t> </w:t>
      </w:r>
      <w:r>
        <w:rPr>
          <w:rFonts w:ascii="宋体" w:hAnsi="宋体" w:cs="宋体" w:eastAsia="宋体" w:hint="default"/>
        </w:rPr>
        <w:t>2015</w:t>
      </w:r>
      <w:r>
        <w:rPr>
          <w:rFonts w:ascii="宋体" w:hAnsi="宋体" w:cs="宋体" w:eastAsia="宋体" w:hint="default"/>
          <w:spacing w:val="-50"/>
        </w:rPr>
        <w:t> </w:t>
      </w:r>
      <w:r>
        <w:rPr/>
        <w:t>年</w:t>
      </w:r>
      <w:r>
        <w:rPr>
          <w:spacing w:val="-52"/>
        </w:rPr>
        <w:t> </w:t>
      </w:r>
      <w:r>
        <w:rPr>
          <w:rFonts w:ascii="宋体" w:hAnsi="宋体" w:cs="宋体" w:eastAsia="宋体" w:hint="default"/>
        </w:rPr>
        <w:t>3</w:t>
      </w:r>
      <w:r>
        <w:rPr>
          <w:rFonts w:ascii="宋体" w:hAnsi="宋体" w:cs="宋体" w:eastAsia="宋体" w:hint="default"/>
          <w:spacing w:val="-50"/>
        </w:rPr>
        <w:t> </w:t>
      </w:r>
      <w:r>
        <w:rPr/>
        <w:t>月</w:t>
      </w:r>
      <w:r>
        <w:rPr>
          <w:spacing w:val="-52"/>
        </w:rPr>
        <w:t> </w:t>
      </w:r>
      <w:r>
        <w:rPr>
          <w:rFonts w:ascii="宋体" w:hAnsi="宋体" w:cs="宋体" w:eastAsia="宋体" w:hint="default"/>
        </w:rPr>
        <w:t>9</w:t>
      </w:r>
      <w:r>
        <w:rPr>
          <w:rFonts w:ascii="宋体" w:hAnsi="宋体" w:cs="宋体" w:eastAsia="宋体" w:hint="default"/>
          <w:spacing w:val="-50"/>
        </w:rPr>
        <w:t> </w:t>
      </w:r>
      <w:r>
        <w:rPr>
          <w:spacing w:val="-3"/>
        </w:rPr>
        <w:t>日办</w:t>
      </w:r>
      <w:r>
        <w:rPr>
          <w:spacing w:val="-3"/>
          <w:w w:val="100"/>
        </w:rPr>
        <w:t> </w:t>
      </w:r>
      <w:r>
        <w:rPr/>
        <w:t>妥工商设立手续。</w:t>
      </w:r>
    </w:p>
    <w:p>
      <w:pPr>
        <w:spacing w:after="0" w:line="355"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558" w:right="108"/>
        <w:jc w:val="left"/>
      </w:pPr>
      <w:r>
        <w:rPr>
          <w:rFonts w:ascii="宋体" w:hAnsi="宋体" w:cs="宋体" w:eastAsia="宋体" w:hint="default"/>
        </w:rPr>
        <w:t>3) </w:t>
      </w:r>
      <w:r>
        <w:rPr/>
        <w:t>根据恒生智能股东会决议及《股权转让协议》，公司将其持有的恒生智能</w:t>
      </w:r>
      <w:r>
        <w:rPr>
          <w:spacing w:val="-62"/>
        </w:rPr>
        <w:t> </w:t>
      </w:r>
      <w:r>
        <w:rPr>
          <w:rFonts w:ascii="宋体" w:hAnsi="宋体" w:cs="宋体" w:eastAsia="宋体" w:hint="default"/>
        </w:rPr>
        <w:t>100%</w:t>
      </w:r>
      <w:r>
        <w:rPr/>
        <w:t>的股权作</w:t>
      </w:r>
    </w:p>
    <w:p>
      <w:pPr>
        <w:pStyle w:val="BodyText"/>
        <w:spacing w:line="240" w:lineRule="auto" w:before="135"/>
        <w:ind w:left="138" w:right="108"/>
        <w:jc w:val="left"/>
      </w:pPr>
      <w:r>
        <w:rPr/>
        <w:t>价</w:t>
      </w:r>
      <w:r>
        <w:rPr>
          <w:spacing w:val="-46"/>
        </w:rPr>
        <w:t> </w:t>
      </w:r>
      <w:r>
        <w:rPr>
          <w:rFonts w:ascii="宋体" w:hAnsi="宋体" w:cs="宋体" w:eastAsia="宋体" w:hint="default"/>
        </w:rPr>
        <w:t>4,606,857.82</w:t>
      </w:r>
      <w:r>
        <w:rPr>
          <w:rFonts w:ascii="宋体" w:hAnsi="宋体" w:cs="宋体" w:eastAsia="宋体" w:hint="default"/>
          <w:spacing w:val="-46"/>
        </w:rPr>
        <w:t> </w:t>
      </w:r>
      <w:r>
        <w:rPr>
          <w:spacing w:val="-6"/>
        </w:rPr>
        <w:t>元转让给云汉投资。本公司于</w:t>
      </w:r>
      <w:r>
        <w:rPr>
          <w:spacing w:val="-46"/>
        </w:rPr>
        <w:t> </w:t>
      </w:r>
      <w:r>
        <w:rPr>
          <w:rFonts w:ascii="宋体" w:hAnsi="宋体" w:cs="宋体" w:eastAsia="宋体" w:hint="default"/>
        </w:rPr>
        <w:t>2015</w:t>
      </w:r>
      <w:r>
        <w:rPr>
          <w:rFonts w:ascii="宋体" w:hAnsi="宋体" w:cs="宋体" w:eastAsia="宋体" w:hint="default"/>
          <w:spacing w:val="-49"/>
        </w:rPr>
        <w:t> </w:t>
      </w:r>
      <w:r>
        <w:rPr/>
        <w:t>年</w:t>
      </w:r>
      <w:r>
        <w:rPr>
          <w:spacing w:val="-46"/>
        </w:rPr>
        <w:t> </w:t>
      </w:r>
      <w:r>
        <w:rPr>
          <w:rFonts w:ascii="宋体" w:hAnsi="宋体" w:cs="宋体" w:eastAsia="宋体" w:hint="default"/>
        </w:rPr>
        <w:t>5</w:t>
      </w:r>
      <w:r>
        <w:rPr>
          <w:rFonts w:ascii="宋体" w:hAnsi="宋体" w:cs="宋体" w:eastAsia="宋体" w:hint="default"/>
          <w:spacing w:val="-49"/>
        </w:rPr>
        <w:t> </w:t>
      </w:r>
      <w:r>
        <w:rPr/>
        <w:t>月</w:t>
      </w:r>
      <w:r>
        <w:rPr>
          <w:spacing w:val="-46"/>
        </w:rPr>
        <w:t> </w:t>
      </w:r>
      <w:r>
        <w:rPr>
          <w:rFonts w:ascii="宋体" w:hAnsi="宋体" w:cs="宋体" w:eastAsia="宋体" w:hint="default"/>
        </w:rPr>
        <w:t>21</w:t>
      </w:r>
      <w:r>
        <w:rPr>
          <w:rFonts w:ascii="宋体" w:hAnsi="宋体" w:cs="宋体" w:eastAsia="宋体" w:hint="default"/>
          <w:spacing w:val="-49"/>
        </w:rPr>
        <w:t> </w:t>
      </w:r>
      <w:r>
        <w:rPr>
          <w:spacing w:val="-5"/>
        </w:rPr>
        <w:t>日收到股权转让款，恒生智能已于</w:t>
      </w:r>
    </w:p>
    <w:p>
      <w:pPr>
        <w:pStyle w:val="BodyText"/>
        <w:spacing w:line="240" w:lineRule="auto" w:before="133"/>
        <w:ind w:left="138" w:right="108"/>
        <w:jc w:val="left"/>
      </w:pPr>
      <w:r>
        <w:rPr>
          <w:rFonts w:ascii="宋体" w:hAnsi="宋体" w:cs="宋体" w:eastAsia="宋体" w:hint="default"/>
        </w:rPr>
        <w:t>2015</w:t>
      </w:r>
      <w:r>
        <w:rPr>
          <w:rFonts w:ascii="宋体" w:hAnsi="宋体" w:cs="宋体" w:eastAsia="宋体" w:hint="default"/>
          <w:spacing w:val="-54"/>
        </w:rPr>
        <w:t> </w:t>
      </w:r>
      <w:r>
        <w:rPr/>
        <w:t>年</w:t>
      </w:r>
      <w:r>
        <w:rPr>
          <w:spacing w:val="-52"/>
        </w:rPr>
        <w:t> </w:t>
      </w:r>
      <w:r>
        <w:rPr>
          <w:rFonts w:ascii="宋体" w:hAnsi="宋体" w:cs="宋体" w:eastAsia="宋体" w:hint="default"/>
        </w:rPr>
        <w:t>3</w:t>
      </w:r>
      <w:r>
        <w:rPr>
          <w:rFonts w:ascii="宋体" w:hAnsi="宋体" w:cs="宋体" w:eastAsia="宋体" w:hint="default"/>
          <w:spacing w:val="-54"/>
        </w:rPr>
        <w:t> </w:t>
      </w:r>
      <w:r>
        <w:rPr/>
        <w:t>月</w:t>
      </w:r>
      <w:r>
        <w:rPr>
          <w:spacing w:val="-52"/>
        </w:rPr>
        <w:t> </w:t>
      </w:r>
      <w:r>
        <w:rPr>
          <w:rFonts w:ascii="宋体" w:hAnsi="宋体" w:cs="宋体" w:eastAsia="宋体" w:hint="default"/>
        </w:rPr>
        <w:t>20</w:t>
      </w:r>
      <w:r>
        <w:rPr>
          <w:rFonts w:ascii="宋体" w:hAnsi="宋体" w:cs="宋体" w:eastAsia="宋体" w:hint="default"/>
          <w:spacing w:val="-54"/>
        </w:rPr>
        <w:t> </w:t>
      </w:r>
      <w:r>
        <w:rPr/>
        <w:t>日办妥工商变更手续。</w:t>
      </w:r>
    </w:p>
    <w:p>
      <w:pPr>
        <w:pStyle w:val="BodyText"/>
        <w:spacing w:line="357" w:lineRule="auto" w:before="133"/>
        <w:ind w:left="138" w:right="208" w:firstLine="419"/>
        <w:jc w:val="both"/>
      </w:pPr>
      <w:r>
        <w:rPr>
          <w:rFonts w:ascii="宋体" w:hAnsi="宋体" w:cs="宋体" w:eastAsia="宋体" w:hint="default"/>
        </w:rPr>
        <w:t>4) </w:t>
      </w:r>
      <w:r>
        <w:rPr/>
        <w:t>根据公司</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5"/>
        </w:rPr>
        <w:t> </w:t>
      </w:r>
      <w:r>
        <w:rPr>
          <w:rFonts w:ascii="宋体" w:hAnsi="宋体" w:cs="宋体" w:eastAsia="宋体" w:hint="default"/>
        </w:rPr>
        <w:t>4</w:t>
      </w:r>
      <w:r>
        <w:rPr>
          <w:rFonts w:ascii="宋体" w:hAnsi="宋体" w:cs="宋体" w:eastAsia="宋体" w:hint="default"/>
          <w:spacing w:val="-53"/>
        </w:rPr>
        <w:t> </w:t>
      </w:r>
      <w:r>
        <w:rPr/>
        <w:t>日五届二十二次董事会决议，公司拟以现金增资的方式向证通股</w:t>
      </w:r>
      <w:r>
        <w:rPr>
          <w:w w:val="100"/>
        </w:rPr>
        <w:t> </w:t>
      </w:r>
      <w:r>
        <w:rPr/>
        <w:t>份有限公司</w:t>
      </w:r>
      <w:r>
        <w:rPr>
          <w:rFonts w:ascii="宋体" w:hAnsi="宋体" w:cs="宋体" w:eastAsia="宋体" w:hint="default"/>
        </w:rPr>
        <w:t>(</w:t>
      </w:r>
      <w:r>
        <w:rPr/>
        <w:t>以下简称证通股份</w:t>
      </w:r>
      <w:r>
        <w:rPr>
          <w:rFonts w:ascii="宋体" w:hAnsi="宋体" w:cs="宋体" w:eastAsia="宋体" w:hint="default"/>
        </w:rPr>
        <w:t>)</w:t>
      </w:r>
      <w:r>
        <w:rPr>
          <w:rFonts w:ascii="宋体" w:hAnsi="宋体" w:cs="宋体" w:eastAsia="宋体" w:hint="default"/>
          <w:spacing w:val="14"/>
        </w:rPr>
        <w:t> </w:t>
      </w:r>
      <w:r>
        <w:rPr/>
        <w:t>投资</w:t>
      </w:r>
      <w:r>
        <w:rPr>
          <w:spacing w:val="-45"/>
        </w:rPr>
        <w:t> </w:t>
      </w:r>
      <w:r>
        <w:rPr>
          <w:rFonts w:ascii="宋体" w:hAnsi="宋体" w:cs="宋体" w:eastAsia="宋体" w:hint="default"/>
        </w:rPr>
        <w:t>2,500</w:t>
      </w:r>
      <w:r>
        <w:rPr>
          <w:rFonts w:ascii="宋体" w:hAnsi="宋体" w:cs="宋体" w:eastAsia="宋体" w:hint="default"/>
          <w:spacing w:val="-45"/>
        </w:rPr>
        <w:t> </w:t>
      </w:r>
      <w:r>
        <w:rPr>
          <w:spacing w:val="-6"/>
        </w:rPr>
        <w:t>万元。同时，天弘基金、上海云鑫、众安在线分别向</w:t>
      </w:r>
      <w:r>
        <w:rPr>
          <w:spacing w:val="-102"/>
        </w:rPr>
        <w:t> </w:t>
      </w:r>
      <w:r>
        <w:rPr>
          <w:spacing w:val="-102"/>
        </w:rPr>
      </w:r>
      <w:r>
        <w:rPr/>
        <w:t>证通股份投资</w:t>
      </w:r>
      <w:r>
        <w:rPr>
          <w:spacing w:val="-49"/>
        </w:rPr>
        <w:t> </w:t>
      </w:r>
      <w:r>
        <w:rPr>
          <w:rFonts w:ascii="宋体" w:hAnsi="宋体" w:cs="宋体" w:eastAsia="宋体" w:hint="default"/>
        </w:rPr>
        <w:t>5,000</w:t>
      </w:r>
      <w:r>
        <w:rPr>
          <w:rFonts w:ascii="宋体" w:hAnsi="宋体" w:cs="宋体" w:eastAsia="宋体" w:hint="default"/>
          <w:spacing w:val="-51"/>
        </w:rPr>
        <w:t> </w:t>
      </w:r>
      <w:r>
        <w:rPr>
          <w:spacing w:val="-5"/>
        </w:rPr>
        <w:t>万元、</w:t>
      </w:r>
      <w:r>
        <w:rPr>
          <w:rFonts w:ascii="宋体" w:hAnsi="宋体" w:cs="宋体" w:eastAsia="宋体" w:hint="default"/>
          <w:spacing w:val="-5"/>
        </w:rPr>
        <w:t>2,500</w:t>
      </w:r>
      <w:r>
        <w:rPr>
          <w:rFonts w:ascii="宋体" w:hAnsi="宋体" w:cs="宋体" w:eastAsia="宋体" w:hint="default"/>
          <w:spacing w:val="-49"/>
        </w:rPr>
        <w:t> </w:t>
      </w:r>
      <w:r>
        <w:rPr>
          <w:spacing w:val="-5"/>
        </w:rPr>
        <w:t>万元、</w:t>
      </w:r>
      <w:r>
        <w:rPr>
          <w:rFonts w:ascii="宋体" w:hAnsi="宋体" w:cs="宋体" w:eastAsia="宋体" w:hint="default"/>
          <w:spacing w:val="-5"/>
        </w:rPr>
        <w:t>2,500</w:t>
      </w:r>
      <w:r>
        <w:rPr>
          <w:rFonts w:ascii="宋体" w:hAnsi="宋体" w:cs="宋体" w:eastAsia="宋体" w:hint="default"/>
          <w:spacing w:val="-51"/>
        </w:rPr>
        <w:t> </w:t>
      </w:r>
      <w:r>
        <w:rPr>
          <w:spacing w:val="-6"/>
        </w:rPr>
        <w:t>万元。公司出资</w:t>
      </w:r>
      <w:r>
        <w:rPr>
          <w:spacing w:val="-51"/>
        </w:rPr>
        <w:t> </w:t>
      </w:r>
      <w:r>
        <w:rPr>
          <w:rFonts w:ascii="宋体" w:hAnsi="宋体" w:cs="宋体" w:eastAsia="宋体" w:hint="default"/>
        </w:rPr>
        <w:t>2,500</w:t>
      </w:r>
      <w:r>
        <w:rPr>
          <w:rFonts w:ascii="宋体" w:hAnsi="宋体" w:cs="宋体" w:eastAsia="宋体" w:hint="default"/>
          <w:spacing w:val="-49"/>
        </w:rPr>
        <w:t> </w:t>
      </w:r>
      <w:r>
        <w:rPr/>
        <w:t>万元占证通股份本次增资扩</w:t>
      </w:r>
      <w:r>
        <w:rPr>
          <w:w w:val="100"/>
        </w:rPr>
        <w:t> </w:t>
      </w:r>
      <w:r>
        <w:rPr/>
        <w:t>股后总股本的</w:t>
      </w:r>
      <w:r>
        <w:rPr>
          <w:spacing w:val="-50"/>
        </w:rPr>
        <w:t> </w:t>
      </w:r>
      <w:r>
        <w:rPr>
          <w:rFonts w:ascii="宋体" w:hAnsi="宋体" w:cs="宋体" w:eastAsia="宋体" w:hint="default"/>
          <w:spacing w:val="-4"/>
        </w:rPr>
        <w:t>0.99%</w:t>
      </w:r>
      <w:r>
        <w:rPr>
          <w:spacing w:val="-4"/>
        </w:rPr>
        <w:t>。公司于</w:t>
      </w:r>
      <w:r>
        <w:rPr>
          <w:spacing w:val="-49"/>
        </w:rPr>
        <w:t> </w:t>
      </w:r>
      <w:r>
        <w:rPr>
          <w:rFonts w:ascii="宋体" w:hAnsi="宋体" w:cs="宋体" w:eastAsia="宋体" w:hint="default"/>
        </w:rPr>
        <w:t>2015</w:t>
      </w:r>
      <w:r>
        <w:rPr>
          <w:rFonts w:ascii="宋体" w:hAnsi="宋体" w:cs="宋体" w:eastAsia="宋体" w:hint="default"/>
          <w:spacing w:val="-50"/>
        </w:rPr>
        <w:t> </w:t>
      </w:r>
      <w:r>
        <w:rPr/>
        <w:t>年</w:t>
      </w:r>
      <w:r>
        <w:rPr>
          <w:spacing w:val="-52"/>
        </w:rPr>
        <w:t> </w:t>
      </w:r>
      <w:r>
        <w:rPr>
          <w:rFonts w:ascii="宋体" w:hAnsi="宋体" w:cs="宋体" w:eastAsia="宋体" w:hint="default"/>
        </w:rPr>
        <w:t>3</w:t>
      </w:r>
      <w:r>
        <w:rPr>
          <w:rFonts w:ascii="宋体" w:hAnsi="宋体" w:cs="宋体" w:eastAsia="宋体" w:hint="default"/>
          <w:spacing w:val="-50"/>
        </w:rPr>
        <w:t> </w:t>
      </w:r>
      <w:r>
        <w:rPr/>
        <w:t>月</w:t>
      </w:r>
      <w:r>
        <w:rPr>
          <w:spacing w:val="-52"/>
        </w:rPr>
        <w:t> </w:t>
      </w:r>
      <w:r>
        <w:rPr>
          <w:rFonts w:ascii="宋体" w:hAnsi="宋体" w:cs="宋体" w:eastAsia="宋体" w:hint="default"/>
        </w:rPr>
        <w:t>6</w:t>
      </w:r>
      <w:r>
        <w:rPr>
          <w:rFonts w:ascii="宋体" w:hAnsi="宋体" w:cs="宋体" w:eastAsia="宋体" w:hint="default"/>
          <w:spacing w:val="-50"/>
        </w:rPr>
        <w:t> </w:t>
      </w:r>
      <w:r>
        <w:rPr>
          <w:spacing w:val="-4"/>
        </w:rPr>
        <w:t>日支付增资款，证通股份于</w:t>
      </w:r>
      <w:r>
        <w:rPr>
          <w:spacing w:val="-52"/>
        </w:rPr>
        <w:t> </w:t>
      </w:r>
      <w:r>
        <w:rPr>
          <w:rFonts w:ascii="宋体" w:hAnsi="宋体" w:cs="宋体" w:eastAsia="宋体" w:hint="default"/>
        </w:rPr>
        <w:t>2015</w:t>
      </w:r>
      <w:r>
        <w:rPr>
          <w:rFonts w:ascii="宋体" w:hAnsi="宋体" w:cs="宋体" w:eastAsia="宋体" w:hint="default"/>
          <w:spacing w:val="-52"/>
        </w:rPr>
        <w:t> </w:t>
      </w:r>
      <w:r>
        <w:rPr/>
        <w:t>年</w:t>
      </w:r>
      <w:r>
        <w:rPr>
          <w:spacing w:val="-51"/>
        </w:rPr>
        <w:t> </w:t>
      </w:r>
      <w:r>
        <w:rPr>
          <w:rFonts w:ascii="宋体" w:hAnsi="宋体" w:cs="宋体" w:eastAsia="宋体" w:hint="default"/>
        </w:rPr>
        <w:t>4</w:t>
      </w:r>
      <w:r>
        <w:rPr>
          <w:rFonts w:ascii="宋体" w:hAnsi="宋体" w:cs="宋体" w:eastAsia="宋体" w:hint="default"/>
          <w:spacing w:val="-50"/>
        </w:rPr>
        <w:t> </w:t>
      </w:r>
      <w:r>
        <w:rPr/>
        <w:t>月</w:t>
      </w:r>
      <w:r>
        <w:rPr>
          <w:spacing w:val="-50"/>
        </w:rPr>
        <w:t> </w:t>
      </w:r>
      <w:r>
        <w:rPr>
          <w:rFonts w:ascii="宋体" w:hAnsi="宋体" w:cs="宋体" w:eastAsia="宋体" w:hint="default"/>
        </w:rPr>
        <w:t>10</w:t>
      </w:r>
      <w:r>
        <w:rPr>
          <w:rFonts w:ascii="宋体" w:hAnsi="宋体" w:cs="宋体" w:eastAsia="宋体" w:hint="default"/>
          <w:spacing w:val="-50"/>
        </w:rPr>
        <w:t> </w:t>
      </w:r>
      <w:r>
        <w:rPr/>
        <w:t>日办妥工</w:t>
      </w:r>
      <w:r>
        <w:rPr>
          <w:w w:val="100"/>
        </w:rPr>
        <w:t> </w:t>
      </w:r>
      <w:r>
        <w:rPr/>
        <w:t>商变更手续。</w:t>
      </w:r>
    </w:p>
    <w:p>
      <w:pPr>
        <w:pStyle w:val="BodyText"/>
        <w:spacing w:line="357" w:lineRule="auto" w:before="31"/>
        <w:ind w:left="138" w:right="98" w:firstLine="419"/>
        <w:jc w:val="left"/>
      </w:pPr>
      <w:r>
        <w:rPr>
          <w:rFonts w:ascii="宋体" w:hAnsi="宋体" w:cs="宋体" w:eastAsia="宋体" w:hint="default"/>
          <w:w w:val="100"/>
        </w:rPr>
        <w:t>5)</w:t>
      </w:r>
      <w:r>
        <w:rPr>
          <w:rFonts w:ascii="宋体" w:hAnsi="宋体" w:cs="宋体" w:eastAsia="宋体" w:hint="default"/>
          <w:spacing w:val="1"/>
          <w:w w:val="100"/>
        </w:rPr>
        <w:t> </w:t>
      </w:r>
      <w:r>
        <w:rPr>
          <w:spacing w:val="-2"/>
          <w:w w:val="100"/>
        </w:rPr>
        <w:t>根据公司</w:t>
      </w:r>
      <w:r>
        <w:rPr>
          <w:spacing w:val="-53"/>
          <w:w w:val="100"/>
        </w:rPr>
        <w:t> </w:t>
      </w:r>
      <w:r>
        <w:rPr>
          <w:rFonts w:ascii="宋体" w:hAnsi="宋体" w:cs="宋体" w:eastAsia="宋体" w:hint="default"/>
          <w:spacing w:val="-1"/>
          <w:w w:val="100"/>
        </w:rPr>
        <w:t>2015</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4</w:t>
      </w:r>
      <w:r>
        <w:rPr>
          <w:rFonts w:ascii="宋体" w:hAnsi="宋体" w:cs="宋体" w:eastAsia="宋体" w:hint="default"/>
          <w:spacing w:val="-55"/>
          <w:w w:val="100"/>
        </w:rPr>
        <w:t> </w:t>
      </w:r>
      <w:r>
        <w:rPr>
          <w:w w:val="100"/>
        </w:rPr>
        <w:t>月</w:t>
      </w:r>
      <w:r>
        <w:rPr>
          <w:spacing w:val="-55"/>
          <w:w w:val="100"/>
        </w:rPr>
        <w:t> </w:t>
      </w:r>
      <w:r>
        <w:rPr>
          <w:rFonts w:ascii="宋体" w:hAnsi="宋体" w:cs="宋体" w:eastAsia="宋体" w:hint="default"/>
          <w:w w:val="100"/>
        </w:rPr>
        <w:t>18</w:t>
      </w:r>
      <w:r>
        <w:rPr>
          <w:rFonts w:ascii="宋体" w:hAnsi="宋体" w:cs="宋体" w:eastAsia="宋体" w:hint="default"/>
          <w:spacing w:val="-53"/>
          <w:w w:val="100"/>
        </w:rPr>
        <w:t> </w:t>
      </w:r>
      <w:r>
        <w:rPr>
          <w:spacing w:val="-5"/>
          <w:w w:val="100"/>
        </w:rPr>
        <w:t>日五届二十三次董事会决议，公司拟与云汉投资共同投资杭州融</w:t>
      </w:r>
      <w:r>
        <w:rPr>
          <w:w w:val="100"/>
        </w:rPr>
        <w:t> </w:t>
      </w:r>
      <w:r>
        <w:rPr>
          <w:spacing w:val="-6"/>
          <w:w w:val="100"/>
        </w:rPr>
        <w:t>都科技有限公司</w:t>
      </w:r>
      <w:r>
        <w:rPr>
          <w:rFonts w:ascii="宋体" w:hAnsi="宋体" w:cs="宋体" w:eastAsia="宋体" w:hint="default"/>
          <w:spacing w:val="-6"/>
          <w:w w:val="100"/>
        </w:rPr>
        <w:t>(</w:t>
      </w:r>
      <w:r>
        <w:rPr>
          <w:spacing w:val="-6"/>
          <w:w w:val="100"/>
        </w:rPr>
        <w:t>以下简称融都科技</w:t>
      </w:r>
      <w:r>
        <w:rPr>
          <w:rFonts w:ascii="宋体" w:hAnsi="宋体" w:cs="宋体" w:eastAsia="宋体" w:hint="default"/>
          <w:spacing w:val="-6"/>
          <w:w w:val="100"/>
        </w:rPr>
        <w:t>)</w:t>
      </w:r>
      <w:r>
        <w:rPr>
          <w:spacing w:val="-6"/>
          <w:w w:val="100"/>
        </w:rPr>
        <w:t>，其中本公司出资</w:t>
      </w:r>
      <w:r>
        <w:rPr>
          <w:spacing w:val="-61"/>
          <w:w w:val="100"/>
        </w:rPr>
        <w:t> </w:t>
      </w:r>
      <w:r>
        <w:rPr>
          <w:rFonts w:ascii="宋体" w:hAnsi="宋体" w:cs="宋体" w:eastAsia="宋体" w:hint="default"/>
          <w:spacing w:val="-1"/>
          <w:w w:val="100"/>
        </w:rPr>
        <w:t>4,250.00</w:t>
      </w:r>
      <w:r>
        <w:rPr>
          <w:rFonts w:ascii="宋体" w:hAnsi="宋体" w:cs="宋体" w:eastAsia="宋体" w:hint="default"/>
          <w:spacing w:val="-61"/>
          <w:w w:val="100"/>
        </w:rPr>
        <w:t> </w:t>
      </w:r>
      <w:r>
        <w:rPr>
          <w:spacing w:val="-1"/>
          <w:w w:val="100"/>
        </w:rPr>
        <w:t>万元</w:t>
      </w:r>
      <w:r>
        <w:rPr>
          <w:rFonts w:ascii="宋体" w:hAnsi="宋体" w:cs="宋体" w:eastAsia="宋体" w:hint="default"/>
          <w:spacing w:val="-1"/>
          <w:w w:val="100"/>
        </w:rPr>
        <w:t>,</w:t>
      </w:r>
      <w:r>
        <w:rPr>
          <w:spacing w:val="-1"/>
          <w:w w:val="100"/>
        </w:rPr>
        <w:t>持有融都科技</w:t>
      </w:r>
      <w:r>
        <w:rPr>
          <w:spacing w:val="-61"/>
          <w:w w:val="100"/>
        </w:rPr>
        <w:t> </w:t>
      </w:r>
      <w:r>
        <w:rPr>
          <w:rFonts w:ascii="宋体" w:hAnsi="宋体" w:cs="宋体" w:eastAsia="宋体" w:hint="default"/>
          <w:spacing w:val="-2"/>
          <w:w w:val="100"/>
        </w:rPr>
        <w:t>30.09%</w:t>
      </w:r>
      <w:r>
        <w:rPr>
          <w:spacing w:val="-2"/>
          <w:w w:val="100"/>
        </w:rPr>
        <w:t>股权；</w:t>
      </w:r>
      <w:r>
        <w:rPr>
          <w:spacing w:val="-102"/>
          <w:w w:val="100"/>
        </w:rPr>
        <w:t> </w:t>
      </w:r>
      <w:r>
        <w:rPr>
          <w:spacing w:val="-102"/>
          <w:w w:val="100"/>
        </w:rPr>
      </w:r>
      <w:r>
        <w:rPr/>
        <w:t>云汉投资出资</w:t>
      </w:r>
      <w:r>
        <w:rPr>
          <w:spacing w:val="-54"/>
        </w:rPr>
        <w:t> </w:t>
      </w:r>
      <w:r>
        <w:rPr>
          <w:rFonts w:ascii="宋体" w:hAnsi="宋体" w:cs="宋体" w:eastAsia="宋体" w:hint="default"/>
        </w:rPr>
        <w:t>2,375.00</w:t>
      </w:r>
      <w:r>
        <w:rPr>
          <w:rFonts w:ascii="宋体" w:hAnsi="宋体" w:cs="宋体" w:eastAsia="宋体" w:hint="default"/>
          <w:spacing w:val="-56"/>
        </w:rPr>
        <w:t> </w:t>
      </w:r>
      <w:r>
        <w:rPr/>
        <w:t>万元，持有融都科技</w:t>
      </w:r>
      <w:r>
        <w:rPr>
          <w:spacing w:val="-54"/>
        </w:rPr>
        <w:t> </w:t>
      </w:r>
      <w:r>
        <w:rPr>
          <w:rFonts w:ascii="宋体" w:hAnsi="宋体" w:cs="宋体" w:eastAsia="宋体" w:hint="default"/>
        </w:rPr>
        <w:t>16.81%</w:t>
      </w:r>
      <w:r>
        <w:rPr/>
        <w:t>股权。本公司于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5"/>
        </w:rPr>
        <w:t> </w:t>
      </w:r>
      <w:r>
        <w:rPr/>
        <w:t>月</w:t>
      </w:r>
      <w:r>
        <w:rPr>
          <w:spacing w:val="-54"/>
        </w:rPr>
        <w:t> </w:t>
      </w:r>
      <w:r>
        <w:rPr>
          <w:rFonts w:ascii="宋体" w:hAnsi="宋体" w:cs="宋体" w:eastAsia="宋体" w:hint="default"/>
        </w:rPr>
        <w:t>21</w:t>
      </w:r>
      <w:r>
        <w:rPr>
          <w:rFonts w:ascii="宋体" w:hAnsi="宋体" w:cs="宋体" w:eastAsia="宋体" w:hint="default"/>
          <w:spacing w:val="-56"/>
        </w:rPr>
        <w:t> </w:t>
      </w:r>
      <w:r>
        <w:rPr/>
        <w:t>日支付出资</w:t>
      </w:r>
    </w:p>
    <w:p>
      <w:pPr>
        <w:pStyle w:val="BodyText"/>
        <w:spacing w:line="240" w:lineRule="auto" w:before="30"/>
        <w:ind w:left="138" w:right="108"/>
        <w:jc w:val="left"/>
      </w:pPr>
      <w:r>
        <w:rPr/>
        <w:t>款，融都科技已于</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日办妥工商设立手续。</w:t>
      </w:r>
    </w:p>
    <w:p>
      <w:pPr>
        <w:pStyle w:val="BodyText"/>
        <w:spacing w:line="240" w:lineRule="auto" w:before="133"/>
        <w:ind w:left="558" w:right="108"/>
        <w:jc w:val="left"/>
      </w:pPr>
      <w:r>
        <w:rPr>
          <w:rFonts w:ascii="宋体" w:hAnsi="宋体" w:cs="宋体" w:eastAsia="宋体" w:hint="default"/>
        </w:rPr>
        <w:t>6)</w:t>
      </w:r>
      <w:r>
        <w:rPr>
          <w:rFonts w:ascii="宋体" w:hAnsi="宋体" w:cs="宋体" w:eastAsia="宋体" w:hint="default"/>
          <w:spacing w:val="11"/>
        </w:rPr>
        <w:t> </w:t>
      </w:r>
      <w:r>
        <w:rPr/>
        <w:t>根据公司</w:t>
      </w:r>
      <w:r>
        <w:rPr>
          <w:spacing w:val="-48"/>
        </w:rPr>
        <w:t> </w:t>
      </w:r>
      <w:r>
        <w:rPr>
          <w:rFonts w:ascii="宋体" w:hAnsi="宋体" w:cs="宋体" w:eastAsia="宋体" w:hint="default"/>
        </w:rPr>
        <w:t>2015</w:t>
      </w:r>
      <w:r>
        <w:rPr>
          <w:rFonts w:ascii="宋体" w:hAnsi="宋体" w:cs="宋体" w:eastAsia="宋体" w:hint="default"/>
          <w:spacing w:val="-50"/>
        </w:rPr>
        <w:t> </w:t>
      </w:r>
      <w:r>
        <w:rPr/>
        <w:t>年</w:t>
      </w:r>
      <w:r>
        <w:rPr>
          <w:spacing w:val="-48"/>
        </w:rPr>
        <w:t> </w:t>
      </w:r>
      <w:r>
        <w:rPr>
          <w:rFonts w:ascii="宋体" w:hAnsi="宋体" w:cs="宋体" w:eastAsia="宋体" w:hint="default"/>
        </w:rPr>
        <w:t>2</w:t>
      </w:r>
      <w:r>
        <w:rPr>
          <w:rFonts w:ascii="宋体" w:hAnsi="宋体" w:cs="宋体" w:eastAsia="宋体" w:hint="default"/>
          <w:spacing w:val="-50"/>
        </w:rPr>
        <w:t> </w:t>
      </w:r>
      <w:r>
        <w:rPr/>
        <w:t>月</w:t>
      </w:r>
      <w:r>
        <w:rPr>
          <w:spacing w:val="-50"/>
        </w:rPr>
        <w:t> </w:t>
      </w:r>
      <w:r>
        <w:rPr>
          <w:rFonts w:ascii="宋体" w:hAnsi="宋体" w:cs="宋体" w:eastAsia="宋体" w:hint="default"/>
        </w:rPr>
        <w:t>12</w:t>
      </w:r>
      <w:r>
        <w:rPr>
          <w:rFonts w:ascii="宋体" w:hAnsi="宋体" w:cs="宋体" w:eastAsia="宋体" w:hint="default"/>
          <w:spacing w:val="-48"/>
        </w:rPr>
        <w:t> </w:t>
      </w:r>
      <w:r>
        <w:rPr>
          <w:spacing w:val="-5"/>
        </w:rPr>
        <w:t>日五届二十一次董事会决议及《股权转让及增资协议》，第一步</w:t>
      </w:r>
    </w:p>
    <w:p>
      <w:pPr>
        <w:pStyle w:val="BodyText"/>
        <w:spacing w:line="240" w:lineRule="auto" w:before="133"/>
        <w:ind w:left="138" w:right="108"/>
        <w:jc w:val="left"/>
      </w:pPr>
      <w:r>
        <w:rPr/>
        <w:t>公司拟出资</w:t>
      </w:r>
      <w:r>
        <w:rPr>
          <w:spacing w:val="-55"/>
        </w:rPr>
        <w:t> </w:t>
      </w:r>
      <w:r>
        <w:rPr>
          <w:rFonts w:ascii="宋体" w:hAnsi="宋体" w:cs="宋体" w:eastAsia="宋体" w:hint="default"/>
        </w:rPr>
        <w:t>2,000</w:t>
      </w:r>
      <w:r>
        <w:rPr>
          <w:rFonts w:ascii="宋体" w:hAnsi="宋体" w:cs="宋体" w:eastAsia="宋体" w:hint="default"/>
          <w:spacing w:val="-55"/>
        </w:rPr>
        <w:t> </w:t>
      </w:r>
      <w:r>
        <w:rPr/>
        <w:t>万元受让深圳拓瑞邦泽投资管理企业持有的深圳开拓者科技有限公司</w:t>
      </w:r>
      <w:r>
        <w:rPr>
          <w:rFonts w:ascii="宋体" w:hAnsi="宋体" w:cs="宋体" w:eastAsia="宋体" w:hint="default"/>
        </w:rPr>
        <w:t>(</w:t>
      </w:r>
      <w:r>
        <w:rPr/>
        <w:t>以下简</w:t>
      </w:r>
    </w:p>
    <w:p>
      <w:pPr>
        <w:pStyle w:val="BodyText"/>
        <w:spacing w:line="240" w:lineRule="auto" w:before="133"/>
        <w:ind w:left="138" w:right="108"/>
        <w:jc w:val="left"/>
      </w:pPr>
      <w:r>
        <w:rPr/>
        <w:t>称开拓者</w:t>
      </w:r>
      <w:r>
        <w:rPr>
          <w:rFonts w:ascii="宋体" w:hAnsi="宋体" w:cs="宋体" w:eastAsia="宋体" w:hint="default"/>
        </w:rPr>
        <w:t>)</w:t>
      </w:r>
      <w:r>
        <w:rPr>
          <w:rFonts w:ascii="宋体" w:hAnsi="宋体" w:cs="宋体" w:eastAsia="宋体" w:hint="default"/>
          <w:spacing w:val="9"/>
        </w:rPr>
        <w:t> </w:t>
      </w:r>
      <w:r>
        <w:rPr/>
        <w:t>实缴出资额</w:t>
      </w:r>
      <w:r>
        <w:rPr>
          <w:spacing w:val="-47"/>
        </w:rPr>
        <w:t> </w:t>
      </w:r>
      <w:r>
        <w:rPr>
          <w:rFonts w:ascii="宋体" w:hAnsi="宋体" w:cs="宋体" w:eastAsia="宋体" w:hint="default"/>
        </w:rPr>
        <w:t>276.0524</w:t>
      </w:r>
      <w:r>
        <w:rPr>
          <w:rFonts w:ascii="宋体" w:hAnsi="宋体" w:cs="宋体" w:eastAsia="宋体" w:hint="default"/>
          <w:spacing w:val="-48"/>
        </w:rPr>
        <w:t> </w:t>
      </w:r>
      <w:r>
        <w:rPr>
          <w:spacing w:val="-6"/>
        </w:rPr>
        <w:t>万元，同时向开拓者增资</w:t>
      </w:r>
      <w:r>
        <w:rPr>
          <w:spacing w:val="-48"/>
        </w:rPr>
        <w:t> </w:t>
      </w:r>
      <w:r>
        <w:rPr>
          <w:rFonts w:ascii="宋体" w:hAnsi="宋体" w:cs="宋体" w:eastAsia="宋体" w:hint="default"/>
        </w:rPr>
        <w:t>5,200</w:t>
      </w:r>
      <w:r>
        <w:rPr>
          <w:rFonts w:ascii="宋体" w:hAnsi="宋体" w:cs="宋体" w:eastAsia="宋体" w:hint="default"/>
          <w:spacing w:val="-48"/>
        </w:rPr>
        <w:t> </w:t>
      </w:r>
      <w:r>
        <w:rPr>
          <w:spacing w:val="-5"/>
        </w:rPr>
        <w:t>万元，第二步云汉投资向开拓者</w:t>
      </w:r>
    </w:p>
    <w:p>
      <w:pPr>
        <w:pStyle w:val="BodyText"/>
        <w:spacing w:line="240" w:lineRule="auto" w:before="135"/>
        <w:ind w:left="138" w:right="108"/>
        <w:jc w:val="left"/>
      </w:pPr>
      <w:r>
        <w:rPr/>
        <w:t>增资</w:t>
      </w:r>
      <w:r>
        <w:rPr>
          <w:spacing w:val="-55"/>
        </w:rPr>
        <w:t> </w:t>
      </w:r>
      <w:r>
        <w:rPr>
          <w:rFonts w:ascii="宋体" w:hAnsi="宋体" w:cs="宋体" w:eastAsia="宋体" w:hint="default"/>
        </w:rPr>
        <w:t>4,800</w:t>
      </w:r>
      <w:r>
        <w:rPr>
          <w:rFonts w:ascii="宋体" w:hAnsi="宋体" w:cs="宋体" w:eastAsia="宋体" w:hint="default"/>
          <w:spacing w:val="-57"/>
        </w:rPr>
        <w:t> </w:t>
      </w:r>
      <w:r>
        <w:rPr/>
        <w:t>万元。经上述股权转让及增资后，本公司出资</w:t>
      </w:r>
      <w:r>
        <w:rPr>
          <w:spacing w:val="-54"/>
        </w:rPr>
        <w:t> </w:t>
      </w:r>
      <w:r>
        <w:rPr>
          <w:rFonts w:ascii="宋体" w:hAnsi="宋体" w:cs="宋体" w:eastAsia="宋体" w:hint="default"/>
        </w:rPr>
        <w:t>7,200</w:t>
      </w:r>
      <w:r>
        <w:rPr>
          <w:rFonts w:ascii="宋体" w:hAnsi="宋体" w:cs="宋体" w:eastAsia="宋体" w:hint="default"/>
          <w:spacing w:val="-55"/>
        </w:rPr>
        <w:t> </w:t>
      </w:r>
      <w:r>
        <w:rPr/>
        <w:t>万元</w:t>
      </w:r>
      <w:r>
        <w:rPr>
          <w:rFonts w:ascii="宋体" w:hAnsi="宋体" w:cs="宋体" w:eastAsia="宋体" w:hint="default"/>
        </w:rPr>
        <w:t>,</w:t>
      </w:r>
      <w:r>
        <w:rPr/>
        <w:t>持有开拓者</w:t>
      </w:r>
      <w:r>
        <w:rPr>
          <w:spacing w:val="-54"/>
        </w:rPr>
        <w:t> </w:t>
      </w:r>
      <w:r>
        <w:rPr>
          <w:rFonts w:ascii="宋体" w:hAnsi="宋体" w:cs="宋体" w:eastAsia="宋体" w:hint="default"/>
        </w:rPr>
        <w:t>29.40%</w:t>
      </w:r>
      <w:r>
        <w:rPr/>
        <w:t>股权；</w:t>
      </w:r>
    </w:p>
    <w:p>
      <w:pPr>
        <w:pStyle w:val="BodyText"/>
        <w:spacing w:line="240" w:lineRule="auto" w:before="133"/>
        <w:ind w:left="138" w:right="108"/>
        <w:jc w:val="left"/>
      </w:pPr>
      <w:r>
        <w:rPr/>
        <w:t>云汉投资出资</w:t>
      </w:r>
      <w:r>
        <w:rPr>
          <w:spacing w:val="-48"/>
        </w:rPr>
        <w:t> </w:t>
      </w:r>
      <w:r>
        <w:rPr>
          <w:rFonts w:ascii="宋体" w:hAnsi="宋体" w:cs="宋体" w:eastAsia="宋体" w:hint="default"/>
        </w:rPr>
        <w:t>4,800</w:t>
      </w:r>
      <w:r>
        <w:rPr>
          <w:rFonts w:ascii="宋体" w:hAnsi="宋体" w:cs="宋体" w:eastAsia="宋体" w:hint="default"/>
          <w:spacing w:val="-51"/>
        </w:rPr>
        <w:t> </w:t>
      </w:r>
      <w:r>
        <w:rPr>
          <w:spacing w:val="-6"/>
        </w:rPr>
        <w:t>万元，持有开拓者</w:t>
      </w:r>
      <w:r>
        <w:rPr>
          <w:spacing w:val="-47"/>
        </w:rPr>
        <w:t> </w:t>
      </w:r>
      <w:r>
        <w:rPr>
          <w:rFonts w:ascii="宋体" w:hAnsi="宋体" w:cs="宋体" w:eastAsia="宋体" w:hint="default"/>
          <w:spacing w:val="-3"/>
        </w:rPr>
        <w:t>19.60%</w:t>
      </w:r>
      <w:r>
        <w:rPr>
          <w:spacing w:val="-3"/>
        </w:rPr>
        <w:t>股权。本公司及云汉投资于</w:t>
      </w:r>
      <w:r>
        <w:rPr>
          <w:spacing w:val="-48"/>
        </w:rPr>
        <w:t> </w:t>
      </w:r>
      <w:r>
        <w:rPr>
          <w:rFonts w:ascii="宋体" w:hAnsi="宋体" w:cs="宋体" w:eastAsia="宋体" w:hint="default"/>
        </w:rPr>
        <w:t>2015</w:t>
      </w:r>
      <w:r>
        <w:rPr>
          <w:rFonts w:ascii="宋体" w:hAnsi="宋体" w:cs="宋体" w:eastAsia="宋体" w:hint="default"/>
          <w:spacing w:val="-47"/>
        </w:rPr>
        <w:t> </w:t>
      </w:r>
      <w:r>
        <w:rPr/>
        <w:t>年</w:t>
      </w:r>
      <w:r>
        <w:rPr>
          <w:spacing w:val="-48"/>
        </w:rPr>
        <w:t> </w:t>
      </w:r>
      <w:r>
        <w:rPr>
          <w:rFonts w:ascii="宋体" w:hAnsi="宋体" w:cs="宋体" w:eastAsia="宋体" w:hint="default"/>
        </w:rPr>
        <w:t>3</w:t>
      </w:r>
      <w:r>
        <w:rPr>
          <w:rFonts w:ascii="宋体" w:hAnsi="宋体" w:cs="宋体" w:eastAsia="宋体" w:hint="default"/>
          <w:spacing w:val="-51"/>
        </w:rPr>
        <w:t> </w:t>
      </w:r>
      <w:r>
        <w:rPr>
          <w:spacing w:val="-11"/>
        </w:rPr>
        <w:t>月、</w:t>
      </w:r>
      <w:r>
        <w:rPr>
          <w:rFonts w:ascii="宋体" w:hAnsi="宋体" w:cs="宋体" w:eastAsia="宋体" w:hint="default"/>
          <w:spacing w:val="-11"/>
        </w:rPr>
        <w:t>6</w:t>
      </w:r>
      <w:r>
        <w:rPr>
          <w:rFonts w:ascii="宋体" w:hAnsi="宋体" w:cs="宋体" w:eastAsia="宋体" w:hint="default"/>
          <w:spacing w:val="-51"/>
        </w:rPr>
        <w:t> </w:t>
      </w:r>
      <w:r>
        <w:rPr/>
        <w:t>月支付</w:t>
      </w:r>
    </w:p>
    <w:p>
      <w:pPr>
        <w:pStyle w:val="BodyText"/>
        <w:spacing w:line="240" w:lineRule="auto" w:before="133"/>
        <w:ind w:left="138" w:right="108"/>
        <w:jc w:val="left"/>
      </w:pPr>
      <w:r>
        <w:rPr/>
        <w:t>上述股权转让及增资款，开拓者已于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6"/>
        </w:rPr>
        <w:t> </w:t>
      </w:r>
      <w:r>
        <w:rPr>
          <w:rFonts w:ascii="宋体" w:hAnsi="宋体" w:cs="宋体" w:eastAsia="宋体" w:hint="default"/>
        </w:rPr>
        <w:t>29</w:t>
      </w:r>
      <w:r>
        <w:rPr>
          <w:rFonts w:ascii="宋体" w:hAnsi="宋体" w:cs="宋体" w:eastAsia="宋体" w:hint="default"/>
          <w:spacing w:val="-54"/>
        </w:rPr>
        <w:t> </w:t>
      </w:r>
      <w:r>
        <w:rPr/>
        <w:t>日办妥工商变更手续。</w:t>
      </w:r>
    </w:p>
    <w:p>
      <w:pPr>
        <w:pStyle w:val="BodyText"/>
        <w:spacing w:line="357" w:lineRule="auto" w:before="133"/>
        <w:ind w:left="138" w:right="210" w:firstLine="419"/>
        <w:jc w:val="both"/>
      </w:pPr>
      <w:r>
        <w:rPr>
          <w:rFonts w:ascii="宋体" w:hAnsi="宋体" w:cs="宋体" w:eastAsia="宋体" w:hint="default"/>
        </w:rPr>
        <w:t>7)</w:t>
      </w:r>
      <w:r>
        <w:rPr>
          <w:rFonts w:ascii="宋体" w:hAnsi="宋体" w:cs="宋体" w:eastAsia="宋体" w:hint="default"/>
          <w:spacing w:val="9"/>
        </w:rPr>
        <w:t> </w:t>
      </w:r>
      <w:r>
        <w:rPr/>
        <w:t>根据公司</w:t>
      </w:r>
      <w:r>
        <w:rPr>
          <w:spacing w:val="-49"/>
        </w:rPr>
        <w:t> </w:t>
      </w:r>
      <w:r>
        <w:rPr>
          <w:rFonts w:ascii="宋体" w:hAnsi="宋体" w:cs="宋体" w:eastAsia="宋体" w:hint="default"/>
        </w:rPr>
        <w:t>2015</w:t>
      </w:r>
      <w:r>
        <w:rPr>
          <w:rFonts w:ascii="宋体" w:hAnsi="宋体" w:cs="宋体" w:eastAsia="宋体" w:hint="default"/>
          <w:spacing w:val="-51"/>
        </w:rPr>
        <w:t> </w:t>
      </w:r>
      <w:r>
        <w:rPr/>
        <w:t>年</w:t>
      </w:r>
      <w:r>
        <w:rPr>
          <w:spacing w:val="-49"/>
        </w:rPr>
        <w:t> </w:t>
      </w:r>
      <w:r>
        <w:rPr>
          <w:rFonts w:ascii="宋体" w:hAnsi="宋体" w:cs="宋体" w:eastAsia="宋体" w:hint="default"/>
        </w:rPr>
        <w:t>4</w:t>
      </w:r>
      <w:r>
        <w:rPr>
          <w:rFonts w:ascii="宋体" w:hAnsi="宋体" w:cs="宋体" w:eastAsia="宋体" w:hint="default"/>
          <w:spacing w:val="-51"/>
        </w:rPr>
        <w:t> </w:t>
      </w:r>
      <w:r>
        <w:rPr/>
        <w:t>月</w:t>
      </w:r>
      <w:r>
        <w:rPr>
          <w:spacing w:val="-51"/>
        </w:rPr>
        <w:t> </w:t>
      </w:r>
      <w:r>
        <w:rPr>
          <w:rFonts w:ascii="宋体" w:hAnsi="宋体" w:cs="宋体" w:eastAsia="宋体" w:hint="default"/>
        </w:rPr>
        <w:t>24</w:t>
      </w:r>
      <w:r>
        <w:rPr>
          <w:rFonts w:ascii="宋体" w:hAnsi="宋体" w:cs="宋体" w:eastAsia="宋体" w:hint="default"/>
          <w:spacing w:val="-49"/>
        </w:rPr>
        <w:t> </w:t>
      </w:r>
      <w:r>
        <w:rPr>
          <w:spacing w:val="-5"/>
        </w:rPr>
        <w:t>日五届二十四次（季度）董事会决议，审议通过《关于同意数米</w:t>
      </w:r>
      <w:r>
        <w:rPr>
          <w:w w:val="100"/>
        </w:rPr>
        <w:t> </w:t>
      </w:r>
      <w:r>
        <w:rPr>
          <w:spacing w:val="-2"/>
        </w:rPr>
        <w:t>基金销售公司增资扩股引进战略控股股东并放弃优先认购权的议案》，数米基金申请增加注册资</w:t>
      </w:r>
      <w:r>
        <w:rPr>
          <w:spacing w:val="-26"/>
        </w:rPr>
        <w:t> </w:t>
      </w:r>
      <w:r>
        <w:rPr>
          <w:spacing w:val="-26"/>
        </w:rPr>
      </w:r>
      <w:r>
        <w:rPr/>
        <w:t>本</w:t>
      </w:r>
      <w:r>
        <w:rPr>
          <w:spacing w:val="-55"/>
        </w:rPr>
        <w:t> </w:t>
      </w:r>
      <w:r>
        <w:rPr>
          <w:rFonts w:ascii="宋体" w:hAnsi="宋体" w:cs="宋体" w:eastAsia="宋体" w:hint="default"/>
        </w:rPr>
        <w:t>9,462.00</w:t>
      </w:r>
      <w:r>
        <w:rPr>
          <w:rFonts w:ascii="宋体" w:hAnsi="宋体" w:cs="宋体" w:eastAsia="宋体" w:hint="default"/>
          <w:spacing w:val="-55"/>
        </w:rPr>
        <w:t> </w:t>
      </w:r>
      <w:r>
        <w:rPr/>
        <w:t>万元，公司放弃优先认购权，由蚂蚁金服以货币资金</w:t>
      </w:r>
      <w:r>
        <w:rPr>
          <w:spacing w:val="-55"/>
        </w:rPr>
        <w:t> </w:t>
      </w:r>
      <w:r>
        <w:rPr>
          <w:rFonts w:ascii="宋体" w:hAnsi="宋体" w:cs="宋体" w:eastAsia="宋体" w:hint="default"/>
        </w:rPr>
        <w:t>9,462.00</w:t>
      </w:r>
      <w:r>
        <w:rPr>
          <w:rFonts w:ascii="宋体" w:hAnsi="宋体" w:cs="宋体" w:eastAsia="宋体" w:hint="default"/>
          <w:spacing w:val="-57"/>
        </w:rPr>
        <w:t> </w:t>
      </w:r>
      <w:r>
        <w:rPr/>
        <w:t>万元认缴。</w:t>
      </w:r>
    </w:p>
    <w:p>
      <w:pPr>
        <w:pStyle w:val="BodyText"/>
        <w:spacing w:line="357" w:lineRule="auto" w:before="30"/>
        <w:ind w:left="138" w:right="210" w:firstLine="419"/>
        <w:jc w:val="both"/>
      </w:pPr>
      <w:r>
        <w:rPr>
          <w:rFonts w:ascii="宋体" w:hAnsi="宋体" w:cs="宋体" w:eastAsia="宋体" w:hint="default"/>
          <w:w w:val="100"/>
        </w:rPr>
        <w:t>8)</w:t>
      </w:r>
      <w:r>
        <w:rPr>
          <w:rFonts w:ascii="宋体" w:hAnsi="宋体" w:cs="宋体" w:eastAsia="宋体" w:hint="default"/>
          <w:spacing w:val="1"/>
          <w:w w:val="100"/>
        </w:rPr>
        <w:t> </w:t>
      </w:r>
      <w:r>
        <w:rPr>
          <w:spacing w:val="-2"/>
          <w:w w:val="100"/>
        </w:rPr>
        <w:t>根据公司</w:t>
      </w:r>
      <w:r>
        <w:rPr>
          <w:spacing w:val="-53"/>
          <w:w w:val="100"/>
        </w:rPr>
        <w:t> </w:t>
      </w:r>
      <w:r>
        <w:rPr>
          <w:rFonts w:ascii="宋体" w:hAnsi="宋体" w:cs="宋体" w:eastAsia="宋体" w:hint="default"/>
          <w:spacing w:val="-1"/>
          <w:w w:val="100"/>
        </w:rPr>
        <w:t>2015</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2</w:t>
      </w:r>
      <w:r>
        <w:rPr>
          <w:rFonts w:ascii="宋体" w:hAnsi="宋体" w:cs="宋体" w:eastAsia="宋体" w:hint="default"/>
          <w:spacing w:val="-55"/>
          <w:w w:val="100"/>
        </w:rPr>
        <w:t> </w:t>
      </w:r>
      <w:r>
        <w:rPr>
          <w:w w:val="100"/>
        </w:rPr>
        <w:t>月</w:t>
      </w:r>
      <w:r>
        <w:rPr>
          <w:spacing w:val="-55"/>
          <w:w w:val="100"/>
        </w:rPr>
        <w:t> </w:t>
      </w:r>
      <w:r>
        <w:rPr>
          <w:rFonts w:ascii="宋体" w:hAnsi="宋体" w:cs="宋体" w:eastAsia="宋体" w:hint="default"/>
          <w:w w:val="100"/>
        </w:rPr>
        <w:t>12</w:t>
      </w:r>
      <w:r>
        <w:rPr>
          <w:rFonts w:ascii="宋体" w:hAnsi="宋体" w:cs="宋体" w:eastAsia="宋体" w:hint="default"/>
          <w:spacing w:val="-53"/>
          <w:w w:val="100"/>
        </w:rPr>
        <w:t> </w:t>
      </w:r>
      <w:r>
        <w:rPr>
          <w:spacing w:val="-5"/>
          <w:w w:val="100"/>
        </w:rPr>
        <w:t>日五届二十一次董事会决议，公司拟收购宁波云唐投资管理合伙</w:t>
      </w:r>
      <w:r>
        <w:rPr>
          <w:w w:val="100"/>
        </w:rPr>
        <w:t> </w:t>
      </w:r>
      <w:r>
        <w:rPr/>
        <w:t>企业</w:t>
      </w:r>
      <w:r>
        <w:rPr>
          <w:rFonts w:ascii="宋体" w:hAnsi="宋体" w:cs="宋体" w:eastAsia="宋体" w:hint="default"/>
        </w:rPr>
        <w:t>(</w:t>
      </w:r>
      <w:r>
        <w:rPr/>
        <w:t>有限合伙</w:t>
      </w:r>
      <w:r>
        <w:rPr>
          <w:rFonts w:ascii="宋体" w:hAnsi="宋体" w:cs="宋体" w:eastAsia="宋体" w:hint="default"/>
        </w:rPr>
        <w:t>)</w:t>
      </w:r>
      <w:r>
        <w:rPr/>
        <w:t>、宁波云秦投资管理合伙企业</w:t>
      </w:r>
      <w:r>
        <w:rPr>
          <w:rFonts w:ascii="宋体" w:hAnsi="宋体" w:cs="宋体" w:eastAsia="宋体" w:hint="default"/>
        </w:rPr>
        <w:t>(</w:t>
      </w:r>
      <w:r>
        <w:rPr/>
        <w:t>有限合伙</w:t>
      </w:r>
      <w:r>
        <w:rPr>
          <w:rFonts w:ascii="宋体" w:hAnsi="宋体" w:cs="宋体" w:eastAsia="宋体" w:hint="default"/>
        </w:rPr>
        <w:t>)</w:t>
      </w:r>
      <w:r>
        <w:rPr/>
        <w:t>投资持有的网络技术共计</w:t>
      </w:r>
      <w:r>
        <w:rPr>
          <w:spacing w:val="-57"/>
        </w:rPr>
        <w:t> </w:t>
      </w:r>
      <w:r>
        <w:rPr>
          <w:rFonts w:ascii="宋体" w:hAnsi="宋体" w:cs="宋体" w:eastAsia="宋体" w:hint="default"/>
        </w:rPr>
        <w:t>32.3%</w:t>
      </w:r>
      <w:r>
        <w:rPr/>
        <w:t>股权，</w:t>
      </w:r>
      <w:r>
        <w:rPr>
          <w:w w:val="100"/>
        </w:rPr>
        <w:t> </w:t>
      </w:r>
      <w:r>
        <w:rPr>
          <w:spacing w:val="-5"/>
        </w:rPr>
        <w:t>并同时拟与云汉投资对网络技术增资。经上述股权转让及增资后，本公司出资</w:t>
      </w:r>
      <w:r>
        <w:rPr>
          <w:spacing w:val="-22"/>
        </w:rPr>
        <w:t> </w:t>
      </w:r>
      <w:r>
        <w:rPr>
          <w:rFonts w:ascii="宋体" w:hAnsi="宋体" w:cs="宋体" w:eastAsia="宋体" w:hint="default"/>
        </w:rPr>
        <w:t>1.2</w:t>
      </w:r>
      <w:r>
        <w:rPr>
          <w:rFonts w:ascii="宋体" w:hAnsi="宋体" w:cs="宋体" w:eastAsia="宋体" w:hint="default"/>
          <w:spacing w:val="-27"/>
        </w:rPr>
        <w:t> </w:t>
      </w:r>
      <w:r>
        <w:rPr/>
        <w:t>亿元</w:t>
      </w:r>
      <w:r>
        <w:rPr>
          <w:rFonts w:ascii="宋体" w:hAnsi="宋体" w:cs="宋体" w:eastAsia="宋体" w:hint="default"/>
        </w:rPr>
        <w:t>,</w:t>
      </w:r>
      <w:r>
        <w:rPr/>
        <w:t>持有网络</w:t>
      </w:r>
      <w:r>
        <w:rPr>
          <w:spacing w:val="-94"/>
        </w:rPr>
        <w:t> </w:t>
      </w:r>
      <w:r>
        <w:rPr>
          <w:spacing w:val="-94"/>
        </w:rPr>
      </w:r>
      <w:r>
        <w:rPr/>
        <w:t>技术</w:t>
      </w:r>
      <w:r>
        <w:rPr>
          <w:spacing w:val="-54"/>
        </w:rPr>
        <w:t> </w:t>
      </w:r>
      <w:r>
        <w:rPr>
          <w:rFonts w:ascii="宋体" w:hAnsi="宋体" w:cs="宋体" w:eastAsia="宋体" w:hint="default"/>
        </w:rPr>
        <w:t>60%</w:t>
      </w:r>
      <w:r>
        <w:rPr/>
        <w:t>股权；云汉投资出资</w:t>
      </w:r>
      <w:r>
        <w:rPr>
          <w:spacing w:val="-53"/>
        </w:rPr>
        <w:t> </w:t>
      </w:r>
      <w:r>
        <w:rPr>
          <w:rFonts w:ascii="宋体" w:hAnsi="宋体" w:cs="宋体" w:eastAsia="宋体" w:hint="default"/>
        </w:rPr>
        <w:t>4,400</w:t>
      </w:r>
      <w:r>
        <w:rPr>
          <w:rFonts w:ascii="宋体" w:hAnsi="宋体" w:cs="宋体" w:eastAsia="宋体" w:hint="default"/>
          <w:spacing w:val="-56"/>
        </w:rPr>
        <w:t> </w:t>
      </w:r>
      <w:r>
        <w:rPr/>
        <w:t>万元，持有网络技术</w:t>
      </w:r>
      <w:r>
        <w:rPr>
          <w:spacing w:val="-54"/>
        </w:rPr>
        <w:t> </w:t>
      </w:r>
      <w:r>
        <w:rPr>
          <w:rFonts w:ascii="宋体" w:hAnsi="宋体" w:cs="宋体" w:eastAsia="宋体" w:hint="default"/>
        </w:rPr>
        <w:t>22%</w:t>
      </w:r>
      <w:r>
        <w:rPr/>
        <w:t>股权。本公司及云汉投资于</w:t>
      </w:r>
      <w:r>
        <w:rPr>
          <w:spacing w:val="-53"/>
        </w:rPr>
        <w:t> </w:t>
      </w:r>
      <w:r>
        <w:rPr>
          <w:rFonts w:ascii="宋体" w:hAnsi="宋体" w:cs="宋体" w:eastAsia="宋体" w:hint="default"/>
        </w:rPr>
        <w:t>2015</w:t>
      </w:r>
      <w:r>
        <w:rPr>
          <w:rFonts w:ascii="宋体" w:hAnsi="宋体" w:cs="宋体" w:eastAsia="宋体" w:hint="default"/>
          <w:spacing w:val="-56"/>
        </w:rPr>
        <w:t> </w:t>
      </w:r>
      <w:r>
        <w:rPr/>
        <w:t>年</w:t>
      </w:r>
      <w:r>
        <w:rPr>
          <w:w w:val="100"/>
        </w:rPr>
        <w:t> </w:t>
      </w:r>
      <w:r>
        <w:rPr>
          <w:rFonts w:ascii="宋体" w:hAnsi="宋体" w:cs="宋体" w:eastAsia="宋体" w:hint="default"/>
        </w:rPr>
        <w:t>3</w:t>
      </w:r>
      <w:r>
        <w:rPr>
          <w:rFonts w:ascii="宋体" w:hAnsi="宋体" w:cs="宋体" w:eastAsia="宋体" w:hint="default"/>
          <w:spacing w:val="-53"/>
        </w:rPr>
        <w:t> </w:t>
      </w:r>
      <w:r>
        <w:rPr/>
        <w:t>月、</w:t>
      </w:r>
      <w:r>
        <w:rPr>
          <w:rFonts w:ascii="宋体" w:hAnsi="宋体" w:cs="宋体" w:eastAsia="宋体" w:hint="default"/>
        </w:rPr>
        <w:t>6</w:t>
      </w:r>
      <w:r>
        <w:rPr>
          <w:rFonts w:ascii="宋体" w:hAnsi="宋体" w:cs="宋体" w:eastAsia="宋体" w:hint="default"/>
          <w:spacing w:val="-53"/>
        </w:rPr>
        <w:t> </w:t>
      </w:r>
      <w:r>
        <w:rPr/>
        <w:t>月支付相关股权转让及增资款，网络技术于</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日办妥工商变更手续。</w:t>
      </w:r>
    </w:p>
    <w:p>
      <w:pPr>
        <w:pStyle w:val="BodyText"/>
        <w:spacing w:line="240" w:lineRule="auto" w:before="30"/>
        <w:ind w:left="558" w:right="108"/>
        <w:jc w:val="left"/>
      </w:pPr>
      <w:r>
        <w:rPr>
          <w:rFonts w:ascii="宋体" w:hAnsi="宋体" w:cs="宋体" w:eastAsia="宋体" w:hint="default"/>
          <w:w w:val="100"/>
        </w:rPr>
        <w:t>9)</w:t>
      </w:r>
      <w:r>
        <w:rPr>
          <w:rFonts w:ascii="宋体" w:hAnsi="宋体" w:cs="宋体" w:eastAsia="宋体" w:hint="default"/>
        </w:rPr>
        <w:t> </w:t>
      </w:r>
      <w:r>
        <w:rPr>
          <w:spacing w:val="-3"/>
          <w:w w:val="100"/>
        </w:rPr>
        <w:t>根</w:t>
      </w:r>
      <w:r>
        <w:rPr>
          <w:w w:val="100"/>
        </w:rPr>
        <w:t>据</w:t>
      </w:r>
      <w:r>
        <w:rPr>
          <w:spacing w:val="-3"/>
          <w:w w:val="100"/>
        </w:rPr>
        <w:t>公</w:t>
      </w:r>
      <w:r>
        <w:rPr>
          <w:w w:val="100"/>
        </w:rPr>
        <w:t>司</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15</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2</w:t>
      </w:r>
      <w:r>
        <w:rPr>
          <w:rFonts w:ascii="宋体" w:hAnsi="宋体" w:cs="宋体" w:eastAsia="宋体" w:hint="default"/>
          <w:spacing w:val="-55"/>
        </w:rPr>
        <w:t> </w:t>
      </w:r>
      <w:r>
        <w:rPr>
          <w:w w:val="100"/>
        </w:rPr>
        <w:t>月</w:t>
      </w:r>
      <w:r>
        <w:rPr>
          <w:spacing w:val="-55"/>
        </w:rPr>
        <w:t> </w:t>
      </w:r>
      <w:r>
        <w:rPr>
          <w:rFonts w:ascii="宋体" w:hAnsi="宋体" w:cs="宋体" w:eastAsia="宋体" w:hint="default"/>
          <w:w w:val="100"/>
        </w:rPr>
        <w:t>12</w:t>
      </w:r>
      <w:r>
        <w:rPr>
          <w:rFonts w:ascii="宋体" w:hAnsi="宋体" w:cs="宋体" w:eastAsia="宋体" w:hint="default"/>
          <w:spacing w:val="-53"/>
        </w:rPr>
        <w:t> </w:t>
      </w:r>
      <w:r>
        <w:rPr>
          <w:spacing w:val="-3"/>
          <w:w w:val="100"/>
        </w:rPr>
        <w:t>日</w:t>
      </w:r>
      <w:r>
        <w:rPr>
          <w:w w:val="100"/>
        </w:rPr>
        <w:t>五</w:t>
      </w:r>
      <w:r>
        <w:rPr>
          <w:spacing w:val="-3"/>
          <w:w w:val="100"/>
        </w:rPr>
        <w:t>届</w:t>
      </w:r>
      <w:r>
        <w:rPr>
          <w:w w:val="100"/>
        </w:rPr>
        <w:t>二</w:t>
      </w:r>
      <w:r>
        <w:rPr>
          <w:spacing w:val="-3"/>
          <w:w w:val="100"/>
        </w:rPr>
        <w:t>十</w:t>
      </w:r>
      <w:r>
        <w:rPr>
          <w:w w:val="100"/>
        </w:rPr>
        <w:t>一</w:t>
      </w:r>
      <w:r>
        <w:rPr>
          <w:spacing w:val="-3"/>
          <w:w w:val="100"/>
        </w:rPr>
        <w:t>次</w:t>
      </w:r>
      <w:r>
        <w:rPr>
          <w:w w:val="100"/>
        </w:rPr>
        <w:t>董</w:t>
      </w:r>
      <w:r>
        <w:rPr>
          <w:spacing w:val="-3"/>
          <w:w w:val="100"/>
        </w:rPr>
        <w:t>事会</w:t>
      </w:r>
      <w:r>
        <w:rPr>
          <w:w w:val="100"/>
        </w:rPr>
        <w:t>决</w:t>
      </w:r>
      <w:r>
        <w:rPr>
          <w:spacing w:val="-3"/>
          <w:w w:val="100"/>
        </w:rPr>
        <w:t>议</w:t>
      </w:r>
      <w:r>
        <w:rPr>
          <w:spacing w:val="-92"/>
          <w:w w:val="100"/>
        </w:rPr>
        <w:t>，</w:t>
      </w:r>
      <w:r>
        <w:rPr>
          <w:spacing w:val="-3"/>
          <w:w w:val="100"/>
        </w:rPr>
        <w:t>公</w:t>
      </w:r>
      <w:r>
        <w:rPr>
          <w:w w:val="100"/>
        </w:rPr>
        <w:t>司</w:t>
      </w:r>
      <w:r>
        <w:rPr>
          <w:spacing w:val="-3"/>
          <w:w w:val="100"/>
        </w:rPr>
        <w:t>拟</w:t>
      </w:r>
      <w:r>
        <w:rPr>
          <w:w w:val="100"/>
        </w:rPr>
        <w:t>与</w:t>
      </w:r>
      <w:r>
        <w:rPr>
          <w:spacing w:val="-3"/>
          <w:w w:val="100"/>
        </w:rPr>
        <w:t>云</w:t>
      </w:r>
      <w:r>
        <w:rPr>
          <w:w w:val="100"/>
        </w:rPr>
        <w:t>汉</w:t>
      </w:r>
      <w:r>
        <w:rPr>
          <w:spacing w:val="-3"/>
          <w:w w:val="100"/>
        </w:rPr>
        <w:t>投</w:t>
      </w:r>
      <w:r>
        <w:rPr>
          <w:w w:val="100"/>
        </w:rPr>
        <w:t>资</w:t>
      </w:r>
      <w:r>
        <w:rPr>
          <w:spacing w:val="-3"/>
          <w:w w:val="100"/>
        </w:rPr>
        <w:t>对</w:t>
      </w:r>
      <w:r>
        <w:rPr>
          <w:w w:val="100"/>
        </w:rPr>
        <w:t>香港</w:t>
      </w:r>
      <w:r>
        <w:rPr>
          <w:spacing w:val="-3"/>
          <w:w w:val="100"/>
        </w:rPr>
        <w:t>恒</w:t>
      </w:r>
      <w:r>
        <w:rPr>
          <w:w w:val="100"/>
        </w:rPr>
        <w:t>生</w:t>
      </w:r>
      <w:r>
        <w:rPr>
          <w:spacing w:val="-3"/>
          <w:w w:val="100"/>
        </w:rPr>
        <w:t>增</w:t>
      </w:r>
      <w:r>
        <w:rPr>
          <w:w w:val="100"/>
        </w:rPr>
        <w:t>资</w:t>
      </w:r>
    </w:p>
    <w:p>
      <w:pPr>
        <w:pStyle w:val="BodyText"/>
        <w:spacing w:line="240" w:lineRule="auto" w:before="133"/>
        <w:ind w:left="138" w:right="108"/>
        <w:jc w:val="left"/>
      </w:pPr>
      <w:r>
        <w:rPr>
          <w:rFonts w:ascii="宋体" w:hAnsi="宋体" w:cs="宋体" w:eastAsia="宋体" w:hint="default"/>
        </w:rPr>
        <w:t>3,500.00</w:t>
      </w:r>
      <w:r>
        <w:rPr>
          <w:rFonts w:ascii="宋体" w:hAnsi="宋体" w:cs="宋体" w:eastAsia="宋体" w:hint="default"/>
          <w:spacing w:val="-58"/>
        </w:rPr>
        <w:t> </w:t>
      </w:r>
      <w:r>
        <w:rPr/>
        <w:t>万港币。增资完成后，本公司出资</w:t>
      </w:r>
      <w:r>
        <w:rPr>
          <w:spacing w:val="-56"/>
        </w:rPr>
        <w:t> </w:t>
      </w:r>
      <w:r>
        <w:rPr>
          <w:rFonts w:ascii="宋体" w:hAnsi="宋体" w:cs="宋体" w:eastAsia="宋体" w:hint="default"/>
        </w:rPr>
        <w:t>3,800.00</w:t>
      </w:r>
      <w:r>
        <w:rPr>
          <w:rFonts w:ascii="宋体" w:hAnsi="宋体" w:cs="宋体" w:eastAsia="宋体" w:hint="default"/>
          <w:spacing w:val="-56"/>
        </w:rPr>
        <w:t> </w:t>
      </w:r>
      <w:r>
        <w:rPr/>
        <w:t>万港币</w:t>
      </w:r>
      <w:r>
        <w:rPr>
          <w:rFonts w:ascii="宋体" w:hAnsi="宋体" w:cs="宋体" w:eastAsia="宋体" w:hint="default"/>
        </w:rPr>
        <w:t>,</w:t>
      </w:r>
      <w:r>
        <w:rPr/>
        <w:t>持有香港恒生</w:t>
      </w:r>
      <w:r>
        <w:rPr>
          <w:spacing w:val="-58"/>
        </w:rPr>
        <w:t> </w:t>
      </w:r>
      <w:r>
        <w:rPr>
          <w:rFonts w:ascii="宋体" w:hAnsi="宋体" w:cs="宋体" w:eastAsia="宋体" w:hint="default"/>
        </w:rPr>
        <w:t>76%</w:t>
      </w:r>
      <w:r>
        <w:rPr/>
        <w:t>股权；云汉投资</w:t>
      </w:r>
    </w:p>
    <w:p>
      <w:pPr>
        <w:pStyle w:val="BodyText"/>
        <w:spacing w:line="357" w:lineRule="auto" w:before="133"/>
        <w:ind w:left="138" w:right="221"/>
        <w:jc w:val="left"/>
      </w:pPr>
      <w:r>
        <w:rPr/>
        <w:t>出资</w:t>
      </w:r>
      <w:r>
        <w:rPr>
          <w:spacing w:val="-53"/>
        </w:rPr>
        <w:t> </w:t>
      </w:r>
      <w:r>
        <w:rPr>
          <w:rFonts w:ascii="宋体" w:hAnsi="宋体" w:cs="宋体" w:eastAsia="宋体" w:hint="default"/>
        </w:rPr>
        <w:t>600.00</w:t>
      </w:r>
      <w:r>
        <w:rPr>
          <w:rFonts w:ascii="宋体" w:hAnsi="宋体" w:cs="宋体" w:eastAsia="宋体" w:hint="default"/>
          <w:spacing w:val="-53"/>
        </w:rPr>
        <w:t> </w:t>
      </w:r>
      <w:r>
        <w:rPr/>
        <w:t>万港币，持有香港恒生</w:t>
      </w:r>
      <w:r>
        <w:rPr>
          <w:spacing w:val="-52"/>
        </w:rPr>
        <w:t> </w:t>
      </w:r>
      <w:r>
        <w:rPr>
          <w:rFonts w:ascii="宋体" w:hAnsi="宋体" w:cs="宋体" w:eastAsia="宋体" w:hint="default"/>
        </w:rPr>
        <w:t>12%</w:t>
      </w:r>
      <w:r>
        <w:rPr/>
        <w:t>股权。本公司及云汉投资于</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4"/>
        </w:rPr>
        <w:t> </w:t>
      </w:r>
      <w:r>
        <w:rPr/>
        <w:t>月、</w:t>
      </w:r>
      <w:r>
        <w:rPr>
          <w:rFonts w:ascii="宋体" w:hAnsi="宋体" w:cs="宋体" w:eastAsia="宋体" w:hint="default"/>
        </w:rPr>
        <w:t>7</w:t>
      </w:r>
      <w:r>
        <w:rPr>
          <w:rFonts w:ascii="宋体" w:hAnsi="宋体" w:cs="宋体" w:eastAsia="宋体" w:hint="default"/>
          <w:spacing w:val="-55"/>
        </w:rPr>
        <w:t> </w:t>
      </w:r>
      <w:r>
        <w:rPr/>
        <w:t>月及</w:t>
      </w:r>
      <w:r>
        <w:rPr>
          <w:spacing w:val="-55"/>
        </w:rPr>
        <w:t> </w:t>
      </w:r>
      <w:r>
        <w:rPr>
          <w:rFonts w:ascii="宋体" w:hAnsi="宋体" w:cs="宋体" w:eastAsia="宋体" w:hint="default"/>
        </w:rPr>
        <w:t>12</w:t>
      </w:r>
      <w:r>
        <w:rPr>
          <w:rFonts w:ascii="宋体" w:hAnsi="宋体" w:cs="宋体" w:eastAsia="宋体" w:hint="default"/>
          <w:spacing w:val="-55"/>
        </w:rPr>
        <w:t> </w:t>
      </w:r>
      <w:r>
        <w:rPr/>
        <w:t>月支</w:t>
      </w:r>
      <w:r>
        <w:rPr>
          <w:w w:val="100"/>
        </w:rPr>
        <w:t> </w:t>
      </w:r>
      <w:r>
        <w:rPr/>
        <w:t>付增资款。</w:t>
      </w:r>
    </w:p>
    <w:p>
      <w:pPr>
        <w:pStyle w:val="BodyText"/>
        <w:spacing w:line="240" w:lineRule="auto" w:before="30"/>
        <w:ind w:left="558" w:right="108"/>
        <w:jc w:val="left"/>
      </w:pPr>
      <w:r>
        <w:rPr>
          <w:rFonts w:ascii="宋体" w:hAnsi="宋体" w:cs="宋体" w:eastAsia="宋体" w:hint="default"/>
          <w:w w:val="100"/>
        </w:rPr>
        <w:t>10)</w:t>
      </w:r>
      <w:r>
        <w:rPr>
          <w:rFonts w:ascii="宋体" w:hAnsi="宋体" w:cs="宋体" w:eastAsia="宋体" w:hint="default"/>
        </w:rPr>
        <w:t> </w:t>
      </w:r>
      <w:r>
        <w:rPr>
          <w:spacing w:val="-3"/>
          <w:w w:val="100"/>
        </w:rPr>
        <w:t>根</w:t>
      </w:r>
      <w:r>
        <w:rPr>
          <w:w w:val="100"/>
        </w:rPr>
        <w:t>据</w:t>
      </w:r>
      <w:r>
        <w:rPr>
          <w:spacing w:val="-3"/>
          <w:w w:val="100"/>
        </w:rPr>
        <w:t>公</w:t>
      </w:r>
      <w:r>
        <w:rPr>
          <w:w w:val="100"/>
        </w:rPr>
        <w:t>司</w:t>
      </w:r>
      <w:r>
        <w:rPr>
          <w:spacing w:val="-53"/>
        </w:rPr>
        <w:t> </w:t>
      </w:r>
      <w:r>
        <w:rPr>
          <w:rFonts w:ascii="宋体" w:hAnsi="宋体" w:cs="宋体" w:eastAsia="宋体" w:hint="default"/>
          <w:spacing w:val="-3"/>
          <w:w w:val="100"/>
        </w:rPr>
        <w:t>2</w:t>
      </w:r>
      <w:r>
        <w:rPr>
          <w:rFonts w:ascii="宋体" w:hAnsi="宋体" w:cs="宋体" w:eastAsia="宋体" w:hint="default"/>
          <w:w w:val="100"/>
        </w:rPr>
        <w:t>015</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10</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22</w:t>
      </w:r>
      <w:r>
        <w:rPr>
          <w:rFonts w:ascii="宋体" w:hAnsi="宋体" w:cs="宋体" w:eastAsia="宋体" w:hint="default"/>
          <w:spacing w:val="-55"/>
        </w:rPr>
        <w:t> </w:t>
      </w:r>
      <w:r>
        <w:rPr>
          <w:w w:val="100"/>
        </w:rPr>
        <w:t>日</w:t>
      </w:r>
      <w:r>
        <w:rPr>
          <w:spacing w:val="-3"/>
          <w:w w:val="100"/>
        </w:rPr>
        <w:t>五</w:t>
      </w:r>
      <w:r>
        <w:rPr>
          <w:w w:val="100"/>
        </w:rPr>
        <w:t>届</w:t>
      </w:r>
      <w:r>
        <w:rPr>
          <w:spacing w:val="-3"/>
          <w:w w:val="100"/>
        </w:rPr>
        <w:t>二</w:t>
      </w:r>
      <w:r>
        <w:rPr>
          <w:w w:val="100"/>
        </w:rPr>
        <w:t>十</w:t>
      </w:r>
      <w:r>
        <w:rPr>
          <w:spacing w:val="-3"/>
          <w:w w:val="100"/>
        </w:rPr>
        <w:t>八</w:t>
      </w:r>
      <w:r>
        <w:rPr>
          <w:w w:val="100"/>
        </w:rPr>
        <w:t>次</w:t>
      </w:r>
      <w:r>
        <w:rPr>
          <w:spacing w:val="-3"/>
          <w:w w:val="100"/>
        </w:rPr>
        <w:t>董事</w:t>
      </w:r>
      <w:r>
        <w:rPr>
          <w:w w:val="100"/>
        </w:rPr>
        <w:t>会决</w:t>
      </w:r>
      <w:r>
        <w:rPr>
          <w:spacing w:val="-3"/>
          <w:w w:val="100"/>
        </w:rPr>
        <w:t>议</w:t>
      </w:r>
      <w:r>
        <w:rPr>
          <w:spacing w:val="-94"/>
          <w:w w:val="100"/>
        </w:rPr>
        <w:t>，</w:t>
      </w:r>
      <w:r>
        <w:rPr>
          <w:w w:val="100"/>
        </w:rPr>
        <w:t>公</w:t>
      </w:r>
      <w:r>
        <w:rPr>
          <w:spacing w:val="-3"/>
          <w:w w:val="100"/>
        </w:rPr>
        <w:t>司</w:t>
      </w:r>
      <w:r>
        <w:rPr>
          <w:w w:val="100"/>
        </w:rPr>
        <w:t>拟</w:t>
      </w:r>
      <w:r>
        <w:rPr>
          <w:spacing w:val="-3"/>
          <w:w w:val="100"/>
        </w:rPr>
        <w:t>与</w:t>
      </w:r>
      <w:r>
        <w:rPr>
          <w:w w:val="100"/>
        </w:rPr>
        <w:t>云</w:t>
      </w:r>
      <w:r>
        <w:rPr>
          <w:spacing w:val="-3"/>
          <w:w w:val="100"/>
        </w:rPr>
        <w:t>汉</w:t>
      </w:r>
      <w:r>
        <w:rPr>
          <w:w w:val="100"/>
        </w:rPr>
        <w:t>投</w:t>
      </w:r>
      <w:r>
        <w:rPr>
          <w:spacing w:val="-3"/>
          <w:w w:val="100"/>
        </w:rPr>
        <w:t>资</w:t>
      </w:r>
      <w:r>
        <w:rPr>
          <w:w w:val="100"/>
        </w:rPr>
        <w:t>共同</w:t>
      </w:r>
      <w:r>
        <w:rPr>
          <w:spacing w:val="-3"/>
          <w:w w:val="100"/>
        </w:rPr>
        <w:t>投</w:t>
      </w:r>
      <w:r>
        <w:rPr>
          <w:w w:val="100"/>
        </w:rPr>
        <w:t>资</w:t>
      </w:r>
      <w:r>
        <w:rPr>
          <w:spacing w:val="-3"/>
          <w:w w:val="100"/>
        </w:rPr>
        <w:t>江</w:t>
      </w:r>
      <w:r>
        <w:rPr>
          <w:w w:val="100"/>
        </w:rPr>
        <w:t>西</w:t>
      </w:r>
    </w:p>
    <w:p>
      <w:pPr>
        <w:pStyle w:val="BodyText"/>
        <w:spacing w:line="240" w:lineRule="auto" w:before="133"/>
        <w:ind w:left="138" w:right="108"/>
        <w:jc w:val="left"/>
        <w:rPr>
          <w:rFonts w:ascii="宋体" w:hAnsi="宋体" w:cs="宋体" w:eastAsia="宋体" w:hint="default"/>
        </w:rPr>
      </w:pPr>
      <w:r>
        <w:rPr>
          <w:spacing w:val="-6"/>
        </w:rPr>
        <w:t>省联交运金融服务有限公司</w:t>
      </w:r>
      <w:r>
        <w:rPr>
          <w:rFonts w:ascii="宋体" w:hAnsi="宋体" w:cs="宋体" w:eastAsia="宋体" w:hint="default"/>
          <w:spacing w:val="-6"/>
        </w:rPr>
        <w:t>(</w:t>
      </w:r>
      <w:r>
        <w:rPr>
          <w:spacing w:val="-6"/>
        </w:rPr>
        <w:t>以下简称联交运</w:t>
      </w:r>
      <w:r>
        <w:rPr>
          <w:rFonts w:ascii="宋体" w:hAnsi="宋体" w:cs="宋体" w:eastAsia="宋体" w:hint="default"/>
          <w:spacing w:val="-6"/>
        </w:rPr>
        <w:t>)</w:t>
      </w:r>
      <w:r>
        <w:rPr>
          <w:spacing w:val="-6"/>
        </w:rPr>
        <w:t>。投资完成后，本公司出</w:t>
      </w:r>
      <w:r>
        <w:rPr>
          <w:spacing w:val="-41"/>
        </w:rPr>
        <w:t> </w:t>
      </w:r>
      <w:r>
        <w:rPr>
          <w:rFonts w:ascii="宋体" w:hAnsi="宋体" w:cs="宋体" w:eastAsia="宋体" w:hint="default"/>
        </w:rPr>
        <w:t>90</w:t>
      </w:r>
      <w:r>
        <w:rPr>
          <w:rFonts w:ascii="宋体" w:hAnsi="宋体" w:cs="宋体" w:eastAsia="宋体" w:hint="default"/>
          <w:spacing w:val="-41"/>
        </w:rPr>
        <w:t> </w:t>
      </w:r>
      <w:r>
        <w:rPr/>
        <w:t>万元</w:t>
      </w:r>
      <w:r>
        <w:rPr>
          <w:rFonts w:ascii="宋体" w:hAnsi="宋体" w:cs="宋体" w:eastAsia="宋体" w:hint="default"/>
        </w:rPr>
        <w:t>,</w:t>
      </w:r>
      <w:r>
        <w:rPr/>
        <w:t>持有联交运</w:t>
      </w:r>
      <w:r>
        <w:rPr>
          <w:spacing w:val="-41"/>
        </w:rPr>
        <w:t> </w:t>
      </w:r>
      <w:r>
        <w:rPr>
          <w:rFonts w:ascii="宋体" w:hAnsi="宋体" w:cs="宋体" w:eastAsia="宋体" w:hint="default"/>
        </w:rPr>
        <w:t>9.00%</w:t>
      </w:r>
    </w:p>
    <w:p>
      <w:pPr>
        <w:pStyle w:val="BodyText"/>
        <w:spacing w:line="240" w:lineRule="auto" w:before="133"/>
        <w:ind w:left="138" w:right="108"/>
        <w:jc w:val="left"/>
      </w:pPr>
      <w:r>
        <w:rPr/>
        <w:t>股权；云汉投资出资</w:t>
      </w:r>
      <w:r>
        <w:rPr>
          <w:spacing w:val="-54"/>
        </w:rPr>
        <w:t> </w:t>
      </w:r>
      <w:r>
        <w:rPr>
          <w:rFonts w:ascii="宋体" w:hAnsi="宋体" w:cs="宋体" w:eastAsia="宋体" w:hint="default"/>
        </w:rPr>
        <w:t>60.00</w:t>
      </w:r>
      <w:r>
        <w:rPr>
          <w:rFonts w:ascii="宋体" w:hAnsi="宋体" w:cs="宋体" w:eastAsia="宋体" w:hint="default"/>
          <w:spacing w:val="-53"/>
        </w:rPr>
        <w:t> </w:t>
      </w:r>
      <w:r>
        <w:rPr/>
        <w:t>万元，持有联交运</w:t>
      </w:r>
      <w:r>
        <w:rPr>
          <w:spacing w:val="-56"/>
        </w:rPr>
        <w:t> </w:t>
      </w:r>
      <w:r>
        <w:rPr>
          <w:rFonts w:ascii="宋体" w:hAnsi="宋体" w:cs="宋体" w:eastAsia="宋体" w:hint="default"/>
        </w:rPr>
        <w:t>6.00%</w:t>
      </w:r>
      <w:r>
        <w:rPr/>
        <w:t>股权。本公司及云汉投资于</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spacing w:val="-3"/>
        </w:rPr>
        <w:t>月支</w:t>
      </w:r>
      <w:r>
        <w:rPr/>
      </w:r>
    </w:p>
    <w:p>
      <w:pPr>
        <w:pStyle w:val="BodyText"/>
        <w:spacing w:line="240" w:lineRule="auto" w:before="135"/>
        <w:ind w:left="138" w:right="108"/>
        <w:jc w:val="left"/>
      </w:pPr>
      <w:r>
        <w:rPr/>
        <w:t>付增资款，联交运于</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w:t>
      </w:r>
      <w:r>
        <w:rPr>
          <w:rFonts w:ascii="宋体" w:hAnsi="宋体" w:cs="宋体" w:eastAsia="宋体" w:hint="default"/>
          <w:spacing w:val="-55"/>
        </w:rPr>
        <w:t> </w:t>
      </w:r>
      <w:r>
        <w:rPr/>
        <w:t>日办妥工商变更手续。</w:t>
      </w:r>
    </w:p>
    <w:p>
      <w:pPr>
        <w:spacing w:after="0" w:line="240" w:lineRule="auto"/>
        <w:jc w:val="left"/>
        <w:sectPr>
          <w:footerReference w:type="default" r:id="rId51"/>
          <w:pgSz w:w="11910" w:h="16840"/>
          <w:pgMar w:footer="1195" w:header="882" w:top="1120" w:bottom="1380" w:left="1660" w:right="1060"/>
          <w:pgNumType w:start="140"/>
        </w:sectPr>
      </w:pPr>
    </w:p>
    <w:p>
      <w:pPr>
        <w:spacing w:line="240" w:lineRule="auto" w:before="1"/>
        <w:rPr>
          <w:rFonts w:ascii="宋体" w:hAnsi="宋体" w:cs="宋体" w:eastAsia="宋体" w:hint="default"/>
          <w:sz w:val="25"/>
          <w:szCs w:val="25"/>
        </w:rPr>
      </w:pPr>
    </w:p>
    <w:p>
      <w:pPr>
        <w:pStyle w:val="BodyText"/>
        <w:spacing w:line="357" w:lineRule="auto" w:before="36"/>
        <w:ind w:left="138" w:right="157" w:firstLine="419"/>
        <w:jc w:val="both"/>
      </w:pPr>
      <w:r>
        <w:rPr>
          <w:rFonts w:ascii="宋体" w:hAnsi="宋体" w:cs="宋体" w:eastAsia="宋体" w:hint="default"/>
        </w:rPr>
        <w:t>11) </w:t>
      </w:r>
      <w:r>
        <w:rPr/>
        <w:t>根据公司</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4</w:t>
      </w:r>
      <w:r>
        <w:rPr>
          <w:rFonts w:ascii="宋体" w:hAnsi="宋体" w:cs="宋体" w:eastAsia="宋体" w:hint="default"/>
          <w:spacing w:val="-53"/>
        </w:rPr>
        <w:t> </w:t>
      </w:r>
      <w:r>
        <w:rPr/>
        <w:t>日五届二十九次董事会决议，公司拟与云汉投资共同投资杭州</w:t>
      </w:r>
      <w:r>
        <w:rPr>
          <w:w w:val="100"/>
        </w:rPr>
        <w:t> </w:t>
      </w:r>
      <w:r>
        <w:rPr>
          <w:spacing w:val="-2"/>
        </w:rPr>
        <w:t>云永网络科技有限公司、杭州云赢网络科技有限公司、杭州云纪网络科技有限公司、杭州证投网</w:t>
      </w:r>
      <w:r>
        <w:rPr>
          <w:spacing w:val="-25"/>
        </w:rPr>
        <w:t> </w:t>
      </w:r>
      <w:r>
        <w:rPr>
          <w:spacing w:val="-25"/>
        </w:rPr>
      </w:r>
      <w:r>
        <w:rPr/>
        <w:t>络科技有限公司、杭州云毅网络科技有限公司、杭州云英网络科技有限公司。截至</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p>
    <w:p>
      <w:pPr>
        <w:pStyle w:val="BodyText"/>
        <w:spacing w:line="240" w:lineRule="auto" w:before="30"/>
        <w:ind w:left="138" w:right="145"/>
        <w:jc w:val="left"/>
      </w:pPr>
      <w:r>
        <w:rPr>
          <w:rFonts w:ascii="宋体" w:hAnsi="宋体" w:cs="宋体" w:eastAsia="宋体" w:hint="default"/>
        </w:rPr>
        <w:t>31</w:t>
      </w:r>
      <w:r>
        <w:rPr>
          <w:rFonts w:ascii="宋体" w:hAnsi="宋体" w:cs="宋体" w:eastAsia="宋体" w:hint="default"/>
          <w:spacing w:val="9"/>
        </w:rPr>
        <w:t> </w:t>
      </w:r>
      <w:r>
        <w:rPr>
          <w:spacing w:val="-2"/>
        </w:rPr>
        <w:t>日，公司及云汉投资尚未支付投资款，上述公司均已办妥工商设立登记手续。</w:t>
      </w:r>
    </w:p>
    <w:p>
      <w:pPr>
        <w:pStyle w:val="BodyText"/>
        <w:spacing w:line="240" w:lineRule="auto" w:before="133"/>
        <w:ind w:left="558" w:right="145"/>
        <w:jc w:val="left"/>
      </w:pPr>
      <w:r>
        <w:rPr>
          <w:rFonts w:ascii="宋体" w:hAnsi="宋体" w:cs="宋体" w:eastAsia="宋体" w:hint="default"/>
        </w:rPr>
        <w:t>12)</w:t>
      </w:r>
      <w:r>
        <w:rPr>
          <w:rFonts w:ascii="宋体" w:hAnsi="宋体" w:cs="宋体" w:eastAsia="宋体" w:hint="default"/>
          <w:spacing w:val="-3"/>
        </w:rPr>
        <w:t> </w:t>
      </w:r>
      <w:r>
        <w:rPr/>
        <w:t>其他关联方交易详见本财务报表附注重要承诺事项之说明。</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120"/>
        </w:sectPr>
      </w:pPr>
    </w:p>
    <w:p>
      <w:pPr>
        <w:spacing w:line="240" w:lineRule="auto" w:before="9"/>
        <w:rPr>
          <w:rFonts w:ascii="宋体" w:hAnsi="宋体" w:cs="宋体" w:eastAsia="宋体" w:hint="default"/>
          <w:sz w:val="15"/>
          <w:szCs w:val="15"/>
        </w:rPr>
      </w:pPr>
    </w:p>
    <w:p>
      <w:pPr>
        <w:pStyle w:val="Heading4"/>
        <w:spacing w:line="240" w:lineRule="auto" w:before="0"/>
        <w:ind w:left="138" w:right="-20"/>
        <w:jc w:val="left"/>
        <w:rPr>
          <w:b w:val="0"/>
          <w:bCs w:val="0"/>
        </w:rPr>
      </w:pPr>
      <w:r>
        <w:rPr>
          <w:rFonts w:ascii="宋体" w:hAnsi="宋体" w:cs="宋体" w:eastAsia="宋体" w:hint="default"/>
        </w:rPr>
        <w:t>6</w:t>
      </w:r>
      <w:r>
        <w:rPr/>
        <w:t>、</w:t>
      </w:r>
      <w:r>
        <w:rPr>
          <w:spacing w:val="5"/>
        </w:rPr>
        <w:t> </w:t>
      </w:r>
      <w:r>
        <w:rPr/>
        <w:t>关联方应收应付款项</w:t>
      </w:r>
      <w:r>
        <w:rPr>
          <w:b w:val="0"/>
          <w:bCs w:val="0"/>
        </w:rPr>
      </w:r>
    </w:p>
    <w:p>
      <w:pPr>
        <w:spacing w:line="290" w:lineRule="auto" w:before="56"/>
        <w:ind w:left="138" w:right="7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88"/>
          <w:sz w:val="21"/>
          <w:szCs w:val="21"/>
        </w:rPr>
        <w:t> </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084" w:val="left" w:leader="none"/>
        </w:tabs>
        <w:spacing w:line="240" w:lineRule="auto" w:before="155"/>
        <w:ind w:left="1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2464" w:space="4269"/>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298"/>
        <w:gridCol w:w="1551"/>
        <w:gridCol w:w="1358"/>
        <w:gridCol w:w="1354"/>
        <w:gridCol w:w="1481"/>
        <w:gridCol w:w="1853"/>
      </w:tblGrid>
      <w:tr>
        <w:trPr>
          <w:trHeight w:val="283" w:hRule="exact"/>
        </w:trPr>
        <w:tc>
          <w:tcPr>
            <w:tcW w:w="1298" w:type="dxa"/>
            <w:vMerge w:val="restart"/>
            <w:tcBorders>
              <w:top w:val="single" w:sz="4" w:space="0" w:color="000000"/>
              <w:left w:val="single" w:sz="4" w:space="0" w:color="000000"/>
              <w:right w:val="single" w:sz="4" w:space="0" w:color="000000"/>
            </w:tcBorders>
          </w:tcPr>
          <w:p>
            <w:pPr>
              <w:pStyle w:val="TableParagraph"/>
              <w:spacing w:line="240" w:lineRule="auto" w:before="107"/>
              <w:ind w:left="22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51" w:type="dxa"/>
            <w:vMerge w:val="restart"/>
            <w:tcBorders>
              <w:top w:val="single" w:sz="4" w:space="0" w:color="000000"/>
              <w:left w:val="single" w:sz="4" w:space="0" w:color="000000"/>
              <w:right w:val="single" w:sz="4" w:space="0" w:color="000000"/>
            </w:tcBorders>
          </w:tcPr>
          <w:p>
            <w:pPr>
              <w:pStyle w:val="TableParagraph"/>
              <w:spacing w:line="240" w:lineRule="auto" w:before="107"/>
              <w:ind w:left="45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298" w:type="dxa"/>
            <w:vMerge/>
            <w:tcBorders>
              <w:left w:val="single" w:sz="4" w:space="0" w:color="000000"/>
              <w:bottom w:val="single" w:sz="4" w:space="0" w:color="000000"/>
              <w:right w:val="single" w:sz="4" w:space="0" w:color="000000"/>
            </w:tcBorders>
          </w:tcPr>
          <w:p>
            <w:pPr/>
          </w:p>
        </w:tc>
        <w:tc>
          <w:tcPr>
            <w:tcW w:w="1551" w:type="dxa"/>
            <w:vMerge/>
            <w:tcBorders>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数米基金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359,676.91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17,983.85</w:t>
            </w:r>
          </w:p>
        </w:tc>
        <w:tc>
          <w:tcPr>
            <w:tcW w:w="148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120,600.00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6,030.00</w:t>
            </w:r>
          </w:p>
        </w:tc>
        <w:tc>
          <w:tcPr>
            <w:tcW w:w="148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恒生百川</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13,100.00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13,100.00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13,100.00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13,100.00</w:t>
            </w:r>
          </w:p>
        </w:tc>
      </w:tr>
      <w:tr>
        <w:trPr>
          <w:trHeight w:val="283"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阿里云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4,097,945.75</w:t>
            </w:r>
          </w:p>
        </w:tc>
        <w:tc>
          <w:tcPr>
            <w:tcW w:w="135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2,137,470.14</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9,116.49</w:t>
            </w:r>
          </w:p>
        </w:tc>
        <w:tc>
          <w:tcPr>
            <w:tcW w:w="135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集分宝南京</w:t>
            </w:r>
          </w:p>
        </w:tc>
        <w:tc>
          <w:tcPr>
            <w:tcW w:w="135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165,660.23</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51"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4,600,439.15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37,113.85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2,316,230.37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13,100.00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138" w:right="145"/>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946" w:val="left" w:leader="none"/>
        </w:tabs>
        <w:spacing w:line="240" w:lineRule="auto" w:before="56"/>
        <w:ind w:left="0" w:right="15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b/>
                <w:bCs/>
                <w:sz w:val="21"/>
                <w:szCs w:val="21"/>
              </w:rPr>
              <w:t>期末账面余额</w:t>
            </w:r>
            <w:r>
              <w:rPr>
                <w:rFonts w:ascii="宋体" w:hAnsi="宋体" w:cs="宋体" w:eastAsia="宋体" w:hint="default"/>
                <w:sz w:val="21"/>
                <w:szCs w:val="21"/>
              </w:rPr>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b/>
                <w:bCs/>
                <w:sz w:val="21"/>
                <w:szCs w:val="21"/>
              </w:rPr>
              <w:t>期初账面余额</w:t>
            </w:r>
            <w:r>
              <w:rPr>
                <w:rFonts w:ascii="宋体" w:hAnsi="宋体" w:cs="宋体" w:eastAsia="宋体" w:hint="default"/>
                <w:sz w:val="21"/>
                <w:szCs w:val="21"/>
              </w:rPr>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蚂蚁金服</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2,222,490.00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数字设备</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117,291.60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167,111.60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2,445,715.60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上海招财宝</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70,007.58</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1,395,195.51</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83,253.10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2,423,034.70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4,078,030.29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spacing w:line="240" w:lineRule="auto"/>
        <w:ind w:left="138" w:right="145"/>
        <w:jc w:val="left"/>
        <w:rPr>
          <w:b w:val="0"/>
          <w:bCs w:val="0"/>
        </w:rPr>
      </w:pPr>
      <w:r>
        <w:rPr>
          <w:rFonts w:ascii="宋体" w:hAnsi="宋体" w:cs="宋体" w:eastAsia="宋体" w:hint="default"/>
        </w:rPr>
        <w:t>7</w:t>
      </w:r>
      <w:r>
        <w:rPr/>
        <w:t>、</w:t>
      </w:r>
      <w:r>
        <w:rPr>
          <w:spacing w:val="4"/>
        </w:rPr>
        <w:t> </w:t>
      </w:r>
      <w:r>
        <w:rPr/>
        <w:t>关联方承诺</w:t>
      </w:r>
      <w:r>
        <w:rPr>
          <w:b w:val="0"/>
          <w:bCs w:val="0"/>
        </w:rPr>
      </w:r>
    </w:p>
    <w:p>
      <w:pPr>
        <w:spacing w:line="240" w:lineRule="auto" w:before="3"/>
        <w:rPr>
          <w:rFonts w:ascii="宋体" w:hAnsi="宋体" w:cs="宋体" w:eastAsia="宋体" w:hint="default"/>
          <w:b/>
          <w:bCs/>
          <w:sz w:val="25"/>
          <w:szCs w:val="25"/>
        </w:rPr>
      </w:pPr>
    </w:p>
    <w:p>
      <w:pPr>
        <w:spacing w:line="20" w:lineRule="exact"/>
        <w:ind w:left="5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28"/>
          <w:szCs w:val="28"/>
        </w:rPr>
      </w:pPr>
    </w:p>
    <w:p>
      <w:pPr>
        <w:spacing w:before="36"/>
        <w:ind w:left="138" w:right="145"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2"/>
        <w:rPr>
          <w:rFonts w:ascii="宋体" w:hAnsi="宋体" w:cs="宋体" w:eastAsia="宋体" w:hint="default"/>
          <w:b/>
          <w:bCs/>
          <w:sz w:val="14"/>
          <w:szCs w:val="14"/>
        </w:rPr>
      </w:pPr>
    </w:p>
    <w:p>
      <w:pPr>
        <w:pStyle w:val="BodyText"/>
        <w:spacing w:line="240" w:lineRule="auto"/>
        <w:ind w:left="639" w:right="145"/>
        <w:jc w:val="left"/>
      </w:pPr>
      <w:r>
        <w:rPr/>
        <w:t>注</w:t>
      </w:r>
      <w:r>
        <w:rPr>
          <w:rFonts w:ascii="宋体" w:hAnsi="宋体" w:cs="宋体" w:eastAsia="宋体" w:hint="default"/>
        </w:rPr>
        <w:t>:</w:t>
      </w:r>
      <w:r>
        <w:rPr>
          <w:rFonts w:ascii="宋体" w:hAnsi="宋体" w:cs="宋体" w:eastAsia="宋体" w:hint="default"/>
          <w:spacing w:val="-1"/>
        </w:rPr>
        <w:t> </w:t>
      </w:r>
      <w:r>
        <w:rPr/>
        <w:t>恒生智能交易情况</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4-12</w:t>
      </w:r>
      <w:r>
        <w:rPr>
          <w:rFonts w:ascii="宋体" w:hAnsi="宋体" w:cs="宋体" w:eastAsia="宋体" w:hint="default"/>
          <w:spacing w:val="-56"/>
        </w:rPr>
        <w:t> </w:t>
      </w:r>
      <w:r>
        <w:rPr/>
        <w:t>月、数米基金交易情况</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7-12</w:t>
      </w:r>
      <w:r>
        <w:rPr>
          <w:rFonts w:ascii="宋体" w:hAnsi="宋体" w:cs="宋体" w:eastAsia="宋体" w:hint="default"/>
          <w:spacing w:val="-53"/>
        </w:rPr>
        <w:t> </w:t>
      </w:r>
      <w:r>
        <w:rPr>
          <w:spacing w:val="-3"/>
        </w:rPr>
        <w:t>月。</w:t>
      </w:r>
      <w:r>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tabs>
          <w:tab w:pos="977" w:val="left" w:leader="none"/>
        </w:tabs>
        <w:spacing w:line="240" w:lineRule="auto" w:before="0"/>
        <w:ind w:left="138" w:right="145"/>
        <w:jc w:val="left"/>
        <w:rPr>
          <w:b w:val="0"/>
          <w:bCs w:val="0"/>
        </w:rPr>
      </w:pPr>
      <w:r>
        <w:rPr/>
        <w:t>十三、</w:t>
        <w:tab/>
        <w:t>股份支付</w:t>
      </w:r>
      <w:r>
        <w:rPr>
          <w:b w:val="0"/>
          <w:bCs w:val="0"/>
        </w:rPr>
      </w:r>
    </w:p>
    <w:p>
      <w:pPr>
        <w:pStyle w:val="Heading4"/>
        <w:spacing w:line="240" w:lineRule="auto" w:before="58"/>
        <w:ind w:left="138" w:right="145"/>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left="138" w:right="145"/>
        <w:jc w:val="left"/>
      </w:pPr>
      <w:r>
        <w:rPr/>
        <w:t>□适用</w:t>
      </w:r>
      <w:r>
        <w:rPr>
          <w:spacing w:val="-1"/>
        </w:rPr>
        <w:t> </w:t>
      </w:r>
      <w:r>
        <w:rPr/>
        <w:t>√不适用</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Heading4"/>
        <w:spacing w:line="240" w:lineRule="auto"/>
        <w:ind w:left="138" w:right="3467"/>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left="138" w:right="346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138" w:right="3467"/>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left="138" w:right="346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138" w:right="3467"/>
        <w:jc w:val="left"/>
        <w:rPr>
          <w:b w:val="0"/>
          <w:bCs w:val="0"/>
        </w:rPr>
      </w:pPr>
      <w:r>
        <w:rPr>
          <w:rFonts w:ascii="宋体" w:hAnsi="宋体" w:cs="宋体" w:eastAsia="宋体" w:hint="default"/>
        </w:rPr>
        <w:t>4</w:t>
      </w:r>
      <w:r>
        <w:rPr/>
        <w:t>、 股份支付的修改、终止情况</w:t>
      </w:r>
      <w:r>
        <w:rPr>
          <w:b w:val="0"/>
          <w:bCs w:val="0"/>
        </w:rPr>
      </w:r>
    </w:p>
    <w:p>
      <w:pPr>
        <w:spacing w:line="240" w:lineRule="auto" w:before="4"/>
        <w:rPr>
          <w:rFonts w:ascii="宋体" w:hAnsi="宋体" w:cs="宋体" w:eastAsia="宋体" w:hint="default"/>
          <w:b/>
          <w:bCs/>
          <w:sz w:val="24"/>
          <w:szCs w:val="2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4"/>
        <w:spacing w:line="240" w:lineRule="auto"/>
        <w:ind w:left="138" w:right="3467"/>
        <w:jc w:val="left"/>
        <w:rPr>
          <w:b w:val="0"/>
          <w:bCs w:val="0"/>
        </w:rPr>
      </w:pPr>
      <w:r>
        <w:rPr>
          <w:rFonts w:ascii="宋体" w:hAnsi="宋体" w:cs="宋体" w:eastAsia="宋体" w:hint="default"/>
        </w:rPr>
        <w:t>5</w:t>
      </w:r>
      <w:r>
        <w:rPr/>
        <w:t>、</w:t>
      </w:r>
      <w:r>
        <w:rPr>
          <w:spacing w:val="2"/>
        </w:rPr>
        <w:t> </w:t>
      </w:r>
      <w:r>
        <w:rPr/>
        <w:t>其他</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tabs>
          <w:tab w:pos="977" w:val="left" w:leader="none"/>
        </w:tabs>
        <w:spacing w:line="290" w:lineRule="auto"/>
        <w:ind w:left="138" w:right="66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2"/>
        <w:ind w:left="138" w:right="3467"/>
        <w:jc w:val="left"/>
      </w:pPr>
      <w:r>
        <w:rPr/>
        <w:t>√适用</w:t>
      </w:r>
      <w:r>
        <w:rPr>
          <w:spacing w:val="-2"/>
        </w:rPr>
        <w:t> </w:t>
      </w:r>
      <w:r>
        <w:rPr/>
        <w:t>□不适用</w:t>
      </w:r>
      <w:r>
        <w:rPr>
          <w:w w:val="100"/>
        </w:rPr>
        <w:t> </w:t>
      </w:r>
      <w:r>
        <w:rPr>
          <w:spacing w:val="-2"/>
        </w:rPr>
        <w:t>资产负债表日存在的对外重要承诺、性质、金额</w:t>
      </w:r>
    </w:p>
    <w:p>
      <w:pPr>
        <w:pStyle w:val="BodyText"/>
        <w:spacing w:line="240" w:lineRule="auto" w:before="133"/>
        <w:ind w:left="558" w:right="0"/>
        <w:jc w:val="left"/>
      </w:pPr>
      <w:r>
        <w:rPr>
          <w:rFonts w:ascii="宋体" w:hAnsi="宋体" w:cs="宋体" w:eastAsia="宋体" w:hint="default"/>
          <w:w w:val="100"/>
        </w:rPr>
        <w:t>(1)</w:t>
      </w:r>
      <w:r>
        <w:rPr>
          <w:rFonts w:ascii="宋体" w:hAnsi="宋体" w:cs="宋体" w:eastAsia="宋体" w:hint="default"/>
        </w:rPr>
        <w:t> </w:t>
      </w:r>
      <w:r>
        <w:rPr>
          <w:spacing w:val="-3"/>
          <w:w w:val="100"/>
        </w:rPr>
        <w:t>根</w:t>
      </w:r>
      <w:r>
        <w:rPr>
          <w:w w:val="100"/>
        </w:rPr>
        <w:t>据</w:t>
      </w:r>
      <w:r>
        <w:rPr>
          <w:spacing w:val="-3"/>
          <w:w w:val="100"/>
        </w:rPr>
        <w:t>公</w:t>
      </w:r>
      <w:r>
        <w:rPr>
          <w:w w:val="100"/>
        </w:rPr>
        <w:t>司</w:t>
      </w:r>
      <w:r>
        <w:rPr>
          <w:spacing w:val="-53"/>
        </w:rPr>
        <w:t> </w:t>
      </w:r>
      <w:r>
        <w:rPr>
          <w:rFonts w:ascii="宋体" w:hAnsi="宋体" w:cs="宋体" w:eastAsia="宋体" w:hint="default"/>
          <w:spacing w:val="-3"/>
          <w:w w:val="100"/>
        </w:rPr>
        <w:t>2</w:t>
      </w:r>
      <w:r>
        <w:rPr>
          <w:rFonts w:ascii="宋体" w:hAnsi="宋体" w:cs="宋体" w:eastAsia="宋体" w:hint="default"/>
          <w:w w:val="100"/>
        </w:rPr>
        <w:t>012</w:t>
      </w:r>
      <w:r>
        <w:rPr>
          <w:rFonts w:ascii="宋体" w:hAnsi="宋体" w:cs="宋体" w:eastAsia="宋体" w:hint="default"/>
          <w:spacing w:val="-55"/>
        </w:rPr>
        <w:t> </w:t>
      </w:r>
      <w:r>
        <w:rPr>
          <w:w w:val="100"/>
        </w:rPr>
        <w:t>年</w:t>
      </w:r>
      <w:r>
        <w:rPr>
          <w:spacing w:val="-3"/>
          <w:w w:val="100"/>
        </w:rPr>
        <w:t>与苏</w:t>
      </w:r>
      <w:r>
        <w:rPr>
          <w:w w:val="100"/>
        </w:rPr>
        <w:t>州方</w:t>
      </w:r>
      <w:r>
        <w:rPr>
          <w:spacing w:val="-3"/>
          <w:w w:val="100"/>
        </w:rPr>
        <w:t>广</w:t>
      </w:r>
      <w:r>
        <w:rPr>
          <w:w w:val="100"/>
        </w:rPr>
        <w:t>创</w:t>
      </w:r>
      <w:r>
        <w:rPr>
          <w:spacing w:val="-3"/>
          <w:w w:val="100"/>
        </w:rPr>
        <w:t>业</w:t>
      </w:r>
      <w:r>
        <w:rPr>
          <w:w w:val="100"/>
        </w:rPr>
        <w:t>投</w:t>
      </w:r>
      <w:r>
        <w:rPr>
          <w:spacing w:val="-3"/>
          <w:w w:val="100"/>
        </w:rPr>
        <w:t>资</w:t>
      </w:r>
      <w:r>
        <w:rPr>
          <w:w w:val="100"/>
        </w:rPr>
        <w:t>合</w:t>
      </w:r>
      <w:r>
        <w:rPr>
          <w:spacing w:val="-3"/>
          <w:w w:val="100"/>
        </w:rPr>
        <w:t>伙</w:t>
      </w:r>
      <w:r>
        <w:rPr>
          <w:w w:val="100"/>
        </w:rPr>
        <w:t>企</w:t>
      </w:r>
      <w:r>
        <w:rPr>
          <w:spacing w:val="-3"/>
          <w:w w:val="100"/>
        </w:rPr>
        <w:t>业</w:t>
      </w:r>
      <w:r>
        <w:rPr>
          <w:rFonts w:ascii="宋体" w:hAnsi="宋体" w:cs="宋体" w:eastAsia="宋体" w:hint="default"/>
          <w:spacing w:val="-3"/>
          <w:w w:val="100"/>
        </w:rPr>
        <w:t>(</w:t>
      </w:r>
      <w:r>
        <w:rPr>
          <w:w w:val="100"/>
        </w:rPr>
        <w:t>有限</w:t>
      </w:r>
      <w:r>
        <w:rPr>
          <w:spacing w:val="-3"/>
          <w:w w:val="100"/>
        </w:rPr>
        <w:t>合</w:t>
      </w:r>
      <w:r>
        <w:rPr>
          <w:spacing w:val="-1"/>
          <w:w w:val="100"/>
        </w:rPr>
        <w:t>伙</w:t>
      </w:r>
      <w:r>
        <w:rPr>
          <w:rFonts w:ascii="宋体" w:hAnsi="宋体" w:cs="宋体" w:eastAsia="宋体" w:hint="default"/>
          <w:spacing w:val="-3"/>
          <w:w w:val="100"/>
        </w:rPr>
        <w:t>)</w:t>
      </w:r>
      <w:r>
        <w:rPr>
          <w:w w:val="100"/>
        </w:rPr>
        <w:t>签</w:t>
      </w:r>
      <w:r>
        <w:rPr>
          <w:spacing w:val="-3"/>
          <w:w w:val="100"/>
        </w:rPr>
        <w:t>订</w:t>
      </w:r>
      <w:r>
        <w:rPr>
          <w:w w:val="100"/>
        </w:rPr>
        <w:t>入</w:t>
      </w:r>
      <w:r>
        <w:rPr>
          <w:spacing w:val="-3"/>
          <w:w w:val="100"/>
        </w:rPr>
        <w:t>伙</w:t>
      </w:r>
      <w:r>
        <w:rPr>
          <w:w w:val="100"/>
        </w:rPr>
        <w:t>协</w:t>
      </w:r>
      <w:r>
        <w:rPr>
          <w:spacing w:val="-3"/>
          <w:w w:val="100"/>
        </w:rPr>
        <w:t>议</w:t>
      </w:r>
      <w:r>
        <w:rPr>
          <w:spacing w:val="-94"/>
          <w:w w:val="100"/>
        </w:rPr>
        <w:t>，</w:t>
      </w:r>
      <w:r>
        <w:rPr>
          <w:w w:val="100"/>
        </w:rPr>
        <w:t>承诺</w:t>
      </w:r>
      <w:r>
        <w:rPr>
          <w:spacing w:val="-3"/>
          <w:w w:val="100"/>
        </w:rPr>
        <w:t>认</w:t>
      </w:r>
      <w:r>
        <w:rPr>
          <w:w w:val="100"/>
        </w:rPr>
        <w:t>购</w:t>
      </w:r>
      <w:r>
        <w:rPr>
          <w:spacing w:val="-3"/>
          <w:w w:val="100"/>
        </w:rPr>
        <w:t>苏</w:t>
      </w:r>
      <w:r>
        <w:rPr>
          <w:w w:val="100"/>
        </w:rPr>
        <w:t>州</w:t>
      </w:r>
    </w:p>
    <w:p>
      <w:pPr>
        <w:pStyle w:val="BodyText"/>
        <w:spacing w:line="240" w:lineRule="auto" w:before="133"/>
        <w:ind w:left="138" w:right="0"/>
        <w:jc w:val="left"/>
      </w:pPr>
      <w:r>
        <w:rPr/>
        <w:t>方广创业投资合伙企业</w:t>
      </w:r>
      <w:r>
        <w:rPr>
          <w:rFonts w:ascii="宋体" w:hAnsi="宋体" w:cs="宋体" w:eastAsia="宋体" w:hint="default"/>
        </w:rPr>
        <w:t>(</w:t>
      </w:r>
      <w:r>
        <w:rPr/>
        <w:t>有限合伙</w:t>
      </w:r>
      <w:r>
        <w:rPr>
          <w:rFonts w:ascii="宋体" w:hAnsi="宋体" w:cs="宋体" w:eastAsia="宋体" w:hint="default"/>
        </w:rPr>
        <w:t>)3,000 </w:t>
      </w:r>
      <w:r>
        <w:rPr/>
        <w:t>万元。截至 </w:t>
      </w:r>
      <w:r>
        <w:rPr>
          <w:rFonts w:ascii="宋体" w:hAnsi="宋体" w:cs="宋体" w:eastAsia="宋体" w:hint="default"/>
        </w:rPr>
        <w:t>2015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4"/>
        </w:rPr>
        <w:t> </w:t>
      </w:r>
      <w:r>
        <w:rPr/>
        <w:t>日，公司已支付认购款</w:t>
      </w:r>
    </w:p>
    <w:p>
      <w:pPr>
        <w:pStyle w:val="BodyText"/>
        <w:spacing w:line="240" w:lineRule="auto" w:before="133"/>
        <w:ind w:left="138" w:right="3467"/>
        <w:jc w:val="left"/>
      </w:pPr>
      <w:r>
        <w:rPr>
          <w:rFonts w:ascii="宋体" w:hAnsi="宋体" w:cs="宋体" w:eastAsia="宋体" w:hint="default"/>
        </w:rPr>
        <w:t>2,400.00</w:t>
      </w:r>
      <w:r>
        <w:rPr>
          <w:rFonts w:ascii="宋体" w:hAnsi="宋体" w:cs="宋体" w:eastAsia="宋体" w:hint="default"/>
          <w:spacing w:val="-53"/>
        </w:rPr>
        <w:t> </w:t>
      </w:r>
      <w:r>
        <w:rPr/>
        <w:t>万元。</w:t>
      </w:r>
    </w:p>
    <w:p>
      <w:pPr>
        <w:pStyle w:val="BodyText"/>
        <w:spacing w:line="240" w:lineRule="auto" w:before="135"/>
        <w:ind w:left="558" w:right="0"/>
        <w:jc w:val="left"/>
      </w:pPr>
      <w:r>
        <w:rPr>
          <w:rFonts w:ascii="宋体" w:hAnsi="宋体" w:cs="宋体" w:eastAsia="宋体" w:hint="default"/>
          <w:w w:val="100"/>
        </w:rPr>
        <w:t>(2)</w:t>
      </w:r>
      <w:r>
        <w:rPr>
          <w:rFonts w:ascii="宋体" w:hAnsi="宋体" w:cs="宋体" w:eastAsia="宋体" w:hint="default"/>
        </w:rPr>
        <w:t> </w:t>
      </w:r>
      <w:r>
        <w:rPr>
          <w:spacing w:val="-3"/>
          <w:w w:val="100"/>
        </w:rPr>
        <w:t>根</w:t>
      </w:r>
      <w:r>
        <w:rPr>
          <w:w w:val="100"/>
        </w:rPr>
        <w:t>据</w:t>
      </w:r>
      <w:r>
        <w:rPr>
          <w:spacing w:val="-3"/>
          <w:w w:val="100"/>
        </w:rPr>
        <w:t>公</w:t>
      </w:r>
      <w:r>
        <w:rPr>
          <w:w w:val="100"/>
        </w:rPr>
        <w:t>司</w:t>
      </w:r>
      <w:r>
        <w:rPr>
          <w:spacing w:val="-53"/>
        </w:rPr>
        <w:t> </w:t>
      </w:r>
      <w:r>
        <w:rPr>
          <w:rFonts w:ascii="宋体" w:hAnsi="宋体" w:cs="宋体" w:eastAsia="宋体" w:hint="default"/>
          <w:spacing w:val="-3"/>
          <w:w w:val="100"/>
        </w:rPr>
        <w:t>2</w:t>
      </w:r>
      <w:r>
        <w:rPr>
          <w:rFonts w:ascii="宋体" w:hAnsi="宋体" w:cs="宋体" w:eastAsia="宋体" w:hint="default"/>
          <w:w w:val="100"/>
        </w:rPr>
        <w:t>014</w:t>
      </w:r>
      <w:r>
        <w:rPr>
          <w:rFonts w:ascii="宋体" w:hAnsi="宋体" w:cs="宋体" w:eastAsia="宋体" w:hint="default"/>
          <w:spacing w:val="-55"/>
        </w:rPr>
        <w:t> </w:t>
      </w:r>
      <w:r>
        <w:rPr>
          <w:w w:val="100"/>
        </w:rPr>
        <w:t>年</w:t>
      </w:r>
      <w:r>
        <w:rPr>
          <w:spacing w:val="-3"/>
          <w:w w:val="100"/>
        </w:rPr>
        <w:t>与嘉</w:t>
      </w:r>
      <w:r>
        <w:rPr>
          <w:w w:val="100"/>
        </w:rPr>
        <w:t>兴极</w:t>
      </w:r>
      <w:r>
        <w:rPr>
          <w:spacing w:val="-3"/>
          <w:w w:val="100"/>
        </w:rPr>
        <w:t>地</w:t>
      </w:r>
      <w:r>
        <w:rPr>
          <w:w w:val="100"/>
        </w:rPr>
        <w:t>信</w:t>
      </w:r>
      <w:r>
        <w:rPr>
          <w:spacing w:val="-3"/>
          <w:w w:val="100"/>
        </w:rPr>
        <w:t>天</w:t>
      </w:r>
      <w:r>
        <w:rPr>
          <w:w w:val="100"/>
        </w:rPr>
        <w:t>壹</w:t>
      </w:r>
      <w:r>
        <w:rPr>
          <w:spacing w:val="-3"/>
          <w:w w:val="100"/>
        </w:rPr>
        <w:t>期</w:t>
      </w:r>
      <w:r>
        <w:rPr>
          <w:w w:val="100"/>
        </w:rPr>
        <w:t>投</w:t>
      </w:r>
      <w:r>
        <w:rPr>
          <w:spacing w:val="-3"/>
          <w:w w:val="100"/>
        </w:rPr>
        <w:t>资</w:t>
      </w:r>
      <w:r>
        <w:rPr>
          <w:w w:val="100"/>
        </w:rPr>
        <w:t>合</w:t>
      </w:r>
      <w:r>
        <w:rPr>
          <w:spacing w:val="-3"/>
          <w:w w:val="100"/>
        </w:rPr>
        <w:t>伙</w:t>
      </w:r>
      <w:r>
        <w:rPr>
          <w:w w:val="100"/>
        </w:rPr>
        <w:t>企</w:t>
      </w:r>
      <w:r>
        <w:rPr>
          <w:spacing w:val="-1"/>
          <w:w w:val="100"/>
        </w:rPr>
        <w:t>业</w:t>
      </w:r>
      <w:r>
        <w:rPr>
          <w:rFonts w:ascii="宋体" w:hAnsi="宋体" w:cs="宋体" w:eastAsia="宋体" w:hint="default"/>
          <w:spacing w:val="-3"/>
          <w:w w:val="100"/>
        </w:rPr>
        <w:t>(</w:t>
      </w:r>
      <w:r>
        <w:rPr>
          <w:w w:val="100"/>
        </w:rPr>
        <w:t>有</w:t>
      </w:r>
      <w:r>
        <w:rPr>
          <w:spacing w:val="-3"/>
          <w:w w:val="100"/>
        </w:rPr>
        <w:t>限</w:t>
      </w:r>
      <w:r>
        <w:rPr>
          <w:w w:val="100"/>
        </w:rPr>
        <w:t>合</w:t>
      </w:r>
      <w:r>
        <w:rPr>
          <w:spacing w:val="-1"/>
          <w:w w:val="100"/>
        </w:rPr>
        <w:t>伙</w:t>
      </w:r>
      <w:r>
        <w:rPr>
          <w:rFonts w:ascii="宋体" w:hAnsi="宋体" w:cs="宋体" w:eastAsia="宋体" w:hint="default"/>
          <w:spacing w:val="-3"/>
          <w:w w:val="100"/>
        </w:rPr>
        <w:t>)</w:t>
      </w:r>
      <w:r>
        <w:rPr>
          <w:w w:val="100"/>
        </w:rPr>
        <w:t>签</w:t>
      </w:r>
      <w:r>
        <w:rPr>
          <w:spacing w:val="-3"/>
          <w:w w:val="100"/>
        </w:rPr>
        <w:t>订</w:t>
      </w:r>
      <w:r>
        <w:rPr>
          <w:w w:val="100"/>
        </w:rPr>
        <w:t>入</w:t>
      </w:r>
      <w:r>
        <w:rPr>
          <w:spacing w:val="-3"/>
          <w:w w:val="100"/>
        </w:rPr>
        <w:t>伙</w:t>
      </w:r>
      <w:r>
        <w:rPr>
          <w:w w:val="100"/>
        </w:rPr>
        <w:t>协</w:t>
      </w:r>
      <w:r>
        <w:rPr>
          <w:spacing w:val="-3"/>
          <w:w w:val="100"/>
        </w:rPr>
        <w:t>议</w:t>
      </w:r>
      <w:r>
        <w:rPr>
          <w:spacing w:val="-92"/>
          <w:w w:val="100"/>
        </w:rPr>
        <w:t>，</w:t>
      </w:r>
      <w:r>
        <w:rPr>
          <w:spacing w:val="-3"/>
          <w:w w:val="100"/>
        </w:rPr>
        <w:t>承</w:t>
      </w:r>
      <w:r>
        <w:rPr>
          <w:w w:val="100"/>
        </w:rPr>
        <w:t>诺</w:t>
      </w:r>
      <w:r>
        <w:rPr>
          <w:spacing w:val="-3"/>
          <w:w w:val="100"/>
        </w:rPr>
        <w:t>认</w:t>
      </w:r>
      <w:r>
        <w:rPr>
          <w:w w:val="100"/>
        </w:rPr>
        <w:t>购</w:t>
      </w:r>
    </w:p>
    <w:p>
      <w:pPr>
        <w:pStyle w:val="BodyText"/>
        <w:spacing w:line="240" w:lineRule="auto" w:before="133"/>
        <w:ind w:left="138" w:right="0"/>
        <w:jc w:val="left"/>
      </w:pPr>
      <w:r>
        <w:rPr/>
        <w:t>嘉兴极地信天壹期投资合伙企业</w:t>
      </w:r>
      <w:r>
        <w:rPr>
          <w:rFonts w:ascii="宋体" w:hAnsi="宋体" w:cs="宋体" w:eastAsia="宋体" w:hint="default"/>
        </w:rPr>
        <w:t>(</w:t>
      </w:r>
      <w:r>
        <w:rPr/>
        <w:t>有限合伙</w:t>
      </w:r>
      <w:r>
        <w:rPr>
          <w:rFonts w:ascii="宋体" w:hAnsi="宋体" w:cs="宋体" w:eastAsia="宋体" w:hint="default"/>
        </w:rPr>
        <w:t>)4,000</w:t>
      </w:r>
      <w:r>
        <w:rPr>
          <w:rFonts w:ascii="宋体" w:hAnsi="宋体" w:cs="宋体" w:eastAsia="宋体" w:hint="default"/>
          <w:spacing w:val="-53"/>
        </w:rPr>
        <w:t> </w:t>
      </w:r>
      <w:r>
        <w:rPr>
          <w:spacing w:val="-6"/>
        </w:rPr>
        <w:t>万元。截至</w:t>
      </w:r>
      <w:r>
        <w:rPr>
          <w:spacing w:val="-51"/>
        </w:rPr>
        <w:t> </w:t>
      </w:r>
      <w:r>
        <w:rPr>
          <w:rFonts w:ascii="宋体" w:hAnsi="宋体" w:cs="宋体" w:eastAsia="宋体" w:hint="default"/>
        </w:rPr>
        <w:t>2015</w:t>
      </w:r>
      <w:r>
        <w:rPr>
          <w:rFonts w:ascii="宋体" w:hAnsi="宋体" w:cs="宋体" w:eastAsia="宋体" w:hint="default"/>
          <w:spacing w:val="-53"/>
        </w:rPr>
        <w:t> </w:t>
      </w:r>
      <w:r>
        <w:rPr/>
        <w:t>年</w:t>
      </w:r>
      <w:r>
        <w:rPr>
          <w:spacing w:val="-51"/>
        </w:rPr>
        <w:t> </w:t>
      </w:r>
      <w:r>
        <w:rPr>
          <w:rFonts w:ascii="宋体" w:hAnsi="宋体" w:cs="宋体" w:eastAsia="宋体" w:hint="default"/>
        </w:rPr>
        <w:t>12</w:t>
      </w:r>
      <w:r>
        <w:rPr>
          <w:rFonts w:ascii="宋体" w:hAnsi="宋体" w:cs="宋体" w:eastAsia="宋体" w:hint="default"/>
          <w:spacing w:val="-53"/>
        </w:rPr>
        <w:t> </w:t>
      </w:r>
      <w:r>
        <w:rPr/>
        <w:t>月</w:t>
      </w:r>
      <w:r>
        <w:rPr>
          <w:spacing w:val="-51"/>
        </w:rPr>
        <w:t> </w:t>
      </w:r>
      <w:r>
        <w:rPr>
          <w:rFonts w:ascii="宋体" w:hAnsi="宋体" w:cs="宋体" w:eastAsia="宋体" w:hint="default"/>
        </w:rPr>
        <w:t>31</w:t>
      </w:r>
      <w:r>
        <w:rPr>
          <w:rFonts w:ascii="宋体" w:hAnsi="宋体" w:cs="宋体" w:eastAsia="宋体" w:hint="default"/>
          <w:spacing w:val="-50"/>
        </w:rPr>
        <w:t> </w:t>
      </w:r>
      <w:r>
        <w:rPr>
          <w:spacing w:val="-4"/>
        </w:rPr>
        <w:t>日，公司已支付认</w:t>
      </w:r>
    </w:p>
    <w:p>
      <w:pPr>
        <w:pStyle w:val="BodyText"/>
        <w:spacing w:line="240" w:lineRule="auto" w:before="133"/>
        <w:ind w:left="138" w:right="3467"/>
        <w:jc w:val="left"/>
      </w:pPr>
      <w:r>
        <w:rPr/>
        <w:t>购款</w:t>
      </w:r>
      <w:r>
        <w:rPr>
          <w:spacing w:val="-53"/>
        </w:rPr>
        <w:t> </w:t>
      </w:r>
      <w:r>
        <w:rPr>
          <w:rFonts w:ascii="宋体" w:hAnsi="宋体" w:cs="宋体" w:eastAsia="宋体" w:hint="default"/>
        </w:rPr>
        <w:t>2,000.00</w:t>
      </w:r>
      <w:r>
        <w:rPr>
          <w:rFonts w:ascii="宋体" w:hAnsi="宋体" w:cs="宋体" w:eastAsia="宋体" w:hint="default"/>
          <w:spacing w:val="-55"/>
        </w:rPr>
        <w:t> </w:t>
      </w:r>
      <w:r>
        <w:rPr/>
        <w:t>万元。</w:t>
      </w:r>
    </w:p>
    <w:p>
      <w:pPr>
        <w:pStyle w:val="BodyText"/>
        <w:spacing w:line="240" w:lineRule="auto" w:before="133"/>
        <w:ind w:left="558" w:right="0"/>
        <w:jc w:val="left"/>
      </w:pPr>
      <w:r>
        <w:rPr>
          <w:rFonts w:ascii="宋体" w:hAnsi="宋体" w:cs="宋体" w:eastAsia="宋体" w:hint="default"/>
          <w:w w:val="100"/>
        </w:rPr>
        <w:t>(3)</w:t>
      </w:r>
      <w:r>
        <w:rPr>
          <w:rFonts w:ascii="宋体" w:hAnsi="宋体" w:cs="宋体" w:eastAsia="宋体" w:hint="default"/>
        </w:rPr>
        <w:t> </w:t>
      </w:r>
      <w:r>
        <w:rPr>
          <w:spacing w:val="-3"/>
          <w:w w:val="100"/>
        </w:rPr>
        <w:t>根</w:t>
      </w:r>
      <w:r>
        <w:rPr>
          <w:w w:val="100"/>
        </w:rPr>
        <w:t>据</w:t>
      </w:r>
      <w:r>
        <w:rPr>
          <w:spacing w:val="-3"/>
          <w:w w:val="100"/>
        </w:rPr>
        <w:t>公</w:t>
      </w:r>
      <w:r>
        <w:rPr>
          <w:w w:val="100"/>
        </w:rPr>
        <w:t>司</w:t>
      </w:r>
      <w:r>
        <w:rPr>
          <w:spacing w:val="-53"/>
        </w:rPr>
        <w:t> </w:t>
      </w:r>
      <w:r>
        <w:rPr>
          <w:rFonts w:ascii="宋体" w:hAnsi="宋体" w:cs="宋体" w:eastAsia="宋体" w:hint="default"/>
          <w:spacing w:val="-3"/>
          <w:w w:val="100"/>
        </w:rPr>
        <w:t>2</w:t>
      </w:r>
      <w:r>
        <w:rPr>
          <w:rFonts w:ascii="宋体" w:hAnsi="宋体" w:cs="宋体" w:eastAsia="宋体" w:hint="default"/>
          <w:w w:val="100"/>
        </w:rPr>
        <w:t>014</w:t>
      </w:r>
      <w:r>
        <w:rPr>
          <w:rFonts w:ascii="宋体" w:hAnsi="宋体" w:cs="宋体" w:eastAsia="宋体" w:hint="default"/>
          <w:spacing w:val="-55"/>
        </w:rPr>
        <w:t> </w:t>
      </w:r>
      <w:r>
        <w:rPr>
          <w:w w:val="100"/>
        </w:rPr>
        <w:t>年</w:t>
      </w:r>
      <w:r>
        <w:rPr>
          <w:spacing w:val="-3"/>
          <w:w w:val="100"/>
        </w:rPr>
        <w:t>与苏</w:t>
      </w:r>
      <w:r>
        <w:rPr>
          <w:w w:val="100"/>
        </w:rPr>
        <w:t>州工</w:t>
      </w:r>
      <w:r>
        <w:rPr>
          <w:spacing w:val="-3"/>
          <w:w w:val="100"/>
        </w:rPr>
        <w:t>业</w:t>
      </w:r>
      <w:r>
        <w:rPr>
          <w:w w:val="100"/>
        </w:rPr>
        <w:t>园</w:t>
      </w:r>
      <w:r>
        <w:rPr>
          <w:spacing w:val="-3"/>
          <w:w w:val="100"/>
        </w:rPr>
        <w:t>区</w:t>
      </w:r>
      <w:r>
        <w:rPr>
          <w:w w:val="100"/>
        </w:rPr>
        <w:t>八</w:t>
      </w:r>
      <w:r>
        <w:rPr>
          <w:spacing w:val="-3"/>
          <w:w w:val="100"/>
        </w:rPr>
        <w:t>二</w:t>
      </w:r>
      <w:r>
        <w:rPr>
          <w:w w:val="100"/>
        </w:rPr>
        <w:t>五</w:t>
      </w:r>
      <w:r>
        <w:rPr>
          <w:spacing w:val="-3"/>
          <w:w w:val="100"/>
        </w:rPr>
        <w:t>新</w:t>
      </w:r>
      <w:r>
        <w:rPr>
          <w:w w:val="100"/>
        </w:rPr>
        <w:t>媒</w:t>
      </w:r>
      <w:r>
        <w:rPr>
          <w:spacing w:val="-3"/>
          <w:w w:val="100"/>
        </w:rPr>
        <w:t>体</w:t>
      </w:r>
      <w:r>
        <w:rPr>
          <w:w w:val="100"/>
        </w:rPr>
        <w:t>投资</w:t>
      </w:r>
      <w:r>
        <w:rPr>
          <w:spacing w:val="-3"/>
          <w:w w:val="100"/>
        </w:rPr>
        <w:t>企</w:t>
      </w:r>
      <w:r>
        <w:rPr>
          <w:spacing w:val="-1"/>
          <w:w w:val="100"/>
        </w:rPr>
        <w:t>业</w:t>
      </w:r>
      <w:r>
        <w:rPr>
          <w:rFonts w:ascii="宋体" w:hAnsi="宋体" w:cs="宋体" w:eastAsia="宋体" w:hint="default"/>
          <w:spacing w:val="-3"/>
          <w:w w:val="100"/>
        </w:rPr>
        <w:t>(</w:t>
      </w:r>
      <w:r>
        <w:rPr>
          <w:w w:val="100"/>
        </w:rPr>
        <w:t>有</w:t>
      </w:r>
      <w:r>
        <w:rPr>
          <w:spacing w:val="-3"/>
          <w:w w:val="100"/>
        </w:rPr>
        <w:t>限</w:t>
      </w:r>
      <w:r>
        <w:rPr>
          <w:w w:val="100"/>
        </w:rPr>
        <w:t>合</w:t>
      </w:r>
      <w:r>
        <w:rPr>
          <w:spacing w:val="-1"/>
          <w:w w:val="100"/>
        </w:rPr>
        <w:t>伙</w:t>
      </w:r>
      <w:r>
        <w:rPr>
          <w:rFonts w:ascii="宋体" w:hAnsi="宋体" w:cs="宋体" w:eastAsia="宋体" w:hint="default"/>
          <w:spacing w:val="-3"/>
          <w:w w:val="100"/>
        </w:rPr>
        <w:t>)</w:t>
      </w:r>
      <w:r>
        <w:rPr>
          <w:w w:val="100"/>
        </w:rPr>
        <w:t>签</w:t>
      </w:r>
      <w:r>
        <w:rPr>
          <w:spacing w:val="-3"/>
          <w:w w:val="100"/>
        </w:rPr>
        <w:t>订</w:t>
      </w:r>
      <w:r>
        <w:rPr>
          <w:w w:val="100"/>
        </w:rPr>
        <w:t>入伙</w:t>
      </w:r>
      <w:r>
        <w:rPr>
          <w:spacing w:val="-3"/>
          <w:w w:val="100"/>
        </w:rPr>
        <w:t>协议</w:t>
      </w:r>
      <w:r>
        <w:rPr>
          <w:spacing w:val="-92"/>
          <w:w w:val="100"/>
        </w:rPr>
        <w:t>，</w:t>
      </w:r>
      <w:r>
        <w:rPr>
          <w:spacing w:val="-3"/>
          <w:w w:val="100"/>
        </w:rPr>
        <w:t>承</w:t>
      </w:r>
      <w:r>
        <w:rPr>
          <w:w w:val="100"/>
        </w:rPr>
        <w:t>诺</w:t>
      </w:r>
    </w:p>
    <w:p>
      <w:pPr>
        <w:pStyle w:val="BodyText"/>
        <w:spacing w:line="240" w:lineRule="auto" w:before="135"/>
        <w:ind w:left="138" w:right="0"/>
        <w:jc w:val="left"/>
      </w:pPr>
      <w:r>
        <w:rPr/>
        <w:t>认购苏州工业园区八二五新媒体投资企业</w:t>
      </w:r>
      <w:r>
        <w:rPr>
          <w:rFonts w:ascii="宋体" w:hAnsi="宋体" w:cs="宋体" w:eastAsia="宋体" w:hint="default"/>
        </w:rPr>
        <w:t>(</w:t>
      </w:r>
      <w:r>
        <w:rPr/>
        <w:t>有限合伙</w:t>
      </w:r>
      <w:r>
        <w:rPr>
          <w:rFonts w:ascii="宋体" w:hAnsi="宋体" w:cs="宋体" w:eastAsia="宋体" w:hint="default"/>
        </w:rPr>
        <w:t>)2,000</w:t>
      </w:r>
      <w:r>
        <w:rPr>
          <w:rFonts w:ascii="宋体" w:hAnsi="宋体" w:cs="宋体" w:eastAsia="宋体" w:hint="default"/>
          <w:spacing w:val="-52"/>
        </w:rPr>
        <w:t> </w:t>
      </w:r>
      <w:r>
        <w:rPr>
          <w:spacing w:val="-5"/>
        </w:rPr>
        <w:t>万元。截至</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spacing w:val="-7"/>
        </w:rPr>
        <w:t>日，公司</w:t>
      </w:r>
    </w:p>
    <w:p>
      <w:pPr>
        <w:spacing w:line="468" w:lineRule="exact" w:before="4"/>
        <w:ind w:left="138" w:right="6116" w:firstLine="0"/>
        <w:jc w:val="left"/>
        <w:rPr>
          <w:rFonts w:ascii="宋体" w:hAnsi="宋体" w:cs="宋体" w:eastAsia="宋体" w:hint="default"/>
          <w:sz w:val="21"/>
          <w:szCs w:val="21"/>
        </w:rPr>
      </w:pPr>
      <w:r>
        <w:rPr>
          <w:rFonts w:ascii="宋体" w:hAnsi="宋体" w:cs="宋体" w:eastAsia="宋体" w:hint="default"/>
          <w:sz w:val="21"/>
          <w:szCs w:val="21"/>
        </w:rPr>
        <w:t>已支付认购款</w:t>
      </w:r>
      <w:r>
        <w:rPr>
          <w:rFonts w:ascii="宋体" w:hAnsi="宋体" w:cs="宋体" w:eastAsia="宋体" w:hint="default"/>
          <w:spacing w:val="-53"/>
          <w:sz w:val="21"/>
          <w:szCs w:val="21"/>
        </w:rPr>
        <w:t> </w:t>
      </w:r>
      <w:r>
        <w:rPr>
          <w:rFonts w:ascii="宋体" w:hAnsi="宋体" w:cs="宋体" w:eastAsia="宋体" w:hint="default"/>
          <w:sz w:val="21"/>
          <w:szCs w:val="21"/>
        </w:rPr>
        <w:t>2,000.00</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p>
      <w:pPr>
        <w:pStyle w:val="BodyText"/>
        <w:spacing w:line="268" w:lineRule="exact"/>
        <w:ind w:left="138" w:right="3467"/>
        <w:jc w:val="left"/>
      </w:pPr>
      <w:r>
        <w:rPr/>
        <w:t>√适用</w:t>
      </w:r>
      <w:r>
        <w:rPr>
          <w:spacing w:val="-1"/>
        </w:rPr>
        <w:t> </w:t>
      </w:r>
      <w:r>
        <w:rPr/>
        <w:t>□不适用</w:t>
      </w:r>
    </w:p>
    <w:p>
      <w:pPr>
        <w:spacing w:line="290" w:lineRule="auto" w:before="58"/>
        <w:ind w:left="243" w:right="5172" w:hanging="106"/>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6"/>
          <w:sz w:val="21"/>
          <w:szCs w:val="21"/>
        </w:rPr>
        <w:t> </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）子公司为非关联方提供的保证</w:t>
      </w:r>
    </w:p>
    <w:p>
      <w:pPr>
        <w:pStyle w:val="BodyText"/>
        <w:spacing w:line="355" w:lineRule="auto" w:before="91"/>
        <w:ind w:left="138" w:right="0" w:firstLine="419"/>
        <w:jc w:val="left"/>
      </w:pPr>
      <w:r>
        <w:rPr>
          <w:spacing w:val="-2"/>
        </w:rPr>
        <w:t>子公司无锡恒华为以按揭方式购置科研用房的业主在取得房产权证之前提供阶段性连带保证</w:t>
      </w:r>
      <w:r>
        <w:rPr>
          <w:w w:val="100"/>
        </w:rPr>
        <w:t> </w:t>
      </w:r>
      <w:r>
        <w:rPr/>
        <w:t>担保。截至</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w:t>
      </w:r>
      <w:r>
        <w:rPr/>
        <w:t>该担保项下贷款余额共计</w:t>
      </w:r>
      <w:r>
        <w:rPr>
          <w:spacing w:val="-53"/>
        </w:rPr>
        <w:t> </w:t>
      </w:r>
      <w:r>
        <w:rPr>
          <w:rFonts w:ascii="宋体" w:hAnsi="宋体" w:cs="宋体" w:eastAsia="宋体" w:hint="default"/>
        </w:rPr>
        <w:t>669.00</w:t>
      </w:r>
      <w:r>
        <w:rPr>
          <w:rFonts w:ascii="宋体" w:hAnsi="宋体" w:cs="宋体" w:eastAsia="宋体" w:hint="default"/>
          <w:spacing w:val="-55"/>
        </w:rPr>
        <w:t> </w:t>
      </w:r>
      <w:r>
        <w:rPr/>
        <w:t>万元。</w:t>
      </w:r>
    </w:p>
    <w:p>
      <w:pPr>
        <w:pStyle w:val="BodyText"/>
        <w:spacing w:line="240" w:lineRule="auto" w:before="32"/>
        <w:ind w:left="243" w:right="0"/>
        <w:jc w:val="left"/>
      </w:pPr>
      <w:r>
        <w:rPr>
          <w:rFonts w:ascii="宋体" w:hAnsi="宋体" w:cs="宋体" w:eastAsia="宋体" w:hint="default"/>
        </w:rPr>
        <w:t>2</w:t>
      </w:r>
      <w:r>
        <w:rPr/>
        <w:t>）截至</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日，公司尚未到期的保函余额为</w:t>
      </w:r>
      <w:r>
        <w:rPr>
          <w:spacing w:val="-53"/>
        </w:rPr>
        <w:t> </w:t>
      </w:r>
      <w:r>
        <w:rPr>
          <w:rFonts w:ascii="宋体" w:hAnsi="宋体" w:cs="宋体" w:eastAsia="宋体" w:hint="default"/>
        </w:rPr>
        <w:t>2,073,600.00</w:t>
      </w:r>
      <w:r>
        <w:rPr>
          <w:rFonts w:ascii="宋体" w:hAnsi="宋体" w:cs="宋体" w:eastAsia="宋体" w:hint="default"/>
          <w:spacing w:val="-53"/>
        </w:rPr>
        <w:t> </w:t>
      </w:r>
      <w:r>
        <w:rPr>
          <w:spacing w:val="-3"/>
        </w:rPr>
        <w:t>元。</w:t>
      </w:r>
      <w:r>
        <w:rPr/>
      </w:r>
    </w:p>
    <w:p>
      <w:pPr>
        <w:spacing w:line="240" w:lineRule="auto" w:before="10"/>
        <w:rPr>
          <w:rFonts w:ascii="宋体" w:hAnsi="宋体" w:cs="宋体" w:eastAsia="宋体" w:hint="default"/>
          <w:sz w:val="14"/>
          <w:szCs w:val="14"/>
        </w:rPr>
      </w:pPr>
    </w:p>
    <w:p>
      <w:pPr>
        <w:pStyle w:val="Heading4"/>
        <w:spacing w:line="240" w:lineRule="auto" w:before="0"/>
        <w:ind w:left="138" w:right="3467"/>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19"/>
          <w:szCs w:val="19"/>
        </w:rPr>
      </w:pPr>
    </w:p>
    <w:p>
      <w:pPr>
        <w:pStyle w:val="Heading4"/>
        <w:spacing w:line="240" w:lineRule="auto"/>
        <w:ind w:left="138" w:right="3467"/>
        <w:jc w:val="left"/>
        <w:rPr>
          <w:b w:val="0"/>
          <w:bCs w:val="0"/>
        </w:rPr>
      </w:pPr>
      <w:r>
        <w:rPr>
          <w:rFonts w:ascii="宋体" w:hAnsi="宋体" w:cs="宋体" w:eastAsia="宋体" w:hint="default"/>
        </w:rPr>
        <w:t>3</w:t>
      </w:r>
      <w:r>
        <w:rPr/>
        <w:t>、</w:t>
      </w:r>
      <w:r>
        <w:rPr>
          <w:spacing w:val="2"/>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660" w:right="1140"/>
        </w:sectPr>
      </w:pPr>
    </w:p>
    <w:p>
      <w:pPr>
        <w:spacing w:line="240" w:lineRule="auto" w:before="1"/>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tabs>
          <w:tab w:pos="1057" w:val="left" w:leader="none"/>
        </w:tabs>
        <w:spacing w:line="240" w:lineRule="auto"/>
        <w:ind w:right="-16"/>
        <w:jc w:val="left"/>
        <w:rPr>
          <w:b w:val="0"/>
          <w:bCs w:val="0"/>
        </w:rPr>
      </w:pPr>
      <w:r>
        <w:rPr/>
        <w:t>十五、</w:t>
        <w:tab/>
        <w:t>资产负债表日后事项</w:t>
      </w:r>
      <w:r>
        <w:rPr>
          <w:b w:val="0"/>
          <w:bCs w:val="0"/>
        </w:rPr>
      </w:r>
    </w:p>
    <w:p>
      <w:pPr>
        <w:pStyle w:val="Heading4"/>
        <w:spacing w:line="240" w:lineRule="auto" w:before="58"/>
        <w:ind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right="-16"/>
        <w:jc w:val="left"/>
      </w:pPr>
      <w:r>
        <w:rPr/>
        <w:t>□适用</w:t>
      </w:r>
      <w:r>
        <w:rPr>
          <w:spacing w:val="-1"/>
        </w:rPr>
        <w:t> </w:t>
      </w:r>
      <w:r>
        <w:rPr/>
        <w:t>√不适用</w:t>
      </w:r>
    </w:p>
    <w:p>
      <w:pPr>
        <w:pStyle w:val="Heading4"/>
        <w:spacing w:line="240" w:lineRule="auto" w:before="58"/>
        <w:ind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59" w:space="3562"/>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160,629,346.80</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4"/>
        <w:spacing w:line="240" w:lineRule="auto"/>
        <w:ind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40" w:lineRule="auto" w:before="29"/>
        <w:ind w:left="638" w:right="98"/>
        <w:jc w:val="left"/>
      </w:pPr>
      <w:r>
        <w:rPr/>
        <w:t>根据公司</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0"/>
        </w:rPr>
        <w:t> </w:t>
      </w:r>
      <w:r>
        <w:rPr>
          <w:rFonts w:ascii="宋体" w:hAnsi="宋体" w:cs="宋体" w:eastAsia="宋体" w:hint="default"/>
        </w:rPr>
        <w:t>3</w:t>
      </w:r>
      <w:r>
        <w:rPr>
          <w:rFonts w:ascii="宋体" w:hAnsi="宋体" w:cs="宋体" w:eastAsia="宋体" w:hint="default"/>
          <w:spacing w:val="-53"/>
        </w:rPr>
        <w:t> </w:t>
      </w:r>
      <w:r>
        <w:rPr/>
        <w:t>月</w:t>
      </w:r>
      <w:r>
        <w:rPr>
          <w:spacing w:val="-53"/>
        </w:rPr>
        <w:t> </w:t>
      </w:r>
      <w:r>
        <w:rPr>
          <w:rFonts w:ascii="宋体" w:hAnsi="宋体" w:cs="宋体" w:eastAsia="宋体" w:hint="default"/>
        </w:rPr>
        <w:t>2</w:t>
      </w:r>
      <w:r>
        <w:rPr>
          <w:rFonts w:ascii="宋体" w:hAnsi="宋体" w:cs="宋体" w:eastAsia="宋体" w:hint="default"/>
          <w:spacing w:val="-53"/>
        </w:rPr>
        <w:t> </w:t>
      </w:r>
      <w:r>
        <w:rPr/>
        <w:t>日</w:t>
      </w:r>
      <w:r>
        <w:rPr>
          <w:spacing w:val="-50"/>
        </w:rPr>
        <w:t> </w:t>
      </w:r>
      <w:r>
        <w:rPr>
          <w:rFonts w:ascii="宋体" w:hAnsi="宋体" w:cs="宋体" w:eastAsia="宋体" w:hint="default"/>
        </w:rPr>
        <w:t>2016</w:t>
      </w:r>
      <w:r>
        <w:rPr>
          <w:rFonts w:ascii="宋体" w:hAnsi="宋体" w:cs="宋体" w:eastAsia="宋体" w:hint="default"/>
          <w:spacing w:val="-53"/>
        </w:rPr>
        <w:t> </w:t>
      </w:r>
      <w:r>
        <w:rPr/>
        <w:t>年第二次临时股东大会，公司同意与杭州远方光电信息股份</w:t>
      </w:r>
    </w:p>
    <w:p>
      <w:pPr>
        <w:pStyle w:val="BodyText"/>
        <w:spacing w:line="357" w:lineRule="auto" w:before="133"/>
        <w:ind w:right="227"/>
        <w:jc w:val="both"/>
      </w:pPr>
      <w:r>
        <w:rPr>
          <w:spacing w:val="-5"/>
          <w:w w:val="100"/>
        </w:rPr>
        <w:t>有限公司</w:t>
      </w:r>
      <w:r>
        <w:rPr>
          <w:rFonts w:ascii="宋体" w:hAnsi="宋体" w:cs="宋体" w:eastAsia="宋体" w:hint="default"/>
          <w:spacing w:val="-5"/>
          <w:w w:val="100"/>
        </w:rPr>
        <w:t>(</w:t>
      </w:r>
      <w:r>
        <w:rPr>
          <w:spacing w:val="-5"/>
          <w:w w:val="100"/>
        </w:rPr>
        <w:t>以下简称远方光电</w:t>
      </w:r>
      <w:r>
        <w:rPr>
          <w:rFonts w:ascii="宋体" w:hAnsi="宋体" w:cs="宋体" w:eastAsia="宋体" w:hint="default"/>
          <w:spacing w:val="-5"/>
          <w:w w:val="100"/>
        </w:rPr>
        <w:t>)</w:t>
      </w:r>
      <w:r>
        <w:rPr>
          <w:spacing w:val="-5"/>
          <w:w w:val="100"/>
        </w:rPr>
        <w:t>签署《发行股份及支付现金购买资产协议》。</w:t>
      </w:r>
      <w:r>
        <w:rPr>
          <w:spacing w:val="-14"/>
          <w:w w:val="100"/>
        </w:rPr>
        <w:t> </w:t>
      </w:r>
      <w:r>
        <w:rPr>
          <w:rFonts w:ascii="宋体" w:hAnsi="宋体" w:cs="宋体" w:eastAsia="宋体" w:hint="default"/>
          <w:spacing w:val="-1"/>
          <w:w w:val="100"/>
        </w:rPr>
        <w:t>2016</w:t>
      </w:r>
      <w:r>
        <w:rPr>
          <w:rFonts w:ascii="宋体" w:hAnsi="宋体" w:cs="宋体" w:eastAsia="宋体" w:hint="default"/>
          <w:spacing w:val="-52"/>
          <w:w w:val="100"/>
        </w:rPr>
        <w:t> </w:t>
      </w:r>
      <w:r>
        <w:rPr>
          <w:w w:val="100"/>
        </w:rPr>
        <w:t>年</w:t>
      </w:r>
      <w:r>
        <w:rPr>
          <w:spacing w:val="-53"/>
          <w:w w:val="100"/>
        </w:rPr>
        <w:t> </w:t>
      </w:r>
      <w:r>
        <w:rPr>
          <w:rFonts w:ascii="宋体" w:hAnsi="宋体" w:cs="宋体" w:eastAsia="宋体" w:hint="default"/>
          <w:w w:val="100"/>
        </w:rPr>
        <w:t>1</w:t>
      </w:r>
      <w:r>
        <w:rPr>
          <w:rFonts w:ascii="宋体" w:hAnsi="宋体" w:cs="宋体" w:eastAsia="宋体" w:hint="default"/>
          <w:spacing w:val="-55"/>
          <w:w w:val="100"/>
        </w:rPr>
        <w:t> </w:t>
      </w:r>
      <w:r>
        <w:rPr>
          <w:spacing w:val="-4"/>
          <w:w w:val="100"/>
        </w:rPr>
        <w:t>月，公司与</w:t>
      </w:r>
      <w:r>
        <w:rPr>
          <w:w w:val="100"/>
        </w:rPr>
        <w:t> </w:t>
      </w:r>
      <w:r>
        <w:rPr>
          <w:spacing w:val="-6"/>
          <w:w w:val="100"/>
        </w:rPr>
        <w:t>远方光电签订了《发行股份及支付现金购买资产协议》，远方光电拟收购浙江维尔科技股份有限公</w:t>
      </w:r>
      <w:r>
        <w:rPr>
          <w:spacing w:val="-104"/>
          <w:w w:val="100"/>
        </w:rPr>
        <w:t> </w:t>
      </w:r>
      <w:r>
        <w:rPr>
          <w:spacing w:val="-104"/>
          <w:w w:val="100"/>
        </w:rPr>
      </w:r>
      <w:r>
        <w:rPr/>
        <w:t>司</w:t>
      </w:r>
      <w:r>
        <w:rPr>
          <w:rFonts w:ascii="宋体" w:hAnsi="宋体" w:cs="宋体" w:eastAsia="宋体" w:hint="default"/>
        </w:rPr>
        <w:t>(</w:t>
      </w:r>
      <w:r>
        <w:rPr/>
        <w:t>以下简称维尔科技</w:t>
      </w:r>
      <w:r>
        <w:rPr>
          <w:rFonts w:ascii="宋体" w:hAnsi="宋体" w:cs="宋体" w:eastAsia="宋体" w:hint="default"/>
        </w:rPr>
        <w:t>)</w:t>
      </w:r>
      <w:r>
        <w:rPr>
          <w:rFonts w:ascii="宋体" w:hAnsi="宋体" w:cs="宋体" w:eastAsia="宋体" w:hint="default"/>
          <w:spacing w:val="-49"/>
        </w:rPr>
        <w:t> </w:t>
      </w:r>
      <w:r>
        <w:rPr>
          <w:rFonts w:ascii="宋体" w:hAnsi="宋体" w:cs="宋体" w:eastAsia="宋体" w:hint="default"/>
          <w:spacing w:val="-6"/>
        </w:rPr>
        <w:t>100%</w:t>
      </w:r>
      <w:r>
        <w:rPr>
          <w:spacing w:val="-6"/>
        </w:rPr>
        <w:t>股权，维尔科技整体估值预计约</w:t>
      </w:r>
      <w:r>
        <w:rPr>
          <w:spacing w:val="4"/>
        </w:rPr>
        <w:t> </w:t>
      </w:r>
      <w:r>
        <w:rPr>
          <w:rFonts w:ascii="宋体" w:hAnsi="宋体" w:cs="宋体" w:eastAsia="宋体" w:hint="default"/>
        </w:rPr>
        <w:t>10</w:t>
      </w:r>
      <w:r>
        <w:rPr>
          <w:rFonts w:ascii="宋体" w:hAnsi="宋体" w:cs="宋体" w:eastAsia="宋体" w:hint="default"/>
          <w:spacing w:val="4"/>
        </w:rPr>
        <w:t> </w:t>
      </w:r>
      <w:r>
        <w:rPr>
          <w:spacing w:val="-16"/>
        </w:rPr>
        <w:t>亿元。截至</w:t>
      </w:r>
      <w:r>
        <w:rPr>
          <w:spacing w:val="-50"/>
        </w:rPr>
        <w:t> </w:t>
      </w:r>
      <w:r>
        <w:rPr>
          <w:rFonts w:ascii="宋体" w:hAnsi="宋体" w:cs="宋体" w:eastAsia="宋体" w:hint="default"/>
        </w:rPr>
        <w:t>2015</w:t>
      </w:r>
      <w:r>
        <w:rPr>
          <w:rFonts w:ascii="宋体" w:hAnsi="宋体" w:cs="宋体" w:eastAsia="宋体" w:hint="default"/>
          <w:spacing w:val="-49"/>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3"/>
        </w:rPr>
        <w:t>日，</w:t>
      </w:r>
      <w:r>
        <w:rPr>
          <w:spacing w:val="-3"/>
          <w:w w:val="100"/>
        </w:rPr>
        <w:t> </w:t>
      </w:r>
      <w:r>
        <w:rPr/>
        <w:t>公司合计持有维尔科技</w:t>
      </w:r>
      <w:r>
        <w:rPr>
          <w:spacing w:val="5"/>
        </w:rPr>
        <w:t> </w:t>
      </w:r>
      <w:r>
        <w:rPr>
          <w:rFonts w:ascii="宋体" w:hAnsi="宋体" w:cs="宋体" w:eastAsia="宋体" w:hint="default"/>
        </w:rPr>
        <w:t>18.625%</w:t>
      </w:r>
      <w:r>
        <w:rPr/>
        <w:t>股份。上述交易需取得中国证券监督管理委员会审核，相关事项</w:t>
      </w:r>
      <w:r>
        <w:rPr>
          <w:w w:val="100"/>
        </w:rPr>
        <w:t> </w:t>
      </w:r>
      <w:r>
        <w:rPr/>
        <w:t>仍存在一定不确定性。</w:t>
      </w:r>
    </w:p>
    <w:p>
      <w:pPr>
        <w:spacing w:line="240" w:lineRule="auto" w:before="11"/>
        <w:rPr>
          <w:rFonts w:ascii="宋体" w:hAnsi="宋体" w:cs="宋体" w:eastAsia="宋体" w:hint="default"/>
          <w:sz w:val="27"/>
          <w:szCs w:val="27"/>
        </w:rPr>
      </w:pPr>
    </w:p>
    <w:p>
      <w:pPr>
        <w:pStyle w:val="Heading4"/>
        <w:tabs>
          <w:tab w:pos="1057" w:val="left" w:leader="none"/>
        </w:tabs>
        <w:spacing w:line="290" w:lineRule="auto" w:before="0"/>
        <w:ind w:right="6952"/>
        <w:jc w:val="left"/>
        <w:rPr>
          <w:b w:val="0"/>
          <w:bCs w:val="0"/>
        </w:rPr>
      </w:pPr>
      <w:r>
        <w:rPr/>
        <w:t>十六、</w:t>
        <w:tab/>
        <w:t>其他重要事项</w:t>
      </w:r>
      <w:r>
        <w:rPr>
          <w:spacing w:val="-104"/>
        </w:rPr>
        <w:t> </w:t>
      </w:r>
      <w:r>
        <w:rPr>
          <w:spacing w:val="-104"/>
        </w:rPr>
      </w:r>
      <w:r>
        <w:rPr>
          <w:rFonts w:ascii="宋体" w:hAnsi="宋体" w:cs="宋体" w:eastAsia="宋体" w:hint="default"/>
        </w:rPr>
        <w:t>1</w:t>
      </w:r>
      <w:r>
        <w:rPr/>
        <w:t>、</w:t>
      </w:r>
      <w:r>
        <w:rPr>
          <w:spacing w:val="5"/>
        </w:rPr>
        <w:t> </w:t>
      </w:r>
      <w:r>
        <w:rPr/>
        <w:t>前期会计差错更正</w:t>
      </w:r>
      <w:r>
        <w:rPr>
          <w:b w:val="0"/>
          <w:bCs w:val="0"/>
        </w:rPr>
      </w:r>
    </w:p>
    <w:p>
      <w:pPr>
        <w:pStyle w:val="BodyText"/>
        <w:spacing w:line="240" w:lineRule="auto" w:before="14"/>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0"/>
        <w:jc w:val="both"/>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0"/>
        <w:jc w:val="both"/>
        <w:rPr>
          <w:b w:val="0"/>
          <w:bCs w:val="0"/>
        </w:rPr>
      </w:pPr>
      <w:r>
        <w:rPr>
          <w:rFonts w:ascii="宋体" w:hAnsi="宋体" w:cs="宋体" w:eastAsia="宋体" w:hint="default"/>
        </w:rPr>
        <w:t>3</w:t>
      </w:r>
      <w:r>
        <w:rPr/>
        <w:t>、</w:t>
      </w:r>
      <w:r>
        <w:rPr>
          <w:spacing w:val="3"/>
        </w:rPr>
        <w:t> </w:t>
      </w:r>
      <w:r>
        <w:rPr/>
        <w:t>资产置换</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0"/>
        <w:jc w:val="both"/>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right="0"/>
        <w:jc w:val="both"/>
        <w:rPr>
          <w:b w:val="0"/>
          <w:bCs w:val="0"/>
        </w:rPr>
      </w:pPr>
      <w:r>
        <w:rPr>
          <w:rFonts w:ascii="宋体" w:hAnsi="宋体" w:cs="宋体" w:eastAsia="宋体" w:hint="default"/>
        </w:rPr>
        <w:t>6</w:t>
      </w:r>
      <w:r>
        <w:rPr/>
        <w:t>、</w:t>
      </w:r>
      <w:r>
        <w:rPr>
          <w:spacing w:val="3"/>
        </w:rPr>
        <w:t> </w:t>
      </w:r>
      <w:r>
        <w:rPr/>
        <w:t>分部信息</w:t>
      </w:r>
      <w:r>
        <w:rPr>
          <w:b w:val="0"/>
          <w:bCs w:val="0"/>
        </w:rPr>
      </w:r>
    </w:p>
    <w:p>
      <w:pPr>
        <w:pStyle w:val="BodyText"/>
        <w:spacing w:line="240" w:lineRule="auto" w:before="56"/>
        <w:ind w:right="0"/>
        <w:jc w:val="both"/>
      </w:pPr>
      <w:r>
        <w:rPr/>
        <w:t>√适用</w:t>
      </w:r>
      <w:r>
        <w:rPr>
          <w:spacing w:val="-1"/>
        </w:rPr>
        <w:t> </w:t>
      </w:r>
      <w:r>
        <w:rPr/>
        <w:t>□不适用</w:t>
      </w:r>
    </w:p>
    <w:p>
      <w:pPr>
        <w:tabs>
          <w:tab w:pos="861" w:val="left" w:leader="none"/>
        </w:tabs>
        <w:spacing w:line="290" w:lineRule="auto" w:before="58"/>
        <w:ind w:left="532" w:right="238" w:hanging="315"/>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报告分部的确定依据与会计政策：</w:t>
      </w:r>
      <w:r>
        <w:rPr>
          <w:rFonts w:ascii="宋体" w:hAnsi="宋体" w:cs="宋体" w:eastAsia="宋体" w:hint="default"/>
          <w:b/>
          <w:bCs/>
          <w:w w:val="100"/>
          <w:sz w:val="21"/>
          <w:szCs w:val="21"/>
        </w:rPr>
        <w:t> </w:t>
      </w:r>
      <w:r>
        <w:rPr>
          <w:rFonts w:ascii="宋体" w:hAnsi="宋体" w:cs="宋体" w:eastAsia="宋体" w:hint="default"/>
          <w:spacing w:val="-4"/>
          <w:sz w:val="21"/>
          <w:szCs w:val="21"/>
        </w:rPr>
        <w:t>公司以内部组织结构、管理要求、内部报告制度等为依据确定经营分部。公司的经营分部是指</w:t>
      </w:r>
    </w:p>
    <w:p>
      <w:pPr>
        <w:pStyle w:val="BodyText"/>
        <w:spacing w:line="240" w:lineRule="auto" w:before="91"/>
        <w:ind w:right="0"/>
        <w:jc w:val="both"/>
      </w:pPr>
      <w:r>
        <w:rPr/>
        <w:t>同时满足下列条件的组成部分：</w:t>
      </w:r>
    </w:p>
    <w:p>
      <w:pPr>
        <w:spacing w:after="0" w:line="240" w:lineRule="auto"/>
        <w:jc w:val="both"/>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203" w:right="0"/>
        <w:jc w:val="left"/>
      </w:pPr>
      <w:r>
        <w:rPr>
          <w:rFonts w:ascii="宋体" w:hAnsi="宋体" w:cs="宋体" w:eastAsia="宋体" w:hint="default"/>
        </w:rPr>
        <w:t>1)</w:t>
      </w:r>
      <w:r>
        <w:rPr>
          <w:rFonts w:ascii="宋体" w:hAnsi="宋体" w:cs="宋体" w:eastAsia="宋体" w:hint="default"/>
          <w:spacing w:val="-5"/>
        </w:rPr>
        <w:t> </w:t>
      </w:r>
      <w:r>
        <w:rPr/>
        <w:t>该组成部分能够在日常活动中产生收入、发生费用；</w:t>
      </w:r>
    </w:p>
    <w:p>
      <w:pPr>
        <w:pStyle w:val="BodyText"/>
        <w:spacing w:line="240" w:lineRule="auto" w:before="135"/>
        <w:ind w:left="1203" w:right="0"/>
        <w:jc w:val="left"/>
      </w:pPr>
      <w:r>
        <w:rPr>
          <w:rFonts w:ascii="宋体" w:hAnsi="宋体" w:cs="宋体" w:eastAsia="宋体" w:hint="default"/>
        </w:rPr>
        <w:t>2)</w:t>
      </w:r>
      <w:r>
        <w:rPr>
          <w:rFonts w:ascii="宋体" w:hAnsi="宋体" w:cs="宋体" w:eastAsia="宋体" w:hint="default"/>
          <w:spacing w:val="-7"/>
        </w:rPr>
        <w:t> </w:t>
      </w:r>
      <w:r>
        <w:rPr/>
        <w:t>管理层能够定期评价该组成部分的经营成果，以决定向其配置资源、评价其业绩；</w:t>
      </w:r>
    </w:p>
    <w:p>
      <w:pPr>
        <w:pStyle w:val="BodyText"/>
        <w:spacing w:line="355" w:lineRule="auto" w:before="133"/>
        <w:ind w:left="1098" w:right="0" w:firstLine="105"/>
        <w:jc w:val="left"/>
      </w:pPr>
      <w:r>
        <w:rPr>
          <w:rFonts w:ascii="宋体" w:hAnsi="宋体" w:cs="宋体" w:eastAsia="宋体" w:hint="default"/>
        </w:rPr>
        <w:t>3)</w:t>
      </w:r>
      <w:r>
        <w:rPr>
          <w:rFonts w:ascii="宋体" w:hAnsi="宋体" w:cs="宋体" w:eastAsia="宋体" w:hint="default"/>
          <w:spacing w:val="-2"/>
        </w:rPr>
        <w:t> </w:t>
      </w:r>
      <w:r>
        <w:rPr/>
        <w:t>能够通过分析取得该组成部分的财务状况、经营成果和现金流量等有关会计信息。</w:t>
      </w:r>
      <w:r>
        <w:rPr>
          <w:w w:val="100"/>
        </w:rPr>
        <w:t> </w:t>
      </w:r>
      <w:r>
        <w:rPr>
          <w:spacing w:val="-2"/>
        </w:rPr>
        <w:t>公司以行业分部为基础确定报告分部，与各分部共同使用的资产、负债按照规模比例在不同</w:t>
      </w:r>
    </w:p>
    <w:p>
      <w:pPr>
        <w:pStyle w:val="BodyText"/>
        <w:spacing w:line="355" w:lineRule="auto" w:before="32"/>
        <w:ind w:left="1098" w:right="0" w:hanging="420"/>
        <w:jc w:val="left"/>
      </w:pPr>
      <w:r>
        <w:rPr/>
        <w:t>的分部之间分配。</w:t>
      </w:r>
      <w:r>
        <w:rPr>
          <w:w w:val="100"/>
        </w:rPr>
        <w:t> </w:t>
      </w:r>
      <w:r>
        <w:rPr>
          <w:spacing w:val="-2"/>
        </w:rPr>
        <w:t>公司以地区分部为基础确定报告分部，主营业务收入、主营业务成本按最终实现销售地进行</w:t>
      </w:r>
    </w:p>
    <w:p>
      <w:pPr>
        <w:pStyle w:val="BodyText"/>
        <w:spacing w:line="240" w:lineRule="auto" w:before="34"/>
        <w:ind w:left="678" w:right="0"/>
        <w:jc w:val="left"/>
      </w:pPr>
      <w:r>
        <w:rPr/>
        <w:t>划分，资产和负债按经营实体所在地进行划分。</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4"/>
        <w:tabs>
          <w:tab w:pos="1321" w:val="left" w:leader="none"/>
        </w:tabs>
        <w:spacing w:line="240" w:lineRule="auto" w:before="0"/>
        <w:ind w:left="678" w:right="0"/>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051" w:val="left" w:leader="none"/>
        </w:tabs>
        <w:spacing w:line="240" w:lineRule="auto" w:before="58"/>
        <w:ind w:left="0" w:right="6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666"/>
        <w:gridCol w:w="1897"/>
        <w:gridCol w:w="1580"/>
        <w:gridCol w:w="1582"/>
        <w:gridCol w:w="1304"/>
        <w:gridCol w:w="1896"/>
      </w:tblGrid>
      <w:tr>
        <w:trPr>
          <w:trHeight w:val="283"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2"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金融业</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分部间抵销</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2,119,240,935.48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7,665,426.50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92,051,609.31</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 w:right="0"/>
              <w:jc w:val="center"/>
              <w:rPr>
                <w:rFonts w:ascii="宋体" w:hAnsi="宋体" w:cs="宋体" w:eastAsia="宋体" w:hint="default"/>
                <w:sz w:val="21"/>
                <w:szCs w:val="21"/>
              </w:rPr>
            </w:pPr>
            <w:r>
              <w:rPr>
                <w:rFonts w:ascii="宋体"/>
                <w:sz w:val="21"/>
              </w:rPr>
              <w:t>232,760.48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2,218,725,210.81</w:t>
            </w:r>
          </w:p>
        </w:tc>
      </w:tr>
      <w:tr>
        <w:trPr>
          <w:trHeight w:val="281"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121,323,629.21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4,409,270.52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36,058,846.88</w:t>
            </w:r>
          </w:p>
        </w:tc>
        <w:tc>
          <w:tcPr>
            <w:tcW w:w="130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161,791,746.61</w:t>
            </w:r>
          </w:p>
        </w:tc>
      </w:tr>
      <w:tr>
        <w:trPr>
          <w:trHeight w:val="283"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3,889,796,204.60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85,484,142.90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3,975,280,347.50</w:t>
            </w:r>
          </w:p>
        </w:tc>
      </w:tr>
      <w:tr>
        <w:trPr>
          <w:trHeight w:val="283"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1,405,235,623.71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17,736,369.66</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1,422,971,993.37</w:t>
            </w:r>
          </w:p>
        </w:tc>
      </w:tr>
    </w:tbl>
    <w:p>
      <w:pPr>
        <w:spacing w:line="240" w:lineRule="auto" w:before="5"/>
        <w:rPr>
          <w:rFonts w:ascii="宋体" w:hAnsi="宋体" w:cs="宋体" w:eastAsia="宋体" w:hint="default"/>
          <w:sz w:val="15"/>
          <w:szCs w:val="15"/>
        </w:rPr>
      </w:pPr>
    </w:p>
    <w:p>
      <w:pPr>
        <w:pStyle w:val="BodyText"/>
        <w:spacing w:line="240" w:lineRule="auto" w:before="36"/>
        <w:ind w:left="678" w:right="0"/>
        <w:jc w:val="left"/>
      </w:pPr>
      <w:r>
        <w:rPr>
          <w:rFonts w:ascii="宋体" w:hAnsi="宋体" w:cs="宋体" w:eastAsia="宋体" w:hint="default"/>
        </w:rPr>
        <w:t>2) </w:t>
      </w:r>
      <w:r>
        <w:rPr/>
        <w:t>地区分部</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678"/>
        <w:gridCol w:w="2151"/>
        <w:gridCol w:w="1983"/>
        <w:gridCol w:w="2127"/>
        <w:gridCol w:w="1985"/>
      </w:tblGrid>
      <w:tr>
        <w:trPr>
          <w:trHeight w:val="281"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tabs>
                <w:tab w:pos="938" w:val="left" w:leader="none"/>
              </w:tabs>
              <w:spacing w:line="241" w:lineRule="exact"/>
              <w:ind w:left="51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2,172,900,280.54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54,524,794.54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-8,699,864.27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2,218,725,210.81</w:t>
            </w: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135,123,295.38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30,579,473.97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-3,911,022.74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161,791,746.61</w:t>
            </w:r>
          </w:p>
        </w:tc>
      </w:tr>
      <w:tr>
        <w:trPr>
          <w:trHeight w:val="281"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3,926,571,495.88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48,722,637.62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-13,786.00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3,975,280,347.50</w:t>
            </w: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1,405,691,242.30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17,750,792.01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-470,040.94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1,422,971,993.37</w:t>
            </w:r>
          </w:p>
        </w:tc>
      </w:tr>
    </w:tbl>
    <w:p>
      <w:pPr>
        <w:spacing w:line="240" w:lineRule="auto" w:before="2"/>
        <w:rPr>
          <w:rFonts w:ascii="宋体" w:hAnsi="宋体" w:cs="宋体" w:eastAsia="宋体" w:hint="default"/>
          <w:sz w:val="20"/>
          <w:szCs w:val="20"/>
        </w:rPr>
      </w:pPr>
    </w:p>
    <w:p>
      <w:pPr>
        <w:pStyle w:val="Heading4"/>
        <w:tabs>
          <w:tab w:pos="1321" w:val="left" w:leader="none"/>
        </w:tabs>
        <w:spacing w:line="240" w:lineRule="auto"/>
        <w:ind w:left="678" w:right="0"/>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spacing w:line="240" w:lineRule="auto" w:before="3"/>
        <w:rPr>
          <w:rFonts w:ascii="宋体" w:hAnsi="宋体" w:cs="宋体" w:eastAsia="宋体" w:hint="default"/>
          <w:b/>
          <w:bCs/>
          <w:sz w:val="25"/>
          <w:szCs w:val="25"/>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tabs>
          <w:tab w:pos="1321" w:val="left" w:leader="none"/>
        </w:tabs>
        <w:spacing w:line="240" w:lineRule="auto"/>
        <w:ind w:left="678" w:right="0"/>
        <w:jc w:val="left"/>
        <w:rPr>
          <w:b w:val="0"/>
          <w:bCs w:val="0"/>
        </w:rPr>
      </w:pPr>
      <w:r>
        <w:rPr>
          <w:rFonts w:ascii="宋体" w:hAnsi="宋体" w:cs="宋体" w:eastAsia="宋体" w:hint="default"/>
          <w:w w:val="95"/>
        </w:rPr>
        <w:t>(4).</w:t>
        <w:tab/>
      </w:r>
      <w:r>
        <w:rPr/>
        <w:t>其他说明：</w:t>
      </w:r>
      <w:r>
        <w:rPr>
          <w:b w:val="0"/>
          <w:bCs w:val="0"/>
        </w:rPr>
      </w:r>
    </w:p>
    <w:p>
      <w:pPr>
        <w:spacing w:line="240" w:lineRule="auto" w:before="3"/>
        <w:rPr>
          <w:rFonts w:ascii="宋体" w:hAnsi="宋体" w:cs="宋体" w:eastAsia="宋体" w:hint="default"/>
          <w:b/>
          <w:bCs/>
          <w:sz w:val="25"/>
          <w:szCs w:val="25"/>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678"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59"/>
        <w:ind w:left="1098" w:right="0"/>
        <w:jc w:val="left"/>
      </w:pPr>
      <w:r>
        <w:rPr>
          <w:rFonts w:ascii="宋体" w:hAnsi="宋体" w:cs="宋体" w:eastAsia="宋体" w:hint="default"/>
        </w:rPr>
        <w:t>(1) 2015</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8</w:t>
      </w:r>
      <w:r>
        <w:rPr>
          <w:rFonts w:ascii="宋体" w:hAnsi="宋体" w:cs="宋体" w:eastAsia="宋体" w:hint="default"/>
          <w:spacing w:val="-54"/>
        </w:rPr>
        <w:t> </w:t>
      </w:r>
      <w:r>
        <w:rPr/>
        <w:t>日，网络技术收到中国证券监督管理委员会行政处罚事先告知书</w:t>
      </w:r>
      <w:r>
        <w:rPr>
          <w:rFonts w:ascii="宋体" w:hAnsi="宋体" w:cs="宋体" w:eastAsia="宋体" w:hint="default"/>
        </w:rPr>
        <w:t>(</w:t>
      </w:r>
      <w:r>
        <w:rPr/>
        <w:t>处罚字</w:t>
      </w:r>
    </w:p>
    <w:p>
      <w:pPr>
        <w:pStyle w:val="BodyText"/>
        <w:spacing w:line="240" w:lineRule="auto" w:before="133"/>
        <w:ind w:left="678" w:right="0"/>
        <w:jc w:val="left"/>
      </w:pPr>
      <w:r>
        <w:rPr>
          <w:spacing w:val="-4"/>
        </w:rPr>
        <w:t>〔</w:t>
      </w:r>
      <w:r>
        <w:rPr>
          <w:rFonts w:ascii="宋体" w:hAnsi="宋体" w:cs="宋体" w:eastAsia="宋体" w:hint="default"/>
          <w:spacing w:val="-4"/>
        </w:rPr>
        <w:t>2015</w:t>
      </w:r>
      <w:r>
        <w:rPr>
          <w:spacing w:val="-4"/>
        </w:rPr>
        <w:t>〕</w:t>
      </w:r>
      <w:r>
        <w:rPr>
          <w:rFonts w:ascii="宋体" w:hAnsi="宋体" w:cs="宋体" w:eastAsia="宋体" w:hint="default"/>
          <w:spacing w:val="-4"/>
        </w:rPr>
        <w:t>68</w:t>
      </w:r>
      <w:r>
        <w:rPr>
          <w:rFonts w:ascii="宋体" w:hAnsi="宋体" w:cs="宋体" w:eastAsia="宋体" w:hint="default"/>
          <w:spacing w:val="-50"/>
        </w:rPr>
        <w:t> </w:t>
      </w:r>
      <w:r>
        <w:rPr/>
        <w:t>号</w:t>
      </w:r>
      <w:r>
        <w:rPr>
          <w:rFonts w:ascii="宋体" w:hAnsi="宋体" w:cs="宋体" w:eastAsia="宋体" w:hint="default"/>
        </w:rPr>
        <w:t>),</w:t>
      </w:r>
      <w:r>
        <w:rPr/>
        <w:t>根据事先告知书网络技术被没收违法所得</w:t>
      </w:r>
      <w:r>
        <w:rPr>
          <w:spacing w:val="-49"/>
        </w:rPr>
        <w:t> </w:t>
      </w:r>
      <w:r>
        <w:rPr>
          <w:rFonts w:ascii="宋体" w:hAnsi="宋体" w:cs="宋体" w:eastAsia="宋体" w:hint="default"/>
        </w:rPr>
        <w:t>13,285.24</w:t>
      </w:r>
      <w:r>
        <w:rPr>
          <w:rFonts w:ascii="宋体" w:hAnsi="宋体" w:cs="宋体" w:eastAsia="宋体" w:hint="default"/>
          <w:spacing w:val="-50"/>
        </w:rPr>
        <w:t> </w:t>
      </w:r>
      <w:r>
        <w:rPr>
          <w:spacing w:val="-6"/>
        </w:rPr>
        <w:t>万元，并处以</w:t>
      </w:r>
      <w:r>
        <w:rPr>
          <w:spacing w:val="-49"/>
        </w:rPr>
        <w:t> </w:t>
      </w:r>
      <w:r>
        <w:rPr>
          <w:rFonts w:ascii="宋体" w:hAnsi="宋体" w:cs="宋体" w:eastAsia="宋体" w:hint="default"/>
        </w:rPr>
        <w:t>39,855.72</w:t>
      </w:r>
      <w:r>
        <w:rPr>
          <w:rFonts w:ascii="宋体" w:hAnsi="宋体" w:cs="宋体" w:eastAsia="宋体" w:hint="default"/>
          <w:spacing w:val="-50"/>
        </w:rPr>
        <w:t> </w:t>
      </w:r>
      <w:r>
        <w:rPr/>
        <w:t>万</w:t>
      </w:r>
    </w:p>
    <w:p>
      <w:pPr>
        <w:pStyle w:val="BodyText"/>
        <w:spacing w:line="240" w:lineRule="auto" w:before="133"/>
        <w:ind w:left="678" w:right="0"/>
        <w:jc w:val="left"/>
      </w:pPr>
      <w:r>
        <w:rPr/>
        <w:t>元罚款。截至</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3"/>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日，该事项处于听证阶段，网络技术已结合现实情况，以</w:t>
      </w:r>
      <w:r>
        <w:rPr>
          <w:spacing w:val="-54"/>
        </w:rPr>
        <w:t> </w:t>
      </w:r>
      <w:r>
        <w:rPr>
          <w:rFonts w:ascii="宋体" w:hAnsi="宋体" w:cs="宋体" w:eastAsia="宋体" w:hint="default"/>
        </w:rPr>
        <w:t>2015</w:t>
      </w:r>
      <w:r>
        <w:rPr>
          <w:rFonts w:ascii="宋体" w:hAnsi="宋体" w:cs="宋体" w:eastAsia="宋体" w:hint="default"/>
          <w:spacing w:val="-54"/>
        </w:rPr>
        <w:t> </w:t>
      </w:r>
      <w:r>
        <w:rPr/>
        <w:t>年</w:t>
      </w:r>
    </w:p>
    <w:p>
      <w:pPr>
        <w:pStyle w:val="BodyText"/>
        <w:spacing w:line="240" w:lineRule="auto" w:before="135"/>
        <w:ind w:left="678" w:right="0"/>
        <w:jc w:val="left"/>
      </w:pP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日网络技术账面净资产为限，累计确认预计负债</w:t>
      </w:r>
      <w:r>
        <w:rPr>
          <w:spacing w:val="-54"/>
        </w:rPr>
        <w:t> </w:t>
      </w:r>
      <w:r>
        <w:rPr>
          <w:rFonts w:ascii="宋体" w:hAnsi="宋体" w:cs="宋体" w:eastAsia="宋体" w:hint="default"/>
        </w:rPr>
        <w:t>57,890,918.74</w:t>
      </w:r>
      <w:r>
        <w:rPr>
          <w:rFonts w:ascii="宋体" w:hAnsi="宋体" w:cs="宋体" w:eastAsia="宋体" w:hint="default"/>
          <w:spacing w:val="-55"/>
        </w:rPr>
        <w:t> </w:t>
      </w:r>
      <w:r>
        <w:rPr/>
        <w:t>元。受上述事件影响，</w:t>
      </w:r>
    </w:p>
    <w:p>
      <w:pPr>
        <w:pStyle w:val="BodyText"/>
        <w:spacing w:line="240" w:lineRule="auto" w:before="133"/>
        <w:ind w:left="678" w:right="0"/>
        <w:jc w:val="left"/>
      </w:pPr>
      <w:r>
        <w:rPr/>
        <w:t>期末应收账款中</w:t>
      </w:r>
      <w:r>
        <w:rPr>
          <w:spacing w:val="-56"/>
        </w:rPr>
        <w:t> </w:t>
      </w:r>
      <w:r>
        <w:rPr>
          <w:rFonts w:ascii="宋体" w:hAnsi="宋体" w:cs="宋体" w:eastAsia="宋体" w:hint="default"/>
        </w:rPr>
        <w:t>112,043,004.55</w:t>
      </w:r>
      <w:r>
        <w:rPr>
          <w:rFonts w:ascii="宋体" w:hAnsi="宋体" w:cs="宋体" w:eastAsia="宋体" w:hint="default"/>
          <w:spacing w:val="-55"/>
        </w:rPr>
        <w:t> </w:t>
      </w:r>
      <w:r>
        <w:rPr/>
        <w:t>元已全额计提坏账准备。</w:t>
      </w:r>
    </w:p>
    <w:p>
      <w:pPr>
        <w:pStyle w:val="BodyText"/>
        <w:spacing w:line="648" w:lineRule="auto" w:before="133"/>
        <w:ind w:left="678" w:right="743" w:firstLine="419"/>
        <w:jc w:val="left"/>
        <w:rPr>
          <w:rFonts w:ascii="宋体" w:hAnsi="宋体" w:cs="宋体" w:eastAsia="宋体" w:hint="default"/>
        </w:rPr>
      </w:pPr>
      <w:r>
        <w:rPr/>
        <w:pict>
          <v:group style="position:absolute;margin-left:89.903999pt;margin-top:74.293678pt;width:31.6pt;height:.1pt;mso-position-horizontal-relative:page;mso-position-vertical-relative:paragraph;z-index:-1075864" coordorigin="1798,1486" coordsize="632,2">
            <v:shape style="position:absolute;left:1798;top:1486;width:632;height:2" coordorigin="1798,1486" coordsize="632,0" path="m1798,1486l2429,1486e" filled="false" stroked="true" strokeweight=".599980pt" strokecolor="#333399">
              <v:path arrowok="t"/>
            </v:shape>
            <w10:wrap type="none"/>
          </v:group>
        </w:pict>
      </w:r>
      <w:r>
        <w:rPr>
          <w:rFonts w:ascii="宋体" w:hAnsi="宋体" w:cs="宋体" w:eastAsia="宋体" w:hint="default"/>
        </w:rPr>
        <w:t>(2)</w:t>
      </w:r>
      <w:r>
        <w:rPr>
          <w:rFonts w:ascii="宋体" w:hAnsi="宋体" w:cs="宋体" w:eastAsia="宋体" w:hint="default"/>
          <w:spacing w:val="-4"/>
        </w:rPr>
        <w:t> </w:t>
      </w:r>
      <w:r>
        <w:rPr/>
        <w:t>截至本财务报表批准报出日，公司及子公司尚未办妥</w:t>
      </w:r>
      <w:r>
        <w:rPr>
          <w:spacing w:val="-55"/>
        </w:rPr>
        <w:t> </w:t>
      </w:r>
      <w:r>
        <w:rPr>
          <w:rFonts w:ascii="宋体" w:hAnsi="宋体" w:cs="宋体" w:eastAsia="宋体" w:hint="default"/>
        </w:rPr>
        <w:t>2015</w:t>
      </w:r>
      <w:r>
        <w:rPr>
          <w:rFonts w:ascii="宋体" w:hAnsi="宋体" w:cs="宋体" w:eastAsia="宋体" w:hint="default"/>
          <w:spacing w:val="-55"/>
        </w:rPr>
        <w:t> </w:t>
      </w:r>
      <w:r>
        <w:rPr/>
        <w:t>年度所得税汇算清缴手续。</w:t>
      </w:r>
      <w:r>
        <w:rPr>
          <w:w w:val="100"/>
        </w:rPr>
        <w:t> </w:t>
      </w:r>
      <w:r>
        <w:rPr>
          <w:rFonts w:ascii="宋体" w:hAnsi="宋体" w:cs="宋体" w:eastAsia="宋体" w:hint="default"/>
          <w:b/>
          <w:bCs/>
        </w:rPr>
        <w:t>8</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其他</w:t>
      </w:r>
      <w:r>
        <w:rPr>
          <w:rFonts w:ascii="宋体" w:hAnsi="宋体" w:cs="宋体" w:eastAsia="宋体" w:hint="default"/>
        </w:rPr>
      </w:r>
    </w:p>
    <w:p>
      <w:pPr>
        <w:spacing w:after="0" w:line="648" w:lineRule="auto"/>
        <w:jc w:val="left"/>
        <w:rPr>
          <w:rFonts w:ascii="宋体" w:hAnsi="宋体" w:cs="宋体" w:eastAsia="宋体" w:hint="default"/>
        </w:rPr>
        <w:sectPr>
          <w:pgSz w:w="11910" w:h="16840"/>
          <w:pgMar w:header="882" w:footer="1195" w:top="1120" w:bottom="1380" w:left="1120" w:right="640"/>
        </w:sectPr>
      </w:pPr>
    </w:p>
    <w:p>
      <w:pPr>
        <w:spacing w:line="240" w:lineRule="auto" w:before="1"/>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20" w:right="80"/>
        </w:sectPr>
      </w:pPr>
    </w:p>
    <w:p>
      <w:pPr>
        <w:pStyle w:val="Heading4"/>
        <w:tabs>
          <w:tab w:pos="2517" w:val="left" w:leader="none"/>
        </w:tabs>
        <w:spacing w:line="290" w:lineRule="auto"/>
        <w:ind w:left="1678"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4"/>
        <w:tabs>
          <w:tab w:pos="2517" w:val="left" w:leader="none"/>
        </w:tabs>
        <w:spacing w:line="240" w:lineRule="auto" w:before="12"/>
        <w:ind w:left="1819"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2729" w:val="left" w:leader="none"/>
        </w:tabs>
        <w:spacing w:line="240" w:lineRule="auto"/>
        <w:ind w:left="1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 w:right="80"/>
          <w:cols w:num="2" w:equalWidth="0">
            <w:col w:w="5259" w:space="1262"/>
            <w:col w:w="5189"/>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641"/>
        <w:gridCol w:w="1464"/>
        <w:gridCol w:w="562"/>
        <w:gridCol w:w="1361"/>
        <w:gridCol w:w="564"/>
        <w:gridCol w:w="1462"/>
        <w:gridCol w:w="1462"/>
        <w:gridCol w:w="562"/>
        <w:gridCol w:w="1364"/>
        <w:gridCol w:w="562"/>
        <w:gridCol w:w="1462"/>
      </w:tblGrid>
      <w:tr>
        <w:trPr>
          <w:trHeight w:val="271" w:hRule="exact"/>
        </w:trPr>
        <w:tc>
          <w:tcPr>
            <w:tcW w:w="6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sz w:val="20"/>
                <w:szCs w:val="20"/>
              </w:rPr>
              <w:t>种类</w:t>
            </w:r>
          </w:p>
        </w:tc>
        <w:tc>
          <w:tcPr>
            <w:tcW w:w="54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54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269" w:hRule="exact"/>
        </w:trPr>
        <w:tc>
          <w:tcPr>
            <w:tcW w:w="641" w:type="dxa"/>
            <w:vMerge/>
            <w:tcBorders>
              <w:left w:val="single" w:sz="4" w:space="0" w:color="000000"/>
              <w:right w:val="single" w:sz="4" w:space="0" w:color="000000"/>
            </w:tcBorders>
          </w:tcPr>
          <w:p>
            <w:pPr/>
          </w:p>
        </w:tc>
        <w:tc>
          <w:tcPr>
            <w:tcW w:w="20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7"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56"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60" w:lineRule="exact"/>
              <w:ind w:left="523" w:right="528"/>
              <w:jc w:val="center"/>
              <w:rPr>
                <w:rFonts w:ascii="宋体" w:hAnsi="宋体" w:cs="宋体" w:eastAsia="宋体" w:hint="default"/>
                <w:sz w:val="20"/>
                <w:szCs w:val="20"/>
              </w:rPr>
            </w:pPr>
            <w:r>
              <w:rPr>
                <w:rFonts w:ascii="宋体" w:hAnsi="宋体" w:cs="宋体" w:eastAsia="宋体" w:hint="default"/>
                <w:sz w:val="20"/>
                <w:szCs w:val="20"/>
              </w:rPr>
              <w:t>账面</w:t>
            </w:r>
            <w:r>
              <w:rPr>
                <w:rFonts w:ascii="宋体" w:hAnsi="宋体" w:cs="宋体" w:eastAsia="宋体" w:hint="default"/>
                <w:w w:val="99"/>
                <w:sz w:val="20"/>
                <w:szCs w:val="20"/>
              </w:rPr>
              <w:t> </w:t>
            </w:r>
            <w:r>
              <w:rPr>
                <w:rFonts w:ascii="宋体" w:hAnsi="宋体" w:cs="宋体" w:eastAsia="宋体" w:hint="default"/>
                <w:sz w:val="20"/>
                <w:szCs w:val="20"/>
              </w:rPr>
              <w:t>价值</w:t>
            </w:r>
          </w:p>
        </w:tc>
        <w:tc>
          <w:tcPr>
            <w:tcW w:w="20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5"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56"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60" w:lineRule="exact"/>
              <w:ind w:left="523" w:right="528"/>
              <w:jc w:val="center"/>
              <w:rPr>
                <w:rFonts w:ascii="宋体" w:hAnsi="宋体" w:cs="宋体" w:eastAsia="宋体" w:hint="default"/>
                <w:sz w:val="20"/>
                <w:szCs w:val="20"/>
              </w:rPr>
            </w:pPr>
            <w:r>
              <w:rPr>
                <w:rFonts w:ascii="宋体" w:hAnsi="宋体" w:cs="宋体" w:eastAsia="宋体" w:hint="default"/>
                <w:sz w:val="20"/>
                <w:szCs w:val="20"/>
              </w:rPr>
              <w:t>账面</w:t>
            </w:r>
            <w:r>
              <w:rPr>
                <w:rFonts w:ascii="宋体" w:hAnsi="宋体" w:cs="宋体" w:eastAsia="宋体" w:hint="default"/>
                <w:w w:val="99"/>
                <w:sz w:val="20"/>
                <w:szCs w:val="20"/>
              </w:rPr>
              <w:t> </w:t>
            </w:r>
            <w:r>
              <w:rPr>
                <w:rFonts w:ascii="宋体" w:hAnsi="宋体" w:cs="宋体" w:eastAsia="宋体" w:hint="default"/>
                <w:sz w:val="20"/>
                <w:szCs w:val="20"/>
              </w:rPr>
              <w:t>价值</w:t>
            </w:r>
          </w:p>
        </w:tc>
      </w:tr>
      <w:tr>
        <w:trPr>
          <w:trHeight w:val="787" w:hRule="exact"/>
        </w:trPr>
        <w:tc>
          <w:tcPr>
            <w:tcW w:w="641" w:type="dxa"/>
            <w:vMerge/>
            <w:tcBorders>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金额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22" w:right="79" w:hanging="51"/>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w w:val="99"/>
                <w:sz w:val="20"/>
                <w:szCs w:val="20"/>
              </w:rPr>
              <w:t> </w:t>
            </w:r>
            <w:r>
              <w:rPr>
                <w:rFonts w:ascii="宋体" w:hAnsi="宋体" w:cs="宋体" w:eastAsia="宋体" w:hint="default"/>
                <w:sz w:val="20"/>
                <w:szCs w:val="20"/>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金额</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74" w:right="0"/>
              <w:jc w:val="left"/>
              <w:rPr>
                <w:rFonts w:ascii="宋体" w:hAnsi="宋体" w:cs="宋体" w:eastAsia="宋体" w:hint="default"/>
                <w:sz w:val="20"/>
                <w:szCs w:val="20"/>
              </w:rPr>
            </w:pPr>
            <w:r>
              <w:rPr>
                <w:rFonts w:ascii="宋体" w:hAnsi="宋体" w:cs="宋体" w:eastAsia="宋体" w:hint="default"/>
                <w:sz w:val="20"/>
                <w:szCs w:val="20"/>
              </w:rPr>
              <w:t>计提</w:t>
            </w:r>
          </w:p>
          <w:p>
            <w:pPr>
              <w:pStyle w:val="TableParagraph"/>
              <w:spacing w:line="260" w:lineRule="exact" w:before="24"/>
              <w:ind w:left="124" w:right="79" w:hanging="51"/>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w w:val="99"/>
                <w:sz w:val="20"/>
                <w:szCs w:val="20"/>
              </w:rPr>
              <w:t> </w:t>
            </w:r>
            <w:r>
              <w:rPr>
                <w:rFonts w:ascii="宋体" w:hAnsi="宋体" w:cs="宋体" w:eastAsia="宋体" w:hint="default"/>
                <w:sz w:val="20"/>
                <w:szCs w:val="20"/>
              </w:rPr>
              <w:t>(%)</w:t>
            </w:r>
          </w:p>
        </w:tc>
        <w:tc>
          <w:tcPr>
            <w:tcW w:w="1462" w:type="dxa"/>
            <w:vMerge/>
            <w:tcBorders>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sz w:val="20"/>
                <w:szCs w:val="20"/>
              </w:rPr>
              <w:t>金额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24" w:right="77" w:hanging="51"/>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w w:val="99"/>
                <w:sz w:val="20"/>
                <w:szCs w:val="20"/>
              </w:rPr>
              <w:t> </w:t>
            </w:r>
            <w:r>
              <w:rPr>
                <w:rFonts w:ascii="宋体" w:hAnsi="宋体" w:cs="宋体" w:eastAsia="宋体" w:hint="default"/>
                <w:sz w:val="20"/>
                <w:szCs w:val="20"/>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金额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72" w:right="0"/>
              <w:jc w:val="left"/>
              <w:rPr>
                <w:rFonts w:ascii="宋体" w:hAnsi="宋体" w:cs="宋体" w:eastAsia="宋体" w:hint="default"/>
                <w:sz w:val="20"/>
                <w:szCs w:val="20"/>
              </w:rPr>
            </w:pPr>
            <w:r>
              <w:rPr>
                <w:rFonts w:ascii="宋体" w:hAnsi="宋体" w:cs="宋体" w:eastAsia="宋体" w:hint="default"/>
                <w:sz w:val="20"/>
                <w:szCs w:val="20"/>
              </w:rPr>
              <w:t>计提</w:t>
            </w:r>
          </w:p>
          <w:p>
            <w:pPr>
              <w:pStyle w:val="TableParagraph"/>
              <w:spacing w:line="260" w:lineRule="exact" w:before="24"/>
              <w:ind w:left="122" w:right="79" w:hanging="51"/>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w w:val="99"/>
                <w:sz w:val="20"/>
                <w:szCs w:val="20"/>
              </w:rPr>
              <w:t> </w:t>
            </w:r>
            <w:r>
              <w:rPr>
                <w:rFonts w:ascii="宋体" w:hAnsi="宋体" w:cs="宋体" w:eastAsia="宋体" w:hint="default"/>
                <w:sz w:val="20"/>
                <w:szCs w:val="20"/>
              </w:rPr>
              <w:t>(%)</w:t>
            </w:r>
          </w:p>
        </w:tc>
        <w:tc>
          <w:tcPr>
            <w:tcW w:w="1462" w:type="dxa"/>
            <w:vMerge/>
            <w:tcBorders>
              <w:left w:val="single" w:sz="4" w:space="0" w:color="000000"/>
              <w:bottom w:val="single" w:sz="4" w:space="0" w:color="000000"/>
              <w:right w:val="single" w:sz="4" w:space="0" w:color="000000"/>
            </w:tcBorders>
          </w:tcPr>
          <w:p>
            <w:pPr/>
          </w:p>
        </w:tc>
      </w:tr>
      <w:tr>
        <w:trPr>
          <w:trHeight w:val="2605"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单</w:t>
            </w:r>
            <w:r>
              <w:rPr>
                <w:rFonts w:ascii="宋体" w:hAnsi="宋体" w:cs="宋体" w:eastAsia="宋体" w:hint="default"/>
                <w:spacing w:val="78"/>
                <w:sz w:val="20"/>
                <w:szCs w:val="20"/>
              </w:rPr>
              <w:t> </w:t>
            </w:r>
            <w:r>
              <w:rPr>
                <w:rFonts w:ascii="宋体" w:hAnsi="宋体" w:cs="宋体" w:eastAsia="宋体" w:hint="default"/>
                <w:sz w:val="20"/>
                <w:szCs w:val="20"/>
              </w:rPr>
              <w:t>项</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金</w:t>
            </w:r>
            <w:r>
              <w:rPr>
                <w:rFonts w:ascii="宋体" w:hAnsi="宋体" w:cs="宋体" w:eastAsia="宋体" w:hint="default"/>
                <w:spacing w:val="78"/>
                <w:sz w:val="20"/>
                <w:szCs w:val="20"/>
              </w:rPr>
              <w:t> </w:t>
            </w:r>
            <w:r>
              <w:rPr>
                <w:rFonts w:ascii="宋体" w:hAnsi="宋体" w:cs="宋体" w:eastAsia="宋体" w:hint="default"/>
                <w:sz w:val="20"/>
                <w:szCs w:val="20"/>
              </w:rPr>
              <w:t>额</w:t>
            </w:r>
          </w:p>
          <w:p>
            <w:pPr>
              <w:pStyle w:val="TableParagraph"/>
              <w:spacing w:line="261" w:lineRule="exact"/>
              <w:ind w:left="26" w:right="0"/>
              <w:jc w:val="left"/>
              <w:rPr>
                <w:rFonts w:ascii="宋体" w:hAnsi="宋体" w:cs="宋体" w:eastAsia="宋体" w:hint="default"/>
                <w:sz w:val="20"/>
                <w:szCs w:val="20"/>
              </w:rPr>
            </w:pPr>
            <w:r>
              <w:rPr>
                <w:rFonts w:ascii="宋体" w:hAnsi="宋体" w:cs="宋体" w:eastAsia="宋体" w:hint="default"/>
                <w:sz w:val="20"/>
                <w:szCs w:val="20"/>
              </w:rPr>
              <w:t>重</w:t>
            </w:r>
            <w:r>
              <w:rPr>
                <w:rFonts w:ascii="宋体" w:hAnsi="宋体" w:cs="宋体" w:eastAsia="宋体" w:hint="default"/>
                <w:spacing w:val="78"/>
                <w:sz w:val="20"/>
                <w:szCs w:val="20"/>
              </w:rPr>
              <w:t> </w:t>
            </w:r>
            <w:r>
              <w:rPr>
                <w:rFonts w:ascii="宋体" w:hAnsi="宋体" w:cs="宋体" w:eastAsia="宋体" w:hint="default"/>
                <w:sz w:val="20"/>
                <w:szCs w:val="20"/>
              </w:rPr>
              <w:t>大</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并</w:t>
            </w:r>
            <w:r>
              <w:rPr>
                <w:rFonts w:ascii="宋体" w:hAnsi="宋体" w:cs="宋体" w:eastAsia="宋体" w:hint="default"/>
                <w:spacing w:val="78"/>
                <w:sz w:val="20"/>
                <w:szCs w:val="20"/>
              </w:rPr>
              <w:t> </w:t>
            </w:r>
            <w:r>
              <w:rPr>
                <w:rFonts w:ascii="宋体" w:hAnsi="宋体" w:cs="宋体" w:eastAsia="宋体" w:hint="default"/>
                <w:sz w:val="20"/>
                <w:szCs w:val="20"/>
              </w:rPr>
              <w:t>单</w:t>
            </w:r>
          </w:p>
          <w:p>
            <w:pPr>
              <w:pStyle w:val="TableParagraph"/>
              <w:spacing w:line="259" w:lineRule="exact"/>
              <w:ind w:left="26" w:right="0"/>
              <w:jc w:val="left"/>
              <w:rPr>
                <w:rFonts w:ascii="宋体" w:hAnsi="宋体" w:cs="宋体" w:eastAsia="宋体" w:hint="default"/>
                <w:sz w:val="20"/>
                <w:szCs w:val="20"/>
              </w:rPr>
            </w:pPr>
            <w:r>
              <w:rPr>
                <w:rFonts w:ascii="宋体" w:hAnsi="宋体" w:cs="宋体" w:eastAsia="宋体" w:hint="default"/>
                <w:sz w:val="20"/>
                <w:szCs w:val="20"/>
              </w:rPr>
              <w:t>独</w:t>
            </w:r>
            <w:r>
              <w:rPr>
                <w:rFonts w:ascii="宋体" w:hAnsi="宋体" w:cs="宋体" w:eastAsia="宋体" w:hint="default"/>
                <w:spacing w:val="78"/>
                <w:sz w:val="20"/>
                <w:szCs w:val="20"/>
              </w:rPr>
              <w:t> </w:t>
            </w:r>
            <w:r>
              <w:rPr>
                <w:rFonts w:ascii="宋体" w:hAnsi="宋体" w:cs="宋体" w:eastAsia="宋体" w:hint="default"/>
                <w:sz w:val="20"/>
                <w:szCs w:val="20"/>
              </w:rPr>
              <w:t>计</w:t>
            </w:r>
          </w:p>
          <w:p>
            <w:pPr>
              <w:pStyle w:val="TableParagraph"/>
              <w:spacing w:line="259" w:lineRule="exact"/>
              <w:ind w:left="26" w:right="0"/>
              <w:jc w:val="left"/>
              <w:rPr>
                <w:rFonts w:ascii="宋体" w:hAnsi="宋体" w:cs="宋体" w:eastAsia="宋体" w:hint="default"/>
                <w:sz w:val="20"/>
                <w:szCs w:val="20"/>
              </w:rPr>
            </w:pPr>
            <w:r>
              <w:rPr>
                <w:rFonts w:ascii="宋体" w:hAnsi="宋体" w:cs="宋体" w:eastAsia="宋体" w:hint="default"/>
                <w:sz w:val="20"/>
                <w:szCs w:val="20"/>
              </w:rPr>
              <w:t>提</w:t>
            </w:r>
            <w:r>
              <w:rPr>
                <w:rFonts w:ascii="宋体" w:hAnsi="宋体" w:cs="宋体" w:eastAsia="宋体" w:hint="default"/>
                <w:spacing w:val="78"/>
                <w:sz w:val="20"/>
                <w:szCs w:val="20"/>
              </w:rPr>
              <w:t> </w:t>
            </w:r>
            <w:r>
              <w:rPr>
                <w:rFonts w:ascii="宋体" w:hAnsi="宋体" w:cs="宋体" w:eastAsia="宋体" w:hint="default"/>
                <w:sz w:val="20"/>
                <w:szCs w:val="20"/>
              </w:rPr>
              <w:t>坏</w:t>
            </w:r>
          </w:p>
          <w:p>
            <w:pPr>
              <w:pStyle w:val="TableParagraph"/>
              <w:spacing w:line="259" w:lineRule="exact"/>
              <w:ind w:left="26" w:right="0"/>
              <w:jc w:val="lef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78"/>
                <w:sz w:val="20"/>
                <w:szCs w:val="20"/>
              </w:rPr>
              <w:t> </w:t>
            </w:r>
            <w:r>
              <w:rPr>
                <w:rFonts w:ascii="宋体" w:hAnsi="宋体" w:cs="宋体" w:eastAsia="宋体" w:hint="default"/>
                <w:sz w:val="20"/>
                <w:szCs w:val="20"/>
              </w:rPr>
              <w:t>准</w:t>
            </w:r>
          </w:p>
          <w:p>
            <w:pPr>
              <w:pStyle w:val="TableParagraph"/>
              <w:spacing w:line="259" w:lineRule="exact"/>
              <w:ind w:left="26" w:right="0"/>
              <w:jc w:val="left"/>
              <w:rPr>
                <w:rFonts w:ascii="宋体" w:hAnsi="宋体" w:cs="宋体" w:eastAsia="宋体" w:hint="default"/>
                <w:sz w:val="20"/>
                <w:szCs w:val="20"/>
              </w:rPr>
            </w:pPr>
            <w:r>
              <w:rPr>
                <w:rFonts w:ascii="宋体" w:hAnsi="宋体" w:cs="宋体" w:eastAsia="宋体" w:hint="default"/>
                <w:sz w:val="20"/>
                <w:szCs w:val="20"/>
              </w:rPr>
              <w:t>备</w:t>
            </w:r>
            <w:r>
              <w:rPr>
                <w:rFonts w:ascii="宋体" w:hAnsi="宋体" w:cs="宋体" w:eastAsia="宋体" w:hint="default"/>
                <w:spacing w:val="78"/>
                <w:sz w:val="20"/>
                <w:szCs w:val="20"/>
              </w:rPr>
              <w:t> </w:t>
            </w:r>
            <w:r>
              <w:rPr>
                <w:rFonts w:ascii="宋体" w:hAnsi="宋体" w:cs="宋体" w:eastAsia="宋体" w:hint="default"/>
                <w:sz w:val="20"/>
                <w:szCs w:val="20"/>
              </w:rPr>
              <w:t>的</w:t>
            </w:r>
          </w:p>
          <w:p>
            <w:pPr>
              <w:pStyle w:val="TableParagraph"/>
              <w:spacing w:line="260" w:lineRule="exact" w:before="24"/>
              <w:ind w:left="26" w:right="24"/>
              <w:jc w:val="left"/>
              <w:rPr>
                <w:rFonts w:ascii="宋体" w:hAnsi="宋体" w:cs="宋体" w:eastAsia="宋体" w:hint="default"/>
                <w:sz w:val="20"/>
                <w:szCs w:val="20"/>
              </w:rPr>
            </w:pPr>
            <w:r>
              <w:rPr>
                <w:rFonts w:ascii="宋体" w:hAnsi="宋体" w:cs="宋体" w:eastAsia="宋体" w:hint="default"/>
                <w:sz w:val="20"/>
                <w:szCs w:val="20"/>
              </w:rPr>
              <w:t>应</w:t>
            </w:r>
            <w:r>
              <w:rPr>
                <w:rFonts w:ascii="宋体" w:hAnsi="宋体" w:cs="宋体" w:eastAsia="宋体" w:hint="default"/>
                <w:spacing w:val="78"/>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账款</w:t>
            </w:r>
          </w:p>
        </w:tc>
        <w:tc>
          <w:tcPr>
            <w:tcW w:w="14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260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按</w:t>
            </w:r>
            <w:r>
              <w:rPr>
                <w:rFonts w:ascii="宋体" w:hAnsi="宋体" w:cs="宋体" w:eastAsia="宋体" w:hint="default"/>
                <w:spacing w:val="78"/>
                <w:sz w:val="20"/>
                <w:szCs w:val="20"/>
              </w:rPr>
              <w:t> </w:t>
            </w:r>
            <w:r>
              <w:rPr>
                <w:rFonts w:ascii="宋体" w:hAnsi="宋体" w:cs="宋体" w:eastAsia="宋体" w:hint="default"/>
                <w:sz w:val="20"/>
                <w:szCs w:val="20"/>
              </w:rPr>
              <w:t>信</w:t>
            </w:r>
          </w:p>
          <w:p>
            <w:pPr>
              <w:pStyle w:val="TableParagraph"/>
              <w:spacing w:line="259" w:lineRule="exact"/>
              <w:ind w:left="26" w:right="0"/>
              <w:jc w:val="left"/>
              <w:rPr>
                <w:rFonts w:ascii="宋体" w:hAnsi="宋体" w:cs="宋体" w:eastAsia="宋体" w:hint="default"/>
                <w:sz w:val="20"/>
                <w:szCs w:val="20"/>
              </w:rPr>
            </w:pPr>
            <w:r>
              <w:rPr>
                <w:rFonts w:ascii="宋体" w:hAnsi="宋体" w:cs="宋体" w:eastAsia="宋体" w:hint="default"/>
                <w:sz w:val="20"/>
                <w:szCs w:val="20"/>
              </w:rPr>
              <w:t>用</w:t>
            </w:r>
            <w:r>
              <w:rPr>
                <w:rFonts w:ascii="宋体" w:hAnsi="宋体" w:cs="宋体" w:eastAsia="宋体" w:hint="default"/>
                <w:spacing w:val="78"/>
                <w:sz w:val="20"/>
                <w:szCs w:val="20"/>
              </w:rPr>
              <w:t> </w:t>
            </w:r>
            <w:r>
              <w:rPr>
                <w:rFonts w:ascii="宋体" w:hAnsi="宋体" w:cs="宋体" w:eastAsia="宋体" w:hint="default"/>
                <w:sz w:val="20"/>
                <w:szCs w:val="20"/>
              </w:rPr>
              <w:t>风</w:t>
            </w:r>
          </w:p>
          <w:p>
            <w:pPr>
              <w:pStyle w:val="TableParagraph"/>
              <w:spacing w:line="259" w:lineRule="exact"/>
              <w:ind w:left="26" w:right="0"/>
              <w:jc w:val="left"/>
              <w:rPr>
                <w:rFonts w:ascii="宋体" w:hAnsi="宋体" w:cs="宋体" w:eastAsia="宋体" w:hint="default"/>
                <w:sz w:val="20"/>
                <w:szCs w:val="20"/>
              </w:rPr>
            </w:pPr>
            <w:r>
              <w:rPr>
                <w:rFonts w:ascii="宋体" w:hAnsi="宋体" w:cs="宋体" w:eastAsia="宋体" w:hint="default"/>
                <w:sz w:val="20"/>
                <w:szCs w:val="20"/>
              </w:rPr>
              <w:t>险</w:t>
            </w:r>
            <w:r>
              <w:rPr>
                <w:rFonts w:ascii="宋体" w:hAnsi="宋体" w:cs="宋体" w:eastAsia="宋体" w:hint="default"/>
                <w:spacing w:val="78"/>
                <w:sz w:val="20"/>
                <w:szCs w:val="20"/>
              </w:rPr>
              <w:t> </w:t>
            </w:r>
            <w:r>
              <w:rPr>
                <w:rFonts w:ascii="宋体" w:hAnsi="宋体" w:cs="宋体" w:eastAsia="宋体" w:hint="default"/>
                <w:sz w:val="20"/>
                <w:szCs w:val="20"/>
              </w:rPr>
              <w:t>特</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征</w:t>
            </w:r>
            <w:r>
              <w:rPr>
                <w:rFonts w:ascii="宋体" w:hAnsi="宋体" w:cs="宋体" w:eastAsia="宋体" w:hint="default"/>
                <w:spacing w:val="78"/>
                <w:sz w:val="20"/>
                <w:szCs w:val="20"/>
              </w:rPr>
              <w:t> </w:t>
            </w:r>
            <w:r>
              <w:rPr>
                <w:rFonts w:ascii="宋体" w:hAnsi="宋体" w:cs="宋体" w:eastAsia="宋体" w:hint="default"/>
                <w:sz w:val="20"/>
                <w:szCs w:val="20"/>
              </w:rPr>
              <w:t>组</w:t>
            </w:r>
          </w:p>
          <w:p>
            <w:pPr>
              <w:pStyle w:val="TableParagraph"/>
              <w:spacing w:line="261" w:lineRule="exact"/>
              <w:ind w:left="26"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78"/>
                <w:sz w:val="20"/>
                <w:szCs w:val="20"/>
              </w:rPr>
              <w:t> </w:t>
            </w:r>
            <w:r>
              <w:rPr>
                <w:rFonts w:ascii="宋体" w:hAnsi="宋体" w:cs="宋体" w:eastAsia="宋体" w:hint="default"/>
                <w:sz w:val="20"/>
                <w:szCs w:val="20"/>
              </w:rPr>
              <w:t>计</w:t>
            </w:r>
          </w:p>
          <w:p>
            <w:pPr>
              <w:pStyle w:val="TableParagraph"/>
              <w:spacing w:line="259" w:lineRule="exact"/>
              <w:ind w:left="26" w:right="0"/>
              <w:jc w:val="left"/>
              <w:rPr>
                <w:rFonts w:ascii="宋体" w:hAnsi="宋体" w:cs="宋体" w:eastAsia="宋体" w:hint="default"/>
                <w:sz w:val="20"/>
                <w:szCs w:val="20"/>
              </w:rPr>
            </w:pPr>
            <w:r>
              <w:rPr>
                <w:rFonts w:ascii="宋体" w:hAnsi="宋体" w:cs="宋体" w:eastAsia="宋体" w:hint="default"/>
                <w:sz w:val="20"/>
                <w:szCs w:val="20"/>
              </w:rPr>
              <w:t>提</w:t>
            </w:r>
            <w:r>
              <w:rPr>
                <w:rFonts w:ascii="宋体" w:hAnsi="宋体" w:cs="宋体" w:eastAsia="宋体" w:hint="default"/>
                <w:spacing w:val="78"/>
                <w:sz w:val="20"/>
                <w:szCs w:val="20"/>
              </w:rPr>
              <w:t> </w:t>
            </w:r>
            <w:r>
              <w:rPr>
                <w:rFonts w:ascii="宋体" w:hAnsi="宋体" w:cs="宋体" w:eastAsia="宋体" w:hint="default"/>
                <w:sz w:val="20"/>
                <w:szCs w:val="20"/>
              </w:rPr>
              <w:t>坏</w:t>
            </w:r>
          </w:p>
          <w:p>
            <w:pPr>
              <w:pStyle w:val="TableParagraph"/>
              <w:spacing w:line="259" w:lineRule="exact"/>
              <w:ind w:left="26" w:right="0"/>
              <w:jc w:val="lef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78"/>
                <w:sz w:val="20"/>
                <w:szCs w:val="20"/>
              </w:rPr>
              <w:t> </w:t>
            </w:r>
            <w:r>
              <w:rPr>
                <w:rFonts w:ascii="宋体" w:hAnsi="宋体" w:cs="宋体" w:eastAsia="宋体" w:hint="default"/>
                <w:sz w:val="20"/>
                <w:szCs w:val="20"/>
              </w:rPr>
              <w:t>准</w:t>
            </w:r>
          </w:p>
          <w:p>
            <w:pPr>
              <w:pStyle w:val="TableParagraph"/>
              <w:spacing w:line="259" w:lineRule="exact"/>
              <w:ind w:left="26" w:right="0"/>
              <w:jc w:val="left"/>
              <w:rPr>
                <w:rFonts w:ascii="宋体" w:hAnsi="宋体" w:cs="宋体" w:eastAsia="宋体" w:hint="default"/>
                <w:sz w:val="20"/>
                <w:szCs w:val="20"/>
              </w:rPr>
            </w:pPr>
            <w:r>
              <w:rPr>
                <w:rFonts w:ascii="宋体" w:hAnsi="宋体" w:cs="宋体" w:eastAsia="宋体" w:hint="default"/>
                <w:sz w:val="20"/>
                <w:szCs w:val="20"/>
              </w:rPr>
              <w:t>备</w:t>
            </w:r>
            <w:r>
              <w:rPr>
                <w:rFonts w:ascii="宋体" w:hAnsi="宋体" w:cs="宋体" w:eastAsia="宋体" w:hint="default"/>
                <w:spacing w:val="78"/>
                <w:sz w:val="20"/>
                <w:szCs w:val="20"/>
              </w:rPr>
              <w:t> </w:t>
            </w:r>
            <w:r>
              <w:rPr>
                <w:rFonts w:ascii="宋体" w:hAnsi="宋体" w:cs="宋体" w:eastAsia="宋体" w:hint="default"/>
                <w:sz w:val="20"/>
                <w:szCs w:val="20"/>
              </w:rPr>
              <w:t>的</w:t>
            </w:r>
          </w:p>
          <w:p>
            <w:pPr>
              <w:pStyle w:val="TableParagraph"/>
              <w:spacing w:line="260" w:lineRule="exact" w:before="24"/>
              <w:ind w:left="26" w:right="24"/>
              <w:jc w:val="left"/>
              <w:rPr>
                <w:rFonts w:ascii="宋体" w:hAnsi="宋体" w:cs="宋体" w:eastAsia="宋体" w:hint="default"/>
                <w:sz w:val="20"/>
                <w:szCs w:val="20"/>
              </w:rPr>
            </w:pPr>
            <w:r>
              <w:rPr>
                <w:rFonts w:ascii="宋体" w:hAnsi="宋体" w:cs="宋体" w:eastAsia="宋体" w:hint="default"/>
                <w:sz w:val="20"/>
                <w:szCs w:val="20"/>
              </w:rPr>
              <w:t>应</w:t>
            </w:r>
            <w:r>
              <w:rPr>
                <w:rFonts w:ascii="宋体" w:hAnsi="宋体" w:cs="宋体" w:eastAsia="宋体" w:hint="default"/>
                <w:spacing w:val="78"/>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账款</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sz w:val="20"/>
              </w:rPr>
              <w:t>222,561,945.05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6"/>
              <w:jc w:val="right"/>
              <w:rPr>
                <w:rFonts w:ascii="宋体" w:hAnsi="宋体" w:cs="宋体" w:eastAsia="宋体" w:hint="default"/>
                <w:sz w:val="20"/>
                <w:szCs w:val="20"/>
              </w:rPr>
            </w:pPr>
            <w:r>
              <w:rPr>
                <w:rFonts w:ascii="宋体"/>
                <w:w w:val="95"/>
                <w:sz w:val="20"/>
              </w:rPr>
              <w:t>91.88</w:t>
            </w:r>
            <w:r>
              <w:rPr>
                <w:rFonts w:ascii="宋体"/>
                <w:sz w:val="20"/>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0"/>
                <w:szCs w:val="20"/>
              </w:rPr>
            </w:pPr>
            <w:r>
              <w:rPr>
                <w:rFonts w:ascii="宋体"/>
                <w:sz w:val="20"/>
              </w:rPr>
              <w:t>28,440,562.40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6"/>
              <w:jc w:val="right"/>
              <w:rPr>
                <w:rFonts w:ascii="宋体" w:hAnsi="宋体" w:cs="宋体" w:eastAsia="宋体" w:hint="default"/>
                <w:sz w:val="20"/>
                <w:szCs w:val="20"/>
              </w:rPr>
            </w:pPr>
            <w:r>
              <w:rPr>
                <w:rFonts w:ascii="宋体"/>
                <w:w w:val="95"/>
                <w:sz w:val="20"/>
              </w:rPr>
              <w:t>12.78</w:t>
            </w:r>
            <w:r>
              <w:rPr>
                <w:rFonts w:ascii="宋体"/>
                <w:sz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3"/>
              <w:jc w:val="center"/>
              <w:rPr>
                <w:rFonts w:ascii="宋体" w:hAnsi="宋体" w:cs="宋体" w:eastAsia="宋体" w:hint="default"/>
                <w:sz w:val="20"/>
                <w:szCs w:val="20"/>
              </w:rPr>
            </w:pPr>
            <w:r>
              <w:rPr>
                <w:rFonts w:ascii="宋体"/>
                <w:sz w:val="20"/>
              </w:rPr>
              <w:t>194,121,382.65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7"/>
              <w:jc w:val="right"/>
              <w:rPr>
                <w:rFonts w:ascii="宋体" w:hAnsi="宋体" w:cs="宋体" w:eastAsia="宋体" w:hint="default"/>
                <w:sz w:val="20"/>
                <w:szCs w:val="20"/>
              </w:rPr>
            </w:pPr>
            <w:r>
              <w:rPr>
                <w:rFonts w:ascii="宋体"/>
                <w:w w:val="95"/>
                <w:sz w:val="20"/>
              </w:rPr>
              <w:t>157,732,234.26</w:t>
            </w:r>
            <w:r>
              <w:rPr>
                <w:rFonts w:ascii="宋体"/>
                <w:sz w:val="20"/>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20"/>
                <w:szCs w:val="20"/>
              </w:rPr>
            </w:pPr>
            <w:r>
              <w:rPr>
                <w:rFonts w:ascii="宋体"/>
                <w:w w:val="95"/>
                <w:sz w:val="20"/>
              </w:rPr>
              <w:t>99.29</w:t>
            </w:r>
            <w:r>
              <w:rPr>
                <w:rFonts w:ascii="宋体"/>
                <w:sz w:val="20"/>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5"/>
              <w:jc w:val="right"/>
              <w:rPr>
                <w:rFonts w:ascii="宋体" w:hAnsi="宋体" w:cs="宋体" w:eastAsia="宋体" w:hint="default"/>
                <w:sz w:val="20"/>
                <w:szCs w:val="20"/>
              </w:rPr>
            </w:pPr>
            <w:r>
              <w:rPr>
                <w:rFonts w:ascii="宋体"/>
                <w:w w:val="95"/>
                <w:sz w:val="20"/>
              </w:rPr>
              <w:t>24,143,021.21</w:t>
            </w:r>
            <w:r>
              <w:rPr>
                <w:rFonts w:ascii="宋体"/>
                <w:sz w:val="20"/>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6"/>
              <w:jc w:val="right"/>
              <w:rPr>
                <w:rFonts w:ascii="宋体" w:hAnsi="宋体" w:cs="宋体" w:eastAsia="宋体" w:hint="default"/>
                <w:sz w:val="20"/>
                <w:szCs w:val="20"/>
              </w:rPr>
            </w:pPr>
            <w:r>
              <w:rPr>
                <w:rFonts w:ascii="宋体"/>
                <w:w w:val="95"/>
                <w:sz w:val="20"/>
              </w:rPr>
              <w:t>15.31</w:t>
            </w:r>
            <w:r>
              <w:rPr>
                <w:rFonts w:ascii="宋体"/>
                <w:sz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3"/>
              <w:jc w:val="center"/>
              <w:rPr>
                <w:rFonts w:ascii="宋体" w:hAnsi="宋体" w:cs="宋体" w:eastAsia="宋体" w:hint="default"/>
                <w:sz w:val="20"/>
                <w:szCs w:val="20"/>
              </w:rPr>
            </w:pPr>
            <w:r>
              <w:rPr>
                <w:rFonts w:ascii="宋体"/>
                <w:sz w:val="20"/>
              </w:rPr>
              <w:t>133,589,213.05</w:t>
            </w:r>
          </w:p>
        </w:tc>
      </w:tr>
      <w:tr>
        <w:trPr>
          <w:trHeight w:val="2864"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单</w:t>
            </w:r>
            <w:r>
              <w:rPr>
                <w:rFonts w:ascii="宋体" w:hAnsi="宋体" w:cs="宋体" w:eastAsia="宋体" w:hint="default"/>
                <w:spacing w:val="78"/>
                <w:sz w:val="20"/>
                <w:szCs w:val="20"/>
              </w:rPr>
              <w:t> </w:t>
            </w:r>
            <w:r>
              <w:rPr>
                <w:rFonts w:ascii="宋体" w:hAnsi="宋体" w:cs="宋体" w:eastAsia="宋体" w:hint="default"/>
                <w:sz w:val="20"/>
                <w:szCs w:val="20"/>
              </w:rPr>
              <w:t>项</w:t>
            </w:r>
          </w:p>
          <w:p>
            <w:pPr>
              <w:pStyle w:val="TableParagraph"/>
              <w:spacing w:line="259" w:lineRule="exact"/>
              <w:ind w:left="26" w:right="0"/>
              <w:jc w:val="left"/>
              <w:rPr>
                <w:rFonts w:ascii="宋体" w:hAnsi="宋体" w:cs="宋体" w:eastAsia="宋体" w:hint="default"/>
                <w:sz w:val="20"/>
                <w:szCs w:val="20"/>
              </w:rPr>
            </w:pPr>
            <w:r>
              <w:rPr>
                <w:rFonts w:ascii="宋体" w:hAnsi="宋体" w:cs="宋体" w:eastAsia="宋体" w:hint="default"/>
                <w:sz w:val="20"/>
                <w:szCs w:val="20"/>
              </w:rPr>
              <w:t>金</w:t>
            </w:r>
            <w:r>
              <w:rPr>
                <w:rFonts w:ascii="宋体" w:hAnsi="宋体" w:cs="宋体" w:eastAsia="宋体" w:hint="default"/>
                <w:spacing w:val="78"/>
                <w:sz w:val="20"/>
                <w:szCs w:val="20"/>
              </w:rPr>
              <w:t> </w:t>
            </w:r>
            <w:r>
              <w:rPr>
                <w:rFonts w:ascii="宋体" w:hAnsi="宋体" w:cs="宋体" w:eastAsia="宋体" w:hint="default"/>
                <w:sz w:val="20"/>
                <w:szCs w:val="20"/>
              </w:rPr>
              <w:t>额</w:t>
            </w:r>
          </w:p>
          <w:p>
            <w:pPr>
              <w:pStyle w:val="TableParagraph"/>
              <w:spacing w:line="259" w:lineRule="exact"/>
              <w:ind w:left="26" w:right="0"/>
              <w:jc w:val="left"/>
              <w:rPr>
                <w:rFonts w:ascii="宋体" w:hAnsi="宋体" w:cs="宋体" w:eastAsia="宋体" w:hint="default"/>
                <w:sz w:val="20"/>
                <w:szCs w:val="20"/>
              </w:rPr>
            </w:pPr>
            <w:r>
              <w:rPr>
                <w:rFonts w:ascii="宋体" w:hAnsi="宋体" w:cs="宋体" w:eastAsia="宋体" w:hint="default"/>
                <w:sz w:val="20"/>
                <w:szCs w:val="20"/>
              </w:rPr>
              <w:t>不</w:t>
            </w:r>
            <w:r>
              <w:rPr>
                <w:rFonts w:ascii="宋体" w:hAnsi="宋体" w:cs="宋体" w:eastAsia="宋体" w:hint="default"/>
                <w:spacing w:val="78"/>
                <w:sz w:val="20"/>
                <w:szCs w:val="20"/>
              </w:rPr>
              <w:t> </w:t>
            </w:r>
            <w:r>
              <w:rPr>
                <w:rFonts w:ascii="宋体" w:hAnsi="宋体" w:cs="宋体" w:eastAsia="宋体" w:hint="default"/>
                <w:sz w:val="20"/>
                <w:szCs w:val="20"/>
              </w:rPr>
              <w:t>重</w:t>
            </w:r>
          </w:p>
          <w:p>
            <w:pPr>
              <w:pStyle w:val="TableParagraph"/>
              <w:spacing w:line="259" w:lineRule="exact"/>
              <w:ind w:left="26" w:right="0"/>
              <w:jc w:val="left"/>
              <w:rPr>
                <w:rFonts w:ascii="宋体" w:hAnsi="宋体" w:cs="宋体" w:eastAsia="宋体" w:hint="default"/>
                <w:sz w:val="20"/>
                <w:szCs w:val="20"/>
              </w:rPr>
            </w:pPr>
            <w:r>
              <w:rPr>
                <w:rFonts w:ascii="宋体" w:hAnsi="宋体" w:cs="宋体" w:eastAsia="宋体" w:hint="default"/>
                <w:sz w:val="20"/>
                <w:szCs w:val="20"/>
              </w:rPr>
              <w:t>大</w:t>
            </w:r>
            <w:r>
              <w:rPr>
                <w:rFonts w:ascii="宋体" w:hAnsi="宋体" w:cs="宋体" w:eastAsia="宋体" w:hint="default"/>
                <w:spacing w:val="78"/>
                <w:sz w:val="20"/>
                <w:szCs w:val="20"/>
              </w:rPr>
              <w:t> </w:t>
            </w:r>
            <w:r>
              <w:rPr>
                <w:rFonts w:ascii="宋体" w:hAnsi="宋体" w:cs="宋体" w:eastAsia="宋体" w:hint="default"/>
                <w:sz w:val="20"/>
                <w:szCs w:val="20"/>
              </w:rPr>
              <w:t>但</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单</w:t>
            </w:r>
            <w:r>
              <w:rPr>
                <w:rFonts w:ascii="宋体" w:hAnsi="宋体" w:cs="宋体" w:eastAsia="宋体" w:hint="default"/>
                <w:spacing w:val="78"/>
                <w:sz w:val="20"/>
                <w:szCs w:val="20"/>
              </w:rPr>
              <w:t> </w:t>
            </w:r>
            <w:r>
              <w:rPr>
                <w:rFonts w:ascii="宋体" w:hAnsi="宋体" w:cs="宋体" w:eastAsia="宋体" w:hint="default"/>
                <w:sz w:val="20"/>
                <w:szCs w:val="20"/>
              </w:rPr>
              <w:t>独</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计</w:t>
            </w:r>
            <w:r>
              <w:rPr>
                <w:rFonts w:ascii="宋体" w:hAnsi="宋体" w:cs="宋体" w:eastAsia="宋体" w:hint="default"/>
                <w:spacing w:val="78"/>
                <w:sz w:val="20"/>
                <w:szCs w:val="20"/>
              </w:rPr>
              <w:t> </w:t>
            </w:r>
            <w:r>
              <w:rPr>
                <w:rFonts w:ascii="宋体" w:hAnsi="宋体" w:cs="宋体" w:eastAsia="宋体" w:hint="default"/>
                <w:sz w:val="20"/>
                <w:szCs w:val="20"/>
              </w:rPr>
              <w:t>提</w:t>
            </w:r>
          </w:p>
          <w:p>
            <w:pPr>
              <w:pStyle w:val="TableParagraph"/>
              <w:spacing w:line="259" w:lineRule="exact"/>
              <w:ind w:left="26" w:right="0"/>
              <w:jc w:val="left"/>
              <w:rPr>
                <w:rFonts w:ascii="宋体" w:hAnsi="宋体" w:cs="宋体" w:eastAsia="宋体" w:hint="default"/>
                <w:sz w:val="20"/>
                <w:szCs w:val="20"/>
              </w:rPr>
            </w:pPr>
            <w:r>
              <w:rPr>
                <w:rFonts w:ascii="宋体" w:hAnsi="宋体" w:cs="宋体" w:eastAsia="宋体" w:hint="default"/>
                <w:sz w:val="20"/>
                <w:szCs w:val="20"/>
              </w:rPr>
              <w:t>坏</w:t>
            </w:r>
            <w:r>
              <w:rPr>
                <w:rFonts w:ascii="宋体" w:hAnsi="宋体" w:cs="宋体" w:eastAsia="宋体" w:hint="default"/>
                <w:spacing w:val="78"/>
                <w:sz w:val="20"/>
                <w:szCs w:val="20"/>
              </w:rPr>
              <w:t> </w:t>
            </w:r>
            <w:r>
              <w:rPr>
                <w:rFonts w:ascii="宋体" w:hAnsi="宋体" w:cs="宋体" w:eastAsia="宋体" w:hint="default"/>
                <w:sz w:val="20"/>
                <w:szCs w:val="20"/>
              </w:rPr>
              <w:t>账</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准</w:t>
            </w:r>
            <w:r>
              <w:rPr>
                <w:rFonts w:ascii="宋体" w:hAnsi="宋体" w:cs="宋体" w:eastAsia="宋体" w:hint="default"/>
                <w:spacing w:val="78"/>
                <w:sz w:val="20"/>
                <w:szCs w:val="20"/>
              </w:rPr>
              <w:t> </w:t>
            </w:r>
            <w:r>
              <w:rPr>
                <w:rFonts w:ascii="宋体" w:hAnsi="宋体" w:cs="宋体" w:eastAsia="宋体" w:hint="default"/>
                <w:sz w:val="20"/>
                <w:szCs w:val="20"/>
              </w:rPr>
              <w:t>备</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的</w:t>
            </w:r>
            <w:r>
              <w:rPr>
                <w:rFonts w:ascii="宋体" w:hAnsi="宋体" w:cs="宋体" w:eastAsia="宋体" w:hint="default"/>
                <w:spacing w:val="78"/>
                <w:sz w:val="20"/>
                <w:szCs w:val="20"/>
              </w:rPr>
              <w:t> </w:t>
            </w:r>
            <w:r>
              <w:rPr>
                <w:rFonts w:ascii="宋体" w:hAnsi="宋体" w:cs="宋体" w:eastAsia="宋体" w:hint="default"/>
                <w:sz w:val="20"/>
                <w:szCs w:val="20"/>
              </w:rPr>
              <w:t>应</w:t>
            </w:r>
          </w:p>
          <w:p>
            <w:pPr>
              <w:pStyle w:val="TableParagraph"/>
              <w:spacing w:line="260" w:lineRule="exact" w:before="24"/>
              <w:ind w:left="26" w:right="24"/>
              <w:jc w:val="left"/>
              <w:rPr>
                <w:rFonts w:ascii="宋体" w:hAnsi="宋体" w:cs="宋体" w:eastAsia="宋体" w:hint="default"/>
                <w:sz w:val="20"/>
                <w:szCs w:val="20"/>
              </w:rPr>
            </w:pPr>
            <w:r>
              <w:rPr>
                <w:rFonts w:ascii="宋体" w:hAnsi="宋体" w:cs="宋体" w:eastAsia="宋体" w:hint="default"/>
                <w:sz w:val="20"/>
                <w:szCs w:val="20"/>
              </w:rPr>
              <w:t>收</w:t>
            </w:r>
            <w:r>
              <w:rPr>
                <w:rFonts w:ascii="宋体" w:hAnsi="宋体" w:cs="宋体" w:eastAsia="宋体" w:hint="default"/>
                <w:spacing w:val="78"/>
                <w:sz w:val="20"/>
                <w:szCs w:val="20"/>
              </w:rPr>
              <w:t> </w:t>
            </w:r>
            <w:r>
              <w:rPr>
                <w:rFonts w:ascii="宋体" w:hAnsi="宋体" w:cs="宋体" w:eastAsia="宋体" w:hint="default"/>
                <w:sz w:val="20"/>
                <w:szCs w:val="20"/>
              </w:rPr>
              <w:t>账</w:t>
            </w:r>
            <w:r>
              <w:rPr>
                <w:rFonts w:ascii="宋体" w:hAnsi="宋体" w:cs="宋体" w:eastAsia="宋体" w:hint="default"/>
                <w:w w:val="99"/>
                <w:sz w:val="20"/>
                <w:szCs w:val="20"/>
              </w:rPr>
              <w:t> </w:t>
            </w:r>
            <w:r>
              <w:rPr>
                <w:rFonts w:ascii="宋体" w:hAnsi="宋体" w:cs="宋体" w:eastAsia="宋体" w:hint="default"/>
                <w:sz w:val="20"/>
                <w:szCs w:val="20"/>
              </w:rPr>
              <w:t>款</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4" w:right="0"/>
              <w:jc w:val="center"/>
              <w:rPr>
                <w:rFonts w:ascii="宋体" w:hAnsi="宋体" w:cs="宋体" w:eastAsia="宋体" w:hint="default"/>
                <w:sz w:val="20"/>
                <w:szCs w:val="20"/>
              </w:rPr>
            </w:pPr>
            <w:r>
              <w:rPr>
                <w:rFonts w:ascii="宋体"/>
                <w:sz w:val="20"/>
              </w:rPr>
              <w:t>19,673,169.24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4"/>
              <w:jc w:val="right"/>
              <w:rPr>
                <w:rFonts w:ascii="宋体" w:hAnsi="宋体" w:cs="宋体" w:eastAsia="宋体" w:hint="default"/>
                <w:sz w:val="20"/>
                <w:szCs w:val="20"/>
              </w:rPr>
            </w:pPr>
            <w:r>
              <w:rPr>
                <w:rFonts w:ascii="宋体"/>
                <w:sz w:val="20"/>
              </w:rPr>
              <w:t>8.12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0"/>
                <w:szCs w:val="20"/>
              </w:rPr>
            </w:pPr>
            <w:r>
              <w:rPr>
                <w:rFonts w:ascii="宋体"/>
                <w:sz w:val="20"/>
              </w:rPr>
              <w:t>19,673,169.24</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4"/>
              <w:jc w:val="right"/>
              <w:rPr>
                <w:rFonts w:ascii="宋体" w:hAnsi="宋体" w:cs="宋体" w:eastAsia="宋体" w:hint="default"/>
                <w:sz w:val="20"/>
                <w:szCs w:val="20"/>
              </w:rPr>
            </w:pPr>
            <w:r>
              <w:rPr>
                <w:rFonts w:ascii="宋体"/>
                <w:sz w:val="20"/>
              </w:rPr>
              <w:t>100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7"/>
              <w:jc w:val="right"/>
              <w:rPr>
                <w:rFonts w:ascii="宋体" w:hAnsi="宋体" w:cs="宋体" w:eastAsia="宋体" w:hint="default"/>
                <w:sz w:val="20"/>
                <w:szCs w:val="20"/>
              </w:rPr>
            </w:pPr>
            <w:r>
              <w:rPr>
                <w:rFonts w:ascii="宋体"/>
                <w:w w:val="95"/>
                <w:sz w:val="20"/>
              </w:rPr>
              <w:t>1,122,500.00</w:t>
            </w:r>
            <w:r>
              <w:rPr>
                <w:rFonts w:ascii="宋体"/>
                <w:sz w:val="20"/>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3"/>
              <w:jc w:val="right"/>
              <w:rPr>
                <w:rFonts w:ascii="宋体" w:hAnsi="宋体" w:cs="宋体" w:eastAsia="宋体" w:hint="default"/>
                <w:sz w:val="20"/>
                <w:szCs w:val="20"/>
              </w:rPr>
            </w:pPr>
            <w:r>
              <w:rPr>
                <w:rFonts w:ascii="宋体"/>
                <w:sz w:val="20"/>
              </w:rPr>
              <w:t>0.71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5"/>
              <w:jc w:val="right"/>
              <w:rPr>
                <w:rFonts w:ascii="宋体" w:hAnsi="宋体" w:cs="宋体" w:eastAsia="宋体" w:hint="default"/>
                <w:sz w:val="20"/>
                <w:szCs w:val="20"/>
              </w:rPr>
            </w:pPr>
            <w:r>
              <w:rPr>
                <w:rFonts w:ascii="宋体"/>
                <w:w w:val="95"/>
                <w:sz w:val="20"/>
              </w:rPr>
              <w:t>1,122,500.00</w:t>
            </w:r>
            <w:r>
              <w:rPr>
                <w:rFonts w:ascii="宋体"/>
                <w:sz w:val="20"/>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4"/>
              <w:jc w:val="right"/>
              <w:rPr>
                <w:rFonts w:ascii="宋体" w:hAnsi="宋体" w:cs="宋体" w:eastAsia="宋体" w:hint="default"/>
                <w:sz w:val="20"/>
                <w:szCs w:val="20"/>
              </w:rPr>
            </w:pPr>
            <w:r>
              <w:rPr>
                <w:rFonts w:ascii="宋体"/>
                <w:sz w:val="20"/>
              </w:rPr>
              <w:t>100</w:t>
            </w: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242,235,114.29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9"/>
              <w:jc w:val="right"/>
              <w:rPr>
                <w:rFonts w:ascii="宋体" w:hAnsi="宋体" w:cs="宋体" w:eastAsia="宋体" w:hint="default"/>
                <w:sz w:val="20"/>
                <w:szCs w:val="20"/>
              </w:rPr>
            </w:pPr>
            <w:r>
              <w:rPr>
                <w:rFonts w:ascii="宋体"/>
                <w:w w:val="99"/>
                <w:sz w:val="20"/>
              </w:rPr>
              <w:t>/</w:t>
            </w:r>
            <w:r>
              <w:rPr>
                <w:rFonts w:ascii="宋体"/>
                <w:sz w:val="20"/>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sz w:val="20"/>
              </w:rPr>
              <w:t>48,113,731.64</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9"/>
              <w:jc w:val="right"/>
              <w:rPr>
                <w:rFonts w:ascii="宋体" w:hAnsi="宋体" w:cs="宋体" w:eastAsia="宋体" w:hint="default"/>
                <w:sz w:val="20"/>
                <w:szCs w:val="20"/>
              </w:rPr>
            </w:pPr>
            <w:r>
              <w:rPr>
                <w:rFonts w:ascii="宋体"/>
                <w:w w:val="99"/>
                <w:sz w:val="20"/>
              </w:rPr>
              <w:t>/</w:t>
            </w:r>
            <w:r>
              <w:rPr>
                <w:rFonts w:ascii="宋体"/>
                <w:sz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
              <w:jc w:val="center"/>
              <w:rPr>
                <w:rFonts w:ascii="宋体" w:hAnsi="宋体" w:cs="宋体" w:eastAsia="宋体" w:hint="default"/>
                <w:sz w:val="20"/>
                <w:szCs w:val="20"/>
              </w:rPr>
            </w:pPr>
            <w:r>
              <w:rPr>
                <w:rFonts w:ascii="宋体"/>
                <w:sz w:val="20"/>
              </w:rPr>
              <w:t>194,121,382.65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7"/>
              <w:jc w:val="right"/>
              <w:rPr>
                <w:rFonts w:ascii="宋体" w:hAnsi="宋体" w:cs="宋体" w:eastAsia="宋体" w:hint="default"/>
                <w:sz w:val="20"/>
                <w:szCs w:val="20"/>
              </w:rPr>
            </w:pPr>
            <w:r>
              <w:rPr>
                <w:rFonts w:ascii="宋体"/>
                <w:w w:val="95"/>
                <w:sz w:val="20"/>
              </w:rPr>
              <w:t>158,854,734.26</w:t>
            </w:r>
            <w:r>
              <w:rPr>
                <w:rFonts w:ascii="宋体"/>
                <w:sz w:val="20"/>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9"/>
                <w:sz w:val="20"/>
              </w:rPr>
              <w:t>/</w:t>
            </w:r>
            <w:r>
              <w:rPr>
                <w:rFonts w:ascii="宋体"/>
                <w:sz w:val="20"/>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5"/>
              <w:jc w:val="right"/>
              <w:rPr>
                <w:rFonts w:ascii="宋体" w:hAnsi="宋体" w:cs="宋体" w:eastAsia="宋体" w:hint="default"/>
                <w:sz w:val="20"/>
                <w:szCs w:val="20"/>
              </w:rPr>
            </w:pPr>
            <w:r>
              <w:rPr>
                <w:rFonts w:ascii="宋体"/>
                <w:w w:val="95"/>
                <w:sz w:val="20"/>
              </w:rPr>
              <w:t>25,265,521.21</w:t>
            </w:r>
            <w:r>
              <w:rPr>
                <w:rFonts w:ascii="宋体"/>
                <w:sz w:val="20"/>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9"/>
              <w:jc w:val="right"/>
              <w:rPr>
                <w:rFonts w:ascii="宋体" w:hAnsi="宋体" w:cs="宋体" w:eastAsia="宋体" w:hint="default"/>
                <w:sz w:val="20"/>
                <w:szCs w:val="20"/>
              </w:rPr>
            </w:pPr>
            <w:r>
              <w:rPr>
                <w:rFonts w:ascii="宋体"/>
                <w:w w:val="99"/>
                <w:sz w:val="20"/>
              </w:rPr>
              <w:t>/</w:t>
            </w:r>
            <w:r>
              <w:rPr>
                <w:rFonts w:ascii="宋体"/>
                <w:sz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
              <w:jc w:val="center"/>
              <w:rPr>
                <w:rFonts w:ascii="宋体" w:hAnsi="宋体" w:cs="宋体" w:eastAsia="宋体" w:hint="default"/>
                <w:sz w:val="20"/>
                <w:szCs w:val="20"/>
              </w:rPr>
            </w:pPr>
            <w:r>
              <w:rPr>
                <w:rFonts w:ascii="宋体"/>
                <w:sz w:val="20"/>
              </w:rPr>
              <w:t>133,589,213.05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20" w:right="80"/>
        </w:sectPr>
      </w:pPr>
    </w:p>
    <w:p>
      <w:pPr>
        <w:pStyle w:val="BodyText"/>
        <w:spacing w:line="240" w:lineRule="auto" w:before="36"/>
        <w:ind w:left="1678" w:right="0"/>
        <w:jc w:val="left"/>
      </w:pPr>
      <w:r>
        <w:rPr>
          <w:spacing w:val="-2"/>
        </w:rPr>
        <w:t>期末单项金额重大并单项计提坏账准备的应收账款：</w:t>
      </w:r>
    </w:p>
    <w:p>
      <w:pPr>
        <w:pStyle w:val="BodyText"/>
        <w:spacing w:line="290" w:lineRule="auto" w:before="56"/>
        <w:ind w:left="1678" w:right="0"/>
        <w:jc w:val="left"/>
      </w:pPr>
      <w:r>
        <w:rPr/>
        <w:t>□适用√不适用</w:t>
      </w:r>
      <w:r>
        <w:rPr>
          <w:w w:val="100"/>
        </w:rPr>
        <w:t> </w:t>
      </w:r>
      <w:r>
        <w:rPr>
          <w:spacing w:val="-2"/>
        </w:rPr>
        <w:t>组合中，按账龄分析法计提坏账准备的应收账款：</w:t>
      </w:r>
    </w:p>
    <w:p>
      <w:pPr>
        <w:pStyle w:val="BodyText"/>
        <w:spacing w:line="240" w:lineRule="auto" w:before="12"/>
        <w:ind w:left="16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2698" w:val="left" w:leader="none"/>
        </w:tabs>
        <w:spacing w:line="240" w:lineRule="auto"/>
        <w:ind w:left="1647" w:right="0"/>
        <w:jc w:val="left"/>
      </w:pPr>
      <w:r>
        <w:rPr>
          <w:spacing w:val="-1"/>
        </w:rPr>
        <w:t>单位：元</w:t>
        <w:tab/>
      </w:r>
      <w:r>
        <w:rPr>
          <w:spacing w:val="-2"/>
        </w:rPr>
        <w:t>币种：人民币</w:t>
      </w:r>
    </w:p>
    <w:p>
      <w:pPr>
        <w:spacing w:after="0" w:line="240" w:lineRule="auto"/>
        <w:jc w:val="left"/>
        <w:sectPr>
          <w:type w:val="continuous"/>
          <w:pgSz w:w="11910" w:h="16840"/>
          <w:pgMar w:top="1120" w:bottom="1380" w:left="120" w:right="80"/>
          <w:cols w:num="2" w:equalWidth="0">
            <w:col w:w="6513" w:space="40"/>
            <w:col w:w="5157"/>
          </w:cols>
        </w:sectPr>
      </w:pPr>
    </w:p>
    <w:p>
      <w:pPr>
        <w:spacing w:line="240" w:lineRule="auto" w:before="4"/>
        <w:rPr>
          <w:rFonts w:ascii="宋体" w:hAnsi="宋体" w:cs="宋体" w:eastAsia="宋体" w:hint="default"/>
          <w:sz w:val="2"/>
          <w:szCs w:val="2"/>
        </w:rPr>
      </w:pPr>
    </w:p>
    <w:tbl>
      <w:tblPr>
        <w:tblW w:w="0" w:type="auto"/>
        <w:jc w:val="left"/>
        <w:tblInd w:w="1565" w:type="dxa"/>
        <w:tblLayout w:type="fixed"/>
        <w:tblCellMar>
          <w:top w:w="0" w:type="dxa"/>
          <w:left w:w="0" w:type="dxa"/>
          <w:bottom w:w="0" w:type="dxa"/>
          <w:right w:w="0" w:type="dxa"/>
        </w:tblCellMar>
        <w:tblLook w:val="01E0"/>
      </w:tblPr>
      <w:tblGrid>
        <w:gridCol w:w="2674"/>
        <w:gridCol w:w="2165"/>
        <w:gridCol w:w="2114"/>
        <w:gridCol w:w="2096"/>
      </w:tblGrid>
      <w:tr>
        <w:trPr>
          <w:trHeight w:val="310"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sz w:val="21"/>
              </w:rPr>
              <w:t>189,179,746.80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sz w:val="21"/>
              </w:rPr>
              <w:t>9,458,987.34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w:t>
            </w:r>
          </w:p>
        </w:tc>
      </w:tr>
    </w:tbl>
    <w:p>
      <w:pPr>
        <w:spacing w:after="0" w:line="241" w:lineRule="exact"/>
        <w:jc w:val="right"/>
        <w:rPr>
          <w:rFonts w:ascii="宋体" w:hAnsi="宋体" w:cs="宋体" w:eastAsia="宋体" w:hint="default"/>
          <w:sz w:val="21"/>
          <w:szCs w:val="21"/>
        </w:rPr>
        <w:sectPr>
          <w:type w:val="continuous"/>
          <w:pgSz w:w="11910" w:h="16840"/>
          <w:pgMar w:top="1120" w:bottom="1380" w:left="120" w:right="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189,179,746.80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9,458,987.34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11,129,304.22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1,112,930.42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3,008,754.51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902,626.35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16,966,018.29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16,966,018.29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220,283,823.82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28,440,562.40</w:t>
            </w:r>
          </w:p>
        </w:tc>
        <w:tc>
          <w:tcPr>
            <w:tcW w:w="20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2940"/>
        <w:jc w:val="left"/>
      </w:pPr>
      <w:r>
        <w:rPr/>
        <w:t>确定该组合依据的说明：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right="2940"/>
        <w:jc w:val="left"/>
      </w:pPr>
      <w:r>
        <w:rPr/>
        <w:t>组合中，采用余额百分比法计提坏账准备的应收账款：</w:t>
      </w:r>
    </w:p>
    <w:p>
      <w:pPr>
        <w:pStyle w:val="BodyText"/>
        <w:spacing w:line="240" w:lineRule="auto" w:before="56"/>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90" w:lineRule="auto"/>
        <w:ind w:left="638" w:right="2940" w:hanging="420"/>
        <w:jc w:val="left"/>
      </w:pPr>
      <w:r>
        <w:rPr>
          <w:spacing w:val="-2"/>
        </w:rPr>
        <w:t>组合中，采用其他方法计提坏账准备的应收账款：</w:t>
      </w:r>
      <w:r>
        <w:rPr>
          <w:spacing w:val="-62"/>
        </w:rPr>
        <w:t> </w:t>
      </w:r>
      <w:r>
        <w:rPr>
          <w:spacing w:val="-62"/>
        </w:rPr>
      </w:r>
      <w:r>
        <w:rPr>
          <w:rFonts w:ascii="宋体" w:hAnsi="宋体" w:cs="宋体" w:eastAsia="宋体" w:hint="default"/>
        </w:rPr>
        <w:t>1</w:t>
      </w:r>
      <w:r>
        <w:rPr/>
        <w:t>）组合中，合并范围内应收款项组合</w:t>
      </w:r>
    </w:p>
    <w:tbl>
      <w:tblPr>
        <w:tblW w:w="0" w:type="auto"/>
        <w:jc w:val="left"/>
        <w:tblInd w:w="105" w:type="dxa"/>
        <w:tblLayout w:type="fixed"/>
        <w:tblCellMar>
          <w:top w:w="0" w:type="dxa"/>
          <w:left w:w="0" w:type="dxa"/>
          <w:bottom w:w="0" w:type="dxa"/>
          <w:right w:w="0" w:type="dxa"/>
        </w:tblCellMar>
        <w:tblLook w:val="01E0"/>
      </w:tblPr>
      <w:tblGrid>
        <w:gridCol w:w="2264"/>
        <w:gridCol w:w="2261"/>
        <w:gridCol w:w="1822"/>
        <w:gridCol w:w="2693"/>
      </w:tblGrid>
      <w:tr>
        <w:trPr>
          <w:trHeight w:val="38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70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7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8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41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香港恒生</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21"/>
                <w:szCs w:val="21"/>
              </w:rPr>
            </w:pPr>
            <w:r>
              <w:rPr>
                <w:rFonts w:ascii="宋体"/>
                <w:spacing w:val="-1"/>
                <w:sz w:val="21"/>
              </w:rPr>
              <w:t>164,401.46</w:t>
            </w:r>
          </w:p>
        </w:tc>
        <w:tc>
          <w:tcPr>
            <w:tcW w:w="182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经单独测试，未发现减值</w:t>
            </w:r>
          </w:p>
        </w:tc>
      </w:tr>
      <w:tr>
        <w:trPr>
          <w:trHeight w:val="42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恒生云融</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2,113,719.77</w:t>
            </w:r>
          </w:p>
        </w:tc>
        <w:tc>
          <w:tcPr>
            <w:tcW w:w="182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经单独测试，未发现减值</w:t>
            </w:r>
          </w:p>
        </w:tc>
      </w:tr>
      <w:tr>
        <w:trPr>
          <w:trHeight w:val="43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spacing w:val="-1"/>
                <w:sz w:val="21"/>
              </w:rPr>
              <w:t>2,278,121.23</w:t>
            </w:r>
          </w:p>
        </w:tc>
        <w:tc>
          <w:tcPr>
            <w:tcW w:w="182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4"/>
          <w:szCs w:val="14"/>
        </w:rPr>
      </w:pPr>
    </w:p>
    <w:p>
      <w:pPr>
        <w:pStyle w:val="BodyText"/>
        <w:spacing w:line="240" w:lineRule="auto" w:before="36"/>
        <w:ind w:left="638" w:right="2940"/>
        <w:jc w:val="left"/>
      </w:pPr>
      <w:r>
        <w:rPr>
          <w:rFonts w:ascii="宋体" w:hAnsi="宋体" w:cs="宋体" w:eastAsia="宋体" w:hint="default"/>
        </w:rPr>
        <w:t>2</w:t>
      </w:r>
      <w:r>
        <w:rPr/>
        <w:t>）单项金额不重大但单项计提坏账准备的应收账款</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810"/>
        <w:gridCol w:w="1810"/>
        <w:gridCol w:w="1810"/>
        <w:gridCol w:w="1810"/>
      </w:tblGrid>
      <w:tr>
        <w:trPr>
          <w:trHeight w:val="39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79" w:right="0"/>
              <w:jc w:val="left"/>
              <w:rPr>
                <w:rFonts w:ascii="宋体" w:hAnsi="宋体" w:cs="宋体" w:eastAsia="宋体" w:hint="default"/>
                <w:sz w:val="21"/>
                <w:szCs w:val="21"/>
              </w:rPr>
            </w:pPr>
            <w:r>
              <w:rPr>
                <w:rFonts w:ascii="宋体" w:hAnsi="宋体" w:cs="宋体" w:eastAsia="宋体" w:hint="default"/>
                <w:sz w:val="21"/>
                <w:szCs w:val="21"/>
              </w:rPr>
              <w:t>款项内容</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2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45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软件销售款</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18,773,169.24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pacing w:val="-1"/>
                <w:sz w:val="21"/>
              </w:rPr>
              <w:t>18,773,169.24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pacing w:val="-1"/>
                <w:sz w:val="21"/>
              </w:rPr>
              <w:t>100.00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北京特许经营权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交易所有限公司</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900,000.00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900,000.00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tabs>
                <w:tab w:pos="1005" w:val="left" w:leader="none"/>
              </w:tabs>
              <w:spacing w:line="240" w:lineRule="auto" w:before="47"/>
              <w:ind w:left="58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宋体" w:hAnsi="宋体" w:cs="宋体" w:eastAsia="宋体" w:hint="default"/>
                <w:sz w:val="21"/>
                <w:szCs w:val="21"/>
              </w:rPr>
            </w:pPr>
            <w:r>
              <w:rPr>
                <w:rFonts w:ascii="宋体"/>
                <w:spacing w:val="-1"/>
                <w:sz w:val="21"/>
              </w:rPr>
              <w:t>19,673,169.24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19,673,169.24</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left="638" w:right="227"/>
        <w:jc w:val="left"/>
      </w:pPr>
      <w:r>
        <w:rPr>
          <w:rFonts w:ascii="宋体" w:hAnsi="宋体" w:cs="宋体" w:eastAsia="宋体" w:hint="default"/>
        </w:rPr>
        <w:t>[</w:t>
      </w:r>
      <w:r>
        <w:rPr/>
        <w:t>注</w:t>
      </w:r>
      <w:r>
        <w:rPr>
          <w:rFonts w:ascii="宋体" w:hAnsi="宋体" w:cs="宋体" w:eastAsia="宋体" w:hint="default"/>
        </w:rPr>
        <w:t>]:</w:t>
      </w:r>
      <w:r>
        <w:rPr>
          <w:rFonts w:ascii="宋体" w:hAnsi="宋体" w:cs="宋体" w:eastAsia="宋体" w:hint="default"/>
          <w:spacing w:val="-4"/>
        </w:rPr>
        <w:t> </w:t>
      </w:r>
      <w:r>
        <w:rPr/>
        <w:t>预计无法收回，详见本财务报表附注十六之其他重要事项之说明。</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tabs>
          <w:tab w:pos="1057" w:val="left" w:leader="none"/>
        </w:tabs>
        <w:spacing w:line="240" w:lineRule="auto" w:before="0"/>
        <w:ind w:left="359" w:right="2940"/>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7"/>
        <w:ind w:left="638" w:right="227"/>
        <w:jc w:val="left"/>
      </w:pPr>
      <w:r>
        <w:rPr/>
        <w:t>本期计提坏账准备金额</w:t>
      </w:r>
      <w:r>
        <w:rPr>
          <w:spacing w:val="-54"/>
        </w:rPr>
        <w:t> </w:t>
      </w:r>
      <w:r>
        <w:rPr>
          <w:rFonts w:ascii="宋体" w:hAnsi="宋体" w:cs="宋体" w:eastAsia="宋体" w:hint="default"/>
        </w:rPr>
        <w:t>22,848,210.43</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spacing w:line="240" w:lineRule="auto" w:before="0"/>
        <w:rPr>
          <w:rFonts w:ascii="宋体" w:hAnsi="宋体" w:cs="宋体" w:eastAsia="宋体" w:hint="default"/>
          <w:sz w:val="20"/>
          <w:szCs w:val="20"/>
        </w:rPr>
      </w:pPr>
    </w:p>
    <w:p>
      <w:pPr>
        <w:pStyle w:val="BodyText"/>
        <w:spacing w:line="274" w:lineRule="exact" w:before="145"/>
        <w:ind w:right="2940"/>
        <w:jc w:val="left"/>
      </w:pPr>
      <w:r>
        <w:rPr/>
        <w:t>其中本期坏账准备收回或转回金额重要的：</w:t>
      </w:r>
    </w:p>
    <w:p>
      <w:pPr>
        <w:pStyle w:val="BodyText"/>
        <w:spacing w:line="274" w:lineRule="exact"/>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tabs>
          <w:tab w:pos="1057" w:val="left" w:leader="none"/>
        </w:tabs>
        <w:spacing w:line="240" w:lineRule="auto" w:before="0"/>
        <w:ind w:left="359" w:right="2940"/>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72" w:lineRule="exact" w:before="86"/>
        <w:ind w:right="5042"/>
        <w:jc w:val="left"/>
      </w:pPr>
      <w:r>
        <w:rPr/>
        <w:t>□适用</w:t>
      </w:r>
      <w:r>
        <w:rPr>
          <w:spacing w:val="-2"/>
        </w:rPr>
        <w:t> </w:t>
      </w:r>
      <w:r>
        <w:rPr/>
        <w:t>√不适用</w:t>
      </w:r>
      <w:r>
        <w:rPr>
          <w:w w:val="100"/>
        </w:rPr>
        <w:t> </w:t>
      </w:r>
      <w:r>
        <w:rPr>
          <w:spacing w:val="-2"/>
        </w:rPr>
        <w:t>其中重要的应收账款核销情况</w:t>
      </w:r>
    </w:p>
    <w:p>
      <w:pPr>
        <w:pStyle w:val="BodyText"/>
        <w:spacing w:line="249" w:lineRule="exact"/>
        <w:ind w:right="2940"/>
        <w:jc w:val="left"/>
      </w:pPr>
      <w:r>
        <w:rPr/>
        <w:t>□适用</w:t>
      </w:r>
      <w:r>
        <w:rPr>
          <w:spacing w:val="-1"/>
        </w:rPr>
        <w:t> </w:t>
      </w:r>
      <w:r>
        <w:rPr/>
        <w:t>√不适用</w:t>
      </w:r>
    </w:p>
    <w:p>
      <w:pPr>
        <w:spacing w:line="240" w:lineRule="auto" w:before="1"/>
        <w:rPr>
          <w:rFonts w:ascii="宋体" w:hAnsi="宋体" w:cs="宋体" w:eastAsia="宋体" w:hint="default"/>
          <w:sz w:val="25"/>
          <w:szCs w:val="25"/>
        </w:rPr>
      </w:pPr>
    </w:p>
    <w:p>
      <w:pPr>
        <w:pStyle w:val="Heading4"/>
        <w:tabs>
          <w:tab w:pos="1057" w:val="left" w:leader="none"/>
        </w:tabs>
        <w:spacing w:line="240" w:lineRule="auto" w:before="0"/>
        <w:ind w:left="359" w:right="2940"/>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459" w:type="dxa"/>
        <w:tblLayout w:type="fixed"/>
        <w:tblCellMar>
          <w:top w:w="0" w:type="dxa"/>
          <w:left w:w="0" w:type="dxa"/>
          <w:bottom w:w="0" w:type="dxa"/>
          <w:right w:w="0" w:type="dxa"/>
        </w:tblCellMar>
        <w:tblLook w:val="01E0"/>
      </w:tblPr>
      <w:tblGrid>
        <w:gridCol w:w="2264"/>
        <w:gridCol w:w="2261"/>
        <w:gridCol w:w="2264"/>
        <w:gridCol w:w="2264"/>
      </w:tblGrid>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0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0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11,673,410.00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583,670.50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8,216,750.00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410,837.50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5,065,660.00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253,283.00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4,769,500.00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1.97</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332,940.00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4,733,432.65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236,671.63</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34,458,752.65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1,817,402.63</w:t>
            </w:r>
          </w:p>
        </w:tc>
      </w:tr>
    </w:tbl>
    <w:p>
      <w:pPr>
        <w:spacing w:line="240" w:lineRule="auto" w:before="12"/>
        <w:rPr>
          <w:rFonts w:ascii="宋体" w:hAnsi="宋体" w:cs="宋体" w:eastAsia="宋体" w:hint="default"/>
          <w:b/>
          <w:bCs/>
          <w:sz w:val="19"/>
          <w:szCs w:val="19"/>
        </w:rPr>
      </w:pPr>
    </w:p>
    <w:p>
      <w:pPr>
        <w:pStyle w:val="Heading4"/>
        <w:tabs>
          <w:tab w:pos="2517" w:val="left" w:leader="none"/>
        </w:tabs>
        <w:spacing w:line="240" w:lineRule="auto"/>
        <w:ind w:left="1819" w:right="0"/>
        <w:jc w:val="left"/>
        <w:rPr>
          <w:b w:val="0"/>
          <w:bCs w:val="0"/>
        </w:rPr>
      </w:pPr>
      <w:r>
        <w:rPr>
          <w:rFonts w:ascii="宋体" w:hAnsi="宋体" w:cs="宋体" w:eastAsia="宋体" w:hint="default"/>
          <w:w w:val="95"/>
        </w:rPr>
        <w:t>(5).</w:t>
        <w:tab/>
      </w:r>
      <w:r>
        <w:rPr/>
        <w:t>因金融资产转移而终止确认的应收账款：</w:t>
      </w:r>
      <w:r>
        <w:rPr>
          <w:b w:val="0"/>
          <w:bCs w:val="0"/>
        </w:rPr>
      </w:r>
    </w:p>
    <w:p>
      <w:pPr>
        <w:spacing w:line="240" w:lineRule="auto" w:before="6"/>
        <w:rPr>
          <w:rFonts w:ascii="宋体" w:hAnsi="宋体" w:cs="宋体" w:eastAsia="宋体" w:hint="default"/>
          <w:b/>
          <w:bCs/>
          <w:sz w:val="25"/>
          <w:szCs w:val="25"/>
        </w:rPr>
      </w:pPr>
    </w:p>
    <w:p>
      <w:pPr>
        <w:spacing w:line="20" w:lineRule="exact"/>
        <w:ind w:left="156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18"/>
          <w:szCs w:val="18"/>
        </w:rPr>
      </w:pPr>
    </w:p>
    <w:p>
      <w:pPr>
        <w:pStyle w:val="Heading4"/>
        <w:tabs>
          <w:tab w:pos="2517" w:val="left" w:leader="none"/>
        </w:tabs>
        <w:spacing w:line="240" w:lineRule="auto"/>
        <w:ind w:left="1819" w:right="0"/>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spacing w:line="240" w:lineRule="auto" w:before="8"/>
        <w:rPr>
          <w:rFonts w:ascii="宋体" w:hAnsi="宋体" w:cs="宋体" w:eastAsia="宋体" w:hint="default"/>
          <w:b/>
          <w:bCs/>
          <w:sz w:val="23"/>
          <w:szCs w:val="23"/>
        </w:rPr>
      </w:pPr>
    </w:p>
    <w:p>
      <w:pPr>
        <w:spacing w:line="20" w:lineRule="exact"/>
        <w:ind w:left="156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3"/>
          <w:szCs w:val="13"/>
        </w:rPr>
      </w:pPr>
    </w:p>
    <w:p>
      <w:pPr>
        <w:pStyle w:val="BodyText"/>
        <w:spacing w:line="240" w:lineRule="auto" w:before="36"/>
        <w:ind w:left="1678" w:right="0"/>
        <w:jc w:val="left"/>
      </w:pPr>
      <w:r>
        <w:rPr/>
        <w:t>其他说明：</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p>
      <w:pPr>
        <w:spacing w:line="20" w:lineRule="exact"/>
        <w:ind w:left="156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82" w:footer="1195" w:top="1120" w:bottom="1380" w:left="120" w:right="60"/>
        </w:sectPr>
      </w:pPr>
    </w:p>
    <w:p>
      <w:pPr>
        <w:pStyle w:val="Heading4"/>
        <w:spacing w:line="240" w:lineRule="auto"/>
        <w:ind w:left="1678" w:right="-19"/>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4"/>
        <w:spacing w:line="240" w:lineRule="auto" w:before="56"/>
        <w:ind w:left="1678"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729" w:val="left" w:leader="none"/>
        </w:tabs>
        <w:spacing w:line="240" w:lineRule="auto" w:before="177"/>
        <w:ind w:left="1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 w:right="60"/>
          <w:cols w:num="2" w:equalWidth="0">
            <w:col w:w="4317" w:space="2205"/>
            <w:col w:w="5208"/>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133"/>
        <w:gridCol w:w="1421"/>
        <w:gridCol w:w="545"/>
        <w:gridCol w:w="1265"/>
        <w:gridCol w:w="562"/>
        <w:gridCol w:w="1364"/>
        <w:gridCol w:w="1363"/>
        <w:gridCol w:w="638"/>
        <w:gridCol w:w="1263"/>
        <w:gridCol w:w="562"/>
        <w:gridCol w:w="1366"/>
      </w:tblGrid>
      <w:tr>
        <w:trPr>
          <w:trHeight w:val="293"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0" w:right="0"/>
              <w:jc w:val="left"/>
              <w:rPr>
                <w:rFonts w:ascii="宋体" w:hAnsi="宋体" w:cs="宋体" w:eastAsia="宋体" w:hint="default"/>
                <w:sz w:val="20"/>
                <w:szCs w:val="20"/>
              </w:rPr>
            </w:pPr>
            <w:r>
              <w:rPr>
                <w:rFonts w:ascii="宋体" w:hAnsi="宋体" w:cs="宋体" w:eastAsia="宋体" w:hint="default"/>
                <w:sz w:val="20"/>
                <w:szCs w:val="20"/>
              </w:rPr>
              <w:t>类别</w:t>
            </w:r>
          </w:p>
        </w:tc>
        <w:tc>
          <w:tcPr>
            <w:tcW w:w="51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3"/>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51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6"/>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269" w:hRule="exact"/>
        </w:trPr>
        <w:tc>
          <w:tcPr>
            <w:tcW w:w="1133" w:type="dxa"/>
            <w:vMerge/>
            <w:tcBorders>
              <w:left w:val="single" w:sz="4" w:space="0" w:color="000000"/>
              <w:right w:val="single" w:sz="4" w:space="0" w:color="000000"/>
            </w:tcBorders>
          </w:tcPr>
          <w:p>
            <w:pPr/>
          </w:p>
        </w:tc>
        <w:tc>
          <w:tcPr>
            <w:tcW w:w="1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78"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9"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60" w:lineRule="exact"/>
              <w:ind w:left="477" w:right="477"/>
              <w:jc w:val="center"/>
              <w:rPr>
                <w:rFonts w:ascii="宋体" w:hAnsi="宋体" w:cs="宋体" w:eastAsia="宋体" w:hint="default"/>
                <w:sz w:val="20"/>
                <w:szCs w:val="20"/>
              </w:rPr>
            </w:pPr>
            <w:r>
              <w:rPr>
                <w:rFonts w:ascii="宋体" w:hAnsi="宋体" w:cs="宋体" w:eastAsia="宋体" w:hint="default"/>
                <w:sz w:val="20"/>
                <w:szCs w:val="20"/>
              </w:rPr>
              <w:t>账面</w:t>
            </w:r>
            <w:r>
              <w:rPr>
                <w:rFonts w:ascii="宋体" w:hAnsi="宋体" w:cs="宋体" w:eastAsia="宋体" w:hint="default"/>
                <w:w w:val="99"/>
                <w:sz w:val="20"/>
                <w:szCs w:val="20"/>
              </w:rPr>
              <w:t> </w:t>
            </w:r>
            <w:r>
              <w:rPr>
                <w:rFonts w:ascii="宋体" w:hAnsi="宋体" w:cs="宋体" w:eastAsia="宋体" w:hint="default"/>
                <w:sz w:val="20"/>
                <w:szCs w:val="20"/>
              </w:rPr>
              <w:t>价值</w:t>
            </w:r>
          </w:p>
        </w:tc>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95"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7"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60" w:lineRule="exact"/>
              <w:ind w:left="477" w:right="478"/>
              <w:jc w:val="center"/>
              <w:rPr>
                <w:rFonts w:ascii="宋体" w:hAnsi="宋体" w:cs="宋体" w:eastAsia="宋体" w:hint="default"/>
                <w:sz w:val="20"/>
                <w:szCs w:val="20"/>
              </w:rPr>
            </w:pPr>
            <w:r>
              <w:rPr>
                <w:rFonts w:ascii="宋体" w:hAnsi="宋体" w:cs="宋体" w:eastAsia="宋体" w:hint="default"/>
                <w:sz w:val="20"/>
                <w:szCs w:val="20"/>
              </w:rPr>
              <w:t>账面</w:t>
            </w:r>
            <w:r>
              <w:rPr>
                <w:rFonts w:ascii="宋体" w:hAnsi="宋体" w:cs="宋体" w:eastAsia="宋体" w:hint="default"/>
                <w:w w:val="99"/>
                <w:sz w:val="20"/>
                <w:szCs w:val="20"/>
              </w:rPr>
              <w:t> </w:t>
            </w:r>
            <w:r>
              <w:rPr>
                <w:rFonts w:ascii="宋体" w:hAnsi="宋体" w:cs="宋体" w:eastAsia="宋体" w:hint="default"/>
                <w:sz w:val="20"/>
                <w:szCs w:val="20"/>
              </w:rPr>
              <w:t>价值</w:t>
            </w:r>
          </w:p>
        </w:tc>
      </w:tr>
      <w:tr>
        <w:trPr>
          <w:trHeight w:val="790" w:hRule="exact"/>
        </w:trPr>
        <w:tc>
          <w:tcPr>
            <w:tcW w:w="1133"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金额</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5"/>
              <w:ind w:left="117" w:right="67" w:hanging="51"/>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w w:val="99"/>
                <w:sz w:val="20"/>
                <w:szCs w:val="20"/>
              </w:rPr>
              <w:t> </w:t>
            </w:r>
            <w:r>
              <w:rPr>
                <w:rFonts w:ascii="宋体" w:hAnsi="宋体" w:cs="宋体" w:eastAsia="宋体" w:hint="default"/>
                <w:sz w:val="20"/>
                <w:szCs w:val="20"/>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金额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4" w:right="0"/>
              <w:jc w:val="left"/>
              <w:rPr>
                <w:rFonts w:ascii="宋体" w:hAnsi="宋体" w:cs="宋体" w:eastAsia="宋体" w:hint="default"/>
                <w:sz w:val="20"/>
                <w:szCs w:val="20"/>
              </w:rPr>
            </w:pPr>
            <w:r>
              <w:rPr>
                <w:rFonts w:ascii="宋体" w:hAnsi="宋体" w:cs="宋体" w:eastAsia="宋体" w:hint="default"/>
                <w:sz w:val="20"/>
                <w:szCs w:val="20"/>
              </w:rPr>
              <w:t>计提</w:t>
            </w:r>
          </w:p>
          <w:p>
            <w:pPr>
              <w:pStyle w:val="TableParagraph"/>
              <w:spacing w:line="260" w:lineRule="exact" w:before="24"/>
              <w:ind w:left="124" w:right="77" w:hanging="51"/>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w w:val="99"/>
                <w:sz w:val="20"/>
                <w:szCs w:val="20"/>
              </w:rPr>
              <w:t> </w:t>
            </w:r>
            <w:r>
              <w:rPr>
                <w:rFonts w:ascii="宋体" w:hAnsi="宋体" w:cs="宋体" w:eastAsia="宋体" w:hint="default"/>
                <w:sz w:val="20"/>
                <w:szCs w:val="20"/>
              </w:rPr>
              <w:t>(%)</w:t>
            </w:r>
          </w:p>
        </w:tc>
        <w:tc>
          <w:tcPr>
            <w:tcW w:w="1364" w:type="dxa"/>
            <w:vMerge/>
            <w:tcBorders>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金额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5"/>
              <w:ind w:left="163" w:right="115" w:hanging="51"/>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w w:val="99"/>
                <w:sz w:val="20"/>
                <w:szCs w:val="20"/>
              </w:rPr>
              <w:t> </w:t>
            </w:r>
            <w:r>
              <w:rPr>
                <w:rFonts w:ascii="宋体" w:hAnsi="宋体" w:cs="宋体" w:eastAsia="宋体" w:hint="default"/>
                <w:sz w:val="20"/>
                <w:szCs w:val="20"/>
              </w:rPr>
              <w:t>(%)</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8"/>
              <w:jc w:val="center"/>
              <w:rPr>
                <w:rFonts w:ascii="宋体" w:hAnsi="宋体" w:cs="宋体" w:eastAsia="宋体" w:hint="default"/>
                <w:sz w:val="20"/>
                <w:szCs w:val="20"/>
              </w:rPr>
            </w:pPr>
            <w:r>
              <w:rPr>
                <w:rFonts w:ascii="宋体" w:hAnsi="宋体" w:cs="宋体" w:eastAsia="宋体" w:hint="default"/>
                <w:sz w:val="20"/>
                <w:szCs w:val="20"/>
              </w:rPr>
              <w:t>金额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4" w:right="0"/>
              <w:jc w:val="left"/>
              <w:rPr>
                <w:rFonts w:ascii="宋体" w:hAnsi="宋体" w:cs="宋体" w:eastAsia="宋体" w:hint="default"/>
                <w:sz w:val="20"/>
                <w:szCs w:val="20"/>
              </w:rPr>
            </w:pPr>
            <w:r>
              <w:rPr>
                <w:rFonts w:ascii="宋体" w:hAnsi="宋体" w:cs="宋体" w:eastAsia="宋体" w:hint="default"/>
                <w:sz w:val="20"/>
                <w:szCs w:val="20"/>
              </w:rPr>
              <w:t>计提</w:t>
            </w:r>
          </w:p>
          <w:p>
            <w:pPr>
              <w:pStyle w:val="TableParagraph"/>
              <w:spacing w:line="260" w:lineRule="exact" w:before="24"/>
              <w:ind w:left="124" w:right="77" w:hanging="51"/>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w w:val="99"/>
                <w:sz w:val="20"/>
                <w:szCs w:val="20"/>
              </w:rPr>
              <w:t> </w:t>
            </w:r>
            <w:r>
              <w:rPr>
                <w:rFonts w:ascii="宋体" w:hAnsi="宋体" w:cs="宋体" w:eastAsia="宋体" w:hint="default"/>
                <w:sz w:val="20"/>
                <w:szCs w:val="20"/>
              </w:rPr>
              <w:t>(%)</w:t>
            </w:r>
          </w:p>
        </w:tc>
        <w:tc>
          <w:tcPr>
            <w:tcW w:w="1366" w:type="dxa"/>
            <w:vMerge/>
            <w:tcBorders>
              <w:left w:val="single" w:sz="4" w:space="0" w:color="000000"/>
              <w:bottom w:val="single" w:sz="4" w:space="0" w:color="000000"/>
              <w:right w:val="single" w:sz="4" w:space="0" w:color="000000"/>
            </w:tcBorders>
          </w:tcPr>
          <w:p>
            <w:pPr/>
          </w:p>
        </w:tc>
      </w:tr>
      <w:tr>
        <w:trPr>
          <w:trHeight w:val="1306"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both"/>
              <w:rPr>
                <w:rFonts w:ascii="宋体" w:hAnsi="宋体" w:cs="宋体" w:eastAsia="宋体" w:hint="default"/>
                <w:sz w:val="20"/>
                <w:szCs w:val="20"/>
              </w:rPr>
            </w:pPr>
            <w:r>
              <w:rPr>
                <w:rFonts w:ascii="宋体" w:hAnsi="宋体" w:cs="宋体" w:eastAsia="宋体" w:hint="default"/>
                <w:sz w:val="20"/>
                <w:szCs w:val="20"/>
              </w:rPr>
              <w:t>单项金额重</w:t>
            </w:r>
          </w:p>
          <w:p>
            <w:pPr>
              <w:pStyle w:val="TableParagraph"/>
              <w:spacing w:line="260" w:lineRule="exact" w:before="24"/>
              <w:ind w:left="26" w:right="97"/>
              <w:jc w:val="both"/>
              <w:rPr>
                <w:rFonts w:ascii="宋体" w:hAnsi="宋体" w:cs="宋体" w:eastAsia="宋体" w:hint="default"/>
                <w:sz w:val="20"/>
                <w:szCs w:val="20"/>
              </w:rPr>
            </w:pPr>
            <w:r>
              <w:rPr>
                <w:rFonts w:ascii="宋体" w:hAnsi="宋体" w:cs="宋体" w:eastAsia="宋体" w:hint="default"/>
                <w:sz w:val="20"/>
                <w:szCs w:val="20"/>
              </w:rPr>
              <w:t>大并单独计</w:t>
            </w:r>
            <w:r>
              <w:rPr>
                <w:rFonts w:ascii="宋体" w:hAnsi="宋体" w:cs="宋体" w:eastAsia="宋体" w:hint="default"/>
                <w:w w:val="99"/>
                <w:sz w:val="20"/>
                <w:szCs w:val="20"/>
              </w:rPr>
              <w:t> </w:t>
            </w:r>
            <w:r>
              <w:rPr>
                <w:rFonts w:ascii="宋体" w:hAnsi="宋体" w:cs="宋体" w:eastAsia="宋体" w:hint="default"/>
                <w:sz w:val="20"/>
                <w:szCs w:val="20"/>
              </w:rPr>
              <w:t>提坏账准备</w:t>
            </w:r>
            <w:r>
              <w:rPr>
                <w:rFonts w:ascii="宋体" w:hAnsi="宋体" w:cs="宋体" w:eastAsia="宋体" w:hint="default"/>
                <w:w w:val="99"/>
                <w:sz w:val="20"/>
                <w:szCs w:val="20"/>
              </w:rPr>
              <w:t> </w:t>
            </w:r>
            <w:r>
              <w:rPr>
                <w:rFonts w:ascii="宋体" w:hAnsi="宋体" w:cs="宋体" w:eastAsia="宋体" w:hint="default"/>
                <w:sz w:val="20"/>
                <w:szCs w:val="20"/>
              </w:rPr>
              <w:t>的其他应收</w:t>
            </w:r>
            <w:r>
              <w:rPr>
                <w:rFonts w:ascii="宋体" w:hAnsi="宋体" w:cs="宋体" w:eastAsia="宋体" w:hint="default"/>
                <w:w w:val="99"/>
                <w:sz w:val="20"/>
                <w:szCs w:val="20"/>
              </w:rPr>
              <w:t> </w:t>
            </w:r>
            <w:r>
              <w:rPr>
                <w:rFonts w:ascii="宋体" w:hAnsi="宋体" w:cs="宋体" w:eastAsia="宋体" w:hint="default"/>
                <w:sz w:val="20"/>
                <w:szCs w:val="20"/>
              </w:rPr>
              <w:t>款</w:t>
            </w:r>
          </w:p>
        </w:tc>
        <w:tc>
          <w:tcPr>
            <w:tcW w:w="1421"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0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6" w:right="0"/>
              <w:jc w:val="both"/>
              <w:rPr>
                <w:rFonts w:ascii="宋体" w:hAnsi="宋体" w:cs="宋体" w:eastAsia="宋体" w:hint="default"/>
                <w:sz w:val="20"/>
                <w:szCs w:val="20"/>
              </w:rPr>
            </w:pPr>
            <w:r>
              <w:rPr>
                <w:rFonts w:ascii="宋体" w:hAnsi="宋体" w:cs="宋体" w:eastAsia="宋体" w:hint="default"/>
                <w:sz w:val="20"/>
                <w:szCs w:val="20"/>
              </w:rPr>
              <w:t>按信用风险</w:t>
            </w:r>
          </w:p>
          <w:p>
            <w:pPr>
              <w:pStyle w:val="TableParagraph"/>
              <w:spacing w:line="237" w:lineRule="auto" w:before="1"/>
              <w:ind w:left="26" w:right="97"/>
              <w:jc w:val="both"/>
              <w:rPr>
                <w:rFonts w:ascii="宋体" w:hAnsi="宋体" w:cs="宋体" w:eastAsia="宋体" w:hint="default"/>
                <w:sz w:val="20"/>
                <w:szCs w:val="20"/>
              </w:rPr>
            </w:pPr>
            <w:r>
              <w:rPr>
                <w:rFonts w:ascii="宋体" w:hAnsi="宋体" w:cs="宋体" w:eastAsia="宋体" w:hint="default"/>
                <w:sz w:val="20"/>
                <w:szCs w:val="20"/>
              </w:rPr>
              <w:t>特征组合计</w:t>
            </w:r>
            <w:r>
              <w:rPr>
                <w:rFonts w:ascii="宋体" w:hAnsi="宋体" w:cs="宋体" w:eastAsia="宋体" w:hint="default"/>
                <w:w w:val="99"/>
                <w:sz w:val="20"/>
                <w:szCs w:val="20"/>
              </w:rPr>
              <w:t> </w:t>
            </w:r>
            <w:r>
              <w:rPr>
                <w:rFonts w:ascii="宋体" w:hAnsi="宋体" w:cs="宋体" w:eastAsia="宋体" w:hint="default"/>
                <w:sz w:val="20"/>
                <w:szCs w:val="20"/>
              </w:rPr>
              <w:t>提坏账准备</w:t>
            </w:r>
            <w:r>
              <w:rPr>
                <w:rFonts w:ascii="宋体" w:hAnsi="宋体" w:cs="宋体" w:eastAsia="宋体" w:hint="default"/>
                <w:w w:val="99"/>
                <w:sz w:val="20"/>
                <w:szCs w:val="20"/>
              </w:rPr>
              <w:t> </w:t>
            </w:r>
            <w:r>
              <w:rPr>
                <w:rFonts w:ascii="宋体" w:hAnsi="宋体" w:cs="宋体" w:eastAsia="宋体" w:hint="default"/>
                <w:sz w:val="20"/>
                <w:szCs w:val="20"/>
              </w:rPr>
              <w:t>的其他应收</w:t>
            </w:r>
            <w:r>
              <w:rPr>
                <w:rFonts w:ascii="宋体" w:hAnsi="宋体" w:cs="宋体" w:eastAsia="宋体" w:hint="default"/>
                <w:w w:val="99"/>
                <w:sz w:val="20"/>
                <w:szCs w:val="20"/>
              </w:rPr>
              <w:t> </w:t>
            </w:r>
            <w:r>
              <w:rPr>
                <w:rFonts w:ascii="宋体" w:hAnsi="宋体" w:cs="宋体" w:eastAsia="宋体" w:hint="default"/>
                <w:sz w:val="20"/>
                <w:szCs w:val="20"/>
              </w:rPr>
              <w:t>款</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7" w:right="0"/>
              <w:jc w:val="center"/>
              <w:rPr>
                <w:rFonts w:ascii="宋体" w:hAnsi="宋体" w:cs="宋体" w:eastAsia="宋体" w:hint="default"/>
                <w:sz w:val="20"/>
                <w:szCs w:val="20"/>
              </w:rPr>
            </w:pPr>
            <w:r>
              <w:rPr>
                <w:rFonts w:ascii="宋体"/>
                <w:sz w:val="20"/>
              </w:rPr>
              <w:t>43,000,834.05</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20"/>
                <w:szCs w:val="20"/>
              </w:rPr>
            </w:pPr>
            <w:r>
              <w:rPr>
                <w:rFonts w:ascii="宋体"/>
                <w:sz w:val="20"/>
              </w:rPr>
              <w:t>100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sz w:val="20"/>
              </w:rPr>
              <w:t>6,178,870.49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20"/>
                <w:szCs w:val="20"/>
              </w:rPr>
            </w:pPr>
            <w:r>
              <w:rPr>
                <w:rFonts w:ascii="宋体"/>
                <w:w w:val="95"/>
                <w:sz w:val="20"/>
              </w:rPr>
              <w:t>14.37</w:t>
            </w:r>
            <w:r>
              <w:rPr>
                <w:rFonts w:ascii="宋体"/>
                <w:sz w:val="20"/>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20"/>
                <w:szCs w:val="20"/>
              </w:rPr>
            </w:pPr>
            <w:r>
              <w:rPr>
                <w:rFonts w:ascii="宋体"/>
                <w:sz w:val="20"/>
              </w:rPr>
              <w:t>36,821,963.56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42,216,751.98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20"/>
                <w:szCs w:val="20"/>
              </w:rPr>
            </w:pPr>
            <w:r>
              <w:rPr>
                <w:rFonts w:ascii="宋体"/>
                <w:sz w:val="20"/>
              </w:rPr>
              <w:t>100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0"/>
                <w:szCs w:val="20"/>
              </w:rPr>
            </w:pPr>
            <w:r>
              <w:rPr>
                <w:rFonts w:ascii="宋体"/>
                <w:sz w:val="20"/>
              </w:rPr>
              <w:t>5,322,968.57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20"/>
                <w:szCs w:val="20"/>
              </w:rPr>
            </w:pPr>
            <w:r>
              <w:rPr>
                <w:rFonts w:ascii="宋体"/>
                <w:w w:val="95"/>
                <w:sz w:val="20"/>
              </w:rPr>
              <w:t>12.61</w:t>
            </w:r>
            <w:r>
              <w:rPr>
                <w:rFonts w:ascii="宋体"/>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20"/>
                <w:szCs w:val="20"/>
              </w:rPr>
            </w:pPr>
            <w:r>
              <w:rPr>
                <w:rFonts w:ascii="宋体"/>
                <w:w w:val="95"/>
                <w:sz w:val="20"/>
              </w:rPr>
              <w:t>36,893,783.41</w:t>
            </w:r>
            <w:r>
              <w:rPr>
                <w:rFonts w:ascii="宋体"/>
                <w:sz w:val="20"/>
              </w:rPr>
            </w:r>
          </w:p>
        </w:tc>
      </w:tr>
      <w:tr>
        <w:trPr>
          <w:trHeight w:val="1306"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both"/>
              <w:rPr>
                <w:rFonts w:ascii="宋体" w:hAnsi="宋体" w:cs="宋体" w:eastAsia="宋体" w:hint="default"/>
                <w:sz w:val="20"/>
                <w:szCs w:val="20"/>
              </w:rPr>
            </w:pPr>
            <w:r>
              <w:rPr>
                <w:rFonts w:ascii="宋体" w:hAnsi="宋体" w:cs="宋体" w:eastAsia="宋体" w:hint="default"/>
                <w:sz w:val="20"/>
                <w:szCs w:val="20"/>
              </w:rPr>
              <w:t>单项金额不</w:t>
            </w:r>
          </w:p>
          <w:p>
            <w:pPr>
              <w:pStyle w:val="TableParagraph"/>
              <w:spacing w:line="260" w:lineRule="exact" w:before="24"/>
              <w:ind w:left="26" w:right="97"/>
              <w:jc w:val="both"/>
              <w:rPr>
                <w:rFonts w:ascii="宋体" w:hAnsi="宋体" w:cs="宋体" w:eastAsia="宋体" w:hint="default"/>
                <w:sz w:val="20"/>
                <w:szCs w:val="20"/>
              </w:rPr>
            </w:pPr>
            <w:r>
              <w:rPr>
                <w:rFonts w:ascii="宋体" w:hAnsi="宋体" w:cs="宋体" w:eastAsia="宋体" w:hint="default"/>
                <w:sz w:val="20"/>
                <w:szCs w:val="20"/>
              </w:rPr>
              <w:t>重大但单独</w:t>
            </w:r>
            <w:r>
              <w:rPr>
                <w:rFonts w:ascii="宋体" w:hAnsi="宋体" w:cs="宋体" w:eastAsia="宋体" w:hint="default"/>
                <w:w w:val="99"/>
                <w:sz w:val="20"/>
                <w:szCs w:val="20"/>
              </w:rPr>
              <w:t> </w:t>
            </w:r>
            <w:r>
              <w:rPr>
                <w:rFonts w:ascii="宋体" w:hAnsi="宋体" w:cs="宋体" w:eastAsia="宋体" w:hint="default"/>
                <w:sz w:val="20"/>
                <w:szCs w:val="20"/>
              </w:rPr>
              <w:t>计提坏账准</w:t>
            </w:r>
            <w:r>
              <w:rPr>
                <w:rFonts w:ascii="宋体" w:hAnsi="宋体" w:cs="宋体" w:eastAsia="宋体" w:hint="default"/>
                <w:w w:val="99"/>
                <w:sz w:val="20"/>
                <w:szCs w:val="20"/>
              </w:rPr>
              <w:t> </w:t>
            </w:r>
            <w:r>
              <w:rPr>
                <w:rFonts w:ascii="宋体" w:hAnsi="宋体" w:cs="宋体" w:eastAsia="宋体" w:hint="default"/>
                <w:sz w:val="20"/>
                <w:szCs w:val="20"/>
              </w:rPr>
              <w:t>备的其他应</w:t>
            </w:r>
            <w:r>
              <w:rPr>
                <w:rFonts w:ascii="宋体" w:hAnsi="宋体" w:cs="宋体" w:eastAsia="宋体" w:hint="default"/>
                <w:w w:val="99"/>
                <w:sz w:val="20"/>
                <w:szCs w:val="20"/>
              </w:rPr>
              <w:t> </w:t>
            </w:r>
            <w:r>
              <w:rPr>
                <w:rFonts w:ascii="宋体" w:hAnsi="宋体" w:cs="宋体" w:eastAsia="宋体" w:hint="default"/>
                <w:sz w:val="20"/>
                <w:szCs w:val="20"/>
              </w:rPr>
              <w:t>收款</w:t>
            </w:r>
          </w:p>
        </w:tc>
        <w:tc>
          <w:tcPr>
            <w:tcW w:w="1421"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6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7" w:right="0"/>
              <w:jc w:val="center"/>
              <w:rPr>
                <w:rFonts w:ascii="宋体" w:hAnsi="宋体" w:cs="宋体" w:eastAsia="宋体" w:hint="default"/>
                <w:sz w:val="20"/>
                <w:szCs w:val="20"/>
              </w:rPr>
            </w:pPr>
            <w:r>
              <w:rPr>
                <w:rFonts w:ascii="宋体"/>
                <w:sz w:val="20"/>
              </w:rPr>
              <w:t>43,000,834.05</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
              <w:jc w:val="right"/>
              <w:rPr>
                <w:rFonts w:ascii="宋体" w:hAnsi="宋体" w:cs="宋体" w:eastAsia="宋体" w:hint="default"/>
                <w:sz w:val="20"/>
                <w:szCs w:val="20"/>
              </w:rPr>
            </w:pPr>
            <w:r>
              <w:rPr>
                <w:rFonts w:ascii="宋体"/>
                <w:w w:val="99"/>
                <w:sz w:val="20"/>
              </w:rPr>
              <w:t>/</w:t>
            </w:r>
            <w:r>
              <w:rPr>
                <w:rFonts w:ascii="宋体"/>
                <w:sz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 w:right="0"/>
              <w:jc w:val="center"/>
              <w:rPr>
                <w:rFonts w:ascii="宋体" w:hAnsi="宋体" w:cs="宋体" w:eastAsia="宋体" w:hint="default"/>
                <w:sz w:val="20"/>
                <w:szCs w:val="20"/>
              </w:rPr>
            </w:pPr>
            <w:r>
              <w:rPr>
                <w:rFonts w:ascii="宋体"/>
                <w:sz w:val="20"/>
              </w:rPr>
              <w:t>6,178,870.49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
              <w:jc w:val="right"/>
              <w:rPr>
                <w:rFonts w:ascii="宋体" w:hAnsi="宋体" w:cs="宋体" w:eastAsia="宋体" w:hint="default"/>
                <w:sz w:val="20"/>
                <w:szCs w:val="20"/>
              </w:rPr>
            </w:pPr>
            <w:r>
              <w:rPr>
                <w:rFonts w:ascii="宋体"/>
                <w:w w:val="99"/>
                <w:sz w:val="20"/>
              </w:rPr>
              <w:t>/</w:t>
            </w:r>
            <w:r>
              <w:rPr>
                <w:rFonts w:ascii="宋体"/>
                <w:sz w:val="20"/>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 w:right="0"/>
              <w:jc w:val="left"/>
              <w:rPr>
                <w:rFonts w:ascii="宋体" w:hAnsi="宋体" w:cs="宋体" w:eastAsia="宋体" w:hint="default"/>
                <w:sz w:val="20"/>
                <w:szCs w:val="20"/>
              </w:rPr>
            </w:pPr>
            <w:r>
              <w:rPr>
                <w:rFonts w:ascii="宋体"/>
                <w:sz w:val="20"/>
              </w:rPr>
              <w:t>36,821,963.56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0"/>
                <w:szCs w:val="20"/>
              </w:rPr>
            </w:pPr>
            <w:r>
              <w:rPr>
                <w:rFonts w:ascii="宋体"/>
                <w:sz w:val="20"/>
              </w:rPr>
              <w:t>42,216,751.98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
              <w:jc w:val="right"/>
              <w:rPr>
                <w:rFonts w:ascii="宋体" w:hAnsi="宋体" w:cs="宋体" w:eastAsia="宋体" w:hint="default"/>
                <w:sz w:val="20"/>
                <w:szCs w:val="20"/>
              </w:rPr>
            </w:pPr>
            <w:r>
              <w:rPr>
                <w:rFonts w:ascii="宋体"/>
                <w:w w:val="99"/>
                <w:sz w:val="20"/>
              </w:rPr>
              <w:t>/</w:t>
            </w:r>
            <w:r>
              <w:rPr>
                <w:rFonts w:ascii="宋体"/>
                <w:sz w:val="20"/>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20"/>
                <w:szCs w:val="20"/>
              </w:rPr>
            </w:pPr>
            <w:r>
              <w:rPr>
                <w:rFonts w:ascii="宋体"/>
                <w:sz w:val="20"/>
              </w:rPr>
              <w:t>5,322,968.57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
              <w:jc w:val="right"/>
              <w:rPr>
                <w:rFonts w:ascii="宋体" w:hAnsi="宋体" w:cs="宋体" w:eastAsia="宋体" w:hint="default"/>
                <w:sz w:val="20"/>
                <w:szCs w:val="20"/>
              </w:rPr>
            </w:pPr>
            <w:r>
              <w:rPr>
                <w:rFonts w:ascii="宋体"/>
                <w:w w:val="99"/>
                <w:sz w:val="20"/>
              </w:rPr>
              <w:t>/</w:t>
            </w:r>
            <w:r>
              <w:rPr>
                <w:rFonts w:ascii="宋体"/>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
              <w:jc w:val="right"/>
              <w:rPr>
                <w:rFonts w:ascii="宋体" w:hAnsi="宋体" w:cs="宋体" w:eastAsia="宋体" w:hint="default"/>
                <w:sz w:val="20"/>
                <w:szCs w:val="20"/>
              </w:rPr>
            </w:pPr>
            <w:r>
              <w:rPr>
                <w:rFonts w:ascii="宋体"/>
                <w:w w:val="95"/>
                <w:sz w:val="20"/>
              </w:rPr>
              <w:t>36,893,783.41</w:t>
            </w:r>
            <w:r>
              <w:rPr>
                <w:rFonts w:ascii="宋体"/>
                <w:sz w:val="20"/>
              </w:rPr>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20" w:right="60"/>
        </w:sectPr>
      </w:pPr>
    </w:p>
    <w:p>
      <w:pPr>
        <w:pStyle w:val="BodyText"/>
        <w:spacing w:line="240" w:lineRule="auto" w:before="36"/>
        <w:ind w:left="1678" w:right="0"/>
        <w:jc w:val="left"/>
      </w:pPr>
      <w:r>
        <w:rPr>
          <w:spacing w:val="-2"/>
        </w:rPr>
        <w:t>期末单项金额重大并单项计提坏账准备的其他应收款：</w:t>
      </w:r>
    </w:p>
    <w:p>
      <w:pPr>
        <w:pStyle w:val="BodyText"/>
        <w:spacing w:line="290" w:lineRule="auto" w:before="58"/>
        <w:ind w:left="1678" w:right="0"/>
        <w:jc w:val="left"/>
      </w:pPr>
      <w:r>
        <w:rPr/>
        <w:t>□适用√不适用</w:t>
      </w:r>
      <w:r>
        <w:rPr>
          <w:w w:val="100"/>
        </w:rPr>
        <w:t> </w:t>
      </w:r>
      <w:r>
        <w:rPr>
          <w:spacing w:val="-2"/>
        </w:rPr>
        <w:t>组合中，按账龄分析法计提坏账准备的其他应收款：</w:t>
      </w:r>
    </w:p>
    <w:p>
      <w:pPr>
        <w:pStyle w:val="BodyText"/>
        <w:spacing w:line="240" w:lineRule="auto" w:before="15"/>
        <w:ind w:left="167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2487" w:val="left" w:leader="none"/>
        </w:tabs>
        <w:spacing w:line="240" w:lineRule="auto"/>
        <w:ind w:left="1435" w:right="0"/>
        <w:jc w:val="left"/>
      </w:pPr>
      <w:r>
        <w:rPr>
          <w:spacing w:val="-1"/>
        </w:rPr>
        <w:t>单位：元</w:t>
        <w:tab/>
      </w:r>
      <w:r>
        <w:rPr>
          <w:spacing w:val="-2"/>
        </w:rPr>
        <w:t>币种：人民币</w:t>
      </w:r>
    </w:p>
    <w:p>
      <w:pPr>
        <w:spacing w:after="0" w:line="240" w:lineRule="auto"/>
        <w:jc w:val="left"/>
        <w:sectPr>
          <w:type w:val="continuous"/>
          <w:pgSz w:w="11910" w:h="16840"/>
          <w:pgMar w:top="1120" w:bottom="1380" w:left="120" w:right="60"/>
          <w:cols w:num="2" w:equalWidth="0">
            <w:col w:w="6724" w:space="40"/>
            <w:col w:w="4966"/>
          </w:cols>
        </w:sectPr>
      </w:pPr>
    </w:p>
    <w:p>
      <w:pPr>
        <w:spacing w:line="240" w:lineRule="auto" w:before="7"/>
        <w:rPr>
          <w:rFonts w:ascii="宋体" w:hAnsi="宋体" w:cs="宋体" w:eastAsia="宋体" w:hint="default"/>
          <w:sz w:val="2"/>
          <w:szCs w:val="2"/>
        </w:rPr>
      </w:pPr>
    </w:p>
    <w:tbl>
      <w:tblPr>
        <w:tblW w:w="0" w:type="auto"/>
        <w:jc w:val="left"/>
        <w:tblInd w:w="1565" w:type="dxa"/>
        <w:tblLayout w:type="fixed"/>
        <w:tblCellMar>
          <w:top w:w="0" w:type="dxa"/>
          <w:left w:w="0" w:type="dxa"/>
          <w:bottom w:w="0" w:type="dxa"/>
          <w:right w:w="0" w:type="dxa"/>
        </w:tblCellMar>
        <w:tblLook w:val="01E0"/>
      </w:tblPr>
      <w:tblGrid>
        <w:gridCol w:w="3574"/>
        <w:gridCol w:w="5475"/>
      </w:tblGrid>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120" w:right="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8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13,984,324.62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699,216.23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13,984,324.62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699,216.23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2,476,494.21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247,649.42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1,789,019.39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536,705.82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4,695,299.02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4,695,299.02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22,945,137.24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6,178,870.49</w:t>
            </w:r>
          </w:p>
        </w:tc>
        <w:tc>
          <w:tcPr>
            <w:tcW w:w="183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2242"/>
        <w:jc w:val="left"/>
      </w:pPr>
      <w:r>
        <w:rPr/>
        <w:t>确定该组合依据的说明：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BodyText"/>
        <w:spacing w:line="240" w:lineRule="auto" w:before="36"/>
        <w:ind w:right="2242"/>
        <w:jc w:val="left"/>
      </w:pPr>
      <w:r>
        <w:rPr/>
        <w:t>组合中，采用余额百分比法计提坏账准备的其他应收款：</w:t>
      </w:r>
    </w:p>
    <w:p>
      <w:pPr>
        <w:pStyle w:val="BodyText"/>
        <w:spacing w:line="240" w:lineRule="auto" w:before="59"/>
        <w:ind w:right="224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90" w:lineRule="auto"/>
        <w:ind w:left="638" w:right="2242" w:hanging="420"/>
        <w:jc w:val="left"/>
      </w:pPr>
      <w:r>
        <w:rPr>
          <w:spacing w:val="-2"/>
        </w:rPr>
        <w:t>组合中，采用其他方法计提坏账准备的其他应收款：</w:t>
      </w:r>
      <w:r>
        <w:rPr>
          <w:spacing w:val="-62"/>
        </w:rPr>
        <w:t> </w:t>
      </w:r>
      <w:r>
        <w:rPr>
          <w:spacing w:val="-62"/>
        </w:rPr>
      </w:r>
      <w:r>
        <w:rPr/>
        <w:t>组合中，合并范围内应收款项组合</w:t>
      </w:r>
    </w:p>
    <w:p>
      <w:pPr>
        <w:spacing w:line="240" w:lineRule="auto" w:before="5"/>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1951"/>
        <w:gridCol w:w="2261"/>
        <w:gridCol w:w="2264"/>
        <w:gridCol w:w="2564"/>
      </w:tblGrid>
      <w:tr>
        <w:trPr>
          <w:trHeight w:val="38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4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7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7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41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网络技术</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16,418,149.99</w:t>
            </w:r>
          </w:p>
        </w:tc>
        <w:tc>
          <w:tcPr>
            <w:tcW w:w="2264" w:type="dxa"/>
            <w:tcBorders>
              <w:top w:val="single" w:sz="4" w:space="0" w:color="000000"/>
              <w:left w:val="single" w:sz="4" w:space="0" w:color="000000"/>
              <w:bottom w:val="single" w:sz="4" w:space="0" w:color="000000"/>
              <w:right w:val="single" w:sz="4" w:space="0" w:color="000000"/>
            </w:tcBorders>
          </w:tcPr>
          <w:p>
            <w:pP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1"/>
              <w:jc w:val="center"/>
              <w:rPr>
                <w:rFonts w:ascii="宋体" w:hAnsi="宋体" w:cs="宋体" w:eastAsia="宋体" w:hint="default"/>
                <w:sz w:val="21"/>
                <w:szCs w:val="21"/>
              </w:rPr>
            </w:pPr>
            <w:r>
              <w:rPr>
                <w:rFonts w:ascii="宋体" w:hAnsi="宋体" w:cs="宋体" w:eastAsia="宋体" w:hint="default"/>
                <w:sz w:val="21"/>
                <w:szCs w:val="21"/>
              </w:rPr>
              <w:t>经单独测试，未发现减值</w:t>
            </w:r>
          </w:p>
        </w:tc>
      </w:tr>
      <w:tr>
        <w:trPr>
          <w:trHeight w:val="43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北京钱塘</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宋体" w:hAnsi="宋体" w:cs="宋体" w:eastAsia="宋体" w:hint="default"/>
                <w:sz w:val="21"/>
                <w:szCs w:val="21"/>
              </w:rPr>
            </w:pPr>
            <w:r>
              <w:rPr>
                <w:rFonts w:ascii="宋体"/>
                <w:spacing w:val="-1"/>
                <w:sz w:val="21"/>
              </w:rPr>
              <w:t>3,618,379.28</w:t>
            </w:r>
          </w:p>
        </w:tc>
        <w:tc>
          <w:tcPr>
            <w:tcW w:w="2264" w:type="dxa"/>
            <w:tcBorders>
              <w:top w:val="single" w:sz="4" w:space="0" w:color="000000"/>
              <w:left w:val="single" w:sz="4" w:space="0" w:color="000000"/>
              <w:bottom w:val="single" w:sz="4" w:space="0" w:color="000000"/>
              <w:right w:val="single" w:sz="4" w:space="0" w:color="000000"/>
            </w:tcBorders>
          </w:tcPr>
          <w:p>
            <w:pP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1"/>
              <w:jc w:val="center"/>
              <w:rPr>
                <w:rFonts w:ascii="宋体" w:hAnsi="宋体" w:cs="宋体" w:eastAsia="宋体" w:hint="default"/>
                <w:sz w:val="21"/>
                <w:szCs w:val="21"/>
              </w:rPr>
            </w:pPr>
            <w:r>
              <w:rPr>
                <w:rFonts w:ascii="宋体" w:hAnsi="宋体" w:cs="宋体" w:eastAsia="宋体" w:hint="default"/>
                <w:sz w:val="21"/>
                <w:szCs w:val="21"/>
              </w:rPr>
              <w:t>经单独测试，未发现减值</w:t>
            </w:r>
          </w:p>
        </w:tc>
      </w:tr>
      <w:tr>
        <w:trPr>
          <w:trHeight w:val="42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香港恒生</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6"/>
              <w:jc w:val="right"/>
              <w:rPr>
                <w:rFonts w:ascii="宋体" w:hAnsi="宋体" w:cs="宋体" w:eastAsia="宋体" w:hint="default"/>
                <w:sz w:val="21"/>
                <w:szCs w:val="21"/>
              </w:rPr>
            </w:pPr>
            <w:r>
              <w:rPr>
                <w:rFonts w:ascii="宋体"/>
                <w:spacing w:val="-1"/>
                <w:sz w:val="21"/>
              </w:rPr>
              <w:t>19,167.54</w:t>
            </w:r>
          </w:p>
        </w:tc>
        <w:tc>
          <w:tcPr>
            <w:tcW w:w="2264" w:type="dxa"/>
            <w:tcBorders>
              <w:top w:val="single" w:sz="4" w:space="0" w:color="000000"/>
              <w:left w:val="single" w:sz="4" w:space="0" w:color="000000"/>
              <w:bottom w:val="single" w:sz="4" w:space="0" w:color="000000"/>
              <w:right w:val="single" w:sz="4" w:space="0" w:color="000000"/>
            </w:tcBorders>
          </w:tcPr>
          <w:p>
            <w:pP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1"/>
              <w:jc w:val="center"/>
              <w:rPr>
                <w:rFonts w:ascii="宋体" w:hAnsi="宋体" w:cs="宋体" w:eastAsia="宋体" w:hint="default"/>
                <w:sz w:val="21"/>
                <w:szCs w:val="21"/>
              </w:rPr>
            </w:pPr>
            <w:r>
              <w:rPr>
                <w:rFonts w:ascii="宋体" w:hAnsi="宋体" w:cs="宋体" w:eastAsia="宋体" w:hint="default"/>
                <w:sz w:val="21"/>
                <w:szCs w:val="21"/>
              </w:rPr>
              <w:t>经单独测试，未发现减值</w:t>
            </w:r>
          </w:p>
        </w:tc>
      </w:tr>
      <w:tr>
        <w:trPr>
          <w:trHeight w:val="43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0" w:lineRule="auto" w:before="40"/>
              <w:ind w:left="2"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宋体" w:hAnsi="宋体" w:cs="宋体" w:eastAsia="宋体" w:hint="default"/>
                <w:sz w:val="21"/>
                <w:szCs w:val="21"/>
              </w:rPr>
            </w:pPr>
            <w:r>
              <w:rPr>
                <w:rFonts w:ascii="宋体"/>
                <w:spacing w:val="-1"/>
                <w:sz w:val="21"/>
              </w:rPr>
              <w:t>20,055,696.81</w:t>
            </w:r>
          </w:p>
        </w:tc>
        <w:tc>
          <w:tcPr>
            <w:tcW w:w="2264" w:type="dxa"/>
            <w:tcBorders>
              <w:top w:val="single" w:sz="4" w:space="0" w:color="000000"/>
              <w:left w:val="single" w:sz="4" w:space="0" w:color="000000"/>
              <w:bottom w:val="single" w:sz="4" w:space="0" w:color="000000"/>
              <w:right w:val="single" w:sz="4" w:space="0" w:color="000000"/>
            </w:tcBorders>
          </w:tcPr>
          <w:p>
            <w:pPr/>
          </w:p>
        </w:tc>
        <w:tc>
          <w:tcPr>
            <w:tcW w:w="25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242"/>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40" w:lineRule="auto" w:before="56"/>
        <w:ind w:right="2242"/>
        <w:jc w:val="left"/>
      </w:pPr>
      <w:r>
        <w:rPr/>
        <w:t>本期计提坏账准备金额</w:t>
      </w:r>
      <w:r>
        <w:rPr>
          <w:spacing w:val="-53"/>
        </w:rPr>
        <w:t> </w:t>
      </w:r>
      <w:r>
        <w:rPr>
          <w:rFonts w:ascii="宋体" w:hAnsi="宋体" w:cs="宋体" w:eastAsia="宋体" w:hint="default"/>
        </w:rPr>
        <w:t>855,901.92</w:t>
      </w:r>
      <w:r>
        <w:rPr>
          <w:rFonts w:ascii="宋体" w:hAnsi="宋体" w:cs="宋体" w:eastAsia="宋体" w:hint="default"/>
          <w:spacing w:val="-56"/>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r>
        <w:rPr>
          <w:w w:val="100"/>
        </w:rPr>
        <w:t> </w:t>
      </w:r>
      <w:r>
        <w:rPr/>
        <w:t>其中本期坏账准备转回或收回金额重要的：</w:t>
      </w:r>
    </w:p>
    <w:p>
      <w:pPr>
        <w:pStyle w:val="BodyText"/>
        <w:spacing w:line="271" w:lineRule="exact"/>
        <w:ind w:right="22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242"/>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right="224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242"/>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8"/>
        <w:ind w:right="2242"/>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820"/>
        </w:sectPr>
      </w:pPr>
    </w:p>
    <w:p>
      <w:pPr>
        <w:pStyle w:val="Heading4"/>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820"/>
          <w:cols w:num="2" w:equalWidth="0">
            <w:col w:w="5595" w:space="927"/>
            <w:col w:w="298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164"/>
        <w:gridCol w:w="1371"/>
        <w:gridCol w:w="1502"/>
        <w:gridCol w:w="2410"/>
        <w:gridCol w:w="1417"/>
        <w:gridCol w:w="1334"/>
      </w:tblGrid>
      <w:tr>
        <w:trPr>
          <w:trHeight w:val="833"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9"/>
              <w:jc w:val="center"/>
              <w:rPr>
                <w:rFonts w:ascii="宋体" w:hAnsi="宋体" w:cs="宋体" w:eastAsia="宋体" w:hint="default"/>
                <w:sz w:val="21"/>
                <w:szCs w:val="21"/>
              </w:rPr>
            </w:pPr>
            <w:r>
              <w:rPr>
                <w:rFonts w:ascii="宋体" w:hAnsi="宋体" w:cs="宋体" w:eastAsia="宋体" w:hint="default"/>
                <w:sz w:val="21"/>
                <w:szCs w:val="21"/>
              </w:rPr>
              <w:t>账龄</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2" w:lineRule="exact" w:before="27"/>
              <w:ind w:left="122" w:right="68"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9" w:right="235"/>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60"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5"/>
                <w:sz w:val="21"/>
                <w:szCs w:val="21"/>
              </w:rPr>
              <w:t>关联方销售</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1"/>
              <w:jc w:val="right"/>
              <w:rPr>
                <w:rFonts w:ascii="宋体" w:hAnsi="宋体" w:cs="宋体" w:eastAsia="宋体" w:hint="default"/>
                <w:sz w:val="21"/>
                <w:szCs w:val="21"/>
              </w:rPr>
            </w:pPr>
            <w:r>
              <w:rPr>
                <w:rFonts w:ascii="宋体"/>
                <w:spacing w:val="-1"/>
                <w:sz w:val="21"/>
              </w:rPr>
              <w:t>16,418,149.99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25"/>
              <w:jc w:val="right"/>
              <w:rPr>
                <w:rFonts w:ascii="宋体" w:hAnsi="宋体" w:cs="宋体" w:eastAsia="宋体" w:hint="default"/>
                <w:sz w:val="21"/>
                <w:szCs w:val="21"/>
              </w:rPr>
            </w:pPr>
            <w:r>
              <w:rPr>
                <w:rFonts w:ascii="宋体"/>
                <w:sz w:val="21"/>
              </w:rPr>
              <w:t>38.18</w:t>
            </w: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暂借款</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5,000,000.00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11.63</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4" w:right="0"/>
              <w:jc w:val="left"/>
              <w:rPr>
                <w:rFonts w:ascii="宋体" w:hAnsi="宋体" w:cs="宋体" w:eastAsia="宋体" w:hint="default"/>
                <w:sz w:val="21"/>
                <w:szCs w:val="21"/>
              </w:rPr>
            </w:pPr>
            <w:r>
              <w:rPr>
                <w:rFonts w:ascii="宋体"/>
                <w:sz w:val="21"/>
              </w:rPr>
              <w:t>250,000.00</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499" w:type="dxa"/>
        <w:tblLayout w:type="fixed"/>
        <w:tblCellMar>
          <w:top w:w="0" w:type="dxa"/>
          <w:left w:w="0" w:type="dxa"/>
          <w:bottom w:w="0" w:type="dxa"/>
          <w:right w:w="0" w:type="dxa"/>
        </w:tblCellMar>
        <w:tblLook w:val="01E0"/>
      </w:tblPr>
      <w:tblGrid>
        <w:gridCol w:w="1164"/>
        <w:gridCol w:w="1371"/>
        <w:gridCol w:w="1502"/>
        <w:gridCol w:w="2410"/>
        <w:gridCol w:w="1417"/>
        <w:gridCol w:w="1334"/>
      </w:tblGrid>
      <w:tr>
        <w:trPr>
          <w:trHeight w:val="562"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pacing w:val="35"/>
                <w:sz w:val="21"/>
                <w:szCs w:val="21"/>
              </w:rPr>
              <w:t>关联方销售</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1"/>
              <w:jc w:val="right"/>
              <w:rPr>
                <w:rFonts w:ascii="宋体" w:hAnsi="宋体" w:cs="宋体" w:eastAsia="宋体" w:hint="default"/>
                <w:sz w:val="21"/>
                <w:szCs w:val="21"/>
              </w:rPr>
            </w:pPr>
            <w:r>
              <w:rPr>
                <w:rFonts w:ascii="宋体"/>
                <w:spacing w:val="-1"/>
                <w:sz w:val="21"/>
              </w:rPr>
              <w:t>3,618,379.28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25"/>
              <w:jc w:val="right"/>
              <w:rPr>
                <w:rFonts w:ascii="宋体" w:hAnsi="宋体" w:cs="宋体" w:eastAsia="宋体" w:hint="default"/>
                <w:sz w:val="21"/>
                <w:szCs w:val="21"/>
              </w:rPr>
            </w:pPr>
            <w:r>
              <w:rPr>
                <w:rFonts w:ascii="宋体"/>
                <w:sz w:val="21"/>
              </w:rPr>
              <w:t>8.41</w:t>
            </w: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830"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783,660.00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tabs>
                <w:tab w:pos="1529" w:val="left" w:leader="none"/>
                <w:tab w:pos="2088" w:val="left" w:leader="none"/>
              </w:tabs>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其 中 账</w:t>
            </w:r>
            <w:r>
              <w:rPr>
                <w:rFonts w:ascii="宋体" w:hAnsi="宋体" w:cs="宋体" w:eastAsia="宋体" w:hint="default"/>
                <w:spacing w:val="101"/>
                <w:sz w:val="21"/>
                <w:szCs w:val="21"/>
              </w:rPr>
              <w:t> </w:t>
            </w:r>
            <w:r>
              <w:rPr>
                <w:rFonts w:ascii="宋体" w:hAnsi="宋体" w:cs="宋体" w:eastAsia="宋体" w:hint="default"/>
                <w:sz w:val="21"/>
                <w:szCs w:val="21"/>
              </w:rPr>
              <w:t>龄</w:t>
              <w:tab/>
            </w:r>
            <w:r>
              <w:rPr>
                <w:rFonts w:ascii="宋体" w:hAnsi="宋体" w:cs="宋体" w:eastAsia="宋体" w:hint="default"/>
                <w:sz w:val="21"/>
                <w:szCs w:val="21"/>
              </w:rPr>
              <w:t>2-3</w:t>
              <w:tab/>
            </w:r>
            <w:r>
              <w:rPr>
                <w:rFonts w:ascii="宋体" w:hAnsi="宋体" w:cs="宋体" w:eastAsia="宋体" w:hint="default"/>
                <w:sz w:val="21"/>
                <w:szCs w:val="21"/>
              </w:rPr>
              <w:t>年</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270,684.00 </w:t>
            </w:r>
            <w:r>
              <w:rPr>
                <w:rFonts w:ascii="宋体" w:hAnsi="宋体" w:cs="宋体" w:eastAsia="宋体" w:hint="default"/>
                <w:spacing w:val="8"/>
                <w:sz w:val="21"/>
                <w:szCs w:val="21"/>
              </w:rPr>
              <w:t>元，账龄</w:t>
            </w:r>
            <w:r>
              <w:rPr>
                <w:rFonts w:ascii="宋体" w:hAnsi="宋体" w:cs="宋体" w:eastAsia="宋体" w:hint="default"/>
                <w:spacing w:val="35"/>
                <w:sz w:val="21"/>
                <w:szCs w:val="21"/>
              </w:rPr>
              <w:t> </w:t>
            </w:r>
            <w:r>
              <w:rPr>
                <w:rFonts w:ascii="宋体" w:hAnsi="宋体" w:cs="宋体" w:eastAsia="宋体" w:hint="default"/>
                <w:sz w:val="21"/>
                <w:szCs w:val="21"/>
              </w:rPr>
              <w:t>3</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年以上</w:t>
            </w:r>
            <w:r>
              <w:rPr>
                <w:rFonts w:ascii="宋体" w:hAnsi="宋体" w:cs="宋体" w:eastAsia="宋体" w:hint="default"/>
                <w:spacing w:val="-52"/>
                <w:sz w:val="21"/>
                <w:szCs w:val="21"/>
              </w:rPr>
              <w:t> </w:t>
            </w:r>
            <w:r>
              <w:rPr>
                <w:rFonts w:ascii="宋体" w:hAnsi="宋体" w:cs="宋体" w:eastAsia="宋体" w:hint="default"/>
                <w:sz w:val="21"/>
                <w:szCs w:val="21"/>
              </w:rPr>
              <w:t>512,976.00</w:t>
            </w:r>
            <w:r>
              <w:rPr>
                <w:rFonts w:ascii="宋体" w:hAnsi="宋体" w:cs="宋体" w:eastAsia="宋体" w:hint="default"/>
                <w:spacing w:val="-55"/>
                <w:sz w:val="21"/>
                <w:szCs w:val="21"/>
              </w:rPr>
              <w:t> </w:t>
            </w:r>
            <w:r>
              <w:rPr>
                <w:rFonts w:ascii="宋体" w:hAnsi="宋体" w:cs="宋体" w:eastAsia="宋体" w:hint="default"/>
                <w:sz w:val="21"/>
                <w:szCs w:val="21"/>
              </w:rPr>
              <w:t>元</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5"/>
              <w:jc w:val="right"/>
              <w:rPr>
                <w:rFonts w:ascii="宋体" w:hAnsi="宋体" w:cs="宋体" w:eastAsia="宋体" w:hint="default"/>
                <w:sz w:val="21"/>
                <w:szCs w:val="21"/>
              </w:rPr>
            </w:pPr>
            <w:r>
              <w:rPr>
                <w:rFonts w:ascii="宋体"/>
                <w:sz w:val="21"/>
              </w:rPr>
              <w:t>1.82</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594,181.20</w:t>
            </w:r>
          </w:p>
        </w:tc>
      </w:tr>
      <w:tr>
        <w:trPr>
          <w:trHeight w:val="288"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773,220.70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5"/>
              <w:jc w:val="right"/>
              <w:rPr>
                <w:rFonts w:ascii="宋体" w:hAnsi="宋体" w:cs="宋体" w:eastAsia="宋体" w:hint="default"/>
                <w:sz w:val="21"/>
                <w:szCs w:val="21"/>
              </w:rPr>
            </w:pPr>
            <w:r>
              <w:rPr>
                <w:rFonts w:ascii="宋体"/>
                <w:sz w:val="21"/>
              </w:rPr>
              <w:t>1.80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773,220.70</w:t>
            </w:r>
          </w:p>
        </w:tc>
      </w:tr>
      <w:tr>
        <w:trPr>
          <w:trHeight w:val="288"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26,593,409.97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61.84</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1,617,401.90</w:t>
            </w:r>
          </w:p>
        </w:tc>
      </w:tr>
    </w:tbl>
    <w:p>
      <w:pPr>
        <w:spacing w:line="240" w:lineRule="auto" w:before="12"/>
        <w:rPr>
          <w:rFonts w:ascii="宋体" w:hAnsi="宋体" w:cs="宋体" w:eastAsia="宋体" w:hint="default"/>
          <w:sz w:val="19"/>
          <w:szCs w:val="19"/>
        </w:rPr>
      </w:pPr>
    </w:p>
    <w:p>
      <w:pPr>
        <w:pStyle w:val="Heading4"/>
        <w:spacing w:line="240" w:lineRule="auto"/>
        <w:ind w:left="1538" w:right="0"/>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8"/>
        <w:ind w:left="15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538" w:right="0"/>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spacing w:line="240" w:lineRule="auto" w:before="3"/>
        <w:rPr>
          <w:rFonts w:ascii="宋体" w:hAnsi="宋体" w:cs="宋体" w:eastAsia="宋体" w:hint="default"/>
          <w:b/>
          <w:bCs/>
          <w:sz w:val="25"/>
          <w:szCs w:val="25"/>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1538" w:right="0"/>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spacing w:line="240" w:lineRule="auto" w:before="6"/>
        <w:rPr>
          <w:rFonts w:ascii="宋体" w:hAnsi="宋体" w:cs="宋体" w:eastAsia="宋体" w:hint="default"/>
          <w:b/>
          <w:bCs/>
          <w:sz w:val="25"/>
          <w:szCs w:val="25"/>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6"/>
          <w:szCs w:val="16"/>
        </w:rPr>
      </w:pPr>
    </w:p>
    <w:p>
      <w:pPr>
        <w:pStyle w:val="BodyText"/>
        <w:spacing w:line="240" w:lineRule="auto" w:before="36"/>
        <w:ind w:left="1538" w:right="0"/>
        <w:jc w:val="left"/>
      </w:pPr>
      <w:r>
        <w:rPr/>
        <w:t>其他说明：</w:t>
      </w:r>
    </w:p>
    <w:p>
      <w:pPr>
        <w:spacing w:line="240" w:lineRule="auto" w:before="9"/>
        <w:rPr>
          <w:rFonts w:ascii="宋体" w:hAnsi="宋体" w:cs="宋体" w:eastAsia="宋体" w:hint="default"/>
          <w:sz w:val="20"/>
          <w:szCs w:val="20"/>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260" w:right="260"/>
        </w:sectPr>
      </w:pPr>
    </w:p>
    <w:p>
      <w:pPr>
        <w:pStyle w:val="Heading4"/>
        <w:spacing w:line="240" w:lineRule="auto"/>
        <w:ind w:left="1538"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left="153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589"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120" w:bottom="1380" w:left="260" w:right="260"/>
          <w:cols w:num="2" w:equalWidth="0">
            <w:col w:w="3231" w:space="3291"/>
            <w:col w:w="4868"/>
          </w:cols>
        </w:sectPr>
      </w:pPr>
    </w:p>
    <w:p>
      <w:pPr>
        <w:spacing w:line="240" w:lineRule="auto" w:before="7"/>
        <w:rPr>
          <w:rFonts w:ascii="宋体" w:hAnsi="宋体" w:cs="宋体" w:eastAsia="宋体" w:hint="default"/>
          <w:sz w:val="2"/>
          <w:szCs w:val="2"/>
        </w:rPr>
      </w:pPr>
    </w:p>
    <w:tbl>
      <w:tblPr>
        <w:tblW w:w="0" w:type="auto"/>
        <w:jc w:val="left"/>
        <w:tblInd w:w="253" w:type="dxa"/>
        <w:tblLayout w:type="fixed"/>
        <w:tblCellMar>
          <w:top w:w="0" w:type="dxa"/>
          <w:left w:w="0" w:type="dxa"/>
          <w:bottom w:w="0" w:type="dxa"/>
          <w:right w:w="0" w:type="dxa"/>
        </w:tblCellMar>
        <w:tblLook w:val="01E0"/>
      </w:tblPr>
      <w:tblGrid>
        <w:gridCol w:w="1416"/>
        <w:gridCol w:w="1702"/>
        <w:gridCol w:w="1702"/>
        <w:gridCol w:w="1704"/>
        <w:gridCol w:w="1702"/>
        <w:gridCol w:w="992"/>
        <w:gridCol w:w="1700"/>
      </w:tblGrid>
      <w:tr>
        <w:trPr>
          <w:trHeight w:val="286" w:hRule="exact"/>
        </w:trPr>
        <w:tc>
          <w:tcPr>
            <w:tcW w:w="1416"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1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9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416" w:type="dxa"/>
            <w:vMerge/>
            <w:tcBorders>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sz w:val="21"/>
                <w:szCs w:val="21"/>
              </w:rPr>
              <w:t>对子公司投资</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499,989,253.94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127,882,841.90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372,106,412.04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423,645,409.41</w:t>
            </w:r>
          </w:p>
        </w:tc>
        <w:tc>
          <w:tcPr>
            <w:tcW w:w="99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423,645,409.41</w:t>
            </w:r>
          </w:p>
        </w:tc>
      </w:tr>
      <w:tr>
        <w:trPr>
          <w:trHeight w:val="559"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对联营、合营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企业投资</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374,648,562.50</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374,648,562.50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114,541,038.68</w:t>
            </w:r>
          </w:p>
        </w:tc>
        <w:tc>
          <w:tcPr>
            <w:tcW w:w="99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114,541,038.68</w:t>
            </w:r>
          </w:p>
        </w:tc>
      </w:tr>
      <w:tr>
        <w:trPr>
          <w:trHeight w:val="288"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874,637,816.44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127,882,841.90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746,754,974.54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538,186,448.09</w:t>
            </w:r>
          </w:p>
        </w:tc>
        <w:tc>
          <w:tcPr>
            <w:tcW w:w="99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538,186,448.09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260" w:right="260"/>
        </w:sectPr>
      </w:pPr>
    </w:p>
    <w:p>
      <w:pPr>
        <w:pStyle w:val="Heading4"/>
        <w:spacing w:line="240" w:lineRule="auto"/>
        <w:ind w:left="1538"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8"/>
        <w:ind w:left="153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589"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120" w:bottom="1380" w:left="260" w:right="260"/>
          <w:cols w:num="2" w:equalWidth="0">
            <w:col w:w="3231" w:space="3291"/>
            <w:col w:w="4868"/>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136"/>
        <w:gridCol w:w="1685"/>
        <w:gridCol w:w="1688"/>
        <w:gridCol w:w="1580"/>
        <w:gridCol w:w="1687"/>
        <w:gridCol w:w="1685"/>
        <w:gridCol w:w="1688"/>
      </w:tblGrid>
      <w:tr>
        <w:trPr>
          <w:trHeight w:val="55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被投资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1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本期计提</w:t>
            </w:r>
          </w:p>
          <w:p>
            <w:pPr>
              <w:pStyle w:val="TableParagraph"/>
              <w:spacing w:line="274" w:lineRule="exact"/>
              <w:ind w:left="41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减值准备</w:t>
            </w:r>
          </w:p>
          <w:p>
            <w:pPr>
              <w:pStyle w:val="TableParagraph"/>
              <w:spacing w:line="274" w:lineRule="exact"/>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云投资</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115,000,000.00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无锡恒华</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27,500,000.00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数据安全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10,383,589.00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10,383,589.00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网络技术</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66,882,841.90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61,000,000.00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127,882,841.90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127,882,841.90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127,882,841.90</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恒生科技</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5,180,000.00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5,180,000.00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恒生智能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5,000,000.00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恒生云融</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36,000,000.00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36,000,000.00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杭州云晖</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北京钱塘</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1,400,000.00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上海易锐</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700,000.00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日本恒生</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2,960,123.04</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2,960,123.04</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香港恒生</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12,896,700.00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18,506,500.00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31,403,200.00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260" w:right="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54" w:type="dxa"/>
        <w:tblLayout w:type="fixed"/>
        <w:tblCellMar>
          <w:top w:w="0" w:type="dxa"/>
          <w:left w:w="0" w:type="dxa"/>
          <w:bottom w:w="0" w:type="dxa"/>
          <w:right w:w="0" w:type="dxa"/>
        </w:tblCellMar>
        <w:tblLook w:val="01E0"/>
      </w:tblPr>
      <w:tblGrid>
        <w:gridCol w:w="1136"/>
        <w:gridCol w:w="1685"/>
        <w:gridCol w:w="1688"/>
        <w:gridCol w:w="1580"/>
        <w:gridCol w:w="1687"/>
        <w:gridCol w:w="1685"/>
        <w:gridCol w:w="1688"/>
      </w:tblGrid>
      <w:tr>
        <w:trPr>
          <w:trHeight w:val="28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75"/>
              <w:jc w:val="center"/>
              <w:rPr>
                <w:rFonts w:ascii="宋体" w:hAnsi="宋体" w:cs="宋体" w:eastAsia="宋体" w:hint="default"/>
                <w:sz w:val="21"/>
                <w:szCs w:val="21"/>
              </w:rPr>
            </w:pPr>
            <w:r>
              <w:rPr>
                <w:rFonts w:ascii="宋体" w:hAnsi="宋体" w:cs="宋体" w:eastAsia="宋体" w:hint="default"/>
                <w:sz w:val="21"/>
                <w:szCs w:val="21"/>
              </w:rPr>
              <w:t>数米基金</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34,162,655.47</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34,162,655.47</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
              <w:jc w:val="center"/>
              <w:rPr>
                <w:rFonts w:ascii="宋体" w:hAnsi="宋体" w:cs="宋体" w:eastAsia="宋体" w:hint="default"/>
                <w:sz w:val="21"/>
                <w:szCs w:val="21"/>
              </w:rPr>
            </w:pPr>
            <w:r>
              <w:rPr>
                <w:rFonts w:ascii="宋体" w:hAnsi="宋体" w:cs="宋体" w:eastAsia="宋体" w:hint="default"/>
                <w:sz w:val="21"/>
                <w:szCs w:val="21"/>
              </w:rPr>
              <w:t>上海聚源</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89,032,000.00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89,032,000.00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
              <w:jc w:val="center"/>
              <w:rPr>
                <w:rFonts w:ascii="宋体" w:hAnsi="宋体" w:cs="宋体" w:eastAsia="宋体" w:hint="default"/>
                <w:sz w:val="21"/>
                <w:szCs w:val="21"/>
              </w:rPr>
            </w:pPr>
            <w:r>
              <w:rPr>
                <w:rFonts w:ascii="宋体" w:hAnsi="宋体" w:cs="宋体" w:eastAsia="宋体" w:hint="default"/>
                <w:sz w:val="21"/>
                <w:szCs w:val="21"/>
              </w:rPr>
              <w:t>上海力铭</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47,547,500.00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47,547,500.00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423,645,409.41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115,506,500.00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39,162,655.47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499,989,253.94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127,882,841.90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127,882,841.90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2"/>
          <w:pgSz w:w="11910" w:h="16840"/>
          <w:pgMar w:footer="1195" w:header="882" w:top="1120" w:bottom="1380" w:left="120" w:right="0"/>
        </w:sectPr>
      </w:pPr>
    </w:p>
    <w:p>
      <w:pPr>
        <w:pStyle w:val="Heading4"/>
        <w:spacing w:line="240" w:lineRule="auto"/>
        <w:ind w:left="1678" w:right="-19"/>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8"/>
        <w:ind w:left="167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940" w:val="left" w:leader="none"/>
        </w:tabs>
        <w:spacing w:line="240" w:lineRule="auto"/>
        <w:ind w:left="167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20" w:right="0"/>
          <w:cols w:num="2" w:equalWidth="0">
            <w:col w:w="4213" w:space="2098"/>
            <w:col w:w="5479"/>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133"/>
        <w:gridCol w:w="1130"/>
        <w:gridCol w:w="1135"/>
        <w:gridCol w:w="433"/>
        <w:gridCol w:w="1157"/>
        <w:gridCol w:w="679"/>
        <w:gridCol w:w="1140"/>
        <w:gridCol w:w="998"/>
        <w:gridCol w:w="701"/>
        <w:gridCol w:w="1131"/>
        <w:gridCol w:w="1236"/>
        <w:gridCol w:w="680"/>
      </w:tblGrid>
      <w:tr>
        <w:trPr>
          <w:trHeight w:val="269"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360" w:right="363"/>
              <w:jc w:val="left"/>
              <w:rPr>
                <w:rFonts w:ascii="宋体" w:hAnsi="宋体" w:cs="宋体" w:eastAsia="宋体" w:hint="default"/>
                <w:sz w:val="20"/>
                <w:szCs w:val="20"/>
              </w:rPr>
            </w:pPr>
            <w:r>
              <w:rPr>
                <w:rFonts w:ascii="宋体" w:hAnsi="宋体" w:cs="宋体" w:eastAsia="宋体" w:hint="default"/>
                <w:sz w:val="20"/>
                <w:szCs w:val="20"/>
              </w:rPr>
              <w:t>投资</w:t>
            </w:r>
            <w:r>
              <w:rPr>
                <w:rFonts w:ascii="宋体" w:hAnsi="宋体" w:cs="宋体" w:eastAsia="宋体" w:hint="default"/>
                <w:w w:val="99"/>
                <w:sz w:val="20"/>
                <w:szCs w:val="20"/>
              </w:rPr>
              <w:t> </w:t>
            </w:r>
            <w:r>
              <w:rPr>
                <w:rFonts w:ascii="宋体" w:hAnsi="宋体" w:cs="宋体" w:eastAsia="宋体" w:hint="default"/>
                <w:sz w:val="20"/>
                <w:szCs w:val="20"/>
              </w:rPr>
              <w:t>单位</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359" w:right="360"/>
              <w:jc w:val="left"/>
              <w:rPr>
                <w:rFonts w:ascii="宋体" w:hAnsi="宋体" w:cs="宋体" w:eastAsia="宋体" w:hint="default"/>
                <w:sz w:val="20"/>
                <w:szCs w:val="20"/>
              </w:rPr>
            </w:pPr>
            <w:r>
              <w:rPr>
                <w:rFonts w:ascii="宋体" w:hAnsi="宋体" w:cs="宋体" w:eastAsia="宋体" w:hint="default"/>
                <w:sz w:val="20"/>
                <w:szCs w:val="20"/>
              </w:rPr>
              <w:t>期初</w:t>
            </w:r>
            <w:r>
              <w:rPr>
                <w:rFonts w:ascii="宋体" w:hAnsi="宋体" w:cs="宋体" w:eastAsia="宋体" w:hint="default"/>
                <w:w w:val="99"/>
                <w:sz w:val="20"/>
                <w:szCs w:val="20"/>
              </w:rPr>
              <w:t> </w:t>
            </w:r>
            <w:r>
              <w:rPr>
                <w:rFonts w:ascii="宋体" w:hAnsi="宋体" w:cs="宋体" w:eastAsia="宋体" w:hint="default"/>
                <w:sz w:val="20"/>
                <w:szCs w:val="20"/>
              </w:rPr>
              <w:t>余额</w:t>
            </w:r>
          </w:p>
        </w:tc>
        <w:tc>
          <w:tcPr>
            <w:tcW w:w="73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本期增减变动</w:t>
            </w:r>
          </w:p>
        </w:tc>
        <w:tc>
          <w:tcPr>
            <w:tcW w:w="123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410" w:right="415"/>
              <w:jc w:val="center"/>
              <w:rPr>
                <w:rFonts w:ascii="宋体" w:hAnsi="宋体" w:cs="宋体" w:eastAsia="宋体" w:hint="default"/>
                <w:sz w:val="20"/>
                <w:szCs w:val="20"/>
              </w:rPr>
            </w:pPr>
            <w:r>
              <w:rPr>
                <w:rFonts w:ascii="宋体" w:hAnsi="宋体" w:cs="宋体" w:eastAsia="宋体" w:hint="default"/>
                <w:sz w:val="20"/>
                <w:szCs w:val="20"/>
              </w:rPr>
              <w:t>期末</w:t>
            </w:r>
            <w:r>
              <w:rPr>
                <w:rFonts w:ascii="宋体" w:hAnsi="宋体" w:cs="宋体" w:eastAsia="宋体" w:hint="default"/>
                <w:w w:val="99"/>
                <w:sz w:val="20"/>
                <w:szCs w:val="20"/>
              </w:rPr>
              <w:t> </w:t>
            </w:r>
            <w:r>
              <w:rPr>
                <w:rFonts w:ascii="宋体" w:hAnsi="宋体" w:cs="宋体" w:eastAsia="宋体" w:hint="default"/>
                <w:sz w:val="20"/>
                <w:szCs w:val="20"/>
              </w:rPr>
              <w:t>余额</w:t>
            </w:r>
          </w:p>
        </w:tc>
        <w:tc>
          <w:tcPr>
            <w:tcW w:w="680" w:type="dxa"/>
            <w:vMerge w:val="restart"/>
            <w:tcBorders>
              <w:top w:val="single" w:sz="4" w:space="0" w:color="000000"/>
              <w:left w:val="single" w:sz="4" w:space="0" w:color="000000"/>
              <w:right w:val="single" w:sz="4" w:space="0" w:color="000000"/>
            </w:tcBorders>
          </w:tcPr>
          <w:p>
            <w:pPr>
              <w:pStyle w:val="TableParagraph"/>
              <w:spacing w:line="237" w:lineRule="auto" w:before="104"/>
              <w:ind w:left="132" w:right="137"/>
              <w:jc w:val="both"/>
              <w:rPr>
                <w:rFonts w:ascii="宋体" w:hAnsi="宋体" w:cs="宋体" w:eastAsia="宋体" w:hint="default"/>
                <w:sz w:val="20"/>
                <w:szCs w:val="20"/>
              </w:rPr>
            </w:pPr>
            <w:r>
              <w:rPr>
                <w:rFonts w:ascii="宋体" w:hAnsi="宋体" w:cs="宋体" w:eastAsia="宋体" w:hint="default"/>
                <w:sz w:val="20"/>
                <w:szCs w:val="20"/>
              </w:rPr>
              <w:t>减值</w:t>
            </w:r>
            <w:r>
              <w:rPr>
                <w:rFonts w:ascii="宋体" w:hAnsi="宋体" w:cs="宋体" w:eastAsia="宋体" w:hint="default"/>
                <w:w w:val="99"/>
                <w:sz w:val="20"/>
                <w:szCs w:val="20"/>
              </w:rPr>
              <w:t> </w:t>
            </w:r>
            <w:r>
              <w:rPr>
                <w:rFonts w:ascii="宋体" w:hAnsi="宋体" w:cs="宋体" w:eastAsia="宋体" w:hint="default"/>
                <w:sz w:val="20"/>
                <w:szCs w:val="20"/>
              </w:rPr>
              <w:t>准备</w:t>
            </w:r>
            <w:r>
              <w:rPr>
                <w:rFonts w:ascii="宋体" w:hAnsi="宋体" w:cs="宋体" w:eastAsia="宋体" w:hint="default"/>
                <w:w w:val="99"/>
                <w:sz w:val="20"/>
                <w:szCs w:val="20"/>
              </w:rPr>
              <w:t> </w:t>
            </w:r>
            <w:r>
              <w:rPr>
                <w:rFonts w:ascii="宋体" w:hAnsi="宋体" w:cs="宋体" w:eastAsia="宋体" w:hint="default"/>
                <w:sz w:val="20"/>
                <w:szCs w:val="20"/>
              </w:rPr>
              <w:t>期末</w:t>
            </w:r>
            <w:r>
              <w:rPr>
                <w:rFonts w:ascii="宋体" w:hAnsi="宋体" w:cs="宋体" w:eastAsia="宋体" w:hint="default"/>
                <w:w w:val="99"/>
                <w:sz w:val="20"/>
                <w:szCs w:val="20"/>
              </w:rPr>
              <w:t> </w:t>
            </w:r>
            <w:r>
              <w:rPr>
                <w:rFonts w:ascii="宋体" w:hAnsi="宋体" w:cs="宋体" w:eastAsia="宋体" w:hint="default"/>
                <w:sz w:val="20"/>
                <w:szCs w:val="20"/>
              </w:rPr>
              <w:t>余额</w:t>
            </w:r>
          </w:p>
        </w:tc>
      </w:tr>
      <w:tr>
        <w:trPr>
          <w:trHeight w:val="1047" w:hRule="exact"/>
        </w:trPr>
        <w:tc>
          <w:tcPr>
            <w:tcW w:w="1133"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60" w:right="0"/>
              <w:jc w:val="left"/>
              <w:rPr>
                <w:rFonts w:ascii="宋体" w:hAnsi="宋体" w:cs="宋体" w:eastAsia="宋体" w:hint="default"/>
                <w:sz w:val="20"/>
                <w:szCs w:val="20"/>
              </w:rPr>
            </w:pPr>
            <w:r>
              <w:rPr>
                <w:rFonts w:ascii="宋体" w:hAnsi="宋体" w:cs="宋体" w:eastAsia="宋体" w:hint="default"/>
                <w:sz w:val="20"/>
                <w:szCs w:val="20"/>
              </w:rPr>
              <w:t>追加投资</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10" w:right="0"/>
              <w:jc w:val="both"/>
              <w:rPr>
                <w:rFonts w:ascii="宋体" w:hAnsi="宋体" w:cs="宋体" w:eastAsia="宋体" w:hint="default"/>
                <w:sz w:val="20"/>
                <w:szCs w:val="20"/>
              </w:rPr>
            </w:pPr>
            <w:r>
              <w:rPr>
                <w:rFonts w:ascii="宋体" w:hAnsi="宋体" w:cs="宋体" w:eastAsia="宋体" w:hint="default"/>
                <w:w w:val="99"/>
                <w:sz w:val="20"/>
                <w:szCs w:val="20"/>
              </w:rPr>
              <w:t>减</w:t>
            </w:r>
            <w:r>
              <w:rPr>
                <w:rFonts w:ascii="宋体" w:hAnsi="宋体" w:cs="宋体" w:eastAsia="宋体" w:hint="default"/>
                <w:sz w:val="20"/>
                <w:szCs w:val="20"/>
              </w:rPr>
            </w:r>
          </w:p>
          <w:p>
            <w:pPr>
              <w:pStyle w:val="TableParagraph"/>
              <w:spacing w:line="260" w:lineRule="exact" w:before="24"/>
              <w:ind w:left="110" w:right="111"/>
              <w:jc w:val="both"/>
              <w:rPr>
                <w:rFonts w:ascii="宋体" w:hAnsi="宋体" w:cs="宋体" w:eastAsia="宋体" w:hint="default"/>
                <w:sz w:val="20"/>
                <w:szCs w:val="20"/>
              </w:rPr>
            </w:pPr>
            <w:r>
              <w:rPr>
                <w:rFonts w:ascii="宋体" w:hAnsi="宋体" w:cs="宋体" w:eastAsia="宋体" w:hint="default"/>
                <w:sz w:val="20"/>
                <w:szCs w:val="20"/>
              </w:rPr>
              <w:t>少</w:t>
            </w:r>
            <w:r>
              <w:rPr>
                <w:rFonts w:ascii="宋体" w:hAnsi="宋体" w:cs="宋体" w:eastAsia="宋体" w:hint="default"/>
                <w:w w:val="99"/>
                <w:sz w:val="20"/>
                <w:szCs w:val="20"/>
              </w:rPr>
              <w:t> </w:t>
            </w:r>
            <w:r>
              <w:rPr>
                <w:rFonts w:ascii="宋体" w:hAnsi="宋体" w:cs="宋体" w:eastAsia="宋体" w:hint="default"/>
                <w:sz w:val="20"/>
                <w:szCs w:val="20"/>
              </w:rPr>
              <w:t>投</w:t>
            </w:r>
            <w:r>
              <w:rPr>
                <w:rFonts w:ascii="宋体" w:hAnsi="宋体" w:cs="宋体" w:eastAsia="宋体" w:hint="default"/>
                <w:w w:val="99"/>
                <w:sz w:val="20"/>
                <w:szCs w:val="20"/>
              </w:rPr>
              <w:t> </w:t>
            </w:r>
            <w:r>
              <w:rPr>
                <w:rFonts w:ascii="宋体" w:hAnsi="宋体" w:cs="宋体" w:eastAsia="宋体" w:hint="default"/>
                <w:sz w:val="20"/>
                <w:szCs w:val="20"/>
              </w:rPr>
              <w:t>资</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72" w:right="175"/>
              <w:jc w:val="both"/>
              <w:rPr>
                <w:rFonts w:ascii="宋体" w:hAnsi="宋体" w:cs="宋体" w:eastAsia="宋体" w:hint="default"/>
                <w:sz w:val="20"/>
                <w:szCs w:val="20"/>
              </w:rPr>
            </w:pPr>
            <w:r>
              <w:rPr>
                <w:rFonts w:ascii="宋体" w:hAnsi="宋体" w:cs="宋体" w:eastAsia="宋体" w:hint="default"/>
                <w:sz w:val="20"/>
                <w:szCs w:val="20"/>
              </w:rPr>
              <w:t>权益法下</w:t>
            </w:r>
            <w:r>
              <w:rPr>
                <w:rFonts w:ascii="宋体" w:hAnsi="宋体" w:cs="宋体" w:eastAsia="宋体" w:hint="default"/>
                <w:w w:val="99"/>
                <w:sz w:val="20"/>
                <w:szCs w:val="20"/>
              </w:rPr>
              <w:t> </w:t>
            </w:r>
            <w:r>
              <w:rPr>
                <w:rFonts w:ascii="宋体" w:hAnsi="宋体" w:cs="宋体" w:eastAsia="宋体" w:hint="default"/>
                <w:sz w:val="20"/>
                <w:szCs w:val="20"/>
              </w:rPr>
              <w:t>确认的投</w:t>
            </w:r>
            <w:r>
              <w:rPr>
                <w:rFonts w:ascii="宋体" w:hAnsi="宋体" w:cs="宋体" w:eastAsia="宋体" w:hint="default"/>
                <w:w w:val="99"/>
                <w:sz w:val="20"/>
                <w:szCs w:val="20"/>
              </w:rPr>
              <w:t> </w:t>
            </w:r>
            <w:r>
              <w:rPr>
                <w:rFonts w:ascii="宋体" w:hAnsi="宋体" w:cs="宋体" w:eastAsia="宋体" w:hint="default"/>
                <w:sz w:val="20"/>
                <w:szCs w:val="20"/>
              </w:rPr>
              <w:t>资损益</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4" w:right="0"/>
              <w:jc w:val="both"/>
              <w:rPr>
                <w:rFonts w:ascii="宋体" w:hAnsi="宋体" w:cs="宋体" w:eastAsia="宋体" w:hint="default"/>
                <w:sz w:val="20"/>
                <w:szCs w:val="20"/>
              </w:rPr>
            </w:pPr>
            <w:r>
              <w:rPr>
                <w:rFonts w:ascii="宋体" w:hAnsi="宋体" w:cs="宋体" w:eastAsia="宋体" w:hint="default"/>
                <w:sz w:val="20"/>
                <w:szCs w:val="20"/>
              </w:rPr>
              <w:t>其他</w:t>
            </w:r>
          </w:p>
          <w:p>
            <w:pPr>
              <w:pStyle w:val="TableParagraph"/>
              <w:spacing w:line="260" w:lineRule="exact" w:before="24"/>
              <w:ind w:left="134" w:right="134"/>
              <w:jc w:val="both"/>
              <w:rPr>
                <w:rFonts w:ascii="宋体" w:hAnsi="宋体" w:cs="宋体" w:eastAsia="宋体" w:hint="default"/>
                <w:sz w:val="20"/>
                <w:szCs w:val="20"/>
              </w:rPr>
            </w:pPr>
            <w:r>
              <w:rPr>
                <w:rFonts w:ascii="宋体" w:hAnsi="宋体" w:cs="宋体" w:eastAsia="宋体" w:hint="default"/>
                <w:sz w:val="20"/>
                <w:szCs w:val="20"/>
              </w:rPr>
              <w:t>综合</w:t>
            </w:r>
            <w:r>
              <w:rPr>
                <w:rFonts w:ascii="宋体" w:hAnsi="宋体" w:cs="宋体" w:eastAsia="宋体" w:hint="default"/>
                <w:w w:val="99"/>
                <w:sz w:val="20"/>
                <w:szCs w:val="20"/>
              </w:rPr>
              <w:t> </w:t>
            </w:r>
            <w:r>
              <w:rPr>
                <w:rFonts w:ascii="宋体" w:hAnsi="宋体" w:cs="宋体" w:eastAsia="宋体" w:hint="default"/>
                <w:sz w:val="20"/>
                <w:szCs w:val="20"/>
              </w:rPr>
              <w:t>收益</w:t>
            </w:r>
            <w:r>
              <w:rPr>
                <w:rFonts w:ascii="宋体" w:hAnsi="宋体" w:cs="宋体" w:eastAsia="宋体" w:hint="default"/>
                <w:w w:val="99"/>
                <w:sz w:val="20"/>
                <w:szCs w:val="20"/>
              </w:rPr>
              <w:t> </w:t>
            </w:r>
            <w:r>
              <w:rPr>
                <w:rFonts w:ascii="宋体" w:hAnsi="宋体" w:cs="宋体" w:eastAsia="宋体" w:hint="default"/>
                <w:sz w:val="20"/>
                <w:szCs w:val="20"/>
              </w:rPr>
              <w:t>调整</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364" w:right="166" w:hanging="200"/>
              <w:jc w:val="left"/>
              <w:rPr>
                <w:rFonts w:ascii="宋体" w:hAnsi="宋体" w:cs="宋体" w:eastAsia="宋体" w:hint="default"/>
                <w:sz w:val="20"/>
                <w:szCs w:val="20"/>
              </w:rPr>
            </w:pPr>
            <w:r>
              <w:rPr>
                <w:rFonts w:ascii="宋体" w:hAnsi="宋体" w:cs="宋体" w:eastAsia="宋体" w:hint="default"/>
                <w:sz w:val="20"/>
                <w:szCs w:val="20"/>
              </w:rPr>
              <w:t>其他权益</w:t>
            </w:r>
            <w:r>
              <w:rPr>
                <w:rFonts w:ascii="宋体" w:hAnsi="宋体" w:cs="宋体" w:eastAsia="宋体" w:hint="default"/>
                <w:w w:val="99"/>
                <w:sz w:val="20"/>
                <w:szCs w:val="20"/>
              </w:rPr>
              <w:t> </w:t>
            </w:r>
            <w:r>
              <w:rPr>
                <w:rFonts w:ascii="宋体" w:hAnsi="宋体" w:cs="宋体" w:eastAsia="宋体" w:hint="default"/>
                <w:sz w:val="20"/>
                <w:szCs w:val="20"/>
              </w:rPr>
              <w:t>变动</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94" w:right="0"/>
              <w:jc w:val="both"/>
              <w:rPr>
                <w:rFonts w:ascii="宋体" w:hAnsi="宋体" w:cs="宋体" w:eastAsia="宋体" w:hint="default"/>
                <w:sz w:val="20"/>
                <w:szCs w:val="20"/>
              </w:rPr>
            </w:pPr>
            <w:r>
              <w:rPr>
                <w:rFonts w:ascii="宋体" w:hAnsi="宋体" w:cs="宋体" w:eastAsia="宋体" w:hint="default"/>
                <w:sz w:val="20"/>
                <w:szCs w:val="20"/>
              </w:rPr>
              <w:t>宣告发</w:t>
            </w:r>
          </w:p>
          <w:p>
            <w:pPr>
              <w:pStyle w:val="TableParagraph"/>
              <w:spacing w:line="260" w:lineRule="exact" w:before="24"/>
              <w:ind w:left="194" w:right="194"/>
              <w:jc w:val="both"/>
              <w:rPr>
                <w:rFonts w:ascii="宋体" w:hAnsi="宋体" w:cs="宋体" w:eastAsia="宋体" w:hint="default"/>
                <w:sz w:val="20"/>
                <w:szCs w:val="20"/>
              </w:rPr>
            </w:pPr>
            <w:r>
              <w:rPr>
                <w:rFonts w:ascii="宋体" w:hAnsi="宋体" w:cs="宋体" w:eastAsia="宋体" w:hint="default"/>
                <w:sz w:val="20"/>
                <w:szCs w:val="20"/>
              </w:rPr>
              <w:t>放现金</w:t>
            </w:r>
            <w:r>
              <w:rPr>
                <w:rFonts w:ascii="宋体" w:hAnsi="宋体" w:cs="宋体" w:eastAsia="宋体" w:hint="default"/>
                <w:w w:val="99"/>
                <w:sz w:val="20"/>
                <w:szCs w:val="20"/>
              </w:rPr>
              <w:t> </w:t>
            </w:r>
            <w:r>
              <w:rPr>
                <w:rFonts w:ascii="宋体" w:hAnsi="宋体" w:cs="宋体" w:eastAsia="宋体" w:hint="default"/>
                <w:sz w:val="20"/>
                <w:szCs w:val="20"/>
              </w:rPr>
              <w:t>股利或</w:t>
            </w:r>
            <w:r>
              <w:rPr>
                <w:rFonts w:ascii="宋体" w:hAnsi="宋体" w:cs="宋体" w:eastAsia="宋体" w:hint="default"/>
                <w:w w:val="99"/>
                <w:sz w:val="20"/>
                <w:szCs w:val="20"/>
              </w:rPr>
              <w:t> </w:t>
            </w:r>
            <w:r>
              <w:rPr>
                <w:rFonts w:ascii="宋体" w:hAnsi="宋体" w:cs="宋体" w:eastAsia="宋体" w:hint="default"/>
                <w:sz w:val="20"/>
                <w:szCs w:val="20"/>
              </w:rPr>
              <w:t>利润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43" w:right="146"/>
              <w:jc w:val="both"/>
              <w:rPr>
                <w:rFonts w:ascii="宋体" w:hAnsi="宋体" w:cs="宋体" w:eastAsia="宋体" w:hint="default"/>
                <w:sz w:val="20"/>
                <w:szCs w:val="20"/>
              </w:rPr>
            </w:pPr>
            <w:r>
              <w:rPr>
                <w:rFonts w:ascii="宋体" w:hAnsi="宋体" w:cs="宋体" w:eastAsia="宋体" w:hint="default"/>
                <w:sz w:val="20"/>
                <w:szCs w:val="20"/>
              </w:rPr>
              <w:t>计提</w:t>
            </w:r>
            <w:r>
              <w:rPr>
                <w:rFonts w:ascii="宋体" w:hAnsi="宋体" w:cs="宋体" w:eastAsia="宋体" w:hint="default"/>
                <w:w w:val="99"/>
                <w:sz w:val="20"/>
                <w:szCs w:val="20"/>
              </w:rPr>
              <w:t> </w:t>
            </w:r>
            <w:r>
              <w:rPr>
                <w:rFonts w:ascii="宋体" w:hAnsi="宋体" w:cs="宋体" w:eastAsia="宋体" w:hint="default"/>
                <w:sz w:val="20"/>
                <w:szCs w:val="20"/>
              </w:rPr>
              <w:t>减值</w:t>
            </w:r>
            <w:r>
              <w:rPr>
                <w:rFonts w:ascii="宋体" w:hAnsi="宋体" w:cs="宋体" w:eastAsia="宋体" w:hint="default"/>
                <w:w w:val="99"/>
                <w:sz w:val="20"/>
                <w:szCs w:val="20"/>
              </w:rPr>
              <w:t> </w:t>
            </w:r>
            <w:r>
              <w:rPr>
                <w:rFonts w:ascii="宋体" w:hAnsi="宋体" w:cs="宋体" w:eastAsia="宋体" w:hint="default"/>
                <w:sz w:val="20"/>
                <w:szCs w:val="20"/>
              </w:rPr>
              <w:t>准备</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360"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236"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r>
      <w:tr>
        <w:trPr>
          <w:trHeight w:val="53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一</w:t>
            </w:r>
            <w:r>
              <w:rPr>
                <w:rFonts w:ascii="宋体" w:hAnsi="宋体" w:cs="宋体" w:eastAsia="宋体" w:hint="default"/>
                <w:spacing w:val="-85"/>
                <w:w w:val="99"/>
                <w:sz w:val="20"/>
                <w:szCs w:val="20"/>
              </w:rPr>
              <w:t>、</w:t>
            </w:r>
            <w:r>
              <w:rPr>
                <w:rFonts w:ascii="宋体" w:hAnsi="宋体" w:cs="宋体" w:eastAsia="宋体" w:hint="default"/>
                <w:spacing w:val="2"/>
                <w:w w:val="99"/>
                <w:sz w:val="20"/>
                <w:szCs w:val="20"/>
              </w:rPr>
              <w:t>合</w:t>
            </w:r>
            <w:r>
              <w:rPr>
                <w:rFonts w:ascii="宋体" w:hAnsi="宋体" w:cs="宋体" w:eastAsia="宋体" w:hint="default"/>
                <w:w w:val="99"/>
                <w:sz w:val="20"/>
                <w:szCs w:val="20"/>
              </w:rPr>
              <w:t>营企</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业</w:t>
            </w:r>
            <w:r>
              <w:rPr>
                <w:rFonts w:ascii="宋体" w:hAnsi="宋体" w:cs="宋体" w:eastAsia="宋体" w:hint="default"/>
                <w:sz w:val="20"/>
                <w:szCs w:val="20"/>
              </w:rPr>
            </w:r>
          </w:p>
        </w:tc>
        <w:tc>
          <w:tcPr>
            <w:tcW w:w="113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133"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133"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二</w:t>
            </w:r>
            <w:r>
              <w:rPr>
                <w:rFonts w:ascii="宋体" w:hAnsi="宋体" w:cs="宋体" w:eastAsia="宋体" w:hint="default"/>
                <w:spacing w:val="-84"/>
                <w:w w:val="99"/>
                <w:sz w:val="20"/>
                <w:szCs w:val="20"/>
              </w:rPr>
              <w:t>、</w:t>
            </w:r>
            <w:r>
              <w:rPr>
                <w:rFonts w:ascii="宋体" w:hAnsi="宋体" w:cs="宋体" w:eastAsia="宋体" w:hint="default"/>
                <w:spacing w:val="2"/>
                <w:w w:val="99"/>
                <w:sz w:val="20"/>
                <w:szCs w:val="20"/>
              </w:rPr>
              <w:t>联</w:t>
            </w:r>
            <w:r>
              <w:rPr>
                <w:rFonts w:ascii="宋体" w:hAnsi="宋体" w:cs="宋体" w:eastAsia="宋体" w:hint="default"/>
                <w:w w:val="99"/>
                <w:sz w:val="20"/>
                <w:szCs w:val="20"/>
              </w:rPr>
              <w:t>营企</w:t>
            </w:r>
            <w:r>
              <w:rPr>
                <w:rFonts w:ascii="宋体" w:hAnsi="宋体" w:cs="宋体" w:eastAsia="宋体" w:hint="default"/>
                <w:sz w:val="20"/>
                <w:szCs w:val="20"/>
              </w:rPr>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w w:val="99"/>
                <w:sz w:val="20"/>
                <w:szCs w:val="20"/>
              </w:rPr>
              <w:t>业</w:t>
            </w:r>
            <w:r>
              <w:rPr>
                <w:rFonts w:ascii="宋体" w:hAnsi="宋体" w:cs="宋体" w:eastAsia="宋体" w:hint="default"/>
                <w:sz w:val="20"/>
                <w:szCs w:val="20"/>
              </w:rPr>
            </w:r>
          </w:p>
        </w:tc>
        <w:tc>
          <w:tcPr>
            <w:tcW w:w="113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杭州恒生</w:t>
            </w:r>
          </w:p>
          <w:p>
            <w:pPr>
              <w:pStyle w:val="TableParagraph"/>
              <w:spacing w:line="260" w:lineRule="exact" w:before="24"/>
              <w:ind w:left="103" w:right="221"/>
              <w:jc w:val="left"/>
              <w:rPr>
                <w:rFonts w:ascii="宋体" w:hAnsi="宋体" w:cs="宋体" w:eastAsia="宋体" w:hint="default"/>
                <w:sz w:val="20"/>
                <w:szCs w:val="20"/>
              </w:rPr>
            </w:pPr>
            <w:r>
              <w:rPr>
                <w:rFonts w:ascii="宋体" w:hAnsi="宋体" w:cs="宋体" w:eastAsia="宋体" w:hint="default"/>
                <w:sz w:val="20"/>
                <w:szCs w:val="20"/>
              </w:rPr>
              <w:t>鼎汇科技</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5,103.06</w:t>
            </w:r>
            <w:r>
              <w:rPr>
                <w:rFonts w:ascii="宋体"/>
                <w:sz w:val="20"/>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387.20</w:t>
            </w:r>
            <w:r>
              <w:rPr>
                <w:rFonts w:ascii="宋体"/>
                <w:sz w:val="20"/>
              </w:rPr>
            </w:r>
          </w:p>
        </w:tc>
        <w:tc>
          <w:tcPr>
            <w:tcW w:w="67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w w:val="95"/>
                <w:sz w:val="20"/>
              </w:rPr>
              <w:t>5,490.26</w:t>
            </w:r>
            <w:r>
              <w:rPr>
                <w:rFonts w:ascii="宋体"/>
                <w:sz w:val="20"/>
              </w:rPr>
            </w:r>
          </w:p>
        </w:tc>
        <w:tc>
          <w:tcPr>
            <w:tcW w:w="680"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杭州恒生</w:t>
            </w:r>
          </w:p>
          <w:p>
            <w:pPr>
              <w:pStyle w:val="TableParagraph"/>
              <w:spacing w:line="260" w:lineRule="exact" w:before="24"/>
              <w:ind w:left="103" w:right="221"/>
              <w:jc w:val="left"/>
              <w:rPr>
                <w:rFonts w:ascii="宋体" w:hAnsi="宋体" w:cs="宋体" w:eastAsia="宋体" w:hint="default"/>
                <w:sz w:val="20"/>
                <w:szCs w:val="20"/>
              </w:rPr>
            </w:pPr>
            <w:r>
              <w:rPr>
                <w:rFonts w:ascii="宋体" w:hAnsi="宋体" w:cs="宋体" w:eastAsia="宋体" w:hint="default"/>
                <w:sz w:val="20"/>
                <w:szCs w:val="20"/>
              </w:rPr>
              <w:t>世纪实业</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3,719.16</w:t>
            </w:r>
            <w:r>
              <w:rPr>
                <w:rFonts w:ascii="宋体"/>
                <w:sz w:val="20"/>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-89.09</w:t>
            </w:r>
            <w:r>
              <w:rPr>
                <w:rFonts w:ascii="宋体"/>
                <w:sz w:val="20"/>
              </w:rPr>
            </w:r>
          </w:p>
        </w:tc>
        <w:tc>
          <w:tcPr>
            <w:tcW w:w="67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w w:val="95"/>
                <w:sz w:val="20"/>
              </w:rPr>
              <w:t>3,630.07</w:t>
            </w:r>
            <w:r>
              <w:rPr>
                <w:rFonts w:ascii="宋体"/>
                <w:sz w:val="20"/>
              </w:rPr>
            </w:r>
          </w:p>
        </w:tc>
        <w:tc>
          <w:tcPr>
            <w:tcW w:w="68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浙江维尔</w:t>
            </w:r>
          </w:p>
          <w:p>
            <w:pPr>
              <w:pStyle w:val="TableParagraph"/>
              <w:spacing w:line="260" w:lineRule="exact" w:before="24"/>
              <w:ind w:left="103" w:right="221"/>
              <w:jc w:val="left"/>
              <w:rPr>
                <w:rFonts w:ascii="宋体" w:hAnsi="宋体" w:cs="宋体" w:eastAsia="宋体" w:hint="default"/>
                <w:sz w:val="20"/>
                <w:szCs w:val="20"/>
              </w:rPr>
            </w:pPr>
            <w:r>
              <w:rPr>
                <w:rFonts w:ascii="宋体" w:hAnsi="宋体" w:cs="宋体" w:eastAsia="宋体" w:hint="default"/>
                <w:sz w:val="20"/>
                <w:szCs w:val="20"/>
              </w:rPr>
              <w:t>科技股份</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2,631.88</w:t>
            </w:r>
            <w:r>
              <w:rPr>
                <w:rFonts w:ascii="宋体"/>
                <w:sz w:val="20"/>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w w:val="95"/>
                <w:sz w:val="20"/>
              </w:rPr>
              <w:t>1,138.70</w:t>
            </w:r>
            <w:r>
              <w:rPr>
                <w:rFonts w:ascii="宋体"/>
                <w:sz w:val="20"/>
              </w:rPr>
            </w:r>
          </w:p>
        </w:tc>
        <w:tc>
          <w:tcPr>
            <w:tcW w:w="67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94.36</w:t>
            </w:r>
            <w:r>
              <w:rPr>
                <w:rFonts w:ascii="宋体"/>
                <w:sz w:val="20"/>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85" w:right="0"/>
              <w:jc w:val="left"/>
              <w:rPr>
                <w:rFonts w:ascii="宋体" w:hAnsi="宋体" w:cs="宋体" w:eastAsia="宋体" w:hint="default"/>
                <w:sz w:val="20"/>
                <w:szCs w:val="20"/>
              </w:rPr>
            </w:pPr>
            <w:r>
              <w:rPr>
                <w:rFonts w:ascii="宋体"/>
                <w:sz w:val="20"/>
              </w:rPr>
              <w:t>670.50</w:t>
            </w:r>
          </w:p>
        </w:tc>
        <w:tc>
          <w:tcPr>
            <w:tcW w:w="701"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w w:val="95"/>
                <w:sz w:val="20"/>
              </w:rPr>
              <w:t>3,194.44</w:t>
            </w:r>
            <w:r>
              <w:rPr>
                <w:rFonts w:ascii="宋体"/>
                <w:sz w:val="20"/>
              </w:rPr>
            </w:r>
          </w:p>
        </w:tc>
        <w:tc>
          <w:tcPr>
            <w:tcW w:w="680"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杭州数米</w:t>
            </w:r>
          </w:p>
          <w:p>
            <w:pPr>
              <w:pStyle w:val="TableParagraph"/>
              <w:spacing w:line="260" w:lineRule="exact" w:before="24"/>
              <w:ind w:left="103" w:right="221"/>
              <w:jc w:val="left"/>
              <w:rPr>
                <w:rFonts w:ascii="宋体" w:hAnsi="宋体" w:cs="宋体" w:eastAsia="宋体" w:hint="default"/>
                <w:sz w:val="20"/>
                <w:szCs w:val="20"/>
              </w:rPr>
            </w:pPr>
            <w:r>
              <w:rPr>
                <w:rFonts w:ascii="宋体" w:hAnsi="宋体" w:cs="宋体" w:eastAsia="宋体" w:hint="default"/>
                <w:sz w:val="20"/>
                <w:szCs w:val="20"/>
              </w:rPr>
              <w:t>基金销售</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13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871.22</w:t>
            </w:r>
            <w:r>
              <w:rPr>
                <w:rFonts w:ascii="宋体"/>
                <w:sz w:val="20"/>
              </w:rPr>
            </w:r>
          </w:p>
        </w:tc>
        <w:tc>
          <w:tcPr>
            <w:tcW w:w="67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w w:val="95"/>
                <w:sz w:val="20"/>
              </w:rPr>
              <w:t>2,819.26</w:t>
            </w:r>
            <w:r>
              <w:rPr>
                <w:rFonts w:ascii="宋体"/>
                <w:sz w:val="20"/>
              </w:rPr>
            </w:r>
          </w:p>
        </w:tc>
        <w:tc>
          <w:tcPr>
            <w:tcW w:w="99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18" w:right="0"/>
              <w:jc w:val="left"/>
              <w:rPr>
                <w:rFonts w:ascii="宋体" w:hAnsi="宋体" w:cs="宋体" w:eastAsia="宋体" w:hint="default"/>
                <w:sz w:val="20"/>
                <w:szCs w:val="20"/>
              </w:rPr>
            </w:pPr>
            <w:r>
              <w:rPr>
                <w:rFonts w:ascii="宋体"/>
                <w:sz w:val="20"/>
              </w:rPr>
              <w:t>4,214.64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w w:val="95"/>
                <w:sz w:val="20"/>
              </w:rPr>
              <w:t>7,905.12</w:t>
            </w:r>
            <w:r>
              <w:rPr>
                <w:rFonts w:ascii="宋体"/>
                <w:sz w:val="20"/>
              </w:rPr>
            </w:r>
          </w:p>
        </w:tc>
        <w:tc>
          <w:tcPr>
            <w:tcW w:w="68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深圳开拓</w:t>
            </w:r>
          </w:p>
          <w:p>
            <w:pPr>
              <w:pStyle w:val="TableParagraph"/>
              <w:spacing w:line="260" w:lineRule="exact" w:before="24"/>
              <w:ind w:left="103" w:right="221"/>
              <w:jc w:val="left"/>
              <w:rPr>
                <w:rFonts w:ascii="宋体" w:hAnsi="宋体" w:cs="宋体" w:eastAsia="宋体" w:hint="default"/>
                <w:sz w:val="20"/>
                <w:szCs w:val="20"/>
              </w:rPr>
            </w:pPr>
            <w:r>
              <w:rPr>
                <w:rFonts w:ascii="宋体" w:hAnsi="宋体" w:cs="宋体" w:eastAsia="宋体" w:hint="default"/>
                <w:sz w:val="20"/>
                <w:szCs w:val="20"/>
              </w:rPr>
              <w:t>者科技有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13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w w:val="95"/>
                <w:sz w:val="20"/>
              </w:rPr>
              <w:t>7,200.00</w:t>
            </w:r>
            <w:r>
              <w:rPr>
                <w:rFonts w:ascii="宋体"/>
                <w:sz w:val="20"/>
              </w:rPr>
            </w:r>
          </w:p>
        </w:tc>
        <w:tc>
          <w:tcPr>
            <w:tcW w:w="433"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568.13</w:t>
            </w:r>
            <w:r>
              <w:rPr>
                <w:rFonts w:ascii="宋体"/>
                <w:sz w:val="20"/>
              </w:rPr>
            </w:r>
          </w:p>
        </w:tc>
        <w:tc>
          <w:tcPr>
            <w:tcW w:w="67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w w:val="95"/>
                <w:sz w:val="20"/>
              </w:rPr>
              <w:t>895.13</w:t>
            </w:r>
            <w:r>
              <w:rPr>
                <w:rFonts w:ascii="宋体"/>
                <w:sz w:val="20"/>
              </w:rPr>
            </w:r>
          </w:p>
        </w:tc>
        <w:tc>
          <w:tcPr>
            <w:tcW w:w="99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w w:val="95"/>
                <w:sz w:val="20"/>
              </w:rPr>
              <w:t>8,663.26</w:t>
            </w:r>
            <w:r>
              <w:rPr>
                <w:rFonts w:ascii="宋体"/>
                <w:sz w:val="20"/>
              </w:rPr>
            </w:r>
          </w:p>
        </w:tc>
        <w:tc>
          <w:tcPr>
            <w:tcW w:w="680"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杭州融都</w:t>
            </w:r>
          </w:p>
          <w:p>
            <w:pPr>
              <w:pStyle w:val="TableParagraph"/>
              <w:spacing w:line="260" w:lineRule="exact" w:before="24"/>
              <w:ind w:left="103" w:right="221"/>
              <w:jc w:val="left"/>
              <w:rPr>
                <w:rFonts w:ascii="宋体" w:hAnsi="宋体" w:cs="宋体" w:eastAsia="宋体" w:hint="default"/>
                <w:sz w:val="20"/>
                <w:szCs w:val="20"/>
              </w:rPr>
            </w:pPr>
            <w:r>
              <w:rPr>
                <w:rFonts w:ascii="宋体" w:hAnsi="宋体" w:cs="宋体" w:eastAsia="宋体" w:hint="default"/>
                <w:sz w:val="20"/>
                <w:szCs w:val="20"/>
              </w:rPr>
              <w:t>科技有限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13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w w:val="95"/>
                <w:sz w:val="20"/>
              </w:rPr>
              <w:t>4,250.00</w:t>
            </w:r>
            <w:r>
              <w:rPr>
                <w:rFonts w:ascii="宋体"/>
                <w:sz w:val="20"/>
              </w:rPr>
            </w:r>
          </w:p>
        </w:tc>
        <w:tc>
          <w:tcPr>
            <w:tcW w:w="433"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z w:val="20"/>
              </w:rPr>
              <w:t>-176.37</w:t>
            </w:r>
          </w:p>
        </w:tc>
        <w:tc>
          <w:tcPr>
            <w:tcW w:w="67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z w:val="20"/>
              </w:rPr>
              <w:t>8.61</w:t>
            </w:r>
          </w:p>
        </w:tc>
        <w:tc>
          <w:tcPr>
            <w:tcW w:w="99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w w:val="95"/>
                <w:sz w:val="20"/>
              </w:rPr>
              <w:t>4,082.24</w:t>
            </w:r>
            <w:r>
              <w:rPr>
                <w:rFonts w:ascii="宋体"/>
                <w:sz w:val="20"/>
              </w:rPr>
            </w:r>
          </w:p>
        </w:tc>
        <w:tc>
          <w:tcPr>
            <w:tcW w:w="680" w:type="dxa"/>
            <w:tcBorders>
              <w:top w:val="single" w:sz="4" w:space="0" w:color="000000"/>
              <w:left w:val="single" w:sz="4" w:space="0" w:color="000000"/>
              <w:bottom w:val="single" w:sz="4" w:space="0" w:color="000000"/>
              <w:right w:val="single" w:sz="4" w:space="0" w:color="000000"/>
            </w:tcBorders>
          </w:tcPr>
          <w:p>
            <w:pPr/>
          </w:p>
        </w:tc>
      </w:tr>
      <w:tr>
        <w:trPr>
          <w:trHeight w:val="1306"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z w:val="20"/>
                <w:szCs w:val="20"/>
              </w:rPr>
              <w:t>浙江互联</w:t>
            </w:r>
          </w:p>
          <w:p>
            <w:pPr>
              <w:pStyle w:val="TableParagraph"/>
              <w:spacing w:line="260" w:lineRule="exact" w:before="24"/>
              <w:ind w:left="103" w:right="221"/>
              <w:jc w:val="both"/>
              <w:rPr>
                <w:rFonts w:ascii="宋体" w:hAnsi="宋体" w:cs="宋体" w:eastAsia="宋体" w:hint="default"/>
                <w:sz w:val="20"/>
                <w:szCs w:val="20"/>
              </w:rPr>
            </w:pPr>
            <w:r>
              <w:rPr>
                <w:rFonts w:ascii="宋体" w:hAnsi="宋体" w:cs="宋体" w:eastAsia="宋体" w:hint="default"/>
                <w:sz w:val="20"/>
                <w:szCs w:val="20"/>
              </w:rPr>
              <w:t>网金融资</w:t>
            </w:r>
            <w:r>
              <w:rPr>
                <w:rFonts w:ascii="宋体" w:hAnsi="宋体" w:cs="宋体" w:eastAsia="宋体" w:hint="default"/>
                <w:w w:val="99"/>
                <w:sz w:val="20"/>
                <w:szCs w:val="20"/>
              </w:rPr>
              <w:t> </w:t>
            </w:r>
            <w:r>
              <w:rPr>
                <w:rFonts w:ascii="宋体" w:hAnsi="宋体" w:cs="宋体" w:eastAsia="宋体" w:hint="default"/>
                <w:sz w:val="20"/>
                <w:szCs w:val="20"/>
              </w:rPr>
              <w:t>产交易中</w:t>
            </w:r>
            <w:r>
              <w:rPr>
                <w:rFonts w:ascii="宋体" w:hAnsi="宋体" w:cs="宋体" w:eastAsia="宋体" w:hint="default"/>
                <w:w w:val="99"/>
                <w:sz w:val="20"/>
                <w:szCs w:val="20"/>
              </w:rPr>
              <w:t> </w:t>
            </w:r>
            <w:r>
              <w:rPr>
                <w:rFonts w:ascii="宋体" w:hAnsi="宋体" w:cs="宋体" w:eastAsia="宋体" w:hint="default"/>
                <w:sz w:val="20"/>
                <w:szCs w:val="20"/>
              </w:rPr>
              <w:t>心股份有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13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w w:val="95"/>
                <w:sz w:val="20"/>
              </w:rPr>
              <w:t>1,087.50</w:t>
            </w:r>
            <w:r>
              <w:rPr>
                <w:rFonts w:ascii="宋体"/>
                <w:sz w:val="20"/>
              </w:rPr>
            </w:r>
          </w:p>
        </w:tc>
        <w:tc>
          <w:tcPr>
            <w:tcW w:w="433"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z w:val="20"/>
              </w:rPr>
              <w:t>-147.12</w:t>
            </w:r>
          </w:p>
        </w:tc>
        <w:tc>
          <w:tcPr>
            <w:tcW w:w="67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w w:val="95"/>
                <w:sz w:val="20"/>
              </w:rPr>
              <w:t>940.38</w:t>
            </w:r>
            <w:r>
              <w:rPr>
                <w:rFonts w:ascii="宋体"/>
                <w:sz w:val="20"/>
              </w:rPr>
            </w:r>
          </w:p>
        </w:tc>
        <w:tc>
          <w:tcPr>
            <w:tcW w:w="680" w:type="dxa"/>
            <w:tcBorders>
              <w:top w:val="single" w:sz="4" w:space="0" w:color="000000"/>
              <w:left w:val="single" w:sz="4" w:space="0" w:color="000000"/>
              <w:bottom w:val="single" w:sz="4" w:space="0" w:color="000000"/>
              <w:right w:val="single" w:sz="4" w:space="0" w:color="000000"/>
            </w:tcBorders>
          </w:tcPr>
          <w:p>
            <w:pPr/>
          </w:p>
        </w:tc>
      </w:tr>
      <w:tr>
        <w:trPr>
          <w:trHeight w:val="104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both"/>
              <w:rPr>
                <w:rFonts w:ascii="宋体" w:hAnsi="宋体" w:cs="宋体" w:eastAsia="宋体" w:hint="default"/>
                <w:sz w:val="20"/>
                <w:szCs w:val="20"/>
              </w:rPr>
            </w:pPr>
            <w:r>
              <w:rPr>
                <w:rFonts w:ascii="宋体" w:hAnsi="宋体" w:cs="宋体" w:eastAsia="宋体" w:hint="default"/>
                <w:sz w:val="20"/>
                <w:szCs w:val="20"/>
              </w:rPr>
              <w:t>浙江恒生</w:t>
            </w:r>
          </w:p>
          <w:p>
            <w:pPr>
              <w:pStyle w:val="TableParagraph"/>
              <w:spacing w:line="260" w:lineRule="exact" w:before="24"/>
              <w:ind w:left="103" w:right="221"/>
              <w:jc w:val="both"/>
              <w:rPr>
                <w:rFonts w:ascii="宋体" w:hAnsi="宋体" w:cs="宋体" w:eastAsia="宋体" w:hint="default"/>
                <w:sz w:val="20"/>
                <w:szCs w:val="20"/>
              </w:rPr>
            </w:pPr>
            <w:r>
              <w:rPr>
                <w:rFonts w:ascii="宋体" w:hAnsi="宋体" w:cs="宋体" w:eastAsia="宋体" w:hint="default"/>
                <w:sz w:val="20"/>
                <w:szCs w:val="20"/>
              </w:rPr>
              <w:t>长运网络</w:t>
            </w:r>
            <w:r>
              <w:rPr>
                <w:rFonts w:ascii="宋体" w:hAnsi="宋体" w:cs="宋体" w:eastAsia="宋体" w:hint="default"/>
                <w:w w:val="99"/>
                <w:sz w:val="20"/>
                <w:szCs w:val="20"/>
              </w:rPr>
              <w:t> </w:t>
            </w:r>
            <w:r>
              <w:rPr>
                <w:rFonts w:ascii="宋体" w:hAnsi="宋体" w:cs="宋体" w:eastAsia="宋体" w:hint="default"/>
                <w:sz w:val="20"/>
                <w:szCs w:val="20"/>
              </w:rPr>
              <w:t>科技有限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13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103"/>
              <w:jc w:val="right"/>
              <w:rPr>
                <w:rFonts w:ascii="宋体" w:hAnsi="宋体" w:cs="宋体" w:eastAsia="宋体" w:hint="default"/>
                <w:sz w:val="20"/>
                <w:szCs w:val="20"/>
              </w:rPr>
            </w:pPr>
            <w:r>
              <w:rPr>
                <w:rFonts w:ascii="宋体"/>
                <w:w w:val="95"/>
                <w:sz w:val="20"/>
              </w:rPr>
              <w:t>661.50</w:t>
            </w:r>
            <w:r>
              <w:rPr>
                <w:rFonts w:ascii="宋体"/>
                <w:sz w:val="20"/>
              </w:rPr>
            </w:r>
          </w:p>
        </w:tc>
        <w:tc>
          <w:tcPr>
            <w:tcW w:w="433"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-43.44</w:t>
            </w:r>
            <w:r>
              <w:rPr>
                <w:rFonts w:ascii="宋体"/>
                <w:sz w:val="20"/>
              </w:rPr>
            </w:r>
          </w:p>
        </w:tc>
        <w:tc>
          <w:tcPr>
            <w:tcW w:w="67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103"/>
              <w:jc w:val="right"/>
              <w:rPr>
                <w:rFonts w:ascii="宋体" w:hAnsi="宋体" w:cs="宋体" w:eastAsia="宋体" w:hint="default"/>
                <w:sz w:val="20"/>
                <w:szCs w:val="20"/>
              </w:rPr>
            </w:pPr>
            <w:r>
              <w:rPr>
                <w:rFonts w:ascii="宋体"/>
                <w:w w:val="95"/>
                <w:sz w:val="20"/>
              </w:rPr>
              <w:t>618.06</w:t>
            </w:r>
            <w:r>
              <w:rPr>
                <w:rFonts w:ascii="宋体"/>
                <w:sz w:val="20"/>
              </w:rPr>
            </w:r>
          </w:p>
        </w:tc>
        <w:tc>
          <w:tcPr>
            <w:tcW w:w="680"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杭州恒生</w:t>
            </w:r>
          </w:p>
          <w:p>
            <w:pPr>
              <w:pStyle w:val="TableParagraph"/>
              <w:spacing w:line="260" w:lineRule="exact" w:before="24"/>
              <w:ind w:left="103" w:right="221"/>
              <w:jc w:val="left"/>
              <w:rPr>
                <w:rFonts w:ascii="宋体" w:hAnsi="宋体" w:cs="宋体" w:eastAsia="宋体" w:hint="default"/>
                <w:sz w:val="20"/>
                <w:szCs w:val="20"/>
              </w:rPr>
            </w:pPr>
            <w:r>
              <w:rPr>
                <w:rFonts w:ascii="宋体" w:hAnsi="宋体" w:cs="宋体" w:eastAsia="宋体" w:hint="default"/>
                <w:sz w:val="20"/>
                <w:szCs w:val="20"/>
              </w:rPr>
              <w:t>芸泰网络</w:t>
            </w:r>
            <w:r>
              <w:rPr>
                <w:rFonts w:ascii="宋体" w:hAnsi="宋体" w:cs="宋体" w:eastAsia="宋体" w:hint="default"/>
                <w:w w:val="99"/>
                <w:sz w:val="20"/>
                <w:szCs w:val="20"/>
              </w:rPr>
              <w:t> </w:t>
            </w:r>
            <w:r>
              <w:rPr>
                <w:rFonts w:ascii="宋体" w:hAnsi="宋体" w:cs="宋体" w:eastAsia="宋体" w:hint="default"/>
                <w:sz w:val="20"/>
                <w:szCs w:val="20"/>
              </w:rPr>
              <w:t>科技有</w:t>
            </w:r>
          </w:p>
        </w:tc>
        <w:tc>
          <w:tcPr>
            <w:tcW w:w="113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w w:val="95"/>
                <w:sz w:val="20"/>
              </w:rPr>
              <w:t>200.00</w:t>
            </w:r>
            <w:r>
              <w:rPr>
                <w:rFonts w:ascii="宋体"/>
                <w:sz w:val="20"/>
              </w:rPr>
            </w:r>
          </w:p>
        </w:tc>
        <w:tc>
          <w:tcPr>
            <w:tcW w:w="433"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w w:val="95"/>
                <w:sz w:val="20"/>
              </w:rPr>
              <w:t>-1,272.90</w:t>
            </w:r>
            <w:r>
              <w:rPr>
                <w:rFonts w:ascii="宋体"/>
                <w:sz w:val="20"/>
              </w:rPr>
            </w:r>
          </w:p>
        </w:tc>
        <w:tc>
          <w:tcPr>
            <w:tcW w:w="67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w w:val="95"/>
                <w:sz w:val="20"/>
              </w:rPr>
              <w:t>3,030.00</w:t>
            </w:r>
            <w:r>
              <w:rPr>
                <w:rFonts w:ascii="宋体"/>
                <w:sz w:val="20"/>
              </w:rPr>
            </w:r>
          </w:p>
        </w:tc>
        <w:tc>
          <w:tcPr>
            <w:tcW w:w="99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w w:val="95"/>
                <w:sz w:val="20"/>
              </w:rPr>
              <w:t>1,957.10</w:t>
            </w:r>
            <w:r>
              <w:rPr>
                <w:rFonts w:ascii="宋体"/>
                <w:sz w:val="20"/>
              </w:rPr>
            </w:r>
          </w:p>
        </w:tc>
        <w:tc>
          <w:tcPr>
            <w:tcW w:w="68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133"/>
        <w:gridCol w:w="1130"/>
        <w:gridCol w:w="1135"/>
        <w:gridCol w:w="433"/>
        <w:gridCol w:w="1157"/>
        <w:gridCol w:w="679"/>
        <w:gridCol w:w="1140"/>
        <w:gridCol w:w="998"/>
        <w:gridCol w:w="701"/>
        <w:gridCol w:w="1131"/>
        <w:gridCol w:w="1236"/>
        <w:gridCol w:w="680"/>
      </w:tblGrid>
      <w:tr>
        <w:trPr>
          <w:trHeight w:val="27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13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z w:val="20"/>
                <w:szCs w:val="20"/>
              </w:rPr>
              <w:t>广东粤财</w:t>
            </w:r>
          </w:p>
          <w:p>
            <w:pPr>
              <w:pStyle w:val="TableParagraph"/>
              <w:spacing w:line="260" w:lineRule="exact" w:before="24"/>
              <w:ind w:left="103" w:right="221"/>
              <w:jc w:val="both"/>
              <w:rPr>
                <w:rFonts w:ascii="宋体" w:hAnsi="宋体" w:cs="宋体" w:eastAsia="宋体" w:hint="default"/>
                <w:sz w:val="20"/>
                <w:szCs w:val="20"/>
              </w:rPr>
            </w:pPr>
            <w:r>
              <w:rPr>
                <w:rFonts w:ascii="宋体" w:hAnsi="宋体" w:cs="宋体" w:eastAsia="宋体" w:hint="default"/>
                <w:sz w:val="20"/>
                <w:szCs w:val="20"/>
              </w:rPr>
              <w:t>互联网金</w:t>
            </w:r>
            <w:r>
              <w:rPr>
                <w:rFonts w:ascii="宋体" w:hAnsi="宋体" w:cs="宋体" w:eastAsia="宋体" w:hint="default"/>
                <w:w w:val="99"/>
                <w:sz w:val="20"/>
                <w:szCs w:val="20"/>
              </w:rPr>
              <w:t> </w:t>
            </w:r>
            <w:r>
              <w:rPr>
                <w:rFonts w:ascii="宋体" w:hAnsi="宋体" w:cs="宋体" w:eastAsia="宋体" w:hint="default"/>
                <w:sz w:val="20"/>
                <w:szCs w:val="20"/>
              </w:rPr>
              <w:t>融股份有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13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3"/>
              <w:jc w:val="right"/>
              <w:rPr>
                <w:rFonts w:ascii="宋体" w:hAnsi="宋体" w:cs="宋体" w:eastAsia="宋体" w:hint="default"/>
                <w:sz w:val="20"/>
                <w:szCs w:val="20"/>
              </w:rPr>
            </w:pPr>
            <w:r>
              <w:rPr>
                <w:rFonts w:ascii="宋体"/>
                <w:w w:val="95"/>
                <w:sz w:val="20"/>
              </w:rPr>
              <w:t>1,000.00</w:t>
            </w:r>
            <w:r>
              <w:rPr>
                <w:rFonts w:ascii="宋体"/>
                <w:sz w:val="20"/>
              </w:rPr>
            </w:r>
          </w:p>
        </w:tc>
        <w:tc>
          <w:tcPr>
            <w:tcW w:w="433"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-16.07</w:t>
            </w:r>
            <w:r>
              <w:rPr>
                <w:rFonts w:ascii="宋体"/>
                <w:sz w:val="20"/>
              </w:rPr>
            </w:r>
          </w:p>
        </w:tc>
        <w:tc>
          <w:tcPr>
            <w:tcW w:w="67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3"/>
              <w:jc w:val="right"/>
              <w:rPr>
                <w:rFonts w:ascii="宋体" w:hAnsi="宋体" w:cs="宋体" w:eastAsia="宋体" w:hint="default"/>
                <w:sz w:val="20"/>
                <w:szCs w:val="20"/>
              </w:rPr>
            </w:pPr>
            <w:r>
              <w:rPr>
                <w:rFonts w:ascii="宋体"/>
                <w:w w:val="95"/>
                <w:sz w:val="20"/>
              </w:rPr>
              <w:t>983.93</w:t>
            </w:r>
            <w:r>
              <w:rPr>
                <w:rFonts w:ascii="宋体"/>
                <w:sz w:val="20"/>
              </w:rPr>
            </w:r>
          </w:p>
        </w:tc>
        <w:tc>
          <w:tcPr>
            <w:tcW w:w="68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11,454.10</w:t>
            </w:r>
            <w:r>
              <w:rPr>
                <w:rFonts w:ascii="宋体"/>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14,399.00</w:t>
            </w:r>
            <w:r>
              <w:rPr>
                <w:rFonts w:ascii="宋体"/>
                <w:sz w:val="20"/>
              </w:rPr>
            </w:r>
          </w:p>
        </w:tc>
        <w:tc>
          <w:tcPr>
            <w:tcW w:w="433"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1,220.26</w:t>
            </w:r>
            <w:r>
              <w:rPr>
                <w:rFonts w:ascii="宋体"/>
                <w:sz w:val="20"/>
              </w:rPr>
            </w:r>
          </w:p>
        </w:tc>
        <w:tc>
          <w:tcPr>
            <w:tcW w:w="67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6,847.36</w:t>
            </w:r>
            <w:r>
              <w:rPr>
                <w:rFonts w:ascii="宋体"/>
                <w:sz w:val="20"/>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670.50</w:t>
            </w:r>
            <w:r>
              <w:rPr>
                <w:rFonts w:ascii="宋体"/>
                <w:sz w:val="20"/>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4,214.64</w:t>
            </w:r>
            <w:r>
              <w:rPr>
                <w:rFonts w:ascii="宋体"/>
                <w:sz w:val="20"/>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37,464.86</w:t>
            </w:r>
            <w:r>
              <w:rPr>
                <w:rFonts w:ascii="宋体"/>
                <w:sz w:val="20"/>
              </w:rPr>
            </w:r>
          </w:p>
        </w:tc>
        <w:tc>
          <w:tcPr>
            <w:tcW w:w="68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6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11,454.10</w:t>
            </w:r>
            <w:r>
              <w:rPr>
                <w:rFonts w:ascii="宋体"/>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20"/>
                <w:szCs w:val="20"/>
              </w:rPr>
            </w:pPr>
            <w:r>
              <w:rPr>
                <w:rFonts w:ascii="宋体"/>
                <w:w w:val="95"/>
                <w:sz w:val="20"/>
              </w:rPr>
              <w:t>14,399.00</w:t>
            </w:r>
            <w:r>
              <w:rPr>
                <w:rFonts w:ascii="宋体"/>
                <w:sz w:val="20"/>
              </w:rPr>
            </w:r>
          </w:p>
        </w:tc>
        <w:tc>
          <w:tcPr>
            <w:tcW w:w="433"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1,220.26</w:t>
            </w:r>
            <w:r>
              <w:rPr>
                <w:rFonts w:ascii="宋体"/>
                <w:sz w:val="20"/>
              </w:rPr>
            </w:r>
          </w:p>
        </w:tc>
        <w:tc>
          <w:tcPr>
            <w:tcW w:w="67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6,847.36</w:t>
            </w:r>
            <w:r>
              <w:rPr>
                <w:rFonts w:ascii="宋体"/>
                <w:sz w:val="20"/>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20"/>
                <w:szCs w:val="20"/>
              </w:rPr>
            </w:pPr>
            <w:r>
              <w:rPr>
                <w:rFonts w:ascii="宋体"/>
                <w:w w:val="95"/>
                <w:sz w:val="20"/>
              </w:rPr>
              <w:t>670.50</w:t>
            </w:r>
            <w:r>
              <w:rPr>
                <w:rFonts w:ascii="宋体"/>
                <w:sz w:val="20"/>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4,214.64</w:t>
            </w:r>
            <w:r>
              <w:rPr>
                <w:rFonts w:ascii="宋体"/>
                <w:sz w:val="20"/>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20"/>
                <w:szCs w:val="20"/>
              </w:rPr>
            </w:pPr>
            <w:r>
              <w:rPr>
                <w:rFonts w:ascii="宋体"/>
                <w:w w:val="95"/>
                <w:sz w:val="20"/>
              </w:rPr>
              <w:t>37,464.86</w:t>
            </w:r>
            <w:r>
              <w:rPr>
                <w:rFonts w:ascii="宋体"/>
                <w:sz w:val="20"/>
              </w:rPr>
            </w:r>
          </w:p>
        </w:tc>
        <w:tc>
          <w:tcPr>
            <w:tcW w:w="6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6"/>
        <w:ind w:left="1678" w:right="0"/>
        <w:jc w:val="left"/>
      </w:pPr>
      <w:r>
        <w:rPr/>
        <w:t>其他说明：</w:t>
      </w:r>
    </w:p>
    <w:p>
      <w:pPr>
        <w:spacing w:line="240" w:lineRule="auto" w:before="9"/>
        <w:rPr>
          <w:rFonts w:ascii="宋体" w:hAnsi="宋体" w:cs="宋体" w:eastAsia="宋体" w:hint="default"/>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4"/>
        <w:spacing w:line="240" w:lineRule="auto"/>
        <w:ind w:left="1678" w:right="0"/>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51" w:val="left" w:leader="none"/>
        </w:tabs>
        <w:spacing w:line="240" w:lineRule="auto" w:before="58"/>
        <w:ind w:left="0" w:right="127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565" w:type="dxa"/>
        <w:tblLayout w:type="fixed"/>
        <w:tblCellMar>
          <w:top w:w="0" w:type="dxa"/>
          <w:left w:w="0" w:type="dxa"/>
          <w:bottom w:w="0" w:type="dxa"/>
          <w:right w:w="0" w:type="dxa"/>
        </w:tblCellMar>
        <w:tblLook w:val="01E0"/>
      </w:tblPr>
      <w:tblGrid>
        <w:gridCol w:w="2095"/>
        <w:gridCol w:w="1897"/>
        <w:gridCol w:w="1582"/>
        <w:gridCol w:w="1897"/>
        <w:gridCol w:w="1579"/>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095"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收入</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1,904,788,849.31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92,037,452.29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1,286,823,955.63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42,561,890.49</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11,939,521.03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982,325.44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5,184,545.78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540,885.20</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1,916,728,370.34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93,019,777.73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1,292,008,501.41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43,102,775.69</w:t>
            </w:r>
          </w:p>
        </w:tc>
      </w:tr>
    </w:tbl>
    <w:p>
      <w:pPr>
        <w:pStyle w:val="BodyText"/>
        <w:spacing w:line="240" w:lineRule="auto" w:before="26"/>
        <w:ind w:left="1678" w:right="0"/>
        <w:jc w:val="left"/>
      </w:pPr>
      <w:r>
        <w:rPr/>
        <w:t>其他说明：</w:t>
      </w:r>
    </w:p>
    <w:p>
      <w:pPr>
        <w:spacing w:line="240" w:lineRule="auto" w:before="6"/>
        <w:rPr>
          <w:rFonts w:ascii="宋体" w:hAnsi="宋体" w:cs="宋体" w:eastAsia="宋体" w:hint="default"/>
          <w:sz w:val="25"/>
          <w:szCs w:val="25"/>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3"/>
          <w:pgSz w:w="11910" w:h="16840"/>
          <w:pgMar w:footer="1195" w:header="882" w:top="1120" w:bottom="1380" w:left="120" w:right="0"/>
          <w:pgNumType w:start="151"/>
        </w:sectPr>
      </w:pPr>
    </w:p>
    <w:p>
      <w:pPr>
        <w:pStyle w:val="Heading4"/>
        <w:spacing w:line="240" w:lineRule="auto"/>
        <w:ind w:left="1678"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left="16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729" w:val="left" w:leader="none"/>
        </w:tabs>
        <w:spacing w:line="240" w:lineRule="auto"/>
        <w:ind w:left="1678" w:right="0"/>
        <w:jc w:val="left"/>
      </w:pPr>
      <w:r>
        <w:rPr>
          <w:spacing w:val="-1"/>
        </w:rPr>
        <w:t>单位：元</w:t>
        <w:tab/>
        <w:t>币种：人民币</w:t>
      </w:r>
    </w:p>
    <w:p>
      <w:pPr>
        <w:spacing w:after="0" w:line="240" w:lineRule="auto"/>
        <w:jc w:val="left"/>
        <w:sectPr>
          <w:type w:val="continuous"/>
          <w:pgSz w:w="11910" w:h="16840"/>
          <w:pgMar w:top="1120" w:bottom="1380" w:left="120" w:right="0"/>
          <w:cols w:num="2" w:equalWidth="0">
            <w:col w:w="3255" w:space="3266"/>
            <w:col w:w="5269"/>
          </w:cols>
        </w:sectPr>
      </w:pPr>
    </w:p>
    <w:p>
      <w:pPr>
        <w:spacing w:line="240" w:lineRule="auto" w:before="4"/>
        <w:rPr>
          <w:rFonts w:ascii="宋体" w:hAnsi="宋体" w:cs="宋体" w:eastAsia="宋体" w:hint="default"/>
          <w:sz w:val="2"/>
          <w:szCs w:val="2"/>
        </w:rPr>
      </w:pPr>
    </w:p>
    <w:tbl>
      <w:tblPr>
        <w:tblW w:w="0" w:type="auto"/>
        <w:jc w:val="left"/>
        <w:tblInd w:w="156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20,871,212.12</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12,202,647.53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4,672,266.51</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10,580,383.51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78,795.52</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56,017,130.19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27,294,389.19</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5,402,112.49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24,909,386.65</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交易性金融资产持有期间取得的投资收益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1,061,603.41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185,018.41</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理财产品、信托计持有期间取得的投资收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17,142,760.31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3,095,942.88</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16,549,267.21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3,224,662.85</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处置理财产品、信托计划取得的投资收益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23,100,252.60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28,204,845.74</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142,056,157.25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112,536,519.87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1678" w:right="0"/>
        <w:jc w:val="left"/>
        <w:rPr>
          <w:b w:val="0"/>
          <w:bCs w:val="0"/>
        </w:rPr>
      </w:pPr>
      <w:r>
        <w:rPr>
          <w:rFonts w:ascii="宋体" w:hAnsi="宋体" w:cs="宋体" w:eastAsia="宋体" w:hint="default"/>
        </w:rPr>
        <w:t>6</w:t>
      </w:r>
      <w:r>
        <w:rPr/>
        <w:t>、</w:t>
      </w:r>
      <w:r>
        <w:rPr>
          <w:spacing w:val="2"/>
        </w:rPr>
        <w:t> </w:t>
      </w:r>
      <w:r>
        <w:rPr/>
        <w:t>其他</w:t>
      </w:r>
      <w:r>
        <w:rPr>
          <w:b w:val="0"/>
          <w:bCs w:val="0"/>
        </w:rPr>
      </w:r>
    </w:p>
    <w:p>
      <w:pPr>
        <w:spacing w:line="240" w:lineRule="auto" w:before="3"/>
        <w:rPr>
          <w:rFonts w:ascii="宋体" w:hAnsi="宋体" w:cs="宋体" w:eastAsia="宋体" w:hint="default"/>
          <w:b/>
          <w:bCs/>
          <w:sz w:val="25"/>
          <w:szCs w:val="25"/>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tabs>
          <w:tab w:pos="1057" w:val="left" w:leader="none"/>
        </w:tabs>
        <w:spacing w:line="240" w:lineRule="auto" w:before="175"/>
        <w:ind w:right="-19"/>
        <w:jc w:val="left"/>
        <w:rPr>
          <w:b w:val="0"/>
          <w:bCs w:val="0"/>
        </w:rPr>
      </w:pPr>
      <w:r>
        <w:rPr/>
        <w:t>十八、</w:t>
        <w:tab/>
        <w:t>补充资料</w:t>
      </w:r>
      <w:r>
        <w:rPr>
          <w:b w:val="0"/>
          <w:bCs w:val="0"/>
        </w:rPr>
      </w:r>
    </w:p>
    <w:p>
      <w:pPr>
        <w:pStyle w:val="Heading4"/>
        <w:spacing w:line="240" w:lineRule="auto" w:before="56"/>
        <w:ind w:right="-19"/>
        <w:jc w:val="left"/>
        <w:rPr>
          <w:b w:val="0"/>
          <w:bCs w:val="0"/>
        </w:rPr>
      </w:pPr>
      <w:r>
        <w:rPr>
          <w:rFonts w:ascii="宋体" w:hAnsi="宋体" w:cs="宋体" w:eastAsia="宋体" w:hint="default"/>
        </w:rPr>
        <w:t>1</w:t>
      </w:r>
      <w:r>
        <w:rPr/>
        <w:t>、 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11,332,210.54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主要是处置子公司智能</w:t>
            </w:r>
          </w:p>
          <w:p>
            <w:pPr>
              <w:pStyle w:val="TableParagraph"/>
              <w:spacing w:line="272" w:lineRule="exact" w:before="27"/>
              <w:ind w:left="103" w:right="283"/>
              <w:jc w:val="left"/>
              <w:rPr>
                <w:rFonts w:ascii="宋体" w:hAnsi="宋体" w:cs="宋体" w:eastAsia="宋体" w:hint="default"/>
                <w:sz w:val="21"/>
                <w:szCs w:val="21"/>
              </w:rPr>
            </w:pPr>
            <w:r>
              <w:rPr>
                <w:rFonts w:ascii="宋体" w:hAnsi="宋体" w:cs="宋体" w:eastAsia="宋体" w:hint="default"/>
                <w:spacing w:val="-2"/>
                <w:sz w:val="21"/>
                <w:szCs w:val="21"/>
              </w:rPr>
              <w:t>系统集成和数米基金部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分股权产生的收益</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4,280,370.00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专项项目政府资助款</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1,917.00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子公司上海数淘向借款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单位收取的利息收入</w:t>
            </w: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158"/>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除同公司正常经营业务相关的有效套期保</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52,275,463.91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持有交易性金融资产、交</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易性金融负债产生的公</w:t>
            </w:r>
            <w:r>
              <w:rPr>
                <w:rFonts w:ascii="宋体" w:hAnsi="宋体" w:cs="宋体" w:eastAsia="宋体" w:hint="default"/>
                <w:w w:val="100"/>
                <w:sz w:val="21"/>
                <w:szCs w:val="21"/>
              </w:rPr>
              <w:t> </w:t>
            </w:r>
            <w:r>
              <w:rPr>
                <w:rFonts w:ascii="宋体" w:hAnsi="宋体" w:cs="宋体" w:eastAsia="宋体" w:hint="default"/>
                <w:spacing w:val="-4"/>
                <w:sz w:val="21"/>
                <w:szCs w:val="21"/>
              </w:rPr>
              <w:t>允价值变动损益，以及处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4"/>
                <w:sz w:val="21"/>
                <w:szCs w:val="21"/>
              </w:rPr>
              <w:t>置交易性金融资产、交易</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性金融负债和可供出售</w:t>
            </w:r>
            <w:r>
              <w:rPr>
                <w:rFonts w:ascii="宋体" w:hAnsi="宋体" w:cs="宋体" w:eastAsia="宋体" w:hint="default"/>
                <w:w w:val="100"/>
                <w:sz w:val="21"/>
                <w:szCs w:val="21"/>
              </w:rPr>
              <w:t> </w:t>
            </w:r>
            <w:r>
              <w:rPr>
                <w:rFonts w:ascii="宋体" w:hAnsi="宋体" w:cs="宋体" w:eastAsia="宋体" w:hint="default"/>
                <w:sz w:val="21"/>
                <w:szCs w:val="21"/>
              </w:rPr>
              <w:t>金融资产取得的投资收</w:t>
            </w:r>
            <w:r>
              <w:rPr>
                <w:rFonts w:ascii="宋体" w:hAnsi="宋体" w:cs="宋体" w:eastAsia="宋体" w:hint="default"/>
                <w:w w:val="100"/>
                <w:sz w:val="21"/>
                <w:szCs w:val="21"/>
              </w:rPr>
              <w:t> </w:t>
            </w:r>
            <w:r>
              <w:rPr>
                <w:rFonts w:ascii="宋体" w:hAnsi="宋体" w:cs="宋体" w:eastAsia="宋体" w:hint="default"/>
                <w:sz w:val="21"/>
                <w:szCs w:val="21"/>
              </w:rPr>
              <w:t>益</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-57,772,594.54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主要是子公司恒生网络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预提的证监会罚款</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-9,556,298.46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5,347,013.15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5,908,081.60</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72" w:lineRule="exact" w:before="27"/>
        <w:ind w:right="35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tabs>
          <w:tab w:pos="1051" w:val="left" w:leader="none"/>
        </w:tabs>
        <w:spacing w:line="249" w:lineRule="exact"/>
        <w:ind w:left="0" w:right="3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42"/>
        <w:gridCol w:w="2520"/>
        <w:gridCol w:w="2487"/>
      </w:tblGrid>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1"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2</w:t>
      </w:r>
      <w:r>
        <w:rPr/>
        <w:t>、 净资产收益率及每股收益</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2" w:right="0"/>
              <w:jc w:val="left"/>
              <w:rPr>
                <w:rFonts w:ascii="宋体" w:hAnsi="宋体" w:cs="宋体" w:eastAsia="宋体" w:hint="default"/>
                <w:sz w:val="21"/>
                <w:szCs w:val="21"/>
              </w:rPr>
            </w:pPr>
            <w:r>
              <w:rPr>
                <w:rFonts w:ascii="宋体"/>
                <w:sz w:val="21"/>
              </w:rPr>
              <w:t>20.98</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0.73</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sz w:val="21"/>
              </w:rPr>
              <w:t>0.73</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2" w:right="0"/>
              <w:jc w:val="left"/>
              <w:rPr>
                <w:rFonts w:ascii="宋体" w:hAnsi="宋体" w:cs="宋体" w:eastAsia="宋体" w:hint="default"/>
                <w:sz w:val="21"/>
                <w:szCs w:val="21"/>
              </w:rPr>
            </w:pPr>
            <w:r>
              <w:rPr>
                <w:rFonts w:ascii="宋体"/>
                <w:sz w:val="21"/>
              </w:rPr>
              <w:t>20.71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0.72</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sz w:val="21"/>
              </w:rPr>
              <w:t>0.72</w:t>
            </w:r>
          </w:p>
        </w:tc>
      </w:tr>
    </w:tbl>
    <w:p>
      <w:pPr>
        <w:spacing w:line="240" w:lineRule="auto" w:before="2"/>
        <w:rPr>
          <w:rFonts w:ascii="宋体" w:hAnsi="宋体" w:cs="宋体" w:eastAsia="宋体" w:hint="default"/>
          <w:b/>
          <w:bCs/>
          <w:sz w:val="20"/>
          <w:szCs w:val="20"/>
        </w:rPr>
      </w:pPr>
    </w:p>
    <w:p>
      <w:pPr>
        <w:pStyle w:val="Heading4"/>
        <w:spacing w:line="240" w:lineRule="auto"/>
        <w:ind w:right="0"/>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0"/>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spacing w:line="240" w:lineRule="auto" w:before="56"/>
        <w:ind w:right="0"/>
        <w:jc w:val="left"/>
      </w:pPr>
      <w:r>
        <w:rPr>
          <w:rFonts w:ascii="宋体" w:hAnsi="宋体" w:cs="宋体" w:eastAsia="宋体" w:hint="default"/>
        </w:rPr>
        <w:t>(1)</w:t>
      </w:r>
      <w:r>
        <w:rPr>
          <w:rFonts w:ascii="宋体" w:hAnsi="宋体" w:cs="宋体" w:eastAsia="宋体" w:hint="default"/>
          <w:spacing w:val="-2"/>
        </w:rPr>
        <w:t> </w:t>
      </w:r>
      <w:r>
        <w:rPr/>
        <w:t>加权平均净资产收益率的计算过程</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171"/>
        <w:gridCol w:w="4043"/>
        <w:gridCol w:w="1983"/>
        <w:gridCol w:w="1980"/>
      </w:tblGrid>
      <w:tr>
        <w:trPr>
          <w:trHeight w:val="463"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52"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3"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0" w:right="0"/>
              <w:jc w:val="center"/>
              <w:rPr>
                <w:rFonts w:ascii="宋体" w:hAnsi="宋体" w:cs="宋体" w:eastAsia="宋体" w:hint="default"/>
                <w:sz w:val="18"/>
                <w:szCs w:val="18"/>
              </w:rPr>
            </w:pPr>
            <w:r>
              <w:rPr>
                <w:rFonts w:ascii="宋体"/>
                <w:sz w:val="18"/>
              </w:rPr>
              <w:t>A</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pacing w:val="-1"/>
                <w:sz w:val="18"/>
              </w:rPr>
              <w:t>453,733,512.62</w:t>
            </w:r>
          </w:p>
        </w:tc>
      </w:tr>
      <w:tr>
        <w:trPr>
          <w:trHeight w:val="466"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0" w:right="0"/>
              <w:jc w:val="center"/>
              <w:rPr>
                <w:rFonts w:ascii="宋体" w:hAnsi="宋体" w:cs="宋体" w:eastAsia="宋体" w:hint="default"/>
                <w:sz w:val="18"/>
                <w:szCs w:val="18"/>
              </w:rPr>
            </w:pPr>
            <w:r>
              <w:rPr>
                <w:rFonts w:ascii="宋体"/>
                <w:sz w:val="18"/>
              </w:rPr>
              <w:t>B</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5,908,081.60</w:t>
            </w:r>
          </w:p>
        </w:tc>
      </w:tr>
      <w:tr>
        <w:trPr>
          <w:trHeight w:val="464"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C=A-B</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pacing w:val="-1"/>
                <w:sz w:val="18"/>
              </w:rPr>
              <w:t>447,825,431.02</w:t>
            </w:r>
          </w:p>
        </w:tc>
      </w:tr>
      <w:tr>
        <w:trPr>
          <w:trHeight w:val="463"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0" w:right="0"/>
              <w:jc w:val="center"/>
              <w:rPr>
                <w:rFonts w:ascii="宋体" w:hAnsi="宋体" w:cs="宋体" w:eastAsia="宋体" w:hint="default"/>
                <w:sz w:val="18"/>
                <w:szCs w:val="18"/>
              </w:rPr>
            </w:pPr>
            <w:r>
              <w:rPr>
                <w:rFonts w:ascii="宋体"/>
                <w:sz w:val="18"/>
              </w:rPr>
              <w:t>D</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pacing w:val="-1"/>
                <w:sz w:val="18"/>
              </w:rPr>
              <w:t>1,916,038,940.80</w:t>
            </w:r>
          </w:p>
        </w:tc>
      </w:tr>
      <w:tr>
        <w:trPr>
          <w:trHeight w:val="466"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0" w:right="0"/>
              <w:jc w:val="center"/>
              <w:rPr>
                <w:rFonts w:ascii="宋体" w:hAnsi="宋体" w:cs="宋体" w:eastAsia="宋体" w:hint="default"/>
                <w:sz w:val="18"/>
                <w:szCs w:val="18"/>
              </w:rPr>
            </w:pPr>
            <w:r>
              <w:rPr>
                <w:rFonts w:ascii="宋体"/>
                <w:sz w:val="18"/>
              </w:rPr>
              <w:t>E</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0" w:right="0"/>
              <w:jc w:val="center"/>
              <w:rPr>
                <w:rFonts w:ascii="宋体" w:hAnsi="宋体" w:cs="宋体" w:eastAsia="宋体" w:hint="default"/>
                <w:sz w:val="18"/>
                <w:szCs w:val="18"/>
              </w:rPr>
            </w:pPr>
            <w:r>
              <w:rPr>
                <w:rFonts w:ascii="宋体"/>
                <w:sz w:val="18"/>
              </w:rPr>
              <w:t>F</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G1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pacing w:val="-1"/>
                <w:sz w:val="18"/>
              </w:rPr>
              <w:t>111,204,932.36</w:t>
            </w:r>
          </w:p>
        </w:tc>
      </w:tr>
      <w:tr>
        <w:trPr>
          <w:trHeight w:val="466"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H1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z w:val="18"/>
              </w:rPr>
              <w:t>7.00</w:t>
            </w:r>
          </w:p>
        </w:tc>
      </w:tr>
      <w:tr>
        <w:trPr>
          <w:trHeight w:val="475" w:hRule="exact"/>
        </w:trPr>
        <w:tc>
          <w:tcPr>
            <w:tcW w:w="1171"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其他</w:t>
            </w:r>
            <w:r>
              <w:rPr>
                <w:rFonts w:ascii="宋体" w:hAnsi="宋体" w:cs="宋体" w:eastAsia="宋体" w:hint="default"/>
                <w:spacing w:val="-3"/>
                <w:sz w:val="18"/>
                <w:szCs w:val="18"/>
              </w:rPr>
              <w:t>-</w:t>
            </w:r>
            <w:r>
              <w:rPr>
                <w:rFonts w:ascii="宋体" w:hAnsi="宋体" w:cs="宋体" w:eastAsia="宋体" w:hint="default"/>
                <w:spacing w:val="-3"/>
                <w:sz w:val="18"/>
                <w:szCs w:val="18"/>
              </w:rPr>
              <w:t>联营企业除净损益、利润分配以外引起的所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有者权益的其他变动</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2" w:right="0"/>
              <w:jc w:val="center"/>
              <w:rPr>
                <w:rFonts w:ascii="宋体" w:hAnsi="宋体" w:cs="宋体" w:eastAsia="宋体" w:hint="default"/>
                <w:sz w:val="18"/>
                <w:szCs w:val="18"/>
              </w:rPr>
            </w:pPr>
            <w:r>
              <w:rPr>
                <w:rFonts w:ascii="宋体"/>
                <w:sz w:val="18"/>
              </w:rPr>
              <w:t>I1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5"/>
              <w:jc w:val="right"/>
              <w:rPr>
                <w:rFonts w:ascii="宋体" w:hAnsi="宋体" w:cs="宋体" w:eastAsia="宋体" w:hint="default"/>
                <w:sz w:val="18"/>
                <w:szCs w:val="18"/>
              </w:rPr>
            </w:pPr>
            <w:r>
              <w:rPr>
                <w:rFonts w:ascii="宋体"/>
                <w:spacing w:val="-1"/>
                <w:sz w:val="18"/>
              </w:rPr>
              <w:t>68,507,779.23</w:t>
            </w:r>
          </w:p>
        </w:tc>
      </w:tr>
      <w:tr>
        <w:trPr>
          <w:trHeight w:val="466" w:hRule="exact"/>
        </w:trPr>
        <w:tc>
          <w:tcPr>
            <w:tcW w:w="1171" w:type="dxa"/>
            <w:vMerge/>
            <w:tcBorders>
              <w:left w:val="nil" w:sz="6" w:space="0" w:color="auto"/>
              <w:bottom w:val="single" w:sz="4" w:space="0" w:color="000000"/>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J1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96"/>
              <w:jc w:val="right"/>
              <w:rPr>
                <w:rFonts w:ascii="宋体" w:hAnsi="宋体" w:cs="宋体" w:eastAsia="宋体" w:hint="default"/>
                <w:sz w:val="18"/>
                <w:szCs w:val="18"/>
              </w:rPr>
            </w:pPr>
            <w:r>
              <w:rPr>
                <w:rFonts w:ascii="宋体"/>
                <w:sz w:val="18"/>
              </w:rPr>
              <w:t>6.00</w:t>
            </w:r>
          </w:p>
        </w:tc>
      </w:tr>
    </w:tbl>
    <w:p>
      <w:pPr>
        <w:spacing w:after="0" w:line="240" w:lineRule="auto"/>
        <w:jc w:val="right"/>
        <w:rPr>
          <w:rFonts w:ascii="宋体" w:hAnsi="宋体" w:cs="宋体" w:eastAsia="宋体" w:hint="default"/>
          <w:sz w:val="18"/>
          <w:szCs w:val="18"/>
        </w:rPr>
        <w:sectPr>
          <w:pgSz w:w="11910" w:h="16840"/>
          <w:pgMar w:header="882" w:footer="1195" w:top="1120" w:bottom="1380" w:left="158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186"/>
        <w:gridCol w:w="4043"/>
        <w:gridCol w:w="1983"/>
        <w:gridCol w:w="1980"/>
      </w:tblGrid>
      <w:tr>
        <w:trPr>
          <w:trHeight w:val="478" w:hRule="exact"/>
        </w:trPr>
        <w:tc>
          <w:tcPr>
            <w:tcW w:w="1186" w:type="dxa"/>
            <w:vMerge w:val="restart"/>
            <w:tcBorders>
              <w:top w:val="single" w:sz="4" w:space="0" w:color="000000"/>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购买子公司少数股权溢价部分冲减资本公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积的金额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 w:right="0"/>
              <w:jc w:val="center"/>
              <w:rPr>
                <w:rFonts w:ascii="宋体" w:hAnsi="宋体" w:cs="宋体" w:eastAsia="宋体" w:hint="default"/>
                <w:sz w:val="18"/>
                <w:szCs w:val="18"/>
              </w:rPr>
            </w:pPr>
            <w:r>
              <w:rPr>
                <w:rFonts w:ascii="宋体"/>
                <w:sz w:val="18"/>
              </w:rPr>
              <w:t>I2</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-298,545.38</w:t>
            </w:r>
          </w:p>
        </w:tc>
      </w:tr>
      <w:tr>
        <w:trPr>
          <w:trHeight w:val="463"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J2</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z w:val="18"/>
              </w:rPr>
              <w:t>9.00</w:t>
            </w:r>
          </w:p>
        </w:tc>
      </w:tr>
      <w:tr>
        <w:trPr>
          <w:trHeight w:val="478"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购买子公司少数股权溢价部分冲减资本公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积的金额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 w:right="0"/>
              <w:jc w:val="center"/>
              <w:rPr>
                <w:rFonts w:ascii="宋体" w:hAnsi="宋体" w:cs="宋体" w:eastAsia="宋体" w:hint="default"/>
                <w:sz w:val="18"/>
                <w:szCs w:val="18"/>
              </w:rPr>
            </w:pPr>
            <w:r>
              <w:rPr>
                <w:rFonts w:ascii="宋体"/>
                <w:sz w:val="18"/>
              </w:rPr>
              <w:t>I3</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4,405,220.53</w:t>
            </w:r>
          </w:p>
        </w:tc>
      </w:tr>
      <w:tr>
        <w:trPr>
          <w:trHeight w:val="463"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J3</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外币财务报表折算差额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2" w:right="0"/>
              <w:jc w:val="center"/>
              <w:rPr>
                <w:rFonts w:ascii="宋体" w:hAnsi="宋体" w:cs="宋体" w:eastAsia="宋体" w:hint="default"/>
                <w:sz w:val="18"/>
                <w:szCs w:val="18"/>
              </w:rPr>
            </w:pPr>
            <w:r>
              <w:rPr>
                <w:rFonts w:ascii="宋体"/>
                <w:sz w:val="18"/>
              </w:rPr>
              <w:t>I5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760,332.14</w:t>
            </w:r>
          </w:p>
        </w:tc>
      </w:tr>
      <w:tr>
        <w:trPr>
          <w:trHeight w:val="463"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J5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z w:val="18"/>
              </w:rPr>
              <w:t>6.00</w:t>
            </w:r>
          </w:p>
        </w:tc>
      </w:tr>
      <w:tr>
        <w:trPr>
          <w:trHeight w:val="463"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可供出售金融资产产生的利得</w:t>
            </w:r>
            <w:r>
              <w:rPr>
                <w:rFonts w:ascii="宋体" w:hAnsi="宋体" w:cs="宋体" w:eastAsia="宋体" w:hint="default"/>
                <w:sz w:val="18"/>
                <w:szCs w:val="18"/>
              </w:rPr>
              <w:t>(</w:t>
            </w:r>
            <w:r>
              <w:rPr>
                <w:rFonts w:ascii="宋体" w:hAnsi="宋体" w:cs="宋体" w:eastAsia="宋体" w:hint="default"/>
                <w:sz w:val="18"/>
                <w:szCs w:val="18"/>
              </w:rPr>
              <w:t>损失</w:t>
            </w:r>
            <w:r>
              <w:rPr>
                <w:rFonts w:ascii="宋体" w:hAnsi="宋体" w:cs="宋体" w:eastAsia="宋体" w:hint="default"/>
                <w:sz w:val="18"/>
                <w:szCs w:val="18"/>
              </w:rPr>
              <w:t>)</w:t>
            </w:r>
            <w:r>
              <w:rPr>
                <w:rFonts w:ascii="宋体" w:hAnsi="宋体" w:cs="宋体" w:eastAsia="宋体" w:hint="default"/>
                <w:sz w:val="18"/>
                <w:szCs w:val="18"/>
              </w:rPr>
              <w:t>金额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I6</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pacing w:val="-1"/>
                <w:sz w:val="18"/>
              </w:rPr>
              <w:t>100,123,638.22</w:t>
            </w:r>
          </w:p>
        </w:tc>
      </w:tr>
      <w:tr>
        <w:trPr>
          <w:trHeight w:val="466" w:hRule="exact"/>
        </w:trPr>
        <w:tc>
          <w:tcPr>
            <w:tcW w:w="1186" w:type="dxa"/>
            <w:vMerge/>
            <w:tcBorders>
              <w:left w:val="nil" w:sz="6" w:space="0" w:color="auto"/>
              <w:bottom w:val="single" w:sz="4" w:space="0" w:color="000000"/>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2" w:right="0"/>
              <w:jc w:val="center"/>
              <w:rPr>
                <w:rFonts w:ascii="宋体" w:hAnsi="宋体" w:cs="宋体" w:eastAsia="宋体" w:hint="default"/>
                <w:sz w:val="18"/>
                <w:szCs w:val="18"/>
              </w:rPr>
            </w:pPr>
            <w:r>
              <w:rPr>
                <w:rFonts w:ascii="宋体"/>
                <w:sz w:val="18"/>
              </w:rPr>
              <w:t>J6</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5"/>
              <w:jc w:val="right"/>
              <w:rPr>
                <w:rFonts w:ascii="宋体" w:hAnsi="宋体" w:cs="宋体" w:eastAsia="宋体" w:hint="default"/>
                <w:sz w:val="18"/>
                <w:szCs w:val="18"/>
              </w:rPr>
            </w:pPr>
            <w:r>
              <w:rPr>
                <w:rFonts w:ascii="宋体"/>
                <w:sz w:val="18"/>
              </w:rPr>
              <w:t>6.00</w:t>
            </w:r>
          </w:p>
        </w:tc>
      </w:tr>
      <w:tr>
        <w:trPr>
          <w:trHeight w:val="463" w:hRule="exact"/>
        </w:trPr>
        <w:tc>
          <w:tcPr>
            <w:tcW w:w="522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0" w:right="0"/>
              <w:jc w:val="center"/>
              <w:rPr>
                <w:rFonts w:ascii="宋体" w:hAnsi="宋体" w:cs="宋体" w:eastAsia="宋体" w:hint="default"/>
                <w:sz w:val="18"/>
                <w:szCs w:val="18"/>
              </w:rPr>
            </w:pPr>
            <w:r>
              <w:rPr>
                <w:rFonts w:ascii="宋体"/>
                <w:sz w:val="18"/>
              </w:rPr>
              <w:t>K</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z w:val="18"/>
              </w:rPr>
              <w:t>12.00</w:t>
            </w:r>
          </w:p>
        </w:tc>
      </w:tr>
      <w:tr>
        <w:trPr>
          <w:trHeight w:val="478" w:hRule="exact"/>
        </w:trPr>
        <w:tc>
          <w:tcPr>
            <w:tcW w:w="522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 w:right="0"/>
              <w:jc w:val="center"/>
              <w:rPr>
                <w:rFonts w:ascii="宋体" w:hAnsi="宋体" w:cs="宋体" w:eastAsia="宋体" w:hint="default"/>
                <w:sz w:val="18"/>
                <w:szCs w:val="18"/>
              </w:rPr>
            </w:pPr>
            <w:r>
              <w:rPr>
                <w:rFonts w:ascii="宋体" w:hAnsi="宋体" w:cs="宋体" w:eastAsia="宋体" w:hint="default"/>
                <w:sz w:val="18"/>
                <w:szCs w:val="18"/>
              </w:rPr>
              <w:t>L= D+A/2+</w:t>
            </w:r>
            <w:r>
              <w:rPr>
                <w:rFonts w:ascii="宋体" w:hAnsi="宋体" w:cs="宋体" w:eastAsia="宋体" w:hint="default"/>
                <w:spacing w:val="-4"/>
                <w:sz w:val="18"/>
                <w:szCs w:val="18"/>
              </w:rPr>
              <w:t> </w:t>
            </w:r>
            <w:r>
              <w:rPr>
                <w:rFonts w:ascii="宋体" w:hAnsi="宋体" w:cs="宋体" w:eastAsia="宋体" w:hint="default"/>
                <w:sz w:val="18"/>
                <w:szCs w:val="18"/>
              </w:rPr>
              <w:t>E</w:t>
            </w:r>
            <w:r>
              <w:rPr>
                <w:rFonts w:ascii="宋体" w:hAnsi="宋体" w:cs="宋体" w:eastAsia="宋体" w:hint="default"/>
                <w:sz w:val="18"/>
                <w:szCs w:val="18"/>
              </w:rPr>
              <w:t>×</w:t>
            </w:r>
            <w:r>
              <w:rPr>
                <w:rFonts w:ascii="宋体" w:hAnsi="宋体" w:cs="宋体" w:eastAsia="宋体" w:hint="default"/>
                <w:sz w:val="18"/>
                <w:szCs w:val="18"/>
              </w:rPr>
              <w:t>F/K-G</w:t>
            </w:r>
            <w:r>
              <w:rPr>
                <w:rFonts w:ascii="宋体" w:hAnsi="宋体" w:cs="宋体" w:eastAsia="宋体" w:hint="default"/>
                <w:sz w:val="18"/>
                <w:szCs w:val="18"/>
              </w:rPr>
              <w:t>×</w:t>
            </w:r>
          </w:p>
          <w:p>
            <w:pPr>
              <w:pStyle w:val="TableParagraph"/>
              <w:spacing w:line="240" w:lineRule="auto"/>
              <w:ind w:left="26" w:right="0"/>
              <w:jc w:val="center"/>
              <w:rPr>
                <w:rFonts w:ascii="宋体" w:hAnsi="宋体" w:cs="宋体" w:eastAsia="宋体" w:hint="default"/>
                <w:sz w:val="18"/>
                <w:szCs w:val="18"/>
              </w:rPr>
            </w:pPr>
            <w:r>
              <w:rPr>
                <w:rFonts w:ascii="宋体" w:hAnsi="宋体" w:cs="宋体" w:eastAsia="宋体" w:hint="default"/>
                <w:sz w:val="18"/>
                <w:szCs w:val="18"/>
              </w:rPr>
              <w:t>H/K</w:t>
            </w:r>
            <w:r>
              <w:rPr>
                <w:rFonts w:ascii="宋体" w:hAnsi="宋体" w:cs="宋体" w:eastAsia="宋体" w:hint="default"/>
                <w:sz w:val="18"/>
                <w:szCs w:val="18"/>
              </w:rPr>
              <w:t>±</w:t>
            </w:r>
            <w:r>
              <w:rPr>
                <w:rFonts w:ascii="宋体" w:hAnsi="宋体" w:cs="宋体" w:eastAsia="宋体" w:hint="default"/>
                <w:sz w:val="18"/>
                <w:szCs w:val="18"/>
              </w:rPr>
              <w:t>I</w:t>
            </w:r>
            <w:r>
              <w:rPr>
                <w:rFonts w:ascii="宋体" w:hAnsi="宋体" w:cs="宋体" w:eastAsia="宋体" w:hint="default"/>
                <w:sz w:val="18"/>
                <w:szCs w:val="18"/>
              </w:rPr>
              <w:t>×</w:t>
            </w:r>
            <w:r>
              <w:rPr>
                <w:rFonts w:ascii="宋体" w:hAnsi="宋体" w:cs="宋体" w:eastAsia="宋体" w:hint="default"/>
                <w:sz w:val="18"/>
                <w:szCs w:val="18"/>
              </w:rPr>
              <w:t>J/K</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2,162,447,925.29</w:t>
            </w:r>
          </w:p>
        </w:tc>
      </w:tr>
      <w:tr>
        <w:trPr>
          <w:trHeight w:val="463" w:hRule="exact"/>
        </w:trPr>
        <w:tc>
          <w:tcPr>
            <w:tcW w:w="522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M=A/L</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z w:val="18"/>
              </w:rPr>
              <w:t>20.98</w:t>
            </w:r>
          </w:p>
        </w:tc>
      </w:tr>
      <w:tr>
        <w:trPr>
          <w:trHeight w:val="466" w:hRule="exact"/>
        </w:trPr>
        <w:tc>
          <w:tcPr>
            <w:tcW w:w="522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N=C/L</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z w:val="18"/>
              </w:rPr>
              <w:t>20.71</w:t>
            </w:r>
          </w:p>
        </w:tc>
      </w:tr>
    </w:tbl>
    <w:p>
      <w:pPr>
        <w:spacing w:line="240" w:lineRule="auto" w:before="5"/>
        <w:rPr>
          <w:rFonts w:ascii="宋体" w:hAnsi="宋体" w:cs="宋体" w:eastAsia="宋体" w:hint="default"/>
          <w:sz w:val="15"/>
          <w:szCs w:val="15"/>
        </w:rPr>
      </w:pPr>
    </w:p>
    <w:p>
      <w:pPr>
        <w:pStyle w:val="BodyText"/>
        <w:spacing w:line="355" w:lineRule="auto" w:before="36"/>
        <w:ind w:left="343" w:right="4970" w:hanging="106"/>
        <w:jc w:val="left"/>
      </w:pPr>
      <w:r>
        <w:rPr>
          <w:rFonts w:ascii="宋体" w:hAnsi="宋体" w:cs="宋体" w:eastAsia="宋体" w:hint="default"/>
        </w:rPr>
        <w:t>(2)</w:t>
      </w:r>
      <w:r>
        <w:rPr>
          <w:rFonts w:ascii="宋体" w:hAnsi="宋体" w:cs="宋体" w:eastAsia="宋体" w:hint="default"/>
          <w:spacing w:val="-1"/>
        </w:rPr>
        <w:t> </w:t>
      </w:r>
      <w:r>
        <w:rPr/>
        <w:t>基本每股收益和稀释每股收益的计算过程</w:t>
      </w:r>
      <w:r>
        <w:rPr>
          <w:w w:val="100"/>
        </w:rPr>
        <w:t> </w:t>
      </w:r>
      <w:r>
        <w:rPr>
          <w:rFonts w:ascii="宋体" w:hAnsi="宋体" w:cs="宋体" w:eastAsia="宋体" w:hint="default"/>
        </w:rPr>
        <w:t>1</w:t>
      </w:r>
      <w:r>
        <w:rPr/>
        <w:t>）基本每股收益的计算过程</w:t>
      </w:r>
    </w:p>
    <w:p>
      <w:pPr>
        <w:spacing w:line="240" w:lineRule="auto" w:before="4"/>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4835"/>
        <w:gridCol w:w="1361"/>
        <w:gridCol w:w="2868"/>
      </w:tblGrid>
      <w:tr>
        <w:trPr>
          <w:trHeight w:val="46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序号</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6"/>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A</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453,733,512.62</w:t>
            </w:r>
          </w:p>
        </w:tc>
      </w:tr>
      <w:tr>
        <w:trPr>
          <w:trHeight w:val="466"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B</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5,908,081.60</w:t>
            </w:r>
          </w:p>
        </w:tc>
      </w:tr>
      <w:tr>
        <w:trPr>
          <w:trHeight w:val="46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sz w:val="18"/>
              </w:rPr>
              <w:t>C=A-B</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447,825,431.02</w:t>
            </w:r>
          </w:p>
        </w:tc>
      </w:tr>
      <w:tr>
        <w:trPr>
          <w:trHeight w:val="46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D</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617,805,180.00</w:t>
            </w:r>
          </w:p>
        </w:tc>
      </w:tr>
      <w:tr>
        <w:trPr>
          <w:trHeight w:val="466"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E</w:t>
            </w:r>
          </w:p>
        </w:tc>
        <w:tc>
          <w:tcPr>
            <w:tcW w:w="2868"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F</w:t>
            </w:r>
          </w:p>
        </w:tc>
        <w:tc>
          <w:tcPr>
            <w:tcW w:w="2868"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G</w:t>
            </w:r>
          </w:p>
        </w:tc>
        <w:tc>
          <w:tcPr>
            <w:tcW w:w="2868"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H</w:t>
            </w:r>
          </w:p>
        </w:tc>
        <w:tc>
          <w:tcPr>
            <w:tcW w:w="2868"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I</w:t>
            </w:r>
          </w:p>
        </w:tc>
        <w:tc>
          <w:tcPr>
            <w:tcW w:w="2868"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J</w:t>
            </w:r>
          </w:p>
        </w:tc>
        <w:tc>
          <w:tcPr>
            <w:tcW w:w="2868"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K</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z w:val="18"/>
              </w:rPr>
              <w:t>12.00</w:t>
            </w:r>
          </w:p>
        </w:tc>
      </w:tr>
      <w:tr>
        <w:trPr>
          <w:trHeight w:val="475"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6"/>
              <w:jc w:val="center"/>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w:t>
            </w:r>
            <w:r>
              <w:rPr>
                <w:rFonts w:ascii="宋体" w:hAnsi="宋体" w:cs="宋体" w:eastAsia="宋体" w:hint="default"/>
                <w:sz w:val="18"/>
                <w:szCs w:val="18"/>
              </w:rPr>
              <w:t>G/K-H</w:t>
            </w:r>
          </w:p>
          <w:p>
            <w:pPr>
              <w:pStyle w:val="TableParagraph"/>
              <w:spacing w:line="234" w:lineRule="exact"/>
              <w:ind w:right="6"/>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I/K-J</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5"/>
              <w:jc w:val="right"/>
              <w:rPr>
                <w:rFonts w:ascii="宋体" w:hAnsi="宋体" w:cs="宋体" w:eastAsia="宋体" w:hint="default"/>
                <w:sz w:val="18"/>
                <w:szCs w:val="18"/>
              </w:rPr>
            </w:pPr>
            <w:r>
              <w:rPr>
                <w:rFonts w:ascii="宋体"/>
                <w:spacing w:val="-1"/>
                <w:sz w:val="18"/>
              </w:rPr>
              <w:t>617,805,180.00</w:t>
            </w:r>
          </w:p>
        </w:tc>
      </w:tr>
      <w:tr>
        <w:trPr>
          <w:trHeight w:val="466"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sz w:val="18"/>
              </w:rPr>
              <w:t>M=A/L</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宋体" w:hAnsi="宋体" w:cs="宋体" w:eastAsia="宋体" w:hint="default"/>
                <w:sz w:val="18"/>
                <w:szCs w:val="18"/>
              </w:rPr>
            </w:pPr>
            <w:r>
              <w:rPr>
                <w:rFonts w:ascii="宋体"/>
                <w:sz w:val="18"/>
              </w:rPr>
              <w:t>0.73</w:t>
            </w:r>
          </w:p>
        </w:tc>
      </w:tr>
      <w:tr>
        <w:trPr>
          <w:trHeight w:val="46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sz w:val="18"/>
              </w:rPr>
              <w:t>N=C/L</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宋体" w:hAnsi="宋体" w:cs="宋体" w:eastAsia="宋体" w:hint="default"/>
                <w:sz w:val="18"/>
                <w:szCs w:val="18"/>
              </w:rPr>
            </w:pPr>
            <w:r>
              <w:rPr>
                <w:rFonts w:ascii="宋体"/>
                <w:sz w:val="18"/>
              </w:rPr>
              <w:t>0.72</w:t>
            </w:r>
          </w:p>
        </w:tc>
      </w:tr>
    </w:tbl>
    <w:p>
      <w:pPr>
        <w:spacing w:after="0" w:line="240" w:lineRule="auto"/>
        <w:jc w:val="right"/>
        <w:rPr>
          <w:rFonts w:ascii="宋体" w:hAnsi="宋体" w:cs="宋体" w:eastAsia="宋体" w:hint="default"/>
          <w:sz w:val="18"/>
          <w:szCs w:val="18"/>
        </w:rPr>
        <w:sectPr>
          <w:pgSz w:w="11910" w:h="16840"/>
          <w:pgMar w:header="882" w:footer="1195" w:top="1120" w:bottom="1380" w:left="1560" w:right="920"/>
        </w:sectPr>
      </w:pPr>
    </w:p>
    <w:p>
      <w:pPr>
        <w:spacing w:line="240" w:lineRule="auto" w:before="1"/>
        <w:rPr>
          <w:rFonts w:ascii="宋体" w:hAnsi="宋体" w:cs="宋体" w:eastAsia="宋体" w:hint="default"/>
          <w:sz w:val="25"/>
          <w:szCs w:val="25"/>
        </w:rPr>
      </w:pPr>
    </w:p>
    <w:p>
      <w:pPr>
        <w:pStyle w:val="BodyText"/>
        <w:spacing w:line="357" w:lineRule="auto" w:before="36"/>
        <w:ind w:left="558" w:right="1692" w:hanging="315"/>
        <w:jc w:val="left"/>
      </w:pPr>
      <w:r>
        <w:rPr>
          <w:rFonts w:ascii="宋体" w:hAnsi="宋体" w:cs="宋体" w:eastAsia="宋体" w:hint="default"/>
        </w:rPr>
        <w:t>2</w:t>
      </w:r>
      <w:r>
        <w:rPr/>
        <w:t>）稀释每股收益的计算过程</w:t>
      </w:r>
      <w:r>
        <w:rPr>
          <w:w w:val="100"/>
        </w:rPr>
        <w:t> </w:t>
      </w:r>
      <w:r>
        <w:rPr>
          <w:spacing w:val="-2"/>
        </w:rPr>
        <w:t>稀释每股收益的计算过程与基本每股收益的计算过程相同。</w:t>
      </w:r>
    </w:p>
    <w:p>
      <w:pPr>
        <w:spacing w:after="0" w:line="357"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5181" w:val="left" w:leader="none"/>
        </w:tabs>
        <w:spacing w:line="240" w:lineRule="auto" w:before="160"/>
        <w:ind w:left="3659" w:right="145"/>
        <w:jc w:val="left"/>
        <w:rPr>
          <w:rFonts w:ascii="宋体" w:hAnsi="宋体" w:cs="宋体" w:eastAsia="宋体" w:hint="default"/>
          <w:b w:val="0"/>
          <w:bCs w:val="0"/>
        </w:rPr>
      </w:pPr>
      <w:bookmarkStart w:name="_TOC_250000" w:id="12"/>
      <w:r>
        <w:rPr>
          <w:rFonts w:ascii="宋体" w:hAnsi="宋体" w:cs="宋体" w:eastAsia="宋体" w:hint="default"/>
        </w:rPr>
        <w:t>第十二节</w:t>
        <w:tab/>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载有董事长彭政纲先生、财务总监傅美英女士、会计机构负责人曾玉梅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女士签名并盖章的会计报表。</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载有会计师事务所盖章、注册会计师签名并盖章的本公司</w:t>
            </w:r>
            <w:r>
              <w:rPr>
                <w:rFonts w:ascii="宋体" w:hAnsi="宋体" w:cs="宋体" w:eastAsia="宋体" w:hint="default"/>
                <w:sz w:val="21"/>
                <w:szCs w:val="21"/>
              </w:rPr>
              <w:t>2015</w:t>
            </w:r>
            <w:r>
              <w:rPr>
                <w:rFonts w:ascii="宋体" w:hAnsi="宋体" w:cs="宋体" w:eastAsia="宋体" w:hint="default"/>
                <w:sz w:val="21"/>
                <w:szCs w:val="21"/>
              </w:rPr>
              <w:t>年度审计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载有会计师事务所盖章、注册会计师签名并盖章的本公司</w:t>
            </w:r>
            <w:r>
              <w:rPr>
                <w:rFonts w:ascii="宋体" w:hAnsi="宋体" w:cs="宋体" w:eastAsia="宋体" w:hint="default"/>
                <w:sz w:val="21"/>
                <w:szCs w:val="21"/>
              </w:rPr>
              <w:t>2015</w:t>
            </w:r>
            <w:r>
              <w:rPr>
                <w:rFonts w:ascii="宋体" w:hAnsi="宋体" w:cs="宋体" w:eastAsia="宋体" w:hint="default"/>
                <w:sz w:val="21"/>
                <w:szCs w:val="21"/>
              </w:rPr>
              <w:t>年度关联</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方资金占用情况专项审计说明原件。</w:t>
            </w:r>
          </w:p>
        </w:tc>
      </w:tr>
      <w:tr>
        <w:trPr>
          <w:trHeight w:val="555"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报告期内在《中国证券报》、《上海证券报》、《证券时报》、《证券</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日报》上公开披露过的所有公司文件的正本及公告原稿。</w:t>
            </w:r>
          </w:p>
        </w:tc>
      </w:tr>
    </w:tbl>
    <w:p>
      <w:pPr>
        <w:spacing w:line="240" w:lineRule="auto" w:before="5"/>
        <w:rPr>
          <w:rFonts w:ascii="宋体" w:hAnsi="宋体" w:cs="宋体" w:eastAsia="宋体" w:hint="default"/>
          <w:b/>
          <w:bCs/>
          <w:sz w:val="21"/>
          <w:szCs w:val="21"/>
        </w:rPr>
      </w:pPr>
    </w:p>
    <w:p>
      <w:pPr>
        <w:pStyle w:val="BodyText"/>
        <w:spacing w:line="314" w:lineRule="auto" w:before="36"/>
        <w:ind w:left="5500" w:right="145" w:firstLine="1995"/>
        <w:jc w:val="left"/>
        <w:rPr>
          <w:rFonts w:ascii="宋体" w:hAnsi="宋体" w:cs="宋体" w:eastAsia="宋体" w:hint="default"/>
        </w:rPr>
      </w:pPr>
      <w:r>
        <w:rPr>
          <w:spacing w:val="-1"/>
        </w:rPr>
        <w:t>董事长：彭政纲</w:t>
      </w:r>
      <w:r>
        <w:rPr>
          <w:w w:val="100"/>
        </w:rPr>
        <w:t> </w:t>
      </w:r>
      <w:r>
        <w:rPr/>
        <w:t>董事会批准报送日期：</w:t>
      </w:r>
      <w:r>
        <w:rPr>
          <w:rFonts w:ascii="宋体" w:hAnsi="宋体" w:cs="宋体" w:eastAsia="宋体" w:hint="default"/>
        </w:rPr>
        <w:t>2016</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29</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1"/>
        <w:ind w:left="138" w:right="145"/>
        <w:jc w:val="left"/>
        <w:rPr>
          <w:rFonts w:ascii="宋体" w:hAnsi="宋体" w:cs="宋体" w:eastAsia="宋体" w:hint="default"/>
          <w:b w:val="0"/>
          <w:bCs w:val="0"/>
        </w:rPr>
      </w:pPr>
      <w:r>
        <w:rPr>
          <w:rFonts w:ascii="宋体" w:hAnsi="宋体" w:cs="宋体" w:eastAsia="宋体" w:hint="default"/>
        </w:rPr>
        <w:t>修订信息</w:t>
      </w:r>
      <w:r>
        <w:rPr>
          <w:rFonts w:ascii="宋体" w:hAnsi="宋体" w:cs="宋体" w:eastAsia="宋体" w:hint="default"/>
          <w:b w:val="0"/>
          <w:bCs w:val="0"/>
        </w:rPr>
      </w:r>
    </w:p>
    <w:p>
      <w:pPr>
        <w:spacing w:line="240" w:lineRule="auto" w:before="12"/>
        <w:rPr>
          <w:rFonts w:ascii="宋体" w:hAnsi="宋体" w:cs="宋体" w:eastAsia="宋体"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2" w:right="0"/>
              <w:jc w:val="left"/>
              <w:rPr>
                <w:rFonts w:ascii="宋体" w:hAnsi="宋体" w:cs="宋体" w:eastAsia="宋体" w:hint="default"/>
                <w:sz w:val="21"/>
                <w:szCs w:val="21"/>
              </w:rPr>
            </w:pPr>
            <w:r>
              <w:rPr>
                <w:rFonts w:ascii="宋体" w:hAnsi="宋体" w:cs="宋体" w:eastAsia="宋体" w:hint="default"/>
                <w:sz w:val="21"/>
                <w:szCs w:val="21"/>
              </w:rPr>
              <w:t>报告版本号</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更正、补充公告发布时间</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更正、补充公告内容</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sectPr>
      <w:pgSz w:w="11910" w:h="16840"/>
      <w:pgMar w:header="882"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078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786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156</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78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78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156</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78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078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64</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78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70</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78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73</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78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74</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78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80</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78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86</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789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156</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782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156</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78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782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156</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78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781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156</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78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781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156</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78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078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124</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77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126</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78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779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156</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77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132</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77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139</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77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140</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77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156</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77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788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156</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78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788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156</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78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078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40</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78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47</w:t>
                </w:r>
                <w:r>
                  <w:rPr/>
                  <w:fldChar w:fldCharType="end"/>
                </w:r>
                <w:r>
                  <w:rPr>
                    <w:rFonts w:ascii="Calibri"/>
                    <w:b/>
                    <w:sz w:val="18"/>
                  </w:rPr>
                  <w:t> </w:t>
                </w:r>
                <w:r>
                  <w:rPr>
                    <w:rFonts w:ascii="Calibri"/>
                    <w:sz w:val="18"/>
                  </w:rPr>
                  <w:t>/</w:t>
                </w:r>
                <w:r>
                  <w:rPr>
                    <w:rFonts w:ascii="Calibri"/>
                    <w:spacing w:val="-3"/>
                    <w:sz w:val="18"/>
                  </w:rPr>
                  <w:t> </w:t>
                </w:r>
                <w:r>
                  <w:rPr>
                    <w:rFonts w:ascii="Calibri"/>
                    <w:b/>
                    <w:sz w:val="18"/>
                  </w:rPr>
                  <w:t>156</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7898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0789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078768"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0787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078696"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0786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078528"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0785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07845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0784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078096"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0780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07802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0780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188"/>
      <w:ind w:left="620"/>
      <w:outlineLvl w:val="2"/>
    </w:pPr>
    <w:rPr>
      <w:rFonts w:ascii="黑体" w:hAnsi="黑体" w:eastAsia="黑体"/>
      <w:b/>
      <w:bCs/>
      <w:sz w:val="24"/>
      <w:szCs w:val="24"/>
    </w:rPr>
  </w:style>
  <w:style w:styleId="Heading3" w:type="paragraph">
    <w:name w:val="Heading 3"/>
    <w:basedOn w:val="Normal"/>
    <w:uiPriority w:val="1"/>
    <w:qFormat/>
    <w:pPr>
      <w:spacing w:before="154"/>
      <w:ind w:left="138" w:firstLine="479"/>
      <w:outlineLvl w:val="3"/>
    </w:pPr>
    <w:rPr>
      <w:rFonts w:ascii="宋体" w:hAnsi="宋体" w:eastAsia="宋体"/>
      <w:sz w:val="24"/>
      <w:szCs w:val="24"/>
    </w:rPr>
  </w:style>
  <w:style w:styleId="Heading4" w:type="paragraph">
    <w:name w:val="Heading 4"/>
    <w:basedOn w:val="Normal"/>
    <w:uiPriority w:val="1"/>
    <w:qFormat/>
    <w:pPr>
      <w:spacing w:before="36"/>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investor@hundsun.com" TargetMode="External"/><Relationship Id="rId8" Type="http://schemas.openxmlformats.org/officeDocument/2006/relationships/hyperlink" Target="http://www.hundsun.com/"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www.wjs.com/" TargetMode="Externa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image" Target="media/image1.jpeg"/><Relationship Id="rId18" Type="http://schemas.openxmlformats.org/officeDocument/2006/relationships/header" Target="header2.xml"/><Relationship Id="rId19" Type="http://schemas.openxmlformats.org/officeDocument/2006/relationships/footer" Target="footer8.xml"/><Relationship Id="rId20" Type="http://schemas.openxmlformats.org/officeDocument/2006/relationships/header" Target="header3.xml"/><Relationship Id="rId21" Type="http://schemas.openxmlformats.org/officeDocument/2006/relationships/footer" Target="footer9.xm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header" Target="header4.xml"/><Relationship Id="rId29" Type="http://schemas.openxmlformats.org/officeDocument/2006/relationships/footer" Target="footer14.xml"/><Relationship Id="rId30" Type="http://schemas.openxmlformats.org/officeDocument/2006/relationships/header" Target="header5.xml"/><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footer" Target="footer21.xml"/><Relationship Id="rId38" Type="http://schemas.openxmlformats.org/officeDocument/2006/relationships/footer" Target="footer22.xml"/><Relationship Id="rId39" Type="http://schemas.openxmlformats.org/officeDocument/2006/relationships/footer" Target="footer23.xml"/><Relationship Id="rId40" Type="http://schemas.openxmlformats.org/officeDocument/2006/relationships/footer" Target="footer24.xml"/><Relationship Id="rId41" Type="http://schemas.openxmlformats.org/officeDocument/2006/relationships/footer" Target="footer25.xml"/><Relationship Id="rId42" Type="http://schemas.openxmlformats.org/officeDocument/2006/relationships/footer" Target="footer26.xml"/><Relationship Id="rId43" Type="http://schemas.openxmlformats.org/officeDocument/2006/relationships/footer" Target="footer27.xml"/><Relationship Id="rId44" Type="http://schemas.openxmlformats.org/officeDocument/2006/relationships/header" Target="header6.xml"/><Relationship Id="rId45" Type="http://schemas.openxmlformats.org/officeDocument/2006/relationships/footer" Target="footer28.xml"/><Relationship Id="rId46" Type="http://schemas.openxmlformats.org/officeDocument/2006/relationships/header" Target="header7.xml"/><Relationship Id="rId47" Type="http://schemas.openxmlformats.org/officeDocument/2006/relationships/footer" Target="footer29.xml"/><Relationship Id="rId48" Type="http://schemas.openxmlformats.org/officeDocument/2006/relationships/footer" Target="footer30.xml"/><Relationship Id="rId49" Type="http://schemas.openxmlformats.org/officeDocument/2006/relationships/footer" Target="footer31.xml"/><Relationship Id="rId50" Type="http://schemas.openxmlformats.org/officeDocument/2006/relationships/footer" Target="footer32.xml"/><Relationship Id="rId51" Type="http://schemas.openxmlformats.org/officeDocument/2006/relationships/footer" Target="footer33.xml"/><Relationship Id="rId52" Type="http://schemas.openxmlformats.org/officeDocument/2006/relationships/footer" Target="footer34.xml"/><Relationship Id="rId53" Type="http://schemas.openxmlformats.org/officeDocument/2006/relationships/footer" Target="footer3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2020-05-04T19:16:04Z</dcterms:created>
  <dcterms:modified xsi:type="dcterms:W3CDTF">2020-05-04T19:16:04Z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2016-03-28T00:00:00Z</vt:filetime>
  </property>
  <property fmtid="{D5CDD505-2E9C-101B-9397-08002B2CF9AE}" pid="3" name="Creator">
    <vt:lpwstr>Microsoft® Office Word 2007</vt:lpwstr>
  </property>
  <property fmtid="{D5CDD505-2E9C-101B-9397-08002B2CF9AE}" pid="4" name="LastSaved">
    <vt:filetime>2020-05-04T00:00:00Z</vt:filetime>
  </property>
</Properties>
</file>