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header18.xml" ContentType="application/vnd.openxmlformats-officedocument.wordprocessingml.head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25.xml" ContentType="application/vnd.openxmlformats-officedocument.wordprocessingml.footer+xml"/>
  <Override PartName="/word/header34.xml" ContentType="application/vnd.openxmlformats-officedocument.wordprocessingml.header+xml"/>
  <Override PartName="/word/footer26.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7.xml" ContentType="application/vnd.openxmlformats-officedocument.wordprocessingml.footer+xml"/>
  <Override PartName="/word/header37.xml" ContentType="application/vnd.openxmlformats-officedocument.wordprocessingml.header+xml"/>
  <Override PartName="/word/footer28.xml" ContentType="application/vnd.openxmlformats-officedocument.wordprocessingml.footer+xml"/>
  <Override PartName="/word/header38.xml" ContentType="application/vnd.openxmlformats-officedocument.wordprocessingml.header+xml"/>
  <Override PartName="/word/footer29.xml" ContentType="application/vnd.openxmlformats-officedocument.wordprocessingml.footer+xml"/>
  <Override PartName="/word/header39.xml" ContentType="application/vnd.openxmlformats-officedocument.wordprocessingml.header+xml"/>
  <Override PartName="/word/footer30.xml" ContentType="application/vnd.openxmlformats-officedocument.wordprocessingml.footer+xml"/>
  <Override PartName="/word/header40.xml" ContentType="application/vnd.openxmlformats-officedocument.wordprocessingml.header+xml"/>
  <Override PartName="/word/footer31.xml" ContentType="application/vnd.openxmlformats-officedocument.wordprocessingml.footer+xml"/>
  <Override PartName="/word/header41.xml" ContentType="application/vnd.openxmlformats-officedocument.wordprocessingml.header+xml"/>
  <Override PartName="/word/footer32.xml" ContentType="application/vnd.openxmlformats-officedocument.wordprocessingml.footer+xml"/>
  <Override PartName="/word/header42.xml" ContentType="application/vnd.openxmlformats-officedocument.wordprocessingml.header+xml"/>
  <Override PartName="/word/footer33.xml" ContentType="application/vnd.openxmlformats-officedocument.wordprocessingml.footer+xml"/>
  <Override PartName="/word/header43.xml" ContentType="application/vnd.openxmlformats-officedocument.wordprocessingml.header+xml"/>
  <Override PartName="/word/footer34.xml" ContentType="application/vnd.openxmlformats-officedocument.wordprocessingml.footer+xml"/>
  <Override PartName="/word/header44.xml" ContentType="application/vnd.openxmlformats-officedocument.wordprocessingml.header+xml"/>
  <Override PartName="/word/footer35.xml" ContentType="application/vnd.openxmlformats-officedocument.wordprocessingml.footer+xml"/>
  <Override PartName="/word/header45.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right="144"/>
        <w:jc w:val="left"/>
      </w:pPr>
      <w:r>
        <w:rPr>
          <w:spacing w:val="-1"/>
        </w:rPr>
        <w:t>公司代码：</w:t>
      </w:r>
      <w:r>
        <w:rPr>
          <w:rFonts w:ascii="宋体" w:hAnsi="宋体" w:cs="宋体" w:eastAsia="宋体" w:hint="default"/>
          <w:spacing w:val="-1"/>
        </w:rPr>
        <w:t>600588</w:t>
        <w:tab/>
      </w:r>
      <w:r>
        <w:rPr>
          <w:spacing w:val="-2"/>
        </w:rPr>
        <w:t>公司简称：用友网络</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line="1755" w:lineRule="exact"/>
        <w:ind w:left="3095" w:right="0" w:firstLine="0"/>
        <w:rPr>
          <w:rFonts w:ascii="宋体" w:hAnsi="宋体" w:cs="宋体" w:eastAsia="宋体" w:hint="default"/>
          <w:sz w:val="20"/>
          <w:szCs w:val="20"/>
        </w:rPr>
      </w:pPr>
      <w:r>
        <w:rPr>
          <w:rFonts w:ascii="宋体" w:hAnsi="宋体" w:cs="宋体" w:eastAsia="宋体" w:hint="default"/>
          <w:position w:val="-34"/>
          <w:sz w:val="20"/>
          <w:szCs w:val="20"/>
        </w:rPr>
        <w:drawing>
          <wp:inline distT="0" distB="0" distL="0" distR="0">
            <wp:extent cx="1650364" cy="11144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50364" cy="1114425"/>
                    </a:xfrm>
                    <a:prstGeom prst="rect">
                      <a:avLst/>
                    </a:prstGeom>
                  </pic:spPr>
                </pic:pic>
              </a:graphicData>
            </a:graphic>
          </wp:inline>
        </w:drawing>
      </w:r>
      <w:r>
        <w:rPr>
          <w:rFonts w:ascii="宋体" w:hAnsi="宋体" w:cs="宋体" w:eastAsia="宋体" w:hint="default"/>
          <w:position w:val="-34"/>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line="572" w:lineRule="exact" w:before="0"/>
        <w:ind w:left="2005" w:right="2021" w:firstLine="0"/>
        <w:jc w:val="center"/>
        <w:rPr>
          <w:rFonts w:ascii="黑体" w:hAnsi="黑体" w:cs="黑体" w:eastAsia="黑体" w:hint="default"/>
          <w:sz w:val="44"/>
          <w:szCs w:val="44"/>
        </w:rPr>
      </w:pPr>
      <w:r>
        <w:rPr>
          <w:rFonts w:ascii="黑体" w:hAnsi="黑体" w:cs="黑体" w:eastAsia="黑体" w:hint="default"/>
          <w:b/>
          <w:bCs/>
          <w:color w:val="FF0000"/>
          <w:spacing w:val="2"/>
          <w:w w:val="95"/>
          <w:sz w:val="44"/>
          <w:szCs w:val="44"/>
        </w:rPr>
        <w:t>用友网络科技股份有限公司</w:t>
      </w:r>
      <w:r>
        <w:rPr>
          <w:rFonts w:ascii="黑体" w:hAnsi="黑体" w:cs="黑体" w:eastAsia="黑体" w:hint="default"/>
          <w:b/>
          <w:bCs/>
          <w:color w:val="FF0000"/>
          <w:spacing w:val="18"/>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7"/>
        <w:ind w:left="2004" w:right="202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
        <w:rPr>
          <w:rFonts w:ascii="黑体" w:hAnsi="黑体" w:cs="黑体" w:eastAsia="黑体" w:hint="default"/>
          <w:b/>
          <w:bCs/>
          <w:sz w:val="22"/>
          <w:szCs w:val="22"/>
        </w:rPr>
      </w:pPr>
    </w:p>
    <w:p>
      <w:pPr>
        <w:pStyle w:val="Heading2"/>
        <w:spacing w:line="357" w:lineRule="auto" w:before="0"/>
        <w:ind w:left="488" w:right="144" w:hanging="351"/>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2"/>
        <w:spacing w:line="240" w:lineRule="auto" w:before="0"/>
        <w:ind w:left="138" w:right="144"/>
        <w:jc w:val="left"/>
        <w:rPr>
          <w:b w:val="0"/>
          <w:bCs w:val="0"/>
        </w:rPr>
      </w:pPr>
      <w:r>
        <w:rPr/>
        <w:t>二、</w:t>
      </w:r>
      <w:r>
        <w:rPr>
          <w:spacing w:val="-80"/>
        </w:rPr>
        <w:t> </w:t>
      </w:r>
      <w:r>
        <w:rPr/>
        <w:t>公司全体董事出席董事会会议。</w:t>
      </w:r>
      <w:r>
        <w:rPr>
          <w:b w:val="0"/>
          <w:bCs w:val="0"/>
        </w:rPr>
      </w:r>
    </w:p>
    <w:p>
      <w:pPr>
        <w:pStyle w:val="Heading2"/>
        <w:spacing w:line="680" w:lineRule="atLeast" w:before="1"/>
        <w:ind w:left="138" w:right="144"/>
        <w:jc w:val="left"/>
        <w:rPr>
          <w:b w:val="0"/>
          <w:bCs w:val="0"/>
        </w:rPr>
      </w:pPr>
      <w:r>
        <w:rPr/>
        <w:t>三、</w:t>
      </w:r>
      <w:r>
        <w:rPr>
          <w:spacing w:val="-11"/>
        </w:rPr>
        <w:t> </w:t>
      </w:r>
      <w:r>
        <w:rPr/>
        <w:t>安永华明会计师事务所（特殊普通合伙）为本公司出具了标准无保留意见的审计报告。</w:t>
      </w:r>
      <w:r>
        <w:rPr>
          <w:w w:val="100"/>
        </w:rPr>
        <w:t> </w:t>
      </w:r>
      <w:r>
        <w:rPr>
          <w:spacing w:val="-1"/>
        </w:rPr>
        <w:t>四、公司负责人王文京、主管会计工作负责人章培林及会计机构负责人（会计主管人员）王仕平</w:t>
      </w:r>
      <w:r>
        <w:rPr>
          <w:b w:val="0"/>
          <w:bCs w:val="0"/>
          <w:spacing w:val="-1"/>
        </w:rPr>
      </w:r>
    </w:p>
    <w:p>
      <w:pPr>
        <w:pStyle w:val="Heading2"/>
        <w:spacing w:line="240" w:lineRule="auto" w:before="133"/>
        <w:ind w:left="505" w:right="144"/>
        <w:jc w:val="left"/>
        <w:rPr>
          <w:b w:val="0"/>
          <w:bCs w:val="0"/>
        </w:rPr>
      </w:pPr>
      <w:r>
        <w:rPr/>
        <w:t>声明：保证年度报告中财务报告的真实、准确、完整。</w:t>
      </w:r>
      <w:r>
        <w:rPr>
          <w:b w:val="0"/>
          <w:bCs w:val="0"/>
        </w:rPr>
      </w:r>
    </w:p>
    <w:p>
      <w:pPr>
        <w:spacing w:line="530" w:lineRule="atLeast" w:before="149"/>
        <w:ind w:left="349" w:right="144" w:hanging="212"/>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z w:val="21"/>
          <w:szCs w:val="21"/>
        </w:rPr>
        <w:t>经安永华明会计师事务所（特殊普通合伙）审计确认，</w:t>
      </w: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年度公司实现净利润</w:t>
      </w:r>
      <w:r>
        <w:rPr>
          <w:rFonts w:ascii="宋体" w:hAnsi="宋体" w:cs="宋体" w:eastAsia="宋体" w:hint="default"/>
          <w:spacing w:val="-51"/>
          <w:sz w:val="21"/>
          <w:szCs w:val="21"/>
        </w:rPr>
        <w:t> </w:t>
      </w:r>
      <w:r>
        <w:rPr>
          <w:rFonts w:ascii="宋体" w:hAnsi="宋体" w:cs="宋体" w:eastAsia="宋体" w:hint="default"/>
          <w:sz w:val="21"/>
          <w:szCs w:val="21"/>
        </w:rPr>
        <w:t>291,524,434</w:t>
      </w:r>
    </w:p>
    <w:p>
      <w:pPr>
        <w:pStyle w:val="BodyText"/>
        <w:spacing w:line="240" w:lineRule="auto" w:before="66"/>
        <w:ind w:right="0"/>
        <w:jc w:val="left"/>
      </w:pPr>
      <w:r>
        <w:rPr>
          <w:spacing w:val="-16"/>
        </w:rPr>
        <w:t>元。公司以</w:t>
      </w:r>
      <w:r>
        <w:rPr>
          <w:spacing w:val="-51"/>
        </w:rPr>
        <w:t> </w:t>
      </w:r>
      <w:r>
        <w:rPr>
          <w:rFonts w:ascii="宋体" w:hAnsi="宋体" w:cs="宋体" w:eastAsia="宋体" w:hint="default"/>
        </w:rPr>
        <w:t>2015</w:t>
      </w:r>
      <w:r>
        <w:rPr>
          <w:rFonts w:ascii="宋体" w:hAnsi="宋体" w:cs="宋体" w:eastAsia="宋体" w:hint="default"/>
          <w:spacing w:val="-51"/>
        </w:rPr>
        <w:t> </w:t>
      </w:r>
      <w:r>
        <w:rPr/>
        <w:t>年度净利润</w:t>
      </w:r>
      <w:r>
        <w:rPr>
          <w:spacing w:val="-50"/>
        </w:rPr>
        <w:t> </w:t>
      </w:r>
      <w:r>
        <w:rPr>
          <w:rFonts w:ascii="宋体" w:hAnsi="宋体" w:cs="宋体" w:eastAsia="宋体" w:hint="default"/>
        </w:rPr>
        <w:t>291,524,434</w:t>
      </w:r>
      <w:r>
        <w:rPr>
          <w:rFonts w:ascii="宋体" w:hAnsi="宋体" w:cs="宋体" w:eastAsia="宋体" w:hint="default"/>
          <w:spacing w:val="-53"/>
        </w:rPr>
        <w:t> </w:t>
      </w:r>
      <w:r>
        <w:rPr>
          <w:spacing w:val="-12"/>
        </w:rPr>
        <w:t>元为基数，提取</w:t>
      </w:r>
      <w:r>
        <w:rPr>
          <w:spacing w:val="-50"/>
        </w:rPr>
        <w:t> </w:t>
      </w:r>
      <w:r>
        <w:rPr>
          <w:rFonts w:ascii="宋体" w:hAnsi="宋体" w:cs="宋体" w:eastAsia="宋体" w:hint="default"/>
        </w:rPr>
        <w:t>10%</w:t>
      </w:r>
      <w:r>
        <w:rPr/>
        <w:t>的法定盈余公积金</w:t>
      </w:r>
      <w:r>
        <w:rPr>
          <w:spacing w:val="-50"/>
        </w:rPr>
        <w:t> </w:t>
      </w:r>
      <w:r>
        <w:rPr>
          <w:rFonts w:ascii="宋体" w:hAnsi="宋体" w:cs="宋体" w:eastAsia="宋体" w:hint="default"/>
        </w:rPr>
        <w:t>29,152,443</w:t>
      </w:r>
      <w:r>
        <w:rPr>
          <w:rFonts w:ascii="宋体" w:hAnsi="宋体" w:cs="宋体" w:eastAsia="宋体" w:hint="default"/>
          <w:spacing w:val="-53"/>
        </w:rPr>
        <w:t> </w:t>
      </w:r>
      <w:r>
        <w:rPr/>
        <w:t>元，</w:t>
      </w:r>
    </w:p>
    <w:p>
      <w:pPr>
        <w:pStyle w:val="BodyText"/>
        <w:spacing w:line="240" w:lineRule="auto" w:before="63"/>
        <w:ind w:right="0"/>
        <w:jc w:val="left"/>
      </w:pPr>
      <w:r>
        <w:rPr/>
        <w:t>提取</w:t>
      </w:r>
      <w:r>
        <w:rPr>
          <w:spacing w:val="-41"/>
        </w:rPr>
        <w:t> </w:t>
      </w:r>
      <w:r>
        <w:rPr>
          <w:rFonts w:ascii="宋体" w:hAnsi="宋体" w:cs="宋体" w:eastAsia="宋体" w:hint="default"/>
        </w:rPr>
        <w:t>5%</w:t>
      </w:r>
      <w:r>
        <w:rPr/>
        <w:t>任意盈余公积金</w:t>
      </w:r>
      <w:r>
        <w:rPr>
          <w:spacing w:val="-43"/>
        </w:rPr>
        <w:t> </w:t>
      </w:r>
      <w:r>
        <w:rPr>
          <w:rFonts w:ascii="宋体" w:hAnsi="宋体" w:cs="宋体" w:eastAsia="宋体" w:hint="default"/>
        </w:rPr>
        <w:t>14,576,223</w:t>
      </w:r>
      <w:r>
        <w:rPr>
          <w:rFonts w:ascii="宋体" w:hAnsi="宋体" w:cs="宋体" w:eastAsia="宋体" w:hint="default"/>
          <w:spacing w:val="-41"/>
        </w:rPr>
        <w:t> </w:t>
      </w:r>
      <w:r>
        <w:rPr/>
        <w:t>元，加往年累积的未分配利润</w:t>
      </w:r>
      <w:r>
        <w:rPr>
          <w:spacing w:val="-41"/>
        </w:rPr>
        <w:t> </w:t>
      </w:r>
      <w:r>
        <w:rPr>
          <w:rFonts w:ascii="宋体" w:hAnsi="宋体" w:cs="宋体" w:eastAsia="宋体" w:hint="default"/>
        </w:rPr>
        <w:t>908,347,051</w:t>
      </w:r>
      <w:r>
        <w:rPr>
          <w:rFonts w:ascii="宋体" w:hAnsi="宋体" w:cs="宋体" w:eastAsia="宋体" w:hint="default"/>
          <w:spacing w:val="-40"/>
        </w:rPr>
        <w:t> </w:t>
      </w:r>
      <w:r>
        <w:rPr/>
        <w:t>元，本次实际可</w:t>
      </w:r>
    </w:p>
    <w:p>
      <w:pPr>
        <w:pStyle w:val="BodyText"/>
        <w:spacing w:line="240" w:lineRule="auto" w:before="66"/>
        <w:ind w:right="0"/>
        <w:jc w:val="left"/>
      </w:pPr>
      <w:r>
        <w:rPr/>
        <w:t>供分配的利润为</w:t>
      </w:r>
      <w:r>
        <w:rPr>
          <w:spacing w:val="-53"/>
        </w:rPr>
        <w:t> </w:t>
      </w:r>
      <w:r>
        <w:rPr>
          <w:rFonts w:ascii="宋体" w:hAnsi="宋体" w:cs="宋体" w:eastAsia="宋体" w:hint="default"/>
        </w:rPr>
        <w:t>1,156,142,819</w:t>
      </w:r>
      <w:r>
        <w:rPr>
          <w:rFonts w:ascii="宋体" w:hAnsi="宋体" w:cs="宋体" w:eastAsia="宋体" w:hint="default"/>
          <w:spacing w:val="-52"/>
        </w:rPr>
        <w:t> </w:t>
      </w:r>
      <w:r>
        <w:rPr/>
        <w:t>元；公司以总股本</w:t>
      </w:r>
      <w:r>
        <w:rPr>
          <w:spacing w:val="-52"/>
        </w:rPr>
        <w:t> </w:t>
      </w:r>
      <w:r>
        <w:rPr>
          <w:rFonts w:ascii="宋体" w:hAnsi="宋体" w:cs="宋体" w:eastAsia="宋体" w:hint="default"/>
        </w:rPr>
        <w:t>1,464,293,443</w:t>
      </w:r>
      <w:r>
        <w:rPr>
          <w:rFonts w:ascii="宋体" w:hAnsi="宋体" w:cs="宋体" w:eastAsia="宋体" w:hint="default"/>
          <w:spacing w:val="-53"/>
        </w:rPr>
        <w:t> </w:t>
      </w:r>
      <w:r>
        <w:rPr/>
        <w:t>股（包括截至第六届董事会第</w:t>
      </w:r>
    </w:p>
    <w:p>
      <w:pPr>
        <w:pStyle w:val="BodyText"/>
        <w:spacing w:line="240" w:lineRule="auto" w:before="66"/>
        <w:ind w:right="0"/>
        <w:jc w:val="left"/>
      </w:pPr>
      <w:r>
        <w:rPr/>
        <w:t>三十三次会议决议日公司股本数</w:t>
      </w:r>
      <w:r>
        <w:rPr>
          <w:spacing w:val="-52"/>
        </w:rPr>
        <w:t> </w:t>
      </w:r>
      <w:r>
        <w:rPr>
          <w:rFonts w:ascii="宋体" w:hAnsi="宋体" w:cs="宋体" w:eastAsia="宋体" w:hint="default"/>
        </w:rPr>
        <w:t>1,464,106,603</w:t>
      </w:r>
      <w:r>
        <w:rPr>
          <w:rFonts w:ascii="宋体" w:hAnsi="宋体" w:cs="宋体" w:eastAsia="宋体" w:hint="default"/>
          <w:spacing w:val="-53"/>
        </w:rPr>
        <w:t> </w:t>
      </w:r>
      <w:r>
        <w:rPr/>
        <w:t>股和公司正在办理股票期权行权登记手续的股本</w:t>
      </w:r>
    </w:p>
    <w:p>
      <w:pPr>
        <w:pStyle w:val="BodyText"/>
        <w:spacing w:line="240" w:lineRule="auto" w:before="66"/>
        <w:ind w:right="0"/>
        <w:jc w:val="left"/>
      </w:pPr>
      <w:r>
        <w:rPr/>
        <w:t>数</w:t>
      </w:r>
      <w:r>
        <w:rPr>
          <w:spacing w:val="-17"/>
        </w:rPr>
        <w:t> </w:t>
      </w:r>
      <w:r>
        <w:rPr>
          <w:rFonts w:ascii="宋体" w:hAnsi="宋体" w:cs="宋体" w:eastAsia="宋体" w:hint="default"/>
        </w:rPr>
        <w:t>186,840</w:t>
      </w:r>
      <w:r>
        <w:rPr>
          <w:rFonts w:ascii="宋体" w:hAnsi="宋体" w:cs="宋体" w:eastAsia="宋体" w:hint="default"/>
          <w:spacing w:val="-17"/>
        </w:rPr>
        <w:t> </w:t>
      </w:r>
      <w:r>
        <w:rPr/>
        <w:t>股）为基数，拟向全体股东每</w:t>
      </w:r>
      <w:r>
        <w:rPr>
          <w:spacing w:val="-16"/>
        </w:rPr>
        <w:t> </w:t>
      </w:r>
      <w:r>
        <w:rPr>
          <w:rFonts w:ascii="宋体" w:hAnsi="宋体" w:cs="宋体" w:eastAsia="宋体" w:hint="default"/>
        </w:rPr>
        <w:t>10</w:t>
      </w:r>
      <w:r>
        <w:rPr>
          <w:rFonts w:ascii="宋体" w:hAnsi="宋体" w:cs="宋体" w:eastAsia="宋体" w:hint="default"/>
          <w:spacing w:val="-19"/>
        </w:rPr>
        <w:t> </w:t>
      </w:r>
      <w:r>
        <w:rPr/>
        <w:t>股派发现金股利</w:t>
      </w:r>
      <w:r>
        <w:rPr>
          <w:spacing w:val="-16"/>
        </w:rPr>
        <w:t> </w:t>
      </w:r>
      <w:r>
        <w:rPr>
          <w:rFonts w:ascii="宋体" w:hAnsi="宋体" w:cs="宋体" w:eastAsia="宋体" w:hint="default"/>
        </w:rPr>
        <w:t>1.5</w:t>
      </w:r>
      <w:r>
        <w:rPr>
          <w:rFonts w:ascii="宋体" w:hAnsi="宋体" w:cs="宋体" w:eastAsia="宋体" w:hint="default"/>
          <w:spacing w:val="-17"/>
        </w:rPr>
        <w:t> </w:t>
      </w:r>
      <w:r>
        <w:rPr/>
        <w:t>元</w:t>
      </w:r>
      <w:r>
        <w:rPr>
          <w:rFonts w:ascii="宋体" w:hAnsi="宋体" w:cs="宋体" w:eastAsia="宋体" w:hint="default"/>
        </w:rPr>
        <w:t>(</w:t>
      </w:r>
      <w:r>
        <w:rPr/>
        <w:t>含税</w:t>
      </w:r>
      <w:r>
        <w:rPr>
          <w:rFonts w:ascii="宋体" w:hAnsi="宋体" w:cs="宋体" w:eastAsia="宋体" w:hint="default"/>
        </w:rPr>
        <w:t>),</w:t>
      </w:r>
      <w:r>
        <w:rPr/>
        <w:t>共计派发现金股利</w:t>
      </w:r>
    </w:p>
    <w:p>
      <w:pPr>
        <w:pStyle w:val="BodyText"/>
        <w:spacing w:line="240" w:lineRule="auto" w:before="66"/>
        <w:ind w:right="0"/>
        <w:jc w:val="left"/>
      </w:pPr>
      <w:r>
        <w:rPr>
          <w:rFonts w:ascii="宋体" w:hAnsi="宋体" w:cs="宋体" w:eastAsia="宋体" w:hint="default"/>
        </w:rPr>
        <w:t>219,644,016</w:t>
      </w:r>
      <w:r>
        <w:rPr>
          <w:rFonts w:ascii="宋体" w:hAnsi="宋体" w:cs="宋体" w:eastAsia="宋体" w:hint="default"/>
          <w:spacing w:val="-32"/>
        </w:rPr>
        <w:t> </w:t>
      </w:r>
      <w:r>
        <w:rPr/>
        <w:t>元（包含向持有未解锁限制性股票的股权激励对象派发的现金股利</w:t>
      </w:r>
      <w:r>
        <w:rPr>
          <w:spacing w:val="-31"/>
        </w:rPr>
        <w:t> </w:t>
      </w:r>
      <w:r>
        <w:rPr>
          <w:rFonts w:ascii="宋体" w:hAnsi="宋体" w:cs="宋体" w:eastAsia="宋体" w:hint="default"/>
        </w:rPr>
        <w:t>676,375</w:t>
      </w:r>
      <w:r>
        <w:rPr>
          <w:rFonts w:ascii="宋体" w:hAnsi="宋体" w:cs="宋体" w:eastAsia="宋体" w:hint="default"/>
          <w:spacing w:val="-32"/>
        </w:rPr>
        <w:t> </w:t>
      </w:r>
      <w:r>
        <w:rPr>
          <w:spacing w:val="-3"/>
        </w:rPr>
        <w:t>元），</w:t>
      </w:r>
      <w:r>
        <w:rPr/>
      </w:r>
    </w:p>
    <w:p>
      <w:pPr>
        <w:pStyle w:val="BodyText"/>
        <w:spacing w:line="240" w:lineRule="auto" w:before="66"/>
        <w:ind w:right="144"/>
        <w:jc w:val="left"/>
      </w:pPr>
      <w:r>
        <w:rPr/>
        <w:t>派发现金股利后，公司未分配利润余额为</w:t>
      </w:r>
      <w:r>
        <w:rPr>
          <w:spacing w:val="-55"/>
        </w:rPr>
        <w:t> </w:t>
      </w:r>
      <w:r>
        <w:rPr>
          <w:rFonts w:ascii="宋体" w:hAnsi="宋体" w:cs="宋体" w:eastAsia="宋体" w:hint="default"/>
        </w:rPr>
        <w:t>937,175,178</w:t>
      </w:r>
      <w:r>
        <w:rPr>
          <w:rFonts w:ascii="宋体" w:hAnsi="宋体" w:cs="宋体" w:eastAsia="宋体" w:hint="default"/>
          <w:spacing w:val="-55"/>
        </w:rPr>
        <w:t> </w:t>
      </w:r>
      <w:r>
        <w:rPr>
          <w:spacing w:val="-3"/>
        </w:rPr>
        <w:t>元。</w:t>
      </w:r>
      <w:r>
        <w:rPr/>
      </w:r>
    </w:p>
    <w:p>
      <w:pPr>
        <w:spacing w:after="0" w:line="240" w:lineRule="auto"/>
        <w:jc w:val="left"/>
        <w:sectPr>
          <w:headerReference w:type="default" r:id="rId5"/>
          <w:footerReference w:type="default" r:id="rId6"/>
          <w:type w:val="continuous"/>
          <w:pgSz w:w="11910" w:h="16840"/>
          <w:pgMar w:header="880" w:footer="1335" w:top="1120" w:bottom="1520" w:left="1660" w:right="1120"/>
          <w:pgNumType w:start="1"/>
        </w:sectPr>
      </w:pPr>
    </w:p>
    <w:p>
      <w:pPr>
        <w:spacing w:line="240" w:lineRule="auto" w:before="4"/>
        <w:rPr>
          <w:rFonts w:ascii="宋体" w:hAnsi="宋体" w:cs="宋体" w:eastAsia="宋体" w:hint="default"/>
          <w:sz w:val="25"/>
          <w:szCs w:val="25"/>
        </w:rPr>
      </w:pPr>
    </w:p>
    <w:p>
      <w:pPr>
        <w:pStyle w:val="Heading2"/>
        <w:spacing w:line="240" w:lineRule="auto"/>
        <w:ind w:left="138" w:right="144"/>
        <w:jc w:val="left"/>
        <w:rPr>
          <w:b w:val="0"/>
          <w:bCs w:val="0"/>
        </w:rPr>
      </w:pPr>
      <w:r>
        <w:rPr/>
        <w:t>六、</w:t>
      </w:r>
      <w:r>
        <w:rPr>
          <w:spacing w:val="-24"/>
        </w:rPr>
        <w:t> </w:t>
      </w:r>
      <w:r>
        <w:rPr/>
        <w:t>前瞻性陈述的风险声明</w:t>
      </w:r>
      <w:r>
        <w:rPr>
          <w:b w:val="0"/>
          <w:bCs w:val="0"/>
        </w:rPr>
      </w:r>
    </w:p>
    <w:p>
      <w:pPr>
        <w:spacing w:line="240" w:lineRule="auto" w:before="7"/>
        <w:rPr>
          <w:rFonts w:ascii="宋体" w:hAnsi="宋体" w:cs="宋体" w:eastAsia="宋体" w:hint="default"/>
          <w:b/>
          <w:bCs/>
          <w:sz w:val="19"/>
          <w:szCs w:val="19"/>
        </w:rPr>
      </w:pPr>
    </w:p>
    <w:p>
      <w:pPr>
        <w:pStyle w:val="BodyText"/>
        <w:spacing w:line="295" w:lineRule="auto"/>
        <w:ind w:right="150" w:firstLine="419"/>
        <w:jc w:val="both"/>
      </w:pPr>
      <w:r>
        <w:rPr>
          <w:spacing w:val="-2"/>
        </w:rPr>
        <w:t>报告中所涉及的未来计划、发展战略等前瞻性描述不构成公司对投资者的实质承诺，敬请投</w:t>
      </w:r>
      <w:r>
        <w:rPr>
          <w:w w:val="100"/>
        </w:rPr>
        <w:t> </w:t>
      </w:r>
      <w:r>
        <w:rPr/>
        <w:t>资者注意投资风险。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Heading2"/>
        <w:spacing w:line="424" w:lineRule="auto" w:before="0"/>
        <w:ind w:left="138" w:right="348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2"/>
        <w:tabs>
          <w:tab w:pos="781" w:val="left" w:leader="none"/>
        </w:tabs>
        <w:spacing w:line="357" w:lineRule="auto" w:before="0"/>
        <w:ind w:left="138" w:right="370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2"/>
        <w:tabs>
          <w:tab w:pos="781" w:val="left" w:leader="none"/>
        </w:tabs>
        <w:spacing w:line="240" w:lineRule="auto" w:before="167"/>
        <w:ind w:left="138" w:right="144"/>
        <w:jc w:val="left"/>
        <w:rPr>
          <w:b w:val="0"/>
          <w:bCs w:val="0"/>
        </w:rPr>
      </w:pPr>
      <w:r>
        <w:rPr/>
        <w:t>九、</w:t>
        <w:tab/>
        <w:t>重大风险提示</w:t>
      </w:r>
      <w:r>
        <w:rPr>
          <w:b w:val="0"/>
          <w:bCs w:val="0"/>
        </w:rPr>
      </w:r>
    </w:p>
    <w:p>
      <w:pPr>
        <w:spacing w:line="240" w:lineRule="auto" w:before="5"/>
        <w:rPr>
          <w:rFonts w:ascii="宋体" w:hAnsi="宋体" w:cs="宋体" w:eastAsia="宋体" w:hint="default"/>
          <w:b/>
          <w:bCs/>
          <w:sz w:val="19"/>
          <w:szCs w:val="19"/>
        </w:rPr>
      </w:pPr>
    </w:p>
    <w:p>
      <w:pPr>
        <w:pStyle w:val="BodyText"/>
        <w:spacing w:line="297" w:lineRule="auto"/>
        <w:ind w:right="148" w:firstLine="419"/>
        <w:jc w:val="both"/>
      </w:pPr>
      <w:r>
        <w:rPr>
          <w:spacing w:val="-2"/>
        </w:rPr>
        <w:t>公司存在的风险因素主要有新业务发展不确定性的风险，有关风险因素内容与对策措施已在</w:t>
      </w:r>
      <w:r>
        <w:rPr>
          <w:w w:val="100"/>
        </w:rPr>
        <w:t> </w:t>
      </w:r>
      <w:r>
        <w:rPr>
          <w:spacing w:val="-14"/>
          <w:w w:val="100"/>
        </w:rPr>
        <w:t>本报告中“第四节</w:t>
      </w:r>
      <w:r>
        <w:rPr>
          <w:spacing w:val="24"/>
          <w:w w:val="100"/>
        </w:rPr>
        <w:t> </w:t>
      </w:r>
      <w:r>
        <w:rPr>
          <w:spacing w:val="-8"/>
          <w:w w:val="100"/>
        </w:rPr>
        <w:t>管理层讨论与分析”中“三、公司关于公司未来发展的讨论与分析”中“（四）</w:t>
      </w:r>
      <w:r>
        <w:rPr>
          <w:spacing w:val="-101"/>
          <w:w w:val="100"/>
        </w:rPr>
        <w:t> </w:t>
      </w:r>
      <w:r>
        <w:rPr>
          <w:spacing w:val="-101"/>
          <w:w w:val="100"/>
        </w:rPr>
      </w:r>
      <w:r>
        <w:rPr/>
        <w:t>可能面对的风险”中予以了详细描述，敬请查阅相关内容。</w:t>
      </w:r>
    </w:p>
    <w:p>
      <w:pPr>
        <w:spacing w:line="240" w:lineRule="auto" w:before="0"/>
        <w:rPr>
          <w:rFonts w:ascii="宋体" w:hAnsi="宋体" w:cs="宋体" w:eastAsia="宋体" w:hint="default"/>
          <w:sz w:val="20"/>
          <w:szCs w:val="20"/>
        </w:rPr>
      </w:pPr>
    </w:p>
    <w:p>
      <w:pPr>
        <w:pStyle w:val="Heading2"/>
        <w:spacing w:line="240" w:lineRule="auto" w:before="145"/>
        <w:ind w:left="138" w:right="144"/>
        <w:jc w:val="left"/>
        <w:rPr>
          <w:b w:val="0"/>
          <w:bCs w:val="0"/>
        </w:rPr>
      </w:pPr>
      <w:r>
        <w:rPr/>
        <w:t>十、</w:t>
      </w:r>
      <w:r>
        <w:rPr>
          <w:spacing w:val="60"/>
        </w:rPr>
        <w:t> </w:t>
      </w:r>
      <w:r>
        <w:rPr/>
        <w:t>其他</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0" w:footer="1335" w:top="1120" w:bottom="1520" w:left="1660" w:right="1120"/>
        </w:sectPr>
      </w:pPr>
    </w:p>
    <w:p>
      <w:pPr>
        <w:spacing w:line="240" w:lineRule="auto" w:before="0"/>
        <w:rPr>
          <w:rFonts w:ascii="宋体" w:hAnsi="宋体" w:cs="宋体" w:eastAsia="宋体" w:hint="default"/>
          <w:b/>
          <w:bCs/>
          <w:sz w:val="26"/>
          <w:szCs w:val="26"/>
        </w:rPr>
      </w:pPr>
    </w:p>
    <w:p>
      <w:pPr>
        <w:spacing w:before="14"/>
        <w:ind w:left="2005" w:right="202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1">
            <w:r>
              <w:rPr/>
              <w:t>第一节</w:t>
              <w:tab/>
              <w:t>释义</w:t>
            </w:r>
            <w:r>
              <w:rPr>
                <w:rFonts w:ascii="宋体" w:hAnsi="宋体" w:cs="宋体" w:eastAsia="宋体" w:hint="default"/>
              </w:rPr>
              <w:tab/>
              <w:t>4</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10">
            <w:r>
              <w:rPr/>
              <w:t>第二节</w:t>
              <w:tab/>
              <w:t>公司简介和主要财务指标</w:t>
            </w:r>
            <w:r>
              <w:rPr>
                <w:rFonts w:ascii="宋体" w:hAnsi="宋体" w:cs="宋体" w:eastAsia="宋体" w:hint="default"/>
              </w:rPr>
              <w:tab/>
              <w:t>6</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9">
            <w:r>
              <w:rPr/>
              <w:t>第三节</w:t>
              <w:tab/>
              <w:t>公司业务概要</w:t>
            </w:r>
            <w:r>
              <w:rPr>
                <w:rFonts w:ascii="宋体" w:hAnsi="宋体" w:cs="宋体" w:eastAsia="宋体" w:hint="default"/>
              </w:rPr>
              <w:tab/>
              <w:t>11</w:t>
            </w:r>
            <w:r>
              <w:rPr>
                <w:rFonts w:ascii="宋体" w:hAnsi="宋体" w:cs="宋体" w:eastAsia="宋体" w:hint="default"/>
                <w:b w:val="0"/>
                <w:bCs w:val="0"/>
              </w:rPr>
            </w:r>
          </w:hyperlink>
        </w:p>
        <w:p>
          <w:pPr>
            <w:pStyle w:val="TOC1"/>
            <w:tabs>
              <w:tab w:pos="1397" w:val="left" w:leader="none"/>
              <w:tab w:pos="8961" w:val="right" w:leader="dot"/>
            </w:tabs>
            <w:spacing w:line="240" w:lineRule="auto" w:before="135"/>
            <w:ind w:right="0"/>
            <w:jc w:val="left"/>
            <w:rPr>
              <w:rFonts w:ascii="宋体" w:hAnsi="宋体" w:cs="宋体" w:eastAsia="宋体" w:hint="default"/>
              <w:b w:val="0"/>
              <w:bCs w:val="0"/>
            </w:rPr>
          </w:pPr>
          <w:hyperlink w:history="true" w:anchor="_TOC_250008">
            <w:r>
              <w:rPr/>
              <w:t>第四节</w:t>
              <w:tab/>
              <w:t>管理层讨论与分析</w:t>
            </w:r>
            <w:r>
              <w:rPr>
                <w:rFonts w:ascii="宋体" w:hAnsi="宋体" w:cs="宋体" w:eastAsia="宋体" w:hint="default"/>
              </w:rPr>
              <w:tab/>
              <w:t>22</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7">
            <w:r>
              <w:rPr/>
              <w:t>第五节</w:t>
              <w:tab/>
              <w:t>重要事项</w:t>
            </w:r>
            <w:r>
              <w:rPr>
                <w:rFonts w:ascii="宋体" w:hAnsi="宋体" w:cs="宋体" w:eastAsia="宋体" w:hint="default"/>
              </w:rPr>
              <w:tab/>
              <w:t>42</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6">
            <w:r>
              <w:rPr/>
              <w:t>第六节</w:t>
              <w:tab/>
              <w:t>普通股股份变动及股东情况</w:t>
            </w:r>
            <w:r>
              <w:rPr>
                <w:rFonts w:ascii="宋体" w:hAnsi="宋体" w:cs="宋体" w:eastAsia="宋体" w:hint="default"/>
              </w:rPr>
              <w:tab/>
              <w:t>51</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5">
            <w:r>
              <w:rPr/>
              <w:t>第七节</w:t>
              <w:tab/>
              <w:t>优先股相关情况</w:t>
            </w:r>
            <w:r>
              <w:rPr>
                <w:rFonts w:ascii="宋体" w:hAnsi="宋体" w:cs="宋体" w:eastAsia="宋体" w:hint="default"/>
              </w:rPr>
              <w:tab/>
              <w:t>61</w:t>
            </w:r>
            <w:r>
              <w:rPr>
                <w:rFonts w:ascii="宋体" w:hAnsi="宋体" w:cs="宋体" w:eastAsia="宋体" w:hint="default"/>
                <w:b w:val="0"/>
                <w:bCs w:val="0"/>
              </w:rPr>
            </w:r>
          </w:hyperlink>
        </w:p>
        <w:p>
          <w:pPr>
            <w:pStyle w:val="TOC1"/>
            <w:tabs>
              <w:tab w:pos="1397" w:val="left" w:leader="none"/>
              <w:tab w:pos="8961" w:val="right" w:leader="dot"/>
            </w:tabs>
            <w:spacing w:line="240" w:lineRule="auto" w:before="135"/>
            <w:ind w:right="0"/>
            <w:jc w:val="left"/>
            <w:rPr>
              <w:rFonts w:ascii="宋体" w:hAnsi="宋体" w:cs="宋体" w:eastAsia="宋体" w:hint="default"/>
              <w:b w:val="0"/>
              <w:bCs w:val="0"/>
            </w:rPr>
          </w:pPr>
          <w:hyperlink w:history="true" w:anchor="_TOC_250004">
            <w:r>
              <w:rPr/>
              <w:t>第八节</w:t>
              <w:tab/>
              <w:t>董事、监事、高级管理人员和员工情况</w:t>
            </w:r>
            <w:r>
              <w:rPr>
                <w:rFonts w:ascii="宋体" w:hAnsi="宋体" w:cs="宋体" w:eastAsia="宋体" w:hint="default"/>
              </w:rPr>
              <w:tab/>
              <w:t>62</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3">
            <w:r>
              <w:rPr/>
              <w:t>第九节</w:t>
              <w:tab/>
              <w:t>公司治理</w:t>
            </w:r>
            <w:r>
              <w:rPr>
                <w:rFonts w:ascii="宋体" w:hAnsi="宋体" w:cs="宋体" w:eastAsia="宋体" w:hint="default"/>
              </w:rPr>
              <w:tab/>
              <w:t>75</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2">
            <w:r>
              <w:rPr/>
              <w:t>第十节</w:t>
              <w:tab/>
              <w:t>公司债券相关情况</w:t>
            </w:r>
            <w:r>
              <w:rPr>
                <w:rFonts w:ascii="宋体" w:hAnsi="宋体" w:cs="宋体" w:eastAsia="宋体" w:hint="default"/>
              </w:rPr>
              <w:tab/>
              <w:t>78</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1">
            <w:r>
              <w:rPr/>
              <w:t>第十一节</w:t>
              <w:tab/>
              <w:t>财务报告</w:t>
            </w:r>
            <w:r>
              <w:rPr>
                <w:rFonts w:ascii="宋体" w:hAnsi="宋体" w:cs="宋体" w:eastAsia="宋体" w:hint="default"/>
              </w:rPr>
              <w:tab/>
              <w:t>1</w:t>
            </w:r>
            <w:r>
              <w:rPr>
                <w:rFonts w:ascii="宋体" w:hAnsi="宋体" w:cs="宋体" w:eastAsia="宋体" w:hint="default"/>
                <w:b w:val="0"/>
                <w:bCs w:val="0"/>
              </w:rPr>
            </w:r>
          </w:hyperlink>
        </w:p>
        <w:p>
          <w:pPr>
            <w:pStyle w:val="TOC1"/>
            <w:tabs>
              <w:tab w:pos="1397" w:val="left" w:leader="none"/>
              <w:tab w:pos="8961" w:val="right" w:leader="dot"/>
            </w:tabs>
            <w:spacing w:line="240" w:lineRule="auto"/>
            <w:ind w:right="0"/>
            <w:jc w:val="left"/>
            <w:rPr>
              <w:rFonts w:ascii="宋体" w:hAnsi="宋体" w:cs="宋体" w:eastAsia="宋体" w:hint="default"/>
              <w:b w:val="0"/>
              <w:bCs w:val="0"/>
            </w:rPr>
          </w:pPr>
          <w:hyperlink w:history="true" w:anchor="_TOC_250000">
            <w:r>
              <w:rPr/>
              <w:t>第十二节</w:t>
              <w:tab/>
              <w:t>备查文件目录</w:t>
            </w:r>
            <w:r>
              <w:rPr>
                <w:rFonts w:ascii="宋体" w:hAnsi="宋体" w:cs="宋体" w:eastAsia="宋体" w:hint="default"/>
              </w:rPr>
              <w:tab/>
              <w:t>128</w:t>
            </w:r>
            <w:r>
              <w:rPr>
                <w:rFonts w:ascii="宋体" w:hAnsi="宋体" w:cs="宋体" w:eastAsia="宋体" w:hint="default"/>
                <w:b w:val="0"/>
                <w:bCs w:val="0"/>
              </w:rPr>
            </w:r>
          </w:hyperlink>
        </w:p>
        <w:p>
          <w:pPr/>
          <w:r>
            <w:fldChar w:fldCharType="end"/>
          </w:r>
        </w:p>
      </w:sdtContent>
    </w:sdt>
    <w:p>
      <w:pPr>
        <w:spacing w:after="0"/>
        <w:sectPr>
          <w:pgSz w:w="11910" w:h="16840"/>
          <w:pgMar w:header="880" w:footer="1335" w:top="1120" w:bottom="1520" w:left="1660" w:right="112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18"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161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Calibri" w:hAnsi="Calibri" w:cs="Calibri" w:eastAsia="Calibri" w:hint="default"/>
                <w:sz w:val="21"/>
                <w:szCs w:val="21"/>
              </w:rPr>
            </w:pPr>
            <w:r>
              <w:rPr>
                <w:rFonts w:ascii="Calibri"/>
                <w:sz w:val="21"/>
              </w:rPr>
              <w:t>ERP</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77"/>
              <w:ind w:left="103" w:right="96"/>
              <w:jc w:val="both"/>
              <w:rPr>
                <w:rFonts w:ascii="宋体" w:hAnsi="宋体" w:cs="宋体" w:eastAsia="宋体" w:hint="default"/>
                <w:sz w:val="21"/>
                <w:szCs w:val="21"/>
              </w:rPr>
            </w:pPr>
            <w:r>
              <w:rPr>
                <w:rFonts w:ascii="宋体" w:hAnsi="宋体" w:cs="宋体" w:eastAsia="宋体" w:hint="default"/>
                <w:spacing w:val="-9"/>
                <w:w w:val="100"/>
                <w:sz w:val="21"/>
                <w:szCs w:val="21"/>
              </w:rPr>
              <w:t>“企业资源计划”（</w:t>
            </w:r>
            <w:r>
              <w:rPr>
                <w:rFonts w:ascii="宋体" w:hAnsi="宋体" w:cs="宋体" w:eastAsia="宋体" w:hint="default"/>
                <w:spacing w:val="-9"/>
                <w:w w:val="100"/>
                <w:sz w:val="21"/>
                <w:szCs w:val="21"/>
              </w:rPr>
              <w:t>Enterprise</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Resources</w:t>
            </w:r>
            <w:r>
              <w:rPr>
                <w:rFonts w:ascii="宋体" w:hAnsi="宋体" w:cs="宋体" w:eastAsia="宋体" w:hint="default"/>
                <w:spacing w:val="29"/>
                <w:sz w:val="21"/>
                <w:szCs w:val="21"/>
              </w:rPr>
              <w:t> </w:t>
            </w:r>
            <w:r>
              <w:rPr>
                <w:rFonts w:ascii="宋体" w:hAnsi="宋体" w:cs="宋体" w:eastAsia="宋体" w:hint="default"/>
                <w:spacing w:val="3"/>
                <w:sz w:val="21"/>
                <w:szCs w:val="21"/>
              </w:rPr>
              <w:t>Planning</w:t>
            </w:r>
            <w:r>
              <w:rPr>
                <w:rFonts w:ascii="宋体" w:hAnsi="宋体" w:cs="宋体" w:eastAsia="宋体" w:hint="default"/>
                <w:spacing w:val="3"/>
                <w:sz w:val="21"/>
                <w:szCs w:val="21"/>
              </w:rPr>
              <w:t>）的英文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缩写，是一种企业应用软件系</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统。</w:t>
            </w:r>
          </w:p>
        </w:tc>
      </w:tr>
      <w:tr>
        <w:trPr>
          <w:trHeight w:val="161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Calibri" w:hAnsi="Calibri" w:cs="Calibri" w:eastAsia="Calibri" w:hint="default"/>
                <w:sz w:val="21"/>
                <w:szCs w:val="21"/>
              </w:rPr>
            </w:pPr>
            <w:r>
              <w:rPr>
                <w:rFonts w:ascii="Calibri"/>
                <w:sz w:val="21"/>
              </w:rPr>
              <w:t>HRM</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74"/>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人</w:t>
            </w:r>
            <w:r>
              <w:rPr>
                <w:rFonts w:ascii="宋体" w:hAnsi="宋体" w:cs="宋体" w:eastAsia="宋体" w:hint="default"/>
                <w:spacing w:val="-64"/>
                <w:sz w:val="21"/>
                <w:szCs w:val="21"/>
              </w:rPr>
              <w:t> </w:t>
            </w:r>
            <w:r>
              <w:rPr>
                <w:rFonts w:ascii="宋体" w:hAnsi="宋体" w:cs="宋体" w:eastAsia="宋体" w:hint="default"/>
                <w:sz w:val="21"/>
                <w:szCs w:val="21"/>
              </w:rPr>
              <w:t>力</w:t>
            </w:r>
            <w:r>
              <w:rPr>
                <w:rFonts w:ascii="宋体" w:hAnsi="宋体" w:cs="宋体" w:eastAsia="宋体" w:hint="default"/>
                <w:spacing w:val="-64"/>
                <w:sz w:val="21"/>
                <w:szCs w:val="21"/>
              </w:rPr>
              <w:t> </w:t>
            </w: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源</w:t>
            </w:r>
            <w:r>
              <w:rPr>
                <w:rFonts w:ascii="宋体" w:hAnsi="宋体" w:cs="宋体" w:eastAsia="宋体" w:hint="default"/>
                <w:spacing w:val="-64"/>
                <w:sz w:val="21"/>
                <w:szCs w:val="21"/>
              </w:rPr>
              <w:t> </w:t>
            </w:r>
            <w:r>
              <w:rPr>
                <w:rFonts w:ascii="宋体" w:hAnsi="宋体" w:cs="宋体" w:eastAsia="宋体" w:hint="default"/>
                <w:sz w:val="21"/>
                <w:szCs w:val="21"/>
              </w:rPr>
              <w:t>管</w:t>
            </w:r>
            <w:r>
              <w:rPr>
                <w:rFonts w:ascii="宋体" w:hAnsi="宋体" w:cs="宋体" w:eastAsia="宋体" w:hint="default"/>
                <w:spacing w:val="-64"/>
                <w:sz w:val="21"/>
                <w:szCs w:val="21"/>
              </w:rPr>
              <w:t> </w:t>
            </w:r>
            <w:r>
              <w:rPr>
                <w:rFonts w:ascii="宋体" w:hAnsi="宋体" w:cs="宋体" w:eastAsia="宋体" w:hint="default"/>
                <w:sz w:val="21"/>
                <w:szCs w:val="21"/>
              </w:rPr>
              <w:t>理</w:t>
            </w:r>
            <w:r>
              <w:rPr>
                <w:rFonts w:ascii="宋体" w:hAnsi="宋体" w:cs="宋体" w:eastAsia="宋体" w:hint="default"/>
                <w:spacing w:val="-61"/>
                <w:sz w:val="21"/>
                <w:szCs w:val="21"/>
              </w:rPr>
              <w:t> </w:t>
            </w:r>
            <w:r>
              <w:rPr>
                <w:rFonts w:ascii="宋体" w:hAnsi="宋体" w:cs="宋体" w:eastAsia="宋体" w:hint="default"/>
                <w:sz w:val="21"/>
                <w:szCs w:val="21"/>
              </w:rPr>
              <w:t>”</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Human</w:t>
            </w:r>
            <w:r>
              <w:rPr>
                <w:rFonts w:ascii="宋体" w:hAnsi="宋体" w:cs="宋体" w:eastAsia="宋体" w:hint="default"/>
                <w:w w:val="100"/>
                <w:sz w:val="21"/>
                <w:szCs w:val="21"/>
              </w:rPr>
              <w:t> </w:t>
            </w:r>
            <w:r>
              <w:rPr>
                <w:rFonts w:ascii="宋体" w:hAnsi="宋体" w:cs="宋体" w:eastAsia="宋体" w:hint="default"/>
                <w:sz w:val="21"/>
                <w:szCs w:val="21"/>
              </w:rPr>
              <w:t>Resources</w:t>
            </w:r>
            <w:r>
              <w:rPr>
                <w:rFonts w:ascii="宋体" w:hAnsi="宋体" w:cs="宋体" w:eastAsia="宋体" w:hint="default"/>
                <w:spacing w:val="37"/>
                <w:sz w:val="21"/>
                <w:szCs w:val="21"/>
              </w:rPr>
              <w:t> </w:t>
            </w:r>
            <w:r>
              <w:rPr>
                <w:rFonts w:ascii="宋体" w:hAnsi="宋体" w:cs="宋体" w:eastAsia="宋体" w:hint="default"/>
                <w:spacing w:val="2"/>
                <w:sz w:val="21"/>
                <w:szCs w:val="21"/>
              </w:rPr>
              <w:t>Management</w:t>
            </w:r>
            <w:r>
              <w:rPr>
                <w:rFonts w:ascii="宋体" w:hAnsi="宋体" w:cs="宋体" w:eastAsia="宋体" w:hint="default"/>
                <w:spacing w:val="2"/>
                <w:sz w:val="21"/>
                <w:szCs w:val="21"/>
              </w:rPr>
              <w:t>）的英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文缩写，是一种企业应用软件</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系统。</w:t>
            </w:r>
          </w:p>
        </w:tc>
      </w:tr>
      <w:tr>
        <w:trPr>
          <w:trHeight w:val="127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Calibri" w:hAnsi="Calibri" w:cs="Calibri" w:eastAsia="Calibri" w:hint="default"/>
                <w:sz w:val="21"/>
                <w:szCs w:val="21"/>
              </w:rPr>
            </w:pPr>
            <w:r>
              <w:rPr>
                <w:rFonts w:ascii="Calibri"/>
                <w:spacing w:val="-4"/>
                <w:sz w:val="21"/>
              </w:rPr>
              <w:t>OA</w:t>
            </w:r>
            <w:r>
              <w:rPr>
                <w:rFonts w:ascii="Calibri"/>
                <w:sz w:val="21"/>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74"/>
              <w:ind w:left="103" w:right="98"/>
              <w:jc w:val="both"/>
              <w:rPr>
                <w:rFonts w:ascii="宋体" w:hAnsi="宋体" w:cs="宋体" w:eastAsia="宋体" w:hint="default"/>
                <w:sz w:val="21"/>
                <w:szCs w:val="21"/>
              </w:rPr>
            </w:pPr>
            <w:r>
              <w:rPr>
                <w:rFonts w:ascii="宋体" w:hAnsi="宋体" w:cs="宋体" w:eastAsia="宋体" w:hint="default"/>
                <w:spacing w:val="51"/>
                <w:sz w:val="21"/>
                <w:szCs w:val="21"/>
              </w:rPr>
              <w:t>“办公自动化”（</w:t>
            </w:r>
            <w:r>
              <w:rPr>
                <w:rFonts w:ascii="宋体" w:hAnsi="宋体" w:cs="宋体" w:eastAsia="宋体" w:hint="default"/>
                <w:spacing w:val="-24"/>
                <w:sz w:val="21"/>
                <w:szCs w:val="21"/>
              </w:rPr>
              <w:t> </w:t>
            </w:r>
            <w:r>
              <w:rPr>
                <w:rFonts w:ascii="宋体" w:hAnsi="宋体" w:cs="宋体" w:eastAsia="宋体" w:hint="default"/>
                <w:sz w:val="21"/>
                <w:szCs w:val="21"/>
              </w:rPr>
              <w:t>Office</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Automation</w:t>
            </w:r>
            <w:r>
              <w:rPr>
                <w:rFonts w:ascii="宋体" w:hAnsi="宋体" w:cs="宋体" w:eastAsia="宋体" w:hint="default"/>
                <w:spacing w:val="2"/>
                <w:sz w:val="21"/>
                <w:szCs w:val="21"/>
              </w:rPr>
              <w:t>）的英文缩写，是</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一种企业应用软件系统。</w:t>
            </w:r>
          </w:p>
        </w:tc>
      </w:tr>
      <w:tr>
        <w:trPr>
          <w:trHeight w:val="161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2"/>
                <w:sz w:val="21"/>
                <w:szCs w:val="21"/>
              </w:rPr>
              <w:t> </w:t>
            </w:r>
            <w:r>
              <w:rPr>
                <w:rFonts w:ascii="Calibri" w:hAnsi="Calibri" w:cs="Calibri" w:eastAsia="Calibri" w:hint="default"/>
                <w:sz w:val="21"/>
                <w:szCs w:val="21"/>
              </w:rPr>
              <w:t>ERP-NC</w:t>
            </w:r>
            <w:r>
              <w:rPr>
                <w:rFonts w:ascii="宋体" w:hAnsi="宋体" w:cs="宋体" w:eastAsia="宋体" w:hint="default"/>
                <w:sz w:val="21"/>
                <w:szCs w:val="21"/>
              </w:rPr>
              <w:t>：</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75"/>
              <w:ind w:left="103" w:right="96"/>
              <w:jc w:val="both"/>
              <w:rPr>
                <w:rFonts w:ascii="宋体" w:hAnsi="宋体" w:cs="宋体" w:eastAsia="宋体" w:hint="default"/>
                <w:sz w:val="21"/>
                <w:szCs w:val="21"/>
              </w:rPr>
            </w:pPr>
            <w:r>
              <w:rPr>
                <w:rFonts w:ascii="宋体" w:hAnsi="宋体" w:cs="宋体" w:eastAsia="宋体" w:hint="default"/>
                <w:w w:val="100"/>
                <w:sz w:val="21"/>
                <w:szCs w:val="21"/>
              </w:rPr>
              <w:t>NC </w:t>
            </w:r>
            <w:r>
              <w:rPr>
                <w:rFonts w:ascii="宋体" w:hAnsi="宋体" w:cs="宋体" w:eastAsia="宋体" w:hint="default"/>
                <w:w w:val="100"/>
                <w:sz w:val="21"/>
                <w:szCs w:val="21"/>
              </w:rPr>
              <w:t>是 “ </w:t>
            </w:r>
            <w:r>
              <w:rPr>
                <w:rFonts w:ascii="宋体" w:hAnsi="宋体" w:cs="宋体" w:eastAsia="宋体" w:hint="default"/>
                <w:spacing w:val="57"/>
                <w:w w:val="100"/>
                <w:sz w:val="21"/>
                <w:szCs w:val="21"/>
              </w:rPr>
              <w:t>新世纪</w:t>
            </w:r>
            <w:r>
              <w:rPr>
                <w:rFonts w:ascii="宋体" w:hAnsi="宋体" w:cs="宋体" w:eastAsia="宋体" w:hint="default"/>
                <w:w w:val="100"/>
                <w:sz w:val="21"/>
                <w:szCs w:val="21"/>
              </w:rPr>
              <w:t> ” （</w:t>
            </w:r>
            <w:r>
              <w:rPr>
                <w:rFonts w:ascii="宋体" w:hAnsi="宋体" w:cs="宋体" w:eastAsia="宋体" w:hint="default"/>
                <w:spacing w:val="-10"/>
                <w:w w:val="100"/>
                <w:sz w:val="21"/>
                <w:szCs w:val="21"/>
              </w:rPr>
              <w:t> </w:t>
            </w:r>
            <w:r>
              <w:rPr>
                <w:rFonts w:ascii="宋体" w:hAnsi="宋体" w:cs="宋体" w:eastAsia="宋体" w:hint="default"/>
                <w:w w:val="100"/>
                <w:sz w:val="21"/>
                <w:szCs w:val="21"/>
              </w:rPr>
              <w:t>New </w:t>
            </w:r>
            <w:r>
              <w:rPr>
                <w:rFonts w:ascii="宋体" w:hAnsi="宋体" w:cs="宋体" w:eastAsia="宋体" w:hint="default"/>
                <w:spacing w:val="-4"/>
                <w:sz w:val="21"/>
                <w:szCs w:val="21"/>
              </w:rPr>
              <w:t>Century</w:t>
            </w:r>
            <w:r>
              <w:rPr>
                <w:rFonts w:ascii="宋体" w:hAnsi="宋体" w:cs="宋体" w:eastAsia="宋体" w:hint="default"/>
                <w:spacing w:val="-4"/>
                <w:sz w:val="21"/>
                <w:szCs w:val="21"/>
              </w:rPr>
              <w:t>）的英文缩写，公司推</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出的面向大型用户的企业应用</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软件系列产品名称。</w:t>
            </w:r>
          </w:p>
        </w:tc>
      </w:tr>
      <w:tr>
        <w:trPr>
          <w:trHeight w:val="93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宋体" w:hAnsi="宋体" w:cs="宋体" w:eastAsia="宋体" w:hint="default"/>
                <w:sz w:val="21"/>
                <w:szCs w:val="21"/>
              </w:rPr>
              <w:t>用友</w:t>
            </w:r>
            <w:r>
              <w:rPr>
                <w:rFonts w:ascii="宋体" w:hAnsi="宋体" w:cs="宋体" w:eastAsia="宋体" w:hint="default"/>
                <w:spacing w:val="-55"/>
                <w:sz w:val="21"/>
                <w:szCs w:val="21"/>
              </w:rPr>
              <w:t> </w:t>
            </w:r>
            <w:r>
              <w:rPr>
                <w:rFonts w:ascii="Calibri" w:hAnsi="Calibri" w:cs="Calibri" w:eastAsia="Calibri" w:hint="default"/>
                <w:sz w:val="21"/>
                <w:szCs w:val="21"/>
              </w:rPr>
              <w:t>ERP-U8</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74"/>
              <w:ind w:left="103" w:right="96"/>
              <w:jc w:val="left"/>
              <w:rPr>
                <w:rFonts w:ascii="宋体" w:hAnsi="宋体" w:cs="宋体" w:eastAsia="宋体" w:hint="default"/>
                <w:sz w:val="21"/>
                <w:szCs w:val="21"/>
              </w:rPr>
            </w:pPr>
            <w:r>
              <w:rPr>
                <w:rFonts w:ascii="宋体" w:hAnsi="宋体" w:cs="宋体" w:eastAsia="宋体" w:hint="default"/>
                <w:spacing w:val="2"/>
                <w:sz w:val="21"/>
                <w:szCs w:val="21"/>
              </w:rPr>
              <w:t>公司推出的面向中型用户的企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业应用软件系列产品名称。</w:t>
            </w:r>
          </w:p>
        </w:tc>
      </w:tr>
      <w:tr>
        <w:trPr>
          <w:trHeight w:val="93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畅捷通系列产品：</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74"/>
              <w:ind w:left="103" w:right="96"/>
              <w:jc w:val="left"/>
              <w:rPr>
                <w:rFonts w:ascii="宋体" w:hAnsi="宋体" w:cs="宋体" w:eastAsia="宋体" w:hint="default"/>
                <w:sz w:val="21"/>
                <w:szCs w:val="21"/>
              </w:rPr>
            </w:pPr>
            <w:r>
              <w:rPr>
                <w:rFonts w:ascii="宋体" w:hAnsi="宋体" w:cs="宋体" w:eastAsia="宋体" w:hint="default"/>
                <w:spacing w:val="2"/>
                <w:sz w:val="21"/>
                <w:szCs w:val="21"/>
              </w:rPr>
              <w:t>公司推出的面向小微型用户的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企业应用软件系列产品名称。</w:t>
            </w:r>
          </w:p>
        </w:tc>
      </w:tr>
      <w:tr>
        <w:trPr>
          <w:trHeight w:val="161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Calibri" w:hAnsi="Calibri" w:cs="Calibri" w:eastAsia="Calibri" w:hint="default"/>
                <w:sz w:val="21"/>
                <w:szCs w:val="21"/>
              </w:rPr>
            </w:pPr>
            <w:r>
              <w:rPr>
                <w:rFonts w:ascii="Calibri"/>
                <w:sz w:val="21"/>
              </w:rPr>
              <w:t>CRM</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both"/>
              <w:rPr>
                <w:rFonts w:ascii="宋体" w:hAnsi="宋体" w:cs="宋体" w:eastAsia="宋体" w:hint="default"/>
                <w:sz w:val="21"/>
                <w:szCs w:val="21"/>
              </w:rPr>
            </w:pPr>
            <w:r>
              <w:rPr>
                <w:rFonts w:ascii="宋体" w:hAnsi="宋体" w:cs="宋体" w:eastAsia="宋体" w:hint="default"/>
                <w:spacing w:val="65"/>
                <w:sz w:val="21"/>
                <w:szCs w:val="21"/>
              </w:rPr>
              <w:t>“客户关系管理软</w:t>
            </w:r>
            <w:r>
              <w:rPr>
                <w:rFonts w:ascii="宋体" w:hAnsi="宋体" w:cs="宋体" w:eastAsia="宋体" w:hint="default"/>
                <w:spacing w:val="-6"/>
                <w:sz w:val="21"/>
                <w:szCs w:val="21"/>
              </w:rPr>
              <w:t> </w:t>
            </w:r>
            <w:r>
              <w:rPr>
                <w:rFonts w:ascii="宋体" w:hAnsi="宋体" w:cs="宋体" w:eastAsia="宋体" w:hint="default"/>
                <w:spacing w:val="37"/>
                <w:sz w:val="21"/>
                <w:szCs w:val="21"/>
              </w:rPr>
              <w:t>件”</w:t>
            </w:r>
            <w:r>
              <w:rPr>
                <w:rFonts w:ascii="宋体" w:hAnsi="宋体" w:cs="宋体" w:eastAsia="宋体" w:hint="default"/>
                <w:spacing w:val="-29"/>
                <w:sz w:val="21"/>
                <w:szCs w:val="21"/>
              </w:rPr>
              <w:t> </w:t>
            </w:r>
            <w:r>
              <w:rPr>
                <w:rFonts w:ascii="宋体" w:hAnsi="宋体" w:cs="宋体" w:eastAsia="宋体" w:hint="default"/>
                <w:sz w:val="21"/>
                <w:szCs w:val="21"/>
              </w:rPr>
            </w:r>
          </w:p>
          <w:p>
            <w:pPr>
              <w:pStyle w:val="TableParagraph"/>
              <w:spacing w:line="297" w:lineRule="auto" w:before="66"/>
              <w:ind w:left="103" w:right="99"/>
              <w:jc w:val="both"/>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Customer</w:t>
            </w:r>
            <w:r>
              <w:rPr>
                <w:rFonts w:ascii="宋体" w:hAnsi="宋体" w:cs="宋体" w:eastAsia="宋体" w:hint="default"/>
                <w:spacing w:val="71"/>
                <w:sz w:val="21"/>
                <w:szCs w:val="21"/>
              </w:rPr>
              <w:t> </w:t>
            </w:r>
            <w:r>
              <w:rPr>
                <w:rFonts w:ascii="宋体" w:hAnsi="宋体" w:cs="宋体" w:eastAsia="宋体" w:hint="default"/>
                <w:sz w:val="21"/>
                <w:szCs w:val="21"/>
              </w:rPr>
              <w:t>Relationship</w:t>
            </w:r>
            <w:r>
              <w:rPr>
                <w:rFonts w:ascii="宋体" w:hAnsi="宋体" w:cs="宋体" w:eastAsia="宋体" w:hint="default"/>
                <w:w w:val="100"/>
                <w:sz w:val="21"/>
                <w:szCs w:val="21"/>
              </w:rPr>
              <w:t> </w:t>
            </w:r>
            <w:r>
              <w:rPr>
                <w:rFonts w:ascii="宋体" w:hAnsi="宋体" w:cs="宋体" w:eastAsia="宋体" w:hint="default"/>
                <w:spacing w:val="2"/>
                <w:sz w:val="21"/>
                <w:szCs w:val="21"/>
              </w:rPr>
              <w:t>Management</w:t>
            </w:r>
            <w:r>
              <w:rPr>
                <w:rFonts w:ascii="宋体" w:hAnsi="宋体" w:cs="宋体" w:eastAsia="宋体" w:hint="default"/>
                <w:spacing w:val="2"/>
                <w:sz w:val="21"/>
                <w:szCs w:val="21"/>
              </w:rPr>
              <w:t>）的英文缩写，是</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一种企业应用软件系统。</w:t>
            </w:r>
          </w:p>
        </w:tc>
      </w:tr>
      <w:tr>
        <w:trPr>
          <w:trHeight w:val="229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Calibri" w:hAnsi="Calibri" w:cs="Calibri" w:eastAsia="Calibri" w:hint="default"/>
                <w:sz w:val="21"/>
                <w:szCs w:val="21"/>
              </w:rPr>
            </w:pPr>
            <w:r>
              <w:rPr>
                <w:rFonts w:ascii="Calibri"/>
                <w:sz w:val="21"/>
              </w:rPr>
              <w:t>PLM</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pacing w:val="14"/>
                <w:sz w:val="21"/>
                <w:szCs w:val="21"/>
              </w:rPr>
              <w:t>产品生</w:t>
            </w:r>
            <w:r>
              <w:rPr>
                <w:rFonts w:ascii="宋体" w:hAnsi="宋体" w:cs="宋体" w:eastAsia="宋体" w:hint="default"/>
                <w:spacing w:val="-69"/>
                <w:sz w:val="21"/>
                <w:szCs w:val="21"/>
              </w:rPr>
              <w:t> </w:t>
            </w:r>
            <w:r>
              <w:rPr>
                <w:rFonts w:ascii="宋体" w:hAnsi="宋体" w:cs="宋体" w:eastAsia="宋体" w:hint="default"/>
                <w:spacing w:val="18"/>
                <w:sz w:val="21"/>
                <w:szCs w:val="21"/>
              </w:rPr>
              <w:t>命周期管理软件</w:t>
            </w:r>
            <w:r>
              <w:rPr>
                <w:rFonts w:ascii="宋体" w:hAnsi="宋体" w:cs="宋体" w:eastAsia="宋体" w:hint="default"/>
                <w:spacing w:val="-69"/>
                <w:sz w:val="21"/>
                <w:szCs w:val="21"/>
              </w:rPr>
              <w:t> </w:t>
            </w:r>
            <w:r>
              <w:rPr>
                <w:rFonts w:ascii="宋体" w:hAnsi="宋体" w:cs="宋体" w:eastAsia="宋体" w:hint="default"/>
                <w:sz w:val="21"/>
                <w:szCs w:val="21"/>
              </w:rPr>
              <w:t>”</w:t>
            </w:r>
          </w:p>
          <w:p>
            <w:pPr>
              <w:pStyle w:val="TableParagraph"/>
              <w:spacing w:line="297" w:lineRule="auto" w:before="66"/>
              <w:ind w:left="103" w:right="96"/>
              <w:jc w:val="both"/>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Product</w:t>
            </w:r>
            <w:r>
              <w:rPr>
                <w:rFonts w:ascii="宋体" w:hAnsi="宋体" w:cs="宋体" w:eastAsia="宋体" w:hint="default"/>
                <w:spacing w:val="70"/>
                <w:sz w:val="21"/>
                <w:szCs w:val="21"/>
              </w:rPr>
              <w:t> </w:t>
            </w:r>
            <w:r>
              <w:rPr>
                <w:rFonts w:ascii="宋体" w:hAnsi="宋体" w:cs="宋体" w:eastAsia="宋体" w:hint="default"/>
                <w:sz w:val="21"/>
                <w:szCs w:val="21"/>
              </w:rPr>
              <w:t>Lifecycle</w:t>
            </w:r>
            <w:r>
              <w:rPr>
                <w:rFonts w:ascii="宋体" w:hAnsi="宋体" w:cs="宋体" w:eastAsia="宋体" w:hint="default"/>
                <w:w w:val="100"/>
                <w:sz w:val="21"/>
                <w:szCs w:val="21"/>
              </w:rPr>
              <w:t> </w:t>
            </w:r>
            <w:r>
              <w:rPr>
                <w:rFonts w:ascii="宋体" w:hAnsi="宋体" w:cs="宋体" w:eastAsia="宋体" w:hint="default"/>
                <w:spacing w:val="2"/>
                <w:sz w:val="21"/>
                <w:szCs w:val="21"/>
              </w:rPr>
              <w:t>Management</w:t>
            </w:r>
            <w:r>
              <w:rPr>
                <w:rFonts w:ascii="宋体" w:hAnsi="宋体" w:cs="宋体" w:eastAsia="宋体" w:hint="default"/>
                <w:spacing w:val="2"/>
                <w:sz w:val="21"/>
                <w:szCs w:val="21"/>
              </w:rPr>
              <w:t>）的英文缩写，是</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一种支持产品全生命周期信息</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创建、管理、分发和应用的解</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决方案。</w:t>
            </w:r>
          </w:p>
        </w:tc>
      </w:tr>
    </w:tbl>
    <w:p>
      <w:pPr>
        <w:spacing w:after="0" w:line="297" w:lineRule="auto"/>
        <w:jc w:val="both"/>
        <w:rPr>
          <w:rFonts w:ascii="宋体" w:hAnsi="宋体" w:cs="宋体" w:eastAsia="宋体" w:hint="default"/>
          <w:sz w:val="21"/>
          <w:szCs w:val="21"/>
        </w:rPr>
        <w:sectPr>
          <w:pgSz w:w="11910" w:h="16840"/>
          <w:pgMar w:header="880" w:footer="1335" w:top="1120" w:bottom="152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19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Calibri"/>
                <w:sz w:val="21"/>
              </w:rPr>
              <w:t>PDM</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8"/>
              <w:ind w:left="103" w:right="-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4"/>
                <w:sz w:val="21"/>
                <w:szCs w:val="21"/>
              </w:rPr>
              <w:t> </w:t>
            </w:r>
            <w:r>
              <w:rPr>
                <w:rFonts w:ascii="宋体" w:hAnsi="宋体" w:cs="宋体" w:eastAsia="宋体" w:hint="default"/>
                <w:spacing w:val="14"/>
                <w:sz w:val="21"/>
                <w:szCs w:val="21"/>
              </w:rPr>
              <w:t>产品数据管理”（</w:t>
            </w:r>
            <w:r>
              <w:rPr>
                <w:rFonts w:ascii="宋体" w:hAnsi="宋体" w:cs="宋体" w:eastAsia="宋体" w:hint="default"/>
                <w:spacing w:val="-81"/>
                <w:sz w:val="21"/>
                <w:szCs w:val="21"/>
              </w:rPr>
              <w:t> </w:t>
            </w:r>
            <w:r>
              <w:rPr>
                <w:rFonts w:ascii="宋体" w:hAnsi="宋体" w:cs="宋体" w:eastAsia="宋体" w:hint="default"/>
                <w:sz w:val="21"/>
                <w:szCs w:val="21"/>
              </w:rPr>
              <w:t>Product</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w w:val="100"/>
                <w:sz w:val="21"/>
                <w:szCs w:val="21"/>
              </w:rPr>
              <w:t>Data</w:t>
            </w:r>
            <w:r>
              <w:rPr>
                <w:rFonts w:ascii="宋体" w:hAnsi="宋体" w:cs="宋体" w:eastAsia="宋体" w:hint="default"/>
                <w:spacing w:val="-43"/>
                <w:w w:val="100"/>
                <w:sz w:val="21"/>
                <w:szCs w:val="21"/>
              </w:rPr>
              <w:t> </w:t>
            </w:r>
            <w:r>
              <w:rPr>
                <w:rFonts w:ascii="宋体" w:hAnsi="宋体" w:cs="宋体" w:eastAsia="宋体" w:hint="default"/>
                <w:spacing w:val="-7"/>
                <w:w w:val="100"/>
                <w:sz w:val="21"/>
                <w:szCs w:val="21"/>
              </w:rPr>
              <w:t>Management</w:t>
            </w:r>
            <w:r>
              <w:rPr>
                <w:rFonts w:ascii="宋体" w:hAnsi="宋体" w:cs="宋体" w:eastAsia="宋体" w:hint="default"/>
                <w:spacing w:val="-7"/>
                <w:w w:val="100"/>
                <w:sz w:val="21"/>
                <w:szCs w:val="21"/>
              </w:rPr>
              <w:t>）的英文缩写，</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
                <w:sz w:val="21"/>
                <w:szCs w:val="21"/>
              </w:rPr>
              <w:t>是一种以产品为核心，对产品</w:t>
            </w:r>
            <w:r>
              <w:rPr>
                <w:rFonts w:ascii="宋体" w:hAnsi="宋体" w:cs="宋体" w:eastAsia="宋体" w:hint="default"/>
                <w:sz w:val="21"/>
                <w:szCs w:val="21"/>
              </w:rPr>
            </w:r>
          </w:p>
          <w:p>
            <w:pPr>
              <w:pStyle w:val="TableParagraph"/>
              <w:spacing w:line="297" w:lineRule="auto" w:before="15"/>
              <w:ind w:left="103" w:right="96"/>
              <w:jc w:val="left"/>
              <w:rPr>
                <w:rFonts w:ascii="宋体" w:hAnsi="宋体" w:cs="宋体" w:eastAsia="宋体" w:hint="default"/>
                <w:sz w:val="21"/>
                <w:szCs w:val="21"/>
              </w:rPr>
            </w:pPr>
            <w:r>
              <w:rPr>
                <w:rFonts w:ascii="宋体" w:hAnsi="宋体" w:cs="宋体" w:eastAsia="宋体" w:hint="default"/>
                <w:spacing w:val="2"/>
                <w:sz w:val="21"/>
                <w:szCs w:val="21"/>
              </w:rPr>
              <w:t>相关的数据、过程、资源一体</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化集成管理的系统。</w:t>
            </w:r>
          </w:p>
        </w:tc>
      </w:tr>
      <w:tr>
        <w:trPr>
          <w:trHeight w:val="195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CPD</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both"/>
              <w:rPr>
                <w:rFonts w:ascii="宋体" w:hAnsi="宋体" w:cs="宋体" w:eastAsia="宋体" w:hint="default"/>
                <w:sz w:val="21"/>
                <w:szCs w:val="21"/>
              </w:rPr>
            </w:pPr>
            <w:r>
              <w:rPr>
                <w:rFonts w:ascii="宋体" w:hAnsi="宋体" w:cs="宋体" w:eastAsia="宋体" w:hint="default"/>
                <w:sz w:val="21"/>
                <w:szCs w:val="21"/>
              </w:rPr>
              <w:t>“ 集 成 产 品 开 发   </w:t>
            </w:r>
            <w:r>
              <w:rPr>
                <w:rFonts w:ascii="宋体" w:hAnsi="宋体" w:cs="宋体" w:eastAsia="宋体" w:hint="default"/>
                <w:spacing w:val="69"/>
                <w:sz w:val="21"/>
                <w:szCs w:val="21"/>
              </w:rPr>
              <w:t> </w:t>
            </w:r>
            <w:r>
              <w:rPr>
                <w:rFonts w:ascii="宋体" w:hAnsi="宋体" w:cs="宋体" w:eastAsia="宋体" w:hint="default"/>
                <w:sz w:val="21"/>
                <w:szCs w:val="21"/>
              </w:rPr>
              <w:t>”</w:t>
            </w:r>
          </w:p>
          <w:p>
            <w:pPr>
              <w:pStyle w:val="TableParagraph"/>
              <w:spacing w:line="297" w:lineRule="auto" w:before="66"/>
              <w:ind w:left="103" w:right="98"/>
              <w:jc w:val="both"/>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Collaborative</w:t>
            </w:r>
            <w:r>
              <w:rPr>
                <w:rFonts w:ascii="宋体" w:hAnsi="宋体" w:cs="宋体" w:eastAsia="宋体" w:hint="default"/>
                <w:spacing w:val="71"/>
                <w:sz w:val="21"/>
                <w:szCs w:val="21"/>
              </w:rPr>
              <w:t> </w:t>
            </w:r>
            <w:r>
              <w:rPr>
                <w:rFonts w:ascii="宋体" w:hAnsi="宋体" w:cs="宋体" w:eastAsia="宋体" w:hint="default"/>
                <w:sz w:val="21"/>
                <w:szCs w:val="21"/>
              </w:rPr>
              <w:t>Product</w:t>
            </w:r>
            <w:r>
              <w:rPr>
                <w:rFonts w:ascii="宋体" w:hAnsi="宋体" w:cs="宋体" w:eastAsia="宋体" w:hint="default"/>
                <w:w w:val="100"/>
                <w:sz w:val="21"/>
                <w:szCs w:val="21"/>
              </w:rPr>
              <w:t> </w:t>
            </w:r>
            <w:r>
              <w:rPr>
                <w:rFonts w:ascii="宋体" w:hAnsi="宋体" w:cs="宋体" w:eastAsia="宋体" w:hint="default"/>
                <w:spacing w:val="-3"/>
                <w:sz w:val="21"/>
                <w:szCs w:val="21"/>
              </w:rPr>
              <w:t>Development</w:t>
            </w:r>
            <w:r>
              <w:rPr>
                <w:rFonts w:ascii="宋体" w:hAnsi="宋体" w:cs="宋体" w:eastAsia="宋体" w:hint="default"/>
                <w:spacing w:val="-3"/>
                <w:sz w:val="21"/>
                <w:szCs w:val="21"/>
              </w:rPr>
              <w:t>）的英文缩写</w:t>
            </w:r>
            <w:r>
              <w:rPr>
                <w:rFonts w:ascii="宋体" w:hAnsi="宋体" w:cs="宋体" w:eastAsia="宋体" w:hint="default"/>
                <w:spacing w:val="-3"/>
                <w:sz w:val="21"/>
                <w:szCs w:val="21"/>
              </w:rPr>
              <w:t>,</w:t>
            </w:r>
            <w:r>
              <w:rPr>
                <w:rFonts w:ascii="宋体" w:hAnsi="宋体" w:cs="宋体" w:eastAsia="宋体" w:hint="default"/>
                <w:spacing w:val="16"/>
                <w:sz w:val="21"/>
                <w:szCs w:val="21"/>
              </w:rPr>
              <w:t> </w:t>
            </w:r>
            <w:r>
              <w:rPr>
                <w:rFonts w:ascii="宋体" w:hAnsi="宋体" w:cs="宋体" w:eastAsia="宋体" w:hint="default"/>
                <w:sz w:val="21"/>
                <w:szCs w:val="21"/>
              </w:rPr>
              <w:t>是</w:t>
            </w:r>
            <w:r>
              <w:rPr>
                <w:rFonts w:ascii="宋体" w:hAnsi="宋体" w:cs="宋体" w:eastAsia="宋体" w:hint="default"/>
                <w:spacing w:val="-103"/>
                <w:sz w:val="21"/>
                <w:szCs w:val="21"/>
              </w:rPr>
              <w:t> </w:t>
            </w:r>
            <w:r>
              <w:rPr>
                <w:rFonts w:ascii="宋体" w:hAnsi="宋体" w:cs="宋体" w:eastAsia="宋体" w:hint="default"/>
                <w:spacing w:val="16"/>
                <w:sz w:val="21"/>
                <w:szCs w:val="21"/>
              </w:rPr>
              <w:t>一种产品</w:t>
            </w:r>
            <w:r>
              <w:rPr>
                <w:rFonts w:ascii="宋体" w:hAnsi="宋体" w:cs="宋体" w:eastAsia="宋体" w:hint="default"/>
                <w:spacing w:val="-69"/>
                <w:sz w:val="21"/>
                <w:szCs w:val="21"/>
              </w:rPr>
              <w:t> </w:t>
            </w:r>
            <w:r>
              <w:rPr>
                <w:rFonts w:ascii="宋体" w:hAnsi="宋体" w:cs="宋体" w:eastAsia="宋体" w:hint="default"/>
                <w:spacing w:val="18"/>
                <w:sz w:val="21"/>
                <w:szCs w:val="21"/>
              </w:rPr>
              <w:t>开发管理的应用</w:t>
            </w:r>
            <w:r>
              <w:rPr>
                <w:rFonts w:ascii="宋体" w:hAnsi="宋体" w:cs="宋体" w:eastAsia="宋体" w:hint="default"/>
                <w:spacing w:val="-69"/>
                <w:sz w:val="21"/>
                <w:szCs w:val="21"/>
              </w:rPr>
              <w:t> </w:t>
            </w:r>
            <w:r>
              <w:rPr>
                <w:rFonts w:ascii="宋体" w:hAnsi="宋体" w:cs="宋体" w:eastAsia="宋体" w:hint="default"/>
                <w:sz w:val="21"/>
                <w:szCs w:val="21"/>
              </w:rPr>
              <w:t>系</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统。</w:t>
            </w:r>
          </w:p>
        </w:tc>
      </w:tr>
      <w:tr>
        <w:trPr>
          <w:trHeight w:val="127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EAM</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5"/>
              <w:jc w:val="both"/>
              <w:rPr>
                <w:rFonts w:ascii="宋体" w:hAnsi="宋体" w:cs="宋体" w:eastAsia="宋体" w:hint="default"/>
                <w:sz w:val="21"/>
                <w:szCs w:val="21"/>
              </w:rPr>
            </w:pPr>
            <w:r>
              <w:rPr>
                <w:rFonts w:ascii="宋体" w:hAnsi="宋体" w:cs="宋体" w:eastAsia="宋体" w:hint="default"/>
                <w:spacing w:val="-9"/>
                <w:w w:val="100"/>
                <w:sz w:val="21"/>
                <w:szCs w:val="21"/>
              </w:rPr>
              <w:t>“企业资产管理”（</w:t>
            </w:r>
            <w:r>
              <w:rPr>
                <w:rFonts w:ascii="宋体" w:hAnsi="宋体" w:cs="宋体" w:eastAsia="宋体" w:hint="default"/>
                <w:spacing w:val="-9"/>
                <w:w w:val="100"/>
                <w:sz w:val="21"/>
                <w:szCs w:val="21"/>
              </w:rPr>
              <w:t>Enterprise</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Asset </w:t>
            </w:r>
            <w:r>
              <w:rPr>
                <w:rFonts w:ascii="宋体" w:hAnsi="宋体" w:cs="宋体" w:eastAsia="宋体" w:hint="default"/>
                <w:spacing w:val="2"/>
                <w:sz w:val="21"/>
                <w:szCs w:val="21"/>
              </w:rPr>
              <w:t>Management</w:t>
            </w:r>
            <w:r>
              <w:rPr>
                <w:rFonts w:ascii="宋体" w:hAnsi="宋体" w:cs="宋体" w:eastAsia="宋体" w:hint="default"/>
                <w:spacing w:val="2"/>
                <w:sz w:val="21"/>
                <w:szCs w:val="21"/>
              </w:rPr>
              <w:t>）的英文缩</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写，是一种企业应用软件系统。</w:t>
            </w:r>
          </w:p>
        </w:tc>
      </w:tr>
      <w:tr>
        <w:trPr>
          <w:trHeight w:val="93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IUAP</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96"/>
              <w:jc w:val="left"/>
              <w:rPr>
                <w:rFonts w:ascii="宋体" w:hAnsi="宋体" w:cs="宋体" w:eastAsia="宋体" w:hint="default"/>
                <w:sz w:val="21"/>
                <w:szCs w:val="21"/>
              </w:rPr>
            </w:pPr>
            <w:r>
              <w:rPr>
                <w:rFonts w:ascii="宋体" w:hAnsi="宋体" w:cs="宋体" w:eastAsia="宋体" w:hint="default"/>
                <w:spacing w:val="2"/>
                <w:sz w:val="21"/>
                <w:szCs w:val="21"/>
              </w:rPr>
              <w:t>是公司开发的面向大中型企业</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的企业互联网开放平台。</w:t>
            </w:r>
          </w:p>
        </w:tc>
      </w:tr>
      <w:tr>
        <w:trPr>
          <w:trHeight w:val="161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UAP</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9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pacing w:val="14"/>
                <w:sz w:val="21"/>
                <w:szCs w:val="21"/>
              </w:rPr>
              <w:t>统一应用平台”（</w:t>
            </w:r>
            <w:r>
              <w:rPr>
                <w:rFonts w:ascii="宋体" w:hAnsi="宋体" w:cs="宋体" w:eastAsia="宋体" w:hint="default"/>
                <w:spacing w:val="-76"/>
                <w:sz w:val="21"/>
                <w:szCs w:val="21"/>
              </w:rPr>
              <w:t> </w:t>
            </w:r>
            <w:r>
              <w:rPr>
                <w:rFonts w:ascii="宋体" w:hAnsi="宋体" w:cs="宋体" w:eastAsia="宋体" w:hint="default"/>
                <w:sz w:val="21"/>
                <w:szCs w:val="21"/>
              </w:rPr>
              <w:t>Unified</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Application</w:t>
            </w:r>
            <w:r>
              <w:rPr>
                <w:rFonts w:ascii="宋体" w:hAnsi="宋体" w:cs="宋体" w:eastAsia="宋体" w:hint="default"/>
                <w:spacing w:val="31"/>
                <w:sz w:val="21"/>
                <w:szCs w:val="21"/>
              </w:rPr>
              <w:t> </w:t>
            </w:r>
            <w:r>
              <w:rPr>
                <w:rFonts w:ascii="宋体" w:hAnsi="宋体" w:cs="宋体" w:eastAsia="宋体" w:hint="default"/>
                <w:spacing w:val="3"/>
                <w:sz w:val="21"/>
                <w:szCs w:val="21"/>
              </w:rPr>
              <w:t>Platform</w:t>
            </w:r>
            <w:r>
              <w:rPr>
                <w:rFonts w:ascii="宋体" w:hAnsi="宋体" w:cs="宋体" w:eastAsia="宋体" w:hint="default"/>
                <w:spacing w:val="3"/>
                <w:sz w:val="21"/>
                <w:szCs w:val="21"/>
              </w:rPr>
              <w:t>）的英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文缩写，是公司开发的企业管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理软件产品的统一应用平台。</w:t>
            </w:r>
          </w:p>
        </w:tc>
      </w:tr>
      <w:tr>
        <w:trPr>
          <w:trHeight w:val="127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小微企业云服务平台</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96"/>
              <w:jc w:val="left"/>
              <w:rPr>
                <w:rFonts w:ascii="宋体" w:hAnsi="宋体" w:cs="宋体" w:eastAsia="宋体" w:hint="default"/>
                <w:sz w:val="21"/>
                <w:szCs w:val="21"/>
              </w:rPr>
            </w:pPr>
            <w:r>
              <w:rPr>
                <w:rFonts w:ascii="宋体" w:hAnsi="宋体" w:cs="宋体" w:eastAsia="宋体" w:hint="default"/>
                <w:spacing w:val="2"/>
                <w:sz w:val="21"/>
                <w:szCs w:val="21"/>
              </w:rPr>
              <w:t>是公司控股子公司畅捷通信息</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技术股份有限公司开发的面向</w:t>
            </w:r>
            <w:r>
              <w:rPr>
                <w:rFonts w:ascii="宋体" w:hAnsi="宋体" w:cs="宋体" w:eastAsia="宋体" w:hint="default"/>
                <w:sz w:val="21"/>
                <w:szCs w:val="21"/>
              </w:rPr>
            </w:r>
          </w:p>
          <w:p>
            <w:pPr>
              <w:pStyle w:val="TableParagraph"/>
              <w:spacing w:line="240" w:lineRule="auto" w:before="15"/>
              <w:ind w:left="103" w:right="-5"/>
              <w:jc w:val="left"/>
              <w:rPr>
                <w:rFonts w:ascii="宋体" w:hAnsi="宋体" w:cs="宋体" w:eastAsia="宋体" w:hint="default"/>
                <w:sz w:val="21"/>
                <w:szCs w:val="21"/>
              </w:rPr>
            </w:pPr>
            <w:r>
              <w:rPr>
                <w:rFonts w:ascii="宋体" w:hAnsi="宋体" w:cs="宋体" w:eastAsia="宋体" w:hint="default"/>
                <w:spacing w:val="-4"/>
                <w:sz w:val="21"/>
                <w:szCs w:val="21"/>
              </w:rPr>
              <w:t>小型、微型企业的云服务平台。</w:t>
            </w:r>
          </w:p>
        </w:tc>
      </w:tr>
      <w:tr>
        <w:trPr>
          <w:trHeight w:val="127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SaaS</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98"/>
              <w:jc w:val="both"/>
              <w:rPr>
                <w:rFonts w:ascii="宋体" w:hAnsi="宋体" w:cs="宋体" w:eastAsia="宋体" w:hint="default"/>
                <w:sz w:val="21"/>
                <w:szCs w:val="21"/>
              </w:rPr>
            </w:pPr>
            <w:r>
              <w:rPr>
                <w:rFonts w:ascii="宋体" w:hAnsi="宋体" w:cs="宋体" w:eastAsia="宋体" w:hint="default"/>
                <w:spacing w:val="-13"/>
                <w:w w:val="100"/>
                <w:sz w:val="21"/>
                <w:szCs w:val="21"/>
              </w:rPr>
              <w:t>“软件作为服务”（</w:t>
            </w:r>
            <w:r>
              <w:rPr>
                <w:rFonts w:ascii="宋体" w:hAnsi="宋体" w:cs="宋体" w:eastAsia="宋体" w:hint="default"/>
                <w:spacing w:val="-13"/>
                <w:w w:val="100"/>
                <w:sz w:val="21"/>
                <w:szCs w:val="21"/>
              </w:rPr>
              <w:t>Software</w:t>
            </w:r>
            <w:r>
              <w:rPr>
                <w:rFonts w:ascii="宋体" w:hAnsi="宋体" w:cs="宋体" w:eastAsia="宋体" w:hint="default"/>
                <w:spacing w:val="-46"/>
                <w:w w:val="100"/>
                <w:sz w:val="21"/>
                <w:szCs w:val="21"/>
              </w:rPr>
              <w:t> </w:t>
            </w:r>
            <w:r>
              <w:rPr>
                <w:rFonts w:ascii="宋体" w:hAnsi="宋体" w:cs="宋体" w:eastAsia="宋体" w:hint="default"/>
                <w:w w:val="100"/>
                <w:sz w:val="21"/>
                <w:szCs w:val="21"/>
              </w:rPr>
              <w:t>as</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a</w:t>
            </w:r>
            <w:r>
              <w:rPr>
                <w:rFonts w:ascii="宋体" w:hAnsi="宋体" w:cs="宋体" w:eastAsia="宋体" w:hint="default"/>
                <w:spacing w:val="-37"/>
                <w:sz w:val="21"/>
                <w:szCs w:val="21"/>
              </w:rPr>
              <w:t> </w:t>
            </w:r>
            <w:r>
              <w:rPr>
                <w:rFonts w:ascii="宋体" w:hAnsi="宋体" w:cs="宋体" w:eastAsia="宋体" w:hint="default"/>
                <w:sz w:val="21"/>
                <w:szCs w:val="21"/>
              </w:rPr>
              <w:t>Service</w:t>
            </w:r>
            <w:r>
              <w:rPr>
                <w:rFonts w:ascii="宋体" w:hAnsi="宋体" w:cs="宋体" w:eastAsia="宋体" w:hint="default"/>
                <w:sz w:val="21"/>
                <w:szCs w:val="21"/>
              </w:rPr>
              <w:t>）的英文缩写，是云</w:t>
            </w:r>
            <w:r>
              <w:rPr>
                <w:rFonts w:ascii="宋体" w:hAnsi="宋体" w:cs="宋体" w:eastAsia="宋体" w:hint="default"/>
                <w:w w:val="100"/>
                <w:sz w:val="21"/>
                <w:szCs w:val="21"/>
              </w:rPr>
              <w:t> </w:t>
            </w:r>
            <w:r>
              <w:rPr>
                <w:rFonts w:ascii="宋体" w:hAnsi="宋体" w:cs="宋体" w:eastAsia="宋体" w:hint="default"/>
                <w:sz w:val="21"/>
                <w:szCs w:val="21"/>
              </w:rPr>
              <w:t>计算模式下的应用软件服务。</w:t>
            </w:r>
          </w:p>
        </w:tc>
      </w:tr>
      <w:tr>
        <w:trPr>
          <w:trHeight w:val="127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PaaS</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98"/>
              <w:jc w:val="both"/>
              <w:rPr>
                <w:rFonts w:ascii="宋体" w:hAnsi="宋体" w:cs="宋体" w:eastAsia="宋体" w:hint="default"/>
                <w:sz w:val="21"/>
                <w:szCs w:val="21"/>
              </w:rPr>
            </w:pPr>
            <w:r>
              <w:rPr>
                <w:rFonts w:ascii="宋体" w:hAnsi="宋体" w:cs="宋体" w:eastAsia="宋体" w:hint="default"/>
                <w:spacing w:val="-13"/>
                <w:w w:val="100"/>
                <w:sz w:val="21"/>
                <w:szCs w:val="21"/>
              </w:rPr>
              <w:t>“平台作为服务”（</w:t>
            </w:r>
            <w:r>
              <w:rPr>
                <w:rFonts w:ascii="宋体" w:hAnsi="宋体" w:cs="宋体" w:eastAsia="宋体" w:hint="default"/>
                <w:spacing w:val="-13"/>
                <w:w w:val="100"/>
                <w:sz w:val="21"/>
                <w:szCs w:val="21"/>
              </w:rPr>
              <w:t>Platform</w:t>
            </w:r>
            <w:r>
              <w:rPr>
                <w:rFonts w:ascii="宋体" w:hAnsi="宋体" w:cs="宋体" w:eastAsia="宋体" w:hint="default"/>
                <w:spacing w:val="-46"/>
                <w:w w:val="100"/>
                <w:sz w:val="21"/>
                <w:szCs w:val="21"/>
              </w:rPr>
              <w:t> </w:t>
            </w:r>
            <w:r>
              <w:rPr>
                <w:rFonts w:ascii="宋体" w:hAnsi="宋体" w:cs="宋体" w:eastAsia="宋体" w:hint="default"/>
                <w:w w:val="100"/>
                <w:sz w:val="21"/>
                <w:szCs w:val="21"/>
              </w:rPr>
              <w:t>as</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a</w:t>
            </w:r>
            <w:r>
              <w:rPr>
                <w:rFonts w:ascii="宋体" w:hAnsi="宋体" w:cs="宋体" w:eastAsia="宋体" w:hint="default"/>
                <w:spacing w:val="-37"/>
                <w:sz w:val="21"/>
                <w:szCs w:val="21"/>
              </w:rPr>
              <w:t> </w:t>
            </w:r>
            <w:r>
              <w:rPr>
                <w:rFonts w:ascii="宋体" w:hAnsi="宋体" w:cs="宋体" w:eastAsia="宋体" w:hint="default"/>
                <w:sz w:val="21"/>
                <w:szCs w:val="21"/>
              </w:rPr>
              <w:t>Service</w:t>
            </w:r>
            <w:r>
              <w:rPr>
                <w:rFonts w:ascii="宋体" w:hAnsi="宋体" w:cs="宋体" w:eastAsia="宋体" w:hint="default"/>
                <w:sz w:val="21"/>
                <w:szCs w:val="21"/>
              </w:rPr>
              <w:t>）的英文缩写，是云</w:t>
            </w:r>
            <w:r>
              <w:rPr>
                <w:rFonts w:ascii="宋体" w:hAnsi="宋体" w:cs="宋体" w:eastAsia="宋体" w:hint="default"/>
                <w:w w:val="100"/>
                <w:sz w:val="21"/>
                <w:szCs w:val="21"/>
              </w:rPr>
              <w:t> </w:t>
            </w:r>
            <w:r>
              <w:rPr>
                <w:rFonts w:ascii="宋体" w:hAnsi="宋体" w:cs="宋体" w:eastAsia="宋体" w:hint="default"/>
                <w:sz w:val="21"/>
                <w:szCs w:val="21"/>
              </w:rPr>
              <w:t>计算模式下的平台软件服务。</w:t>
            </w:r>
          </w:p>
        </w:tc>
      </w:tr>
      <w:tr>
        <w:trPr>
          <w:trHeight w:val="161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Calibri" w:hAnsi="Calibri" w:cs="Calibri" w:eastAsia="Calibri" w:hint="default"/>
                <w:sz w:val="21"/>
                <w:szCs w:val="21"/>
              </w:rPr>
            </w:pPr>
            <w:r>
              <w:rPr>
                <w:rFonts w:ascii="Calibri"/>
                <w:sz w:val="21"/>
              </w:rPr>
              <w:t>ABU</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8"/>
              <w:ind w:left="103" w:right="-5"/>
              <w:jc w:val="left"/>
              <w:rPr>
                <w:rFonts w:ascii="宋体" w:hAnsi="宋体" w:cs="宋体" w:eastAsia="宋体" w:hint="default"/>
                <w:sz w:val="21"/>
                <w:szCs w:val="21"/>
              </w:rPr>
            </w:pPr>
            <w:r>
              <w:rPr>
                <w:rFonts w:ascii="宋体" w:hAnsi="宋体" w:cs="宋体" w:eastAsia="宋体" w:hint="default"/>
                <w:sz w:val="21"/>
                <w:szCs w:val="21"/>
              </w:rPr>
              <w:t>Account</w:t>
            </w:r>
            <w:r>
              <w:rPr>
                <w:rFonts w:ascii="宋体" w:hAnsi="宋体" w:cs="宋体" w:eastAsia="宋体" w:hint="default"/>
                <w:spacing w:val="-43"/>
                <w:sz w:val="21"/>
                <w:szCs w:val="21"/>
              </w:rPr>
              <w:t> </w:t>
            </w:r>
            <w:r>
              <w:rPr>
                <w:rFonts w:ascii="宋体" w:hAnsi="宋体" w:cs="宋体" w:eastAsia="宋体" w:hint="default"/>
                <w:sz w:val="21"/>
                <w:szCs w:val="21"/>
              </w:rPr>
              <w:t>Business</w:t>
            </w:r>
            <w:r>
              <w:rPr>
                <w:rFonts w:ascii="宋体" w:hAnsi="宋体" w:cs="宋体" w:eastAsia="宋体" w:hint="default"/>
                <w:spacing w:val="-45"/>
                <w:sz w:val="21"/>
                <w:szCs w:val="21"/>
              </w:rPr>
              <w:t> </w:t>
            </w:r>
            <w:r>
              <w:rPr>
                <w:rFonts w:ascii="宋体" w:hAnsi="宋体" w:cs="宋体" w:eastAsia="宋体" w:hint="default"/>
                <w:sz w:val="21"/>
                <w:szCs w:val="21"/>
              </w:rPr>
              <w:t>Unit</w:t>
            </w:r>
            <w:r>
              <w:rPr>
                <w:rFonts w:ascii="宋体" w:hAnsi="宋体" w:cs="宋体" w:eastAsia="宋体" w:hint="default"/>
                <w:spacing w:val="-52"/>
                <w:sz w:val="21"/>
                <w:szCs w:val="21"/>
              </w:rPr>
              <w:t> </w:t>
            </w:r>
            <w:r>
              <w:rPr>
                <w:rFonts w:ascii="宋体" w:hAnsi="宋体" w:cs="宋体" w:eastAsia="宋体" w:hint="default"/>
                <w:sz w:val="21"/>
                <w:szCs w:val="21"/>
              </w:rPr>
              <w:t>的英文</w:t>
            </w:r>
            <w:r>
              <w:rPr>
                <w:rFonts w:ascii="宋体" w:hAnsi="宋体" w:cs="宋体" w:eastAsia="宋体" w:hint="default"/>
                <w:w w:val="100"/>
                <w:sz w:val="21"/>
                <w:szCs w:val="21"/>
              </w:rPr>
              <w:t> </w:t>
            </w:r>
            <w:r>
              <w:rPr>
                <w:rFonts w:ascii="宋体" w:hAnsi="宋体" w:cs="宋体" w:eastAsia="宋体" w:hint="default"/>
                <w:spacing w:val="-4"/>
                <w:sz w:val="21"/>
                <w:szCs w:val="21"/>
              </w:rPr>
              <w:t>缩写，是针对公司级原型项目、</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战略项目建立的专属、独立的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客户经营组织。</w:t>
            </w:r>
          </w:p>
        </w:tc>
      </w:tr>
      <w:tr>
        <w:trPr>
          <w:trHeight w:val="47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Calibri" w:hAnsi="Calibri" w:cs="Calibri" w:eastAsia="Calibri" w:hint="default"/>
                <w:sz w:val="21"/>
                <w:szCs w:val="21"/>
              </w:rPr>
            </w:pPr>
            <w:r>
              <w:rPr>
                <w:rFonts w:ascii="Calibri"/>
                <w:sz w:val="21"/>
              </w:rPr>
              <w:t>SPS</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Standard Product Support</w:t>
            </w:r>
            <w:r>
              <w:rPr>
                <w:rFonts w:ascii="宋体" w:hAnsi="宋体" w:cs="宋体" w:eastAsia="宋体" w:hint="default"/>
                <w:spacing w:val="-40"/>
                <w:sz w:val="21"/>
                <w:szCs w:val="21"/>
              </w:rPr>
              <w:t> </w:t>
            </w:r>
            <w:r>
              <w:rPr>
                <w:rFonts w:ascii="宋体" w:hAnsi="宋体" w:cs="宋体" w:eastAsia="宋体" w:hint="default"/>
                <w:sz w:val="21"/>
                <w:szCs w:val="21"/>
              </w:rPr>
              <w:t>的</w:t>
            </w:r>
          </w:p>
        </w:tc>
      </w:tr>
    </w:tbl>
    <w:p>
      <w:pPr>
        <w:spacing w:after="0" w:line="240" w:lineRule="auto"/>
        <w:jc w:val="left"/>
        <w:rPr>
          <w:rFonts w:ascii="宋体" w:hAnsi="宋体" w:cs="宋体" w:eastAsia="宋体" w:hint="default"/>
          <w:sz w:val="21"/>
          <w:szCs w:val="21"/>
        </w:rPr>
        <w:sectPr>
          <w:pgSz w:w="11910" w:h="16840"/>
          <w:pgMar w:header="880" w:footer="1335" w:top="1120" w:bottom="152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81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英文缩写，是公司标准产品支</w:t>
            </w:r>
            <w:r>
              <w:rPr>
                <w:rFonts w:ascii="宋体" w:hAnsi="宋体" w:cs="宋体" w:eastAsia="宋体" w:hint="default"/>
                <w:sz w:val="21"/>
                <w:szCs w:val="21"/>
              </w:rPr>
            </w:r>
          </w:p>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持服务。</w:t>
            </w:r>
          </w:p>
        </w:tc>
      </w:tr>
      <w:tr>
        <w:trPr>
          <w:trHeight w:val="229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Calibri" w:hAnsi="Calibri" w:cs="Calibri" w:eastAsia="Calibri" w:hint="default"/>
                <w:sz w:val="21"/>
                <w:szCs w:val="21"/>
              </w:rPr>
            </w:pPr>
            <w:r>
              <w:rPr>
                <w:rFonts w:ascii="宋体" w:hAnsi="宋体" w:cs="宋体" w:eastAsia="宋体" w:hint="default"/>
                <w:sz w:val="21"/>
                <w:szCs w:val="21"/>
              </w:rPr>
              <w:t>工资</w:t>
            </w:r>
            <w:r>
              <w:rPr>
                <w:rFonts w:ascii="Calibri" w:hAnsi="Calibri" w:cs="Calibri" w:eastAsia="Calibri" w:hint="default"/>
                <w:sz w:val="21"/>
                <w:szCs w:val="21"/>
              </w:rPr>
              <w:t>+</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96"/>
              <w:jc w:val="both"/>
              <w:rPr>
                <w:rFonts w:ascii="宋体" w:hAnsi="宋体" w:cs="宋体" w:eastAsia="宋体" w:hint="default"/>
                <w:sz w:val="21"/>
                <w:szCs w:val="21"/>
              </w:rPr>
            </w:pPr>
            <w:r>
              <w:rPr>
                <w:rFonts w:ascii="宋体" w:hAnsi="宋体" w:cs="宋体" w:eastAsia="宋体" w:hint="default"/>
                <w:spacing w:val="2"/>
                <w:sz w:val="21"/>
                <w:szCs w:val="21"/>
              </w:rPr>
              <w:t>公司的控股子公司前海用友力</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合金融服务有限公司与公司</w:t>
            </w:r>
            <w:r>
              <w:rPr>
                <w:rFonts w:ascii="宋体" w:hAnsi="宋体" w:cs="宋体" w:eastAsia="宋体" w:hint="default"/>
                <w:spacing w:val="-36"/>
                <w:sz w:val="21"/>
                <w:szCs w:val="21"/>
              </w:rPr>
              <w:t> </w:t>
            </w:r>
            <w:r>
              <w:rPr>
                <w:rFonts w:ascii="宋体" w:hAnsi="宋体" w:cs="宋体" w:eastAsia="宋体" w:hint="default"/>
                <w:sz w:val="21"/>
                <w:szCs w:val="21"/>
              </w:rPr>
              <w:t>HR</w:t>
            </w:r>
            <w:r>
              <w:rPr>
                <w:rFonts w:ascii="宋体" w:hAnsi="宋体" w:cs="宋体" w:eastAsia="宋体" w:hint="default"/>
                <w:w w:val="100"/>
                <w:sz w:val="21"/>
                <w:szCs w:val="21"/>
              </w:rPr>
              <w:t> </w:t>
            </w:r>
            <w:r>
              <w:rPr>
                <w:rFonts w:ascii="宋体" w:hAnsi="宋体" w:cs="宋体" w:eastAsia="宋体" w:hint="default"/>
                <w:spacing w:val="2"/>
                <w:sz w:val="21"/>
                <w:szCs w:val="21"/>
              </w:rPr>
              <w:t>系统合作推出的为企业员工提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供基于移动互联网的安全、便</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捷、可信的企业员工专享薪金</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理财服务。</w:t>
            </w:r>
          </w:p>
        </w:tc>
      </w:tr>
      <w:tr>
        <w:trPr>
          <w:trHeight w:val="127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96"/>
              <w:jc w:val="both"/>
              <w:rPr>
                <w:rFonts w:ascii="宋体" w:hAnsi="宋体" w:cs="宋体" w:eastAsia="宋体" w:hint="default"/>
                <w:sz w:val="21"/>
                <w:szCs w:val="21"/>
              </w:rPr>
            </w:pPr>
            <w:r>
              <w:rPr>
                <w:rFonts w:ascii="宋体" w:hAnsi="宋体" w:cs="宋体" w:eastAsia="宋体" w:hint="default"/>
                <w:spacing w:val="2"/>
                <w:sz w:val="21"/>
                <w:szCs w:val="21"/>
              </w:rPr>
              <w:t>购买和应用了用友网络的软件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及服务、互联网服务、金融服</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务的企业和公共组织。</w:t>
            </w:r>
          </w:p>
        </w:tc>
      </w:tr>
      <w:tr>
        <w:trPr>
          <w:trHeight w:val="161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用户</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96"/>
              <w:jc w:val="both"/>
              <w:rPr>
                <w:rFonts w:ascii="宋体" w:hAnsi="宋体" w:cs="宋体" w:eastAsia="宋体" w:hint="default"/>
                <w:sz w:val="21"/>
                <w:szCs w:val="21"/>
              </w:rPr>
            </w:pPr>
            <w:r>
              <w:rPr>
                <w:rFonts w:ascii="宋体" w:hAnsi="宋体" w:cs="宋体" w:eastAsia="宋体" w:hint="default"/>
                <w:spacing w:val="2"/>
                <w:sz w:val="21"/>
                <w:szCs w:val="21"/>
              </w:rPr>
              <w:t>使用了用友网络的软件及软件</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服务、互联网服务、金融服务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的个人，可能明确归属于某个</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客户或无确定客户归属。</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tabs>
          <w:tab w:pos="3717" w:val="left" w:leader="none"/>
        </w:tabs>
        <w:spacing w:line="240" w:lineRule="auto" w:before="138"/>
        <w:ind w:left="2457" w:right="225"/>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ind w:right="2465"/>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59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hAnsi="宋体" w:cs="宋体" w:eastAsia="宋体" w:hint="default"/>
                <w:sz w:val="21"/>
                <w:szCs w:val="21"/>
              </w:rPr>
              <w:t>用友网络科技股份有限公司</w:t>
            </w:r>
          </w:p>
        </w:tc>
      </w:tr>
      <w:tr>
        <w:trPr>
          <w:trHeight w:val="59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hAnsi="宋体" w:cs="宋体" w:eastAsia="宋体" w:hint="default"/>
                <w:sz w:val="21"/>
                <w:szCs w:val="21"/>
              </w:rPr>
              <w:t>用友网络</w:t>
            </w:r>
          </w:p>
        </w:tc>
      </w:tr>
      <w:tr>
        <w:trPr>
          <w:trHeight w:val="59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sz w:val="21"/>
              </w:rPr>
              <w:t>YONYOU NETWORK TECHNOLOGY</w:t>
            </w:r>
            <w:r>
              <w:rPr>
                <w:rFonts w:ascii="宋体"/>
                <w:spacing w:val="-4"/>
                <w:sz w:val="21"/>
              </w:rPr>
              <w:t> </w:t>
            </w:r>
            <w:r>
              <w:rPr>
                <w:rFonts w:ascii="宋体"/>
                <w:sz w:val="21"/>
              </w:rPr>
              <w:t>CO.,LTD.</w:t>
            </w:r>
          </w:p>
        </w:tc>
      </w:tr>
      <w:tr>
        <w:trPr>
          <w:trHeight w:val="59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sz w:val="21"/>
              </w:rPr>
              <w:t>yonyou</w:t>
            </w:r>
          </w:p>
        </w:tc>
      </w:tr>
      <w:tr>
        <w:trPr>
          <w:trHeight w:val="59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hAnsi="宋体" w:cs="宋体" w:eastAsia="宋体" w:hint="default"/>
                <w:sz w:val="21"/>
                <w:szCs w:val="21"/>
              </w:rPr>
              <w:t>王文京</w:t>
            </w:r>
          </w:p>
        </w:tc>
      </w:tr>
    </w:tbl>
    <w:p>
      <w:pPr>
        <w:spacing w:line="240" w:lineRule="auto" w:before="2"/>
        <w:rPr>
          <w:rFonts w:ascii="宋体" w:hAnsi="宋体" w:cs="宋体" w:eastAsia="宋体" w:hint="default"/>
          <w:b/>
          <w:bCs/>
          <w:sz w:val="20"/>
          <w:szCs w:val="20"/>
        </w:rPr>
      </w:pPr>
    </w:p>
    <w:p>
      <w:pPr>
        <w:pStyle w:val="Heading2"/>
        <w:spacing w:line="240" w:lineRule="auto"/>
        <w:ind w:right="2465"/>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
              <w:jc w:val="center"/>
              <w:rPr>
                <w:rFonts w:ascii="宋体" w:hAnsi="宋体" w:cs="宋体" w:eastAsia="宋体" w:hint="default"/>
                <w:sz w:val="20"/>
                <w:szCs w:val="20"/>
              </w:rPr>
            </w:pPr>
            <w:r>
              <w:rPr>
                <w:rFonts w:ascii="宋体" w:hAnsi="宋体" w:cs="宋体" w:eastAsia="宋体" w:hint="default"/>
                <w:sz w:val="20"/>
                <w:szCs w:val="20"/>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0"/>
                <w:szCs w:val="20"/>
              </w:rPr>
            </w:pPr>
            <w:r>
              <w:rPr>
                <w:rFonts w:ascii="宋体" w:hAnsi="宋体" w:cs="宋体" w:eastAsia="宋体" w:hint="default"/>
                <w:sz w:val="20"/>
                <w:szCs w:val="20"/>
              </w:rPr>
              <w:t>证券事务代表</w:t>
            </w:r>
          </w:p>
        </w:tc>
      </w:tr>
      <w:tr>
        <w:trPr>
          <w:trHeight w:val="59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center"/>
              <w:rPr>
                <w:rFonts w:ascii="宋体" w:hAnsi="宋体" w:cs="宋体" w:eastAsia="宋体" w:hint="default"/>
                <w:sz w:val="21"/>
                <w:szCs w:val="21"/>
              </w:rPr>
            </w:pPr>
            <w:r>
              <w:rPr>
                <w:rFonts w:ascii="宋体" w:hAnsi="宋体" w:cs="宋体" w:eastAsia="宋体" w:hint="default"/>
                <w:sz w:val="21"/>
                <w:szCs w:val="21"/>
              </w:rPr>
              <w:t>欧阳青</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齐麟</w:t>
            </w:r>
          </w:p>
        </w:tc>
      </w:tr>
      <w:tr>
        <w:trPr>
          <w:trHeight w:val="59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
              <w:jc w:val="center"/>
              <w:rPr>
                <w:rFonts w:ascii="宋体" w:hAnsi="宋体" w:cs="宋体" w:eastAsia="宋体" w:hint="default"/>
                <w:sz w:val="21"/>
                <w:szCs w:val="21"/>
              </w:rPr>
            </w:pPr>
            <w:r>
              <w:rPr>
                <w:rFonts w:ascii="宋体" w:hAnsi="宋体" w:cs="宋体" w:eastAsia="宋体" w:hint="default"/>
                <w:sz w:val="21"/>
                <w:szCs w:val="21"/>
              </w:rPr>
              <w:t>北京市海淀区北清路</w:t>
            </w:r>
            <w:r>
              <w:rPr>
                <w:rFonts w:ascii="宋体" w:hAnsi="宋体" w:cs="宋体" w:eastAsia="宋体" w:hint="default"/>
                <w:sz w:val="21"/>
                <w:szCs w:val="21"/>
              </w:rPr>
              <w:t>68</w:t>
            </w:r>
            <w:r>
              <w:rPr>
                <w:rFonts w:ascii="宋体" w:hAnsi="宋体" w:cs="宋体" w:eastAsia="宋体" w:hint="default"/>
                <w:sz w:val="21"/>
                <w:szCs w:val="21"/>
              </w:rPr>
              <w:t>号</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北京市海淀区北清路</w:t>
            </w:r>
            <w:r>
              <w:rPr>
                <w:rFonts w:ascii="宋体" w:hAnsi="宋体" w:cs="宋体" w:eastAsia="宋体" w:hint="default"/>
                <w:sz w:val="21"/>
                <w:szCs w:val="21"/>
              </w:rPr>
              <w:t>68</w:t>
            </w:r>
            <w:r>
              <w:rPr>
                <w:rFonts w:ascii="宋体" w:hAnsi="宋体" w:cs="宋体" w:eastAsia="宋体" w:hint="default"/>
                <w:sz w:val="21"/>
                <w:szCs w:val="21"/>
              </w:rPr>
              <w:t>号</w:t>
            </w:r>
          </w:p>
        </w:tc>
      </w:tr>
      <w:tr>
        <w:trPr>
          <w:trHeight w:val="59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center"/>
              <w:rPr>
                <w:rFonts w:ascii="宋体" w:hAnsi="宋体" w:cs="宋体" w:eastAsia="宋体" w:hint="default"/>
                <w:sz w:val="21"/>
                <w:szCs w:val="21"/>
              </w:rPr>
            </w:pPr>
            <w:r>
              <w:rPr>
                <w:rFonts w:ascii="宋体"/>
                <w:sz w:val="21"/>
              </w:rPr>
              <w:t>010-62436838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010-62436637</w:t>
            </w:r>
          </w:p>
        </w:tc>
      </w:tr>
    </w:tbl>
    <w:p>
      <w:pPr>
        <w:spacing w:after="0" w:line="240" w:lineRule="auto"/>
        <w:jc w:val="center"/>
        <w:rPr>
          <w:rFonts w:ascii="宋体" w:hAnsi="宋体" w:cs="宋体" w:eastAsia="宋体" w:hint="default"/>
          <w:sz w:val="21"/>
          <w:szCs w:val="21"/>
        </w:rPr>
        <w:sectPr>
          <w:pgSz w:w="11910" w:h="16840"/>
          <w:pgMar w:header="880" w:footer="1335" w:top="1120" w:bottom="152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59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宋体" w:hAnsi="宋体" w:cs="宋体" w:eastAsia="宋体" w:hint="default"/>
                <w:sz w:val="21"/>
                <w:szCs w:val="21"/>
              </w:rPr>
            </w:pPr>
            <w:r>
              <w:rPr>
                <w:rFonts w:ascii="宋体"/>
                <w:sz w:val="21"/>
              </w:rPr>
              <w:t>010-62436639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sz w:val="21"/>
              </w:rPr>
              <w:t>010-62436639</w:t>
            </w:r>
          </w:p>
        </w:tc>
      </w:tr>
      <w:tr>
        <w:trPr>
          <w:trHeight w:val="59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宋体" w:hAnsi="宋体" w:cs="宋体" w:eastAsia="宋体" w:hint="default"/>
                <w:sz w:val="21"/>
                <w:szCs w:val="21"/>
              </w:rPr>
            </w:pPr>
            <w:hyperlink r:id="rId8">
              <w:r>
                <w:rPr>
                  <w:rFonts w:ascii="宋体"/>
                  <w:sz w:val="21"/>
                </w:rPr>
                <w:t>ir@yonyou.com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hyperlink r:id="rId8">
              <w:r>
                <w:rPr>
                  <w:rFonts w:ascii="宋体"/>
                  <w:sz w:val="21"/>
                </w:rPr>
                <w:t>ir@yonyou.com</w:t>
              </w:r>
            </w:hyperlink>
          </w:p>
        </w:tc>
      </w:tr>
    </w:tbl>
    <w:p>
      <w:pPr>
        <w:spacing w:line="240" w:lineRule="auto" w:before="12"/>
        <w:rPr>
          <w:rFonts w:ascii="宋体" w:hAnsi="宋体" w:cs="宋体" w:eastAsia="宋体" w:hint="default"/>
          <w:b/>
          <w:bCs/>
          <w:sz w:val="19"/>
          <w:szCs w:val="19"/>
        </w:rPr>
      </w:pPr>
    </w:p>
    <w:p>
      <w:pPr>
        <w:pStyle w:val="Heading2"/>
        <w:spacing w:line="240" w:lineRule="auto"/>
        <w:ind w:right="2465"/>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59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hAnsi="宋体" w:cs="宋体" w:eastAsia="宋体" w:hint="default"/>
                <w:sz w:val="21"/>
                <w:szCs w:val="21"/>
              </w:rPr>
              <w:t>北京市海淀区北清路</w:t>
            </w:r>
            <w:r>
              <w:rPr>
                <w:rFonts w:ascii="宋体" w:hAnsi="宋体" w:cs="宋体" w:eastAsia="宋体" w:hint="default"/>
                <w:sz w:val="21"/>
                <w:szCs w:val="21"/>
              </w:rPr>
              <w:t>68</w:t>
            </w:r>
            <w:r>
              <w:rPr>
                <w:rFonts w:ascii="宋体" w:hAnsi="宋体" w:cs="宋体" w:eastAsia="宋体" w:hint="default"/>
                <w:sz w:val="21"/>
                <w:szCs w:val="21"/>
              </w:rPr>
              <w:t>号</w:t>
            </w:r>
          </w:p>
        </w:tc>
      </w:tr>
      <w:tr>
        <w:trPr>
          <w:trHeight w:val="59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sz w:val="21"/>
              </w:rPr>
              <w:t>100094</w:t>
            </w:r>
          </w:p>
        </w:tc>
      </w:tr>
      <w:tr>
        <w:trPr>
          <w:trHeight w:val="59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hAnsi="宋体" w:cs="宋体" w:eastAsia="宋体" w:hint="default"/>
                <w:sz w:val="21"/>
                <w:szCs w:val="21"/>
              </w:rPr>
              <w:t>北京市海淀区北清路</w:t>
            </w:r>
            <w:r>
              <w:rPr>
                <w:rFonts w:ascii="宋体" w:hAnsi="宋体" w:cs="宋体" w:eastAsia="宋体" w:hint="default"/>
                <w:sz w:val="21"/>
                <w:szCs w:val="21"/>
              </w:rPr>
              <w:t>68</w:t>
            </w:r>
            <w:r>
              <w:rPr>
                <w:rFonts w:ascii="宋体" w:hAnsi="宋体" w:cs="宋体" w:eastAsia="宋体" w:hint="default"/>
                <w:sz w:val="21"/>
                <w:szCs w:val="21"/>
              </w:rPr>
              <w:t>号</w:t>
            </w:r>
          </w:p>
        </w:tc>
      </w:tr>
      <w:tr>
        <w:trPr>
          <w:trHeight w:val="59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sz w:val="21"/>
              </w:rPr>
              <w:t>100094</w:t>
            </w:r>
          </w:p>
        </w:tc>
      </w:tr>
      <w:tr>
        <w:trPr>
          <w:trHeight w:val="59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hyperlink r:id="rId9">
              <w:r>
                <w:rPr>
                  <w:rFonts w:ascii="宋体"/>
                  <w:sz w:val="21"/>
                </w:rPr>
                <w:t>http://www.yonyou.com</w:t>
              </w:r>
            </w:hyperlink>
          </w:p>
        </w:tc>
      </w:tr>
      <w:tr>
        <w:trPr>
          <w:trHeight w:val="59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hyperlink r:id="rId8">
              <w:r>
                <w:rPr>
                  <w:rFonts w:ascii="宋体"/>
                  <w:sz w:val="21"/>
                </w:rPr>
                <w:t>ir@yonyou.com</w:t>
              </w:r>
            </w:hyperlink>
          </w:p>
        </w:tc>
      </w:tr>
    </w:tbl>
    <w:p>
      <w:pPr>
        <w:spacing w:line="240" w:lineRule="auto" w:before="12"/>
        <w:rPr>
          <w:rFonts w:ascii="宋体" w:hAnsi="宋体" w:cs="宋体" w:eastAsia="宋体" w:hint="default"/>
          <w:b/>
          <w:bCs/>
          <w:sz w:val="19"/>
          <w:szCs w:val="19"/>
        </w:rPr>
      </w:pPr>
    </w:p>
    <w:p>
      <w:pPr>
        <w:pStyle w:val="Heading2"/>
        <w:spacing w:line="240" w:lineRule="auto"/>
        <w:ind w:right="2465"/>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93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w:t>
            </w:r>
          </w:p>
          <w:p>
            <w:pPr>
              <w:pStyle w:val="TableParagraph"/>
              <w:spacing w:line="240" w:lineRule="auto" w:before="66"/>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《证券日报》</w:t>
            </w:r>
          </w:p>
        </w:tc>
      </w:tr>
      <w:tr>
        <w:trPr>
          <w:trHeight w:val="590"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hyperlink r:id="rId10">
              <w:r>
                <w:rPr>
                  <w:rFonts w:ascii="宋体"/>
                  <w:sz w:val="21"/>
                </w:rPr>
                <w:t>http://www.sse.com.cn</w:t>
              </w:r>
            </w:hyperlink>
          </w:p>
        </w:tc>
      </w:tr>
      <w:tr>
        <w:trPr>
          <w:trHeight w:val="590"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0"/>
              <w:jc w:val="left"/>
              <w:rPr>
                <w:rFonts w:ascii="宋体" w:hAnsi="宋体" w:cs="宋体" w:eastAsia="宋体" w:hint="default"/>
                <w:sz w:val="21"/>
                <w:szCs w:val="21"/>
              </w:rPr>
            </w:pPr>
            <w:r>
              <w:rPr>
                <w:rFonts w:ascii="宋体" w:hAnsi="宋体" w:cs="宋体" w:eastAsia="宋体" w:hint="default"/>
                <w:sz w:val="21"/>
                <w:szCs w:val="21"/>
              </w:rPr>
              <w:t>公司证券与投资者关系部</w:t>
            </w:r>
          </w:p>
        </w:tc>
      </w:tr>
    </w:tbl>
    <w:p>
      <w:pPr>
        <w:spacing w:line="240" w:lineRule="auto" w:before="12"/>
        <w:rPr>
          <w:rFonts w:ascii="宋体" w:hAnsi="宋体" w:cs="宋体" w:eastAsia="宋体" w:hint="default"/>
          <w:b/>
          <w:bCs/>
          <w:sz w:val="19"/>
          <w:szCs w:val="19"/>
        </w:rPr>
      </w:pPr>
    </w:p>
    <w:p>
      <w:pPr>
        <w:pStyle w:val="Heading2"/>
        <w:spacing w:line="240" w:lineRule="auto"/>
        <w:ind w:right="2465"/>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591"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3" w:right="0"/>
              <w:jc w:val="left"/>
              <w:rPr>
                <w:rFonts w:ascii="宋体" w:hAnsi="宋体" w:cs="宋体" w:eastAsia="宋体" w:hint="default"/>
                <w:sz w:val="21"/>
                <w:szCs w:val="21"/>
              </w:rPr>
            </w:pPr>
            <w:r>
              <w:rPr>
                <w:rFonts w:ascii="宋体" w:hAnsi="宋体" w:cs="宋体" w:eastAsia="宋体" w:hint="default"/>
                <w:sz w:val="21"/>
                <w:szCs w:val="21"/>
              </w:rPr>
              <w:t>用友网络</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600588</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用友软件</w:t>
            </w:r>
          </w:p>
        </w:tc>
      </w:tr>
    </w:tbl>
    <w:p>
      <w:pPr>
        <w:spacing w:line="240" w:lineRule="auto" w:before="2"/>
        <w:rPr>
          <w:rFonts w:ascii="宋体" w:hAnsi="宋体" w:cs="宋体" w:eastAsia="宋体" w:hint="default"/>
          <w:b/>
          <w:bCs/>
          <w:sz w:val="20"/>
          <w:szCs w:val="20"/>
        </w:rPr>
      </w:pPr>
    </w:p>
    <w:p>
      <w:pPr>
        <w:pStyle w:val="Heading2"/>
        <w:spacing w:line="240" w:lineRule="auto"/>
        <w:ind w:right="2465"/>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590"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安永华明会计师事务所（特殊普通合伙）</w:t>
            </w:r>
          </w:p>
        </w:tc>
      </w:tr>
      <w:tr>
        <w:trPr>
          <w:trHeight w:val="931"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88"/>
              <w:ind w:left="100" w:right="98"/>
              <w:jc w:val="left"/>
              <w:rPr>
                <w:rFonts w:ascii="宋体" w:hAnsi="宋体" w:cs="宋体" w:eastAsia="宋体" w:hint="default"/>
                <w:sz w:val="21"/>
                <w:szCs w:val="21"/>
              </w:rPr>
            </w:pPr>
            <w:r>
              <w:rPr>
                <w:rFonts w:ascii="宋体" w:hAnsi="宋体" w:cs="宋体" w:eastAsia="宋体" w:hint="default"/>
                <w:sz w:val="21"/>
                <w:szCs w:val="21"/>
              </w:rPr>
              <w:t>北京市东城区东长安街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号东方广场安永大</w:t>
            </w:r>
            <w:r>
              <w:rPr>
                <w:rFonts w:ascii="宋体" w:hAnsi="宋体" w:cs="宋体" w:eastAsia="宋体" w:hint="default"/>
                <w:w w:val="100"/>
                <w:sz w:val="21"/>
                <w:szCs w:val="21"/>
              </w:rPr>
              <w:t> </w:t>
            </w:r>
            <w:r>
              <w:rPr>
                <w:rFonts w:ascii="宋体" w:hAnsi="宋体" w:cs="宋体" w:eastAsia="宋体" w:hint="default"/>
                <w:sz w:val="21"/>
                <w:szCs w:val="21"/>
              </w:rPr>
              <w:t>楼（东三办公楼）</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层</w:t>
            </w:r>
          </w:p>
        </w:tc>
      </w:tr>
      <w:tr>
        <w:trPr>
          <w:trHeight w:val="590"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陈静、杨景璐</w:t>
            </w:r>
          </w:p>
        </w:tc>
      </w:tr>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外）</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335" w:top="1120" w:bottom="152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591"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p>
        </w:tc>
      </w:tr>
      <w:tr>
        <w:trPr>
          <w:trHeight w:val="590"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北京市金融大街盈泰中心</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号楼</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590"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陈琦、张斌</w:t>
            </w:r>
          </w:p>
        </w:tc>
      </w:tr>
      <w:tr>
        <w:trPr>
          <w:trHeight w:val="590"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财务顾问</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签字的财务顾问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0" w:footer="1335" w:top="1120" w:bottom="1520" w:left="1580" w:right="1040"/>
        </w:sectPr>
      </w:pPr>
    </w:p>
    <w:p>
      <w:pPr>
        <w:pStyle w:val="Heading2"/>
        <w:spacing w:line="240" w:lineRule="auto"/>
        <w:ind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3667" w:space="2854"/>
            <w:col w:w="2769"/>
          </w:cols>
        </w:sectPr>
      </w:pP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32"/>
        <w:gridCol w:w="1685"/>
        <w:gridCol w:w="1584"/>
        <w:gridCol w:w="1169"/>
        <w:gridCol w:w="1579"/>
      </w:tblGrid>
      <w:tr>
        <w:trPr>
          <w:trHeight w:val="828"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7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7"/>
              <w:ind w:left="314" w:right="159" w:hanging="159"/>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9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4,451,272,019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4,374,241,957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4,362,690,774</w:t>
            </w:r>
          </w:p>
        </w:tc>
      </w:tr>
      <w:tr>
        <w:trPr>
          <w:trHeight w:val="29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12,706,074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298,243,099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313,340,714</w:t>
            </w:r>
          </w:p>
        </w:tc>
      </w:tr>
      <w:tr>
        <w:trPr>
          <w:trHeight w:val="29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362,389,873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611,823,146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-40.8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647,064,749</w:t>
            </w:r>
          </w:p>
        </w:tc>
      </w:tr>
      <w:tr>
        <w:trPr>
          <w:trHeight w:val="29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323,745,309</w:t>
            </w:r>
            <w:r>
              <w:rPr>
                <w:rFonts w:ascii="宋体"/>
                <w:sz w:val="21"/>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550,250,599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-41.2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547,902,307</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归属于上市公司股东的扣除非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经常性损益的净利润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105,980,940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518,093,082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419,815,994</w:t>
            </w:r>
          </w:p>
        </w:tc>
      </w:tr>
      <w:tr>
        <w:trPr>
          <w:trHeight w:val="828"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归属于上市公司股东的扣除非</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3"/>
                <w:sz w:val="21"/>
                <w:szCs w:val="21"/>
              </w:rPr>
              <w:t>经常性损益和股权激励成本的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净利润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268,492,937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587,224,682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-54.3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432,805,794</w:t>
            </w:r>
          </w:p>
        </w:tc>
      </w:tr>
      <w:tr>
        <w:trPr>
          <w:trHeight w:val="29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549,715,458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804,302,209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810,069,456</w:t>
            </w:r>
          </w:p>
        </w:tc>
      </w:tr>
      <w:tr>
        <w:trPr>
          <w:trHeight w:val="1100" w:hRule="exact"/>
        </w:trPr>
        <w:tc>
          <w:tcPr>
            <w:tcW w:w="303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7"/>
              <w:ind w:left="103" w:right="107" w:hanging="1"/>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末增减（</w:t>
            </w:r>
            <w:r>
              <w:rPr>
                <w:rFonts w:ascii="宋体" w:hAnsi="宋体" w:cs="宋体" w:eastAsia="宋体" w:hint="default"/>
                <w:sz w:val="21"/>
                <w:szCs w:val="21"/>
              </w:rPr>
              <w:t>%</w:t>
            </w:r>
          </w:p>
          <w:p>
            <w:pPr>
              <w:pStyle w:val="TableParagraph"/>
              <w:spacing w:line="24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r>
      <w:tr>
        <w:trPr>
          <w:trHeight w:val="29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5,518,891,298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3,938,456,906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3,146,569,718</w:t>
            </w:r>
          </w:p>
        </w:tc>
      </w:tr>
      <w:tr>
        <w:trPr>
          <w:trHeight w:val="29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10,918,585,280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8,810,634,863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7,229,803,894</w:t>
            </w:r>
          </w:p>
        </w:tc>
      </w:tr>
      <w:tr>
        <w:trPr>
          <w:trHeight w:val="29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1,464,688,320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1,171,419,007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971,174,633</w:t>
            </w:r>
          </w:p>
        </w:tc>
      </w:tr>
      <w:tr>
        <w:trPr>
          <w:trHeight w:val="29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4,855,877,938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4,415,822,771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z w:val="21"/>
              </w:rPr>
              <w:t>10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3,947,544,085</w:t>
            </w:r>
          </w:p>
        </w:tc>
      </w:tr>
    </w:tbl>
    <w:p>
      <w:pPr>
        <w:spacing w:line="240" w:lineRule="auto" w:before="12"/>
        <w:rPr>
          <w:rFonts w:ascii="宋体" w:hAnsi="宋体" w:cs="宋体" w:eastAsia="宋体" w:hint="default"/>
          <w:sz w:val="19"/>
          <w:szCs w:val="19"/>
        </w:rPr>
      </w:pPr>
    </w:p>
    <w:p>
      <w:pPr>
        <w:pStyle w:val="Heading2"/>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1"/>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0.23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0.40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-42.5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0.39</w:t>
            </w:r>
          </w:p>
        </w:tc>
      </w:tr>
      <w:tr>
        <w:trPr>
          <w:trHeight w:val="28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0.39</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0.30</w:t>
            </w:r>
          </w:p>
        </w:tc>
      </w:tr>
    </w:tbl>
    <w:p>
      <w:pPr>
        <w:spacing w:after="0" w:line="241" w:lineRule="exact"/>
        <w:jc w:val="right"/>
        <w:rPr>
          <w:rFonts w:ascii="宋体" w:hAnsi="宋体" w:cs="宋体" w:eastAsia="宋体" w:hint="default"/>
          <w:sz w:val="21"/>
          <w:szCs w:val="21"/>
        </w:rPr>
        <w:sectPr>
          <w:type w:val="continuous"/>
          <w:pgSz w:w="11910" w:h="16840"/>
          <w:pgMar w:top="1120" w:bottom="152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28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扣除非经常性损益和股权激励</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3"/>
                <w:sz w:val="21"/>
                <w:szCs w:val="21"/>
              </w:rPr>
              <w:t>成本后的基本每股收益（元／</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0.31</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8.3</w:t>
            </w:r>
            <w:r>
              <w:rPr>
                <w:rFonts w:ascii="宋体" w:hAnsi="宋体" w:cs="宋体" w:eastAsia="宋体" w:hint="default"/>
                <w:sz w:val="21"/>
                <w:szCs w:val="21"/>
              </w:rPr>
              <w:t>个百</w:t>
            </w:r>
          </w:p>
          <w:p>
            <w:pPr>
              <w:pStyle w:val="TableParagraph"/>
              <w:spacing w:line="273"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15.25</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12.0</w:t>
            </w:r>
            <w:r>
              <w:rPr>
                <w:rFonts w:ascii="宋体" w:hAnsi="宋体" w:cs="宋体" w:eastAsia="宋体" w:hint="default"/>
                <w:sz w:val="21"/>
                <w:szCs w:val="21"/>
              </w:rPr>
              <w:t>个百</w:t>
            </w:r>
          </w:p>
          <w:p>
            <w:pPr>
              <w:pStyle w:val="TableParagraph"/>
              <w:spacing w:line="273"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11.62</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每股经营活动产生的现金流量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0.59</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9" w:right="0" w:hanging="315"/>
              <w:jc w:val="left"/>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left="479" w:right="0"/>
              <w:jc w:val="left"/>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归属于上市公司股东的每股净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11.83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3.28</w:t>
            </w:r>
          </w:p>
        </w:tc>
      </w:tr>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1"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5.6</w:t>
            </w:r>
            <w:r>
              <w:rPr>
                <w:rFonts w:ascii="宋体" w:hAnsi="宋体" w:cs="宋体" w:eastAsia="宋体" w:hint="default"/>
                <w:sz w:val="21"/>
                <w:szCs w:val="21"/>
              </w:rPr>
              <w:t>个百</w:t>
            </w:r>
          </w:p>
          <w:p>
            <w:pPr>
              <w:pStyle w:val="TableParagraph"/>
              <w:spacing w:line="274"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54.6</w:t>
            </w:r>
          </w:p>
        </w:tc>
      </w:tr>
    </w:tbl>
    <w:p>
      <w:pPr>
        <w:spacing w:line="240" w:lineRule="auto" w:before="5"/>
        <w:rPr>
          <w:rFonts w:ascii="宋体" w:hAnsi="宋体" w:cs="宋体" w:eastAsia="宋体" w:hint="default"/>
          <w:b/>
          <w:bCs/>
          <w:sz w:val="15"/>
          <w:szCs w:val="15"/>
        </w:rPr>
      </w:pPr>
    </w:p>
    <w:p>
      <w:pPr>
        <w:pStyle w:val="BodyText"/>
        <w:spacing w:line="319" w:lineRule="auto" w:before="36"/>
        <w:ind w:left="218" w:right="225"/>
        <w:jc w:val="left"/>
        <w:rPr>
          <w:rFonts w:ascii="宋体" w:hAnsi="宋体" w:cs="宋体" w:eastAsia="宋体" w:hint="default"/>
        </w:rPr>
      </w:pPr>
      <w:r>
        <w:rPr/>
        <w:t>报告期末公司前三年主要会计数据和财务指标的说明</w:t>
      </w:r>
      <w:r>
        <w:rPr>
          <w:w w:val="100"/>
        </w:rPr>
        <w:t> </w:t>
      </w:r>
      <w:r>
        <w:rPr>
          <w:spacing w:val="-1"/>
        </w:rPr>
        <w:t>注：基本每股收益、稀释每股收益、每股经营活动产生的现金流量净额和归属于上市公司股东的</w:t>
      </w:r>
      <w:r>
        <w:rPr>
          <w:spacing w:val="-55"/>
        </w:rPr>
        <w:t> </w:t>
      </w:r>
      <w:r>
        <w:rPr>
          <w:spacing w:val="-55"/>
        </w:rPr>
      </w:r>
      <w:r>
        <w:rPr>
          <w:spacing w:val="-5"/>
          <w:w w:val="100"/>
        </w:rPr>
        <w:t>每股净资产以报告期加权平均股本为基数计算，本报告期加权平均股数为</w:t>
      </w:r>
      <w:r>
        <w:rPr>
          <w:spacing w:val="-43"/>
          <w:w w:val="100"/>
        </w:rPr>
        <w:t> </w:t>
      </w:r>
      <w:r>
        <w:rPr>
          <w:rFonts w:ascii="宋体" w:hAnsi="宋体" w:cs="宋体" w:eastAsia="宋体" w:hint="default"/>
          <w:spacing w:val="-1"/>
          <w:w w:val="100"/>
        </w:rPr>
        <w:t>1,428,329,992</w:t>
      </w:r>
      <w:r>
        <w:rPr>
          <w:rFonts w:ascii="宋体" w:hAnsi="宋体" w:cs="宋体" w:eastAsia="宋体" w:hint="default"/>
          <w:spacing w:val="-46"/>
          <w:w w:val="100"/>
        </w:rPr>
        <w:t> </w:t>
      </w:r>
      <w:r>
        <w:rPr>
          <w:spacing w:val="-17"/>
          <w:w w:val="100"/>
        </w:rPr>
        <w:t>股，</w:t>
      </w:r>
      <w:r>
        <w:rPr>
          <w:rFonts w:ascii="宋体" w:hAnsi="宋体" w:cs="宋体" w:eastAsia="宋体" w:hint="default"/>
          <w:spacing w:val="-17"/>
          <w:w w:val="100"/>
        </w:rPr>
        <w:t>2014</w:t>
      </w:r>
    </w:p>
    <w:p>
      <w:pPr>
        <w:pStyle w:val="BodyText"/>
        <w:spacing w:line="297" w:lineRule="auto"/>
        <w:ind w:left="218" w:right="225"/>
        <w:jc w:val="left"/>
      </w:pPr>
      <w:r>
        <w:rPr/>
        <w:t>年调整后的加权平均股数为</w:t>
      </w:r>
      <w:r>
        <w:rPr>
          <w:spacing w:val="-51"/>
        </w:rPr>
        <w:t> </w:t>
      </w:r>
      <w:r>
        <w:rPr>
          <w:rFonts w:ascii="宋体" w:hAnsi="宋体" w:cs="宋体" w:eastAsia="宋体" w:hint="default"/>
        </w:rPr>
        <w:t>1,383,105,480</w:t>
      </w:r>
      <w:r>
        <w:rPr>
          <w:rFonts w:ascii="宋体" w:hAnsi="宋体" w:cs="宋体" w:eastAsia="宋体" w:hint="default"/>
          <w:spacing w:val="-54"/>
        </w:rPr>
        <w:t> </w:t>
      </w:r>
      <w:r>
        <w:rPr/>
        <w:t>股，</w:t>
      </w:r>
      <w:r>
        <w:rPr>
          <w:rFonts w:ascii="宋体" w:hAnsi="宋体" w:cs="宋体" w:eastAsia="宋体" w:hint="default"/>
        </w:rPr>
        <w:t>2013</w:t>
      </w:r>
      <w:r>
        <w:rPr>
          <w:rFonts w:ascii="宋体" w:hAnsi="宋体" w:cs="宋体" w:eastAsia="宋体" w:hint="default"/>
          <w:spacing w:val="-51"/>
        </w:rPr>
        <w:t> </w:t>
      </w:r>
      <w:r>
        <w:rPr/>
        <w:t>年调整后的加权平均股数为</w:t>
      </w:r>
      <w:r>
        <w:rPr>
          <w:spacing w:val="-51"/>
        </w:rPr>
        <w:t> </w:t>
      </w:r>
      <w:r>
        <w:rPr>
          <w:rFonts w:ascii="宋体" w:hAnsi="宋体" w:cs="宋体" w:eastAsia="宋体" w:hint="default"/>
        </w:rPr>
        <w:t>1,382,175,489</w:t>
      </w:r>
      <w:r>
        <w:rPr>
          <w:rFonts w:ascii="宋体" w:hAnsi="宋体" w:cs="宋体" w:eastAsia="宋体" w:hint="default"/>
          <w:w w:val="100"/>
        </w:rPr>
        <w:t> </w:t>
      </w:r>
      <w:r>
        <w:rPr/>
        <w:t>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before="0"/>
        <w:ind w:right="2465"/>
        <w:jc w:val="left"/>
        <w:rPr>
          <w:b w:val="0"/>
          <w:bCs w:val="0"/>
        </w:rPr>
      </w:pPr>
      <w:r>
        <w:rPr/>
        <w:t>八、</w:t>
      </w:r>
      <w:r>
        <w:rPr>
          <w:spacing w:val="-32"/>
        </w:rPr>
        <w:t> </w:t>
      </w:r>
      <w:r>
        <w:rPr/>
        <w:t>境内外会计准则下会计数据差异</w:t>
      </w:r>
      <w:r>
        <w:rPr>
          <w:b w:val="0"/>
          <w:bCs w:val="0"/>
        </w:rPr>
      </w:r>
    </w:p>
    <w:p>
      <w:pPr>
        <w:pStyle w:val="Heading2"/>
        <w:spacing w:line="272" w:lineRule="exact" w:before="86"/>
        <w:ind w:left="638" w:right="225"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218" w:right="2465"/>
        <w:jc w:val="left"/>
      </w:pPr>
      <w:r>
        <w:rPr/>
        <w:t>□适用</w:t>
      </w:r>
      <w:r>
        <w:rPr>
          <w:spacing w:val="-1"/>
        </w:rPr>
        <w:t> </w:t>
      </w:r>
      <w:r>
        <w:rPr/>
        <w:t>√不适用</w:t>
      </w:r>
    </w:p>
    <w:p>
      <w:pPr>
        <w:pStyle w:val="Heading2"/>
        <w:spacing w:line="274" w:lineRule="exact" w:before="82"/>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1"/>
        <w:ind w:left="218" w:right="2465"/>
        <w:jc w:val="left"/>
      </w:pPr>
      <w:r>
        <w:rPr/>
        <w:t>□适用</w:t>
      </w:r>
      <w:r>
        <w:rPr>
          <w:spacing w:val="-1"/>
        </w:rPr>
        <w:t> </w:t>
      </w:r>
      <w:r>
        <w:rPr/>
        <w:t>√不适用</w:t>
      </w:r>
    </w:p>
    <w:p>
      <w:pPr>
        <w:pStyle w:val="Heading2"/>
        <w:spacing w:line="240" w:lineRule="auto" w:before="58"/>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4"/>
        </w:rPr>
        <w:t> </w:t>
      </w:r>
      <w:r>
        <w:rPr/>
        <w:t>境内外会计准则差异的说明：</w:t>
      </w:r>
      <w:r>
        <w:rPr>
          <w:b w:val="0"/>
          <w:bCs w:val="0"/>
        </w:rPr>
      </w:r>
    </w:p>
    <w:p>
      <w:pPr>
        <w:spacing w:line="240" w:lineRule="auto" w:before="3"/>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2"/>
        <w:spacing w:line="240" w:lineRule="auto"/>
        <w:ind w:right="2465"/>
        <w:jc w:val="left"/>
        <w:rPr>
          <w:b w:val="0"/>
          <w:bCs w:val="0"/>
        </w:rPr>
      </w:pPr>
      <w:r>
        <w:rPr/>
        <w:t>九、 </w:t>
      </w:r>
      <w:r>
        <w:rPr>
          <w:rFonts w:ascii="Arial" w:hAnsi="Arial" w:cs="Arial" w:eastAsia="Arial" w:hint="default"/>
        </w:rPr>
        <w:t>2015</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36"/>
        <w:gridCol w:w="1476"/>
        <w:gridCol w:w="1582"/>
        <w:gridCol w:w="1477"/>
        <w:gridCol w:w="1579"/>
      </w:tblGrid>
      <w:tr>
        <w:trPr>
          <w:trHeight w:val="554" w:hRule="exact"/>
        </w:trPr>
        <w:tc>
          <w:tcPr>
            <w:tcW w:w="293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left="5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494,565,816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1,020,377,433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754,726,910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2,181,601,860</w:t>
            </w:r>
          </w:p>
        </w:tc>
      </w:tr>
      <w:tr>
        <w:trPr>
          <w:trHeight w:val="55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-130,342,881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-38,327,610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-226,076,588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718,492,388</w:t>
            </w:r>
          </w:p>
        </w:tc>
      </w:tr>
      <w:tr>
        <w:trPr>
          <w:trHeight w:val="55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非经常性损益后的净利润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-139,592,699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-61,102,400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-233,282,494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539,958,533</w:t>
            </w:r>
          </w:p>
        </w:tc>
      </w:tr>
      <w:tr>
        <w:trPr>
          <w:trHeight w:val="555"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-515,709,624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-29,044,369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-282,204,742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1,376,674,193</w:t>
            </w:r>
          </w:p>
        </w:tc>
      </w:tr>
    </w:tbl>
    <w:p>
      <w:pPr>
        <w:spacing w:line="240" w:lineRule="auto" w:before="7"/>
        <w:rPr>
          <w:rFonts w:ascii="宋体" w:hAnsi="宋体" w:cs="宋体" w:eastAsia="宋体" w:hint="default"/>
          <w:sz w:val="15"/>
          <w:szCs w:val="15"/>
        </w:rPr>
      </w:pPr>
    </w:p>
    <w:p>
      <w:pPr>
        <w:pStyle w:val="BodyText"/>
        <w:spacing w:line="240" w:lineRule="auto" w:before="36"/>
        <w:ind w:left="218" w:right="2465"/>
        <w:jc w:val="left"/>
      </w:pPr>
      <w:r>
        <w:rPr/>
        <w:t>季度数据与已披露定期报告数据差异说明</w:t>
      </w:r>
    </w:p>
    <w:p>
      <w:pPr>
        <w:spacing w:after="0" w:line="240" w:lineRule="auto"/>
        <w:jc w:val="left"/>
        <w:sectPr>
          <w:pgSz w:w="11910" w:h="16840"/>
          <w:pgMar w:header="880" w:footer="1335" w:top="1120" w:bottom="152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218"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335" w:top="1120" w:bottom="1520" w:left="1580" w:right="1040"/>
        </w:sectPr>
      </w:pPr>
    </w:p>
    <w:p>
      <w:pPr>
        <w:pStyle w:val="Heading2"/>
        <w:spacing w:line="240" w:lineRule="auto"/>
        <w:ind w:right="-18"/>
        <w:jc w:val="left"/>
        <w:rPr>
          <w:b w:val="0"/>
          <w:bCs w:val="0"/>
        </w:rPr>
      </w:pPr>
      <w:r>
        <w:rPr/>
        <w:t>十、</w:t>
      </w:r>
      <w:r>
        <w:rPr>
          <w:spacing w:val="-31"/>
        </w:rPr>
        <w:t> </w:t>
      </w:r>
      <w:r>
        <w:rPr/>
        <w:t>非经常性损益项目和金额</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520" w:left="1580" w:right="1040"/>
          <w:cols w:num="2" w:equalWidth="0">
            <w:col w:w="3036" w:space="369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19"/>
        <w:gridCol w:w="1371"/>
        <w:gridCol w:w="1418"/>
        <w:gridCol w:w="1371"/>
        <w:gridCol w:w="1370"/>
      </w:tblGrid>
      <w:tr>
        <w:trPr>
          <w:trHeight w:val="554"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1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附注（如适</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用）</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年金额</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年金额</w:t>
            </w:r>
          </w:p>
        </w:tc>
      </w:tr>
      <w:tr>
        <w:trPr>
          <w:trHeight w:val="283"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460,237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-55,089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-637,475</w:t>
            </w:r>
          </w:p>
        </w:tc>
      </w:tr>
      <w:tr>
        <w:trPr>
          <w:trHeight w:val="554"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越权审批，或无正式批准文件，或偶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发性的税收返还、减免</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计入当期损益的政府补助，但与公司</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pacing w:val="-5"/>
                <w:sz w:val="21"/>
                <w:szCs w:val="21"/>
              </w:rPr>
              <w:t>正常经营业务密切相关，符合国家政</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5"/>
                <w:sz w:val="21"/>
                <w:szCs w:val="21"/>
              </w:rPr>
              <w:t>策规定、按照一定标准定额或定量持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续享受的政府补助除外</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86,846,260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59,218,478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68,807,519</w:t>
            </w:r>
          </w:p>
        </w:tc>
      </w:tr>
      <w:tr>
        <w:trPr>
          <w:trHeight w:val="554"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的资金占用费</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企业取得子公司、联营企业及合营企</w:t>
            </w:r>
          </w:p>
          <w:p>
            <w:pPr>
              <w:pStyle w:val="TableParagraph"/>
              <w:spacing w:line="272" w:lineRule="exact" w:before="27"/>
              <w:ind w:left="103" w:right="250"/>
              <w:jc w:val="both"/>
              <w:rPr>
                <w:rFonts w:ascii="宋体" w:hAnsi="宋体" w:cs="宋体" w:eastAsia="宋体" w:hint="default"/>
                <w:sz w:val="21"/>
                <w:szCs w:val="21"/>
              </w:rPr>
            </w:pPr>
            <w:r>
              <w:rPr>
                <w:rFonts w:ascii="宋体" w:hAnsi="宋体" w:cs="宋体" w:eastAsia="宋体" w:hint="default"/>
                <w:spacing w:val="-2"/>
                <w:sz w:val="21"/>
                <w:szCs w:val="21"/>
              </w:rPr>
              <w:t>业的投资成本小于取得投资时应享</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有被投资单位可辨认净资产公允价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值产生的收益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因不可抗力因素，如遭受自然灾害而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计提的各项资产减值准备</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整合费用等</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过公允价值部分的损益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期初至合并日的当期净损益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项产生的损益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5"/>
                <w:sz w:val="21"/>
                <w:szCs w:val="21"/>
              </w:rPr>
              <w:t>套期保值业务外，持有交易性金融资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5"/>
                <w:sz w:val="21"/>
                <w:szCs w:val="21"/>
              </w:rPr>
              <w:t>产、交易性金融负债产生的公允价值</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变动损益，以及处置交易性金融资</w:t>
            </w:r>
            <w:r>
              <w:rPr>
                <w:rFonts w:ascii="宋体" w:hAnsi="宋体" w:cs="宋体" w:eastAsia="宋体" w:hint="default"/>
                <w:w w:val="100"/>
                <w:sz w:val="21"/>
                <w:szCs w:val="21"/>
              </w:rPr>
              <w:t> </w:t>
            </w:r>
            <w:r>
              <w:rPr>
                <w:rFonts w:ascii="宋体" w:hAnsi="宋体" w:cs="宋体" w:eastAsia="宋体" w:hint="default"/>
                <w:spacing w:val="-5"/>
                <w:sz w:val="21"/>
                <w:szCs w:val="21"/>
              </w:rPr>
              <w:t>产、交易性金融负债和可供出售金融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资产取得的投资收益</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-1,705,998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准备转回</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w:t>
            </w:r>
          </w:p>
          <w:p>
            <w:pPr>
              <w:pStyle w:val="TableParagraph"/>
              <w:spacing w:line="272" w:lineRule="exact" w:before="27"/>
              <w:ind w:left="103" w:right="250"/>
              <w:jc w:val="left"/>
              <w:rPr>
                <w:rFonts w:ascii="宋体" w:hAnsi="宋体" w:cs="宋体" w:eastAsia="宋体" w:hint="default"/>
                <w:sz w:val="21"/>
                <w:szCs w:val="21"/>
              </w:rPr>
            </w:pPr>
            <w:r>
              <w:rPr>
                <w:rFonts w:ascii="宋体" w:hAnsi="宋体" w:cs="宋体" w:eastAsia="宋体" w:hint="default"/>
                <w:spacing w:val="-2"/>
                <w:sz w:val="21"/>
                <w:szCs w:val="21"/>
              </w:rPr>
              <w:t>投资性房地产公允价值变动产生的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损益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根据税收、会计等法律、法规的要求</w:t>
            </w:r>
          </w:p>
          <w:p>
            <w:pPr>
              <w:pStyle w:val="TableParagraph"/>
              <w:spacing w:line="272" w:lineRule="exact" w:before="27"/>
              <w:ind w:left="103" w:right="250"/>
              <w:jc w:val="left"/>
              <w:rPr>
                <w:rFonts w:ascii="宋体" w:hAnsi="宋体" w:cs="宋体" w:eastAsia="宋体" w:hint="default"/>
                <w:sz w:val="21"/>
                <w:szCs w:val="21"/>
              </w:rPr>
            </w:pPr>
            <w:r>
              <w:rPr>
                <w:rFonts w:ascii="宋体" w:hAnsi="宋体" w:cs="宋体" w:eastAsia="宋体" w:hint="default"/>
                <w:spacing w:val="-2"/>
                <w:sz w:val="21"/>
                <w:szCs w:val="21"/>
              </w:rPr>
              <w:t>对当期损益进行一次性调整对当期</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损益的影响</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52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19"/>
        <w:gridCol w:w="1371"/>
        <w:gridCol w:w="1418"/>
        <w:gridCol w:w="1371"/>
        <w:gridCol w:w="1370"/>
      </w:tblGrid>
      <w:tr>
        <w:trPr>
          <w:trHeight w:val="557"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和支出</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10" w:right="0"/>
              <w:jc w:val="center"/>
              <w:rPr>
                <w:rFonts w:ascii="宋体" w:hAnsi="宋体" w:cs="宋体" w:eastAsia="宋体" w:hint="default"/>
                <w:sz w:val="21"/>
                <w:szCs w:val="21"/>
              </w:rPr>
            </w:pPr>
            <w:r>
              <w:rPr>
                <w:rFonts w:ascii="宋体"/>
                <w:sz w:val="21"/>
              </w:rPr>
              <w:t>9,991,638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sz w:val="21"/>
              </w:rPr>
              <w:t>-3,384,381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256,817</w:t>
            </w:r>
          </w:p>
        </w:tc>
      </w:tr>
      <w:tr>
        <w:trPr>
          <w:trHeight w:val="1644"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-1,938,748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66"/>
                <w:sz w:val="21"/>
                <w:szCs w:val="21"/>
              </w:rPr>
              <w:t> </w:t>
            </w:r>
            <w:r>
              <w:rPr>
                <w:rFonts w:ascii="宋体" w:hAnsi="宋体" w:cs="宋体" w:eastAsia="宋体" w:hint="default"/>
                <w:sz w:val="21"/>
                <w:szCs w:val="21"/>
              </w:rPr>
              <w:t>道</w:t>
            </w:r>
            <w:r>
              <w:rPr>
                <w:rFonts w:ascii="宋体" w:hAnsi="宋体" w:cs="宋体" w:eastAsia="宋体" w:hint="default"/>
                <w:spacing w:val="-69"/>
                <w:sz w:val="21"/>
                <w:szCs w:val="21"/>
              </w:rPr>
              <w:t> </w:t>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股</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在</w:t>
            </w:r>
            <w:r>
              <w:rPr>
                <w:rFonts w:ascii="宋体" w:hAnsi="宋体" w:cs="宋体" w:eastAsia="宋体" w:hint="default"/>
                <w:spacing w:val="-66"/>
                <w:sz w:val="21"/>
                <w:szCs w:val="21"/>
              </w:rPr>
              <w:t> </w:t>
            </w:r>
            <w:r>
              <w:rPr>
                <w:rFonts w:ascii="宋体" w:hAnsi="宋体" w:cs="宋体" w:eastAsia="宋体" w:hint="default"/>
                <w:sz w:val="21"/>
                <w:szCs w:val="21"/>
              </w:rPr>
              <w:t>全</w:t>
            </w:r>
            <w:r>
              <w:rPr>
                <w:rFonts w:ascii="宋体" w:hAnsi="宋体" w:cs="宋体" w:eastAsia="宋体" w:hint="default"/>
                <w:spacing w:val="-69"/>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中</w:t>
            </w:r>
            <w:r>
              <w:rPr>
                <w:rFonts w:ascii="宋体" w:hAnsi="宋体" w:cs="宋体" w:eastAsia="宋体" w:hint="default"/>
                <w:spacing w:val="-66"/>
                <w:sz w:val="21"/>
                <w:szCs w:val="21"/>
              </w:rPr>
              <w:t> </w:t>
            </w:r>
            <w:r>
              <w:rPr>
                <w:rFonts w:ascii="宋体" w:hAnsi="宋体" w:cs="宋体" w:eastAsia="宋体" w:hint="default"/>
                <w:sz w:val="21"/>
                <w:szCs w:val="21"/>
              </w:rPr>
              <w:t>小</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spacing w:val="-66"/>
                <w:sz w:val="21"/>
                <w:szCs w:val="21"/>
              </w:rPr>
              <w:t> </w:t>
            </w:r>
            <w:r>
              <w:rPr>
                <w:rFonts w:ascii="宋体" w:hAnsi="宋体" w:cs="宋体" w:eastAsia="宋体" w:hint="default"/>
                <w:sz w:val="21"/>
                <w:szCs w:val="21"/>
              </w:rPr>
              <w:t>业</w:t>
            </w:r>
            <w:r>
              <w:rPr>
                <w:rFonts w:ascii="宋体" w:hAnsi="宋体" w:cs="宋体" w:eastAsia="宋体" w:hint="default"/>
                <w:spacing w:val="-69"/>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spacing w:val="-66"/>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让</w:t>
            </w:r>
            <w:r>
              <w:rPr>
                <w:rFonts w:ascii="宋体" w:hAnsi="宋体" w:cs="宋体" w:eastAsia="宋体" w:hint="default"/>
                <w:spacing w:val="-66"/>
                <w:sz w:val="21"/>
                <w:szCs w:val="21"/>
              </w:rPr>
              <w:t> </w:t>
            </w:r>
            <w:r>
              <w:rPr>
                <w:rFonts w:ascii="宋体" w:hAnsi="宋体" w:cs="宋体" w:eastAsia="宋体" w:hint="default"/>
                <w:sz w:val="21"/>
                <w:szCs w:val="21"/>
              </w:rPr>
              <w:t>系</w:t>
            </w:r>
            <w:r>
              <w:rPr>
                <w:rFonts w:ascii="宋体" w:hAnsi="宋体" w:cs="宋体" w:eastAsia="宋体" w:hint="default"/>
                <w:spacing w:val="-69"/>
                <w:sz w:val="21"/>
                <w:szCs w:val="21"/>
              </w:rPr>
              <w:t> </w:t>
            </w:r>
            <w:r>
              <w:rPr>
                <w:rFonts w:ascii="宋体" w:hAnsi="宋体" w:cs="宋体" w:eastAsia="宋体" w:hint="default"/>
                <w:sz w:val="21"/>
                <w:szCs w:val="21"/>
              </w:rPr>
              <w:t>统</w:t>
            </w:r>
            <w:r>
              <w:rPr>
                <w:rFonts w:ascii="宋体" w:hAnsi="宋体" w:cs="宋体" w:eastAsia="宋体" w:hint="default"/>
                <w:spacing w:val="-69"/>
                <w:sz w:val="21"/>
                <w:szCs w:val="21"/>
              </w:rPr>
              <w:t> </w:t>
            </w:r>
            <w:r>
              <w:rPr>
                <w:rFonts w:ascii="宋体" w:hAnsi="宋体" w:cs="宋体" w:eastAsia="宋体" w:hint="default"/>
                <w:sz w:val="21"/>
                <w:szCs w:val="21"/>
              </w:rPr>
              <w:t>挂</w:t>
            </w:r>
            <w:r>
              <w:rPr>
                <w:rFonts w:ascii="宋体" w:hAnsi="宋体" w:cs="宋体" w:eastAsia="宋体" w:hint="default"/>
                <w:spacing w:val="-66"/>
                <w:sz w:val="21"/>
                <w:szCs w:val="21"/>
              </w:rPr>
              <w:t> </w:t>
            </w:r>
            <w:r>
              <w:rPr>
                <w:rFonts w:ascii="宋体" w:hAnsi="宋体" w:cs="宋体" w:eastAsia="宋体" w:hint="default"/>
                <w:sz w:val="21"/>
                <w:szCs w:val="21"/>
              </w:rPr>
              <w:t>牌</w:t>
            </w:r>
            <w:r>
              <w:rPr>
                <w:rFonts w:ascii="宋体" w:hAnsi="宋体" w:cs="宋体" w:eastAsia="宋体" w:hint="default"/>
                <w:w w:val="100"/>
                <w:sz w:val="21"/>
                <w:szCs w:val="21"/>
              </w:rPr>
              <w:t> </w:t>
            </w:r>
            <w:r>
              <w:rPr>
                <w:rFonts w:ascii="宋体" w:hAnsi="宋体" w:cs="宋体" w:eastAsia="宋体" w:hint="default"/>
                <w:sz w:val="21"/>
                <w:szCs w:val="21"/>
              </w:rPr>
              <w:t>的费用</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-24,138,809</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处置可供出售金融资产及长期股权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139,049,539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6"/>
                <w:sz w:val="21"/>
                <w:szCs w:val="21"/>
              </w:rPr>
              <w:t> </w:t>
            </w:r>
            <w:r>
              <w:rPr>
                <w:rFonts w:ascii="宋体" w:hAnsi="宋体" w:cs="宋体" w:eastAsia="宋体" w:hint="default"/>
                <w:sz w:val="21"/>
                <w:szCs w:val="21"/>
              </w:rPr>
              <w:t>要</w:t>
            </w:r>
            <w:r>
              <w:rPr>
                <w:rFonts w:ascii="宋体" w:hAnsi="宋体" w:cs="宋体" w:eastAsia="宋体" w:hint="default"/>
                <w:spacing w:val="-69"/>
                <w:sz w:val="21"/>
                <w:szCs w:val="21"/>
              </w:rPr>
              <w:t> </w:t>
            </w:r>
            <w:r>
              <w:rPr>
                <w:rFonts w:ascii="宋体" w:hAnsi="宋体" w:cs="宋体" w:eastAsia="宋体" w:hint="default"/>
                <w:sz w:val="21"/>
                <w:szCs w:val="21"/>
              </w:rPr>
              <w:t>为</w:t>
            </w:r>
            <w:r>
              <w:rPr>
                <w:rFonts w:ascii="宋体" w:hAnsi="宋体" w:cs="宋体" w:eastAsia="宋体" w:hint="default"/>
                <w:spacing w:val="-69"/>
                <w:sz w:val="21"/>
                <w:szCs w:val="21"/>
              </w:rPr>
              <w:t> </w:t>
            </w:r>
            <w:r>
              <w:rPr>
                <w:rFonts w:ascii="宋体" w:hAnsi="宋体" w:cs="宋体" w:eastAsia="宋体" w:hint="default"/>
                <w:sz w:val="21"/>
                <w:szCs w:val="21"/>
              </w:rPr>
              <w:t>转</w:t>
            </w:r>
            <w:r>
              <w:rPr>
                <w:rFonts w:ascii="宋体" w:hAnsi="宋体" w:cs="宋体" w:eastAsia="宋体" w:hint="default"/>
                <w:spacing w:val="-66"/>
                <w:sz w:val="21"/>
                <w:szCs w:val="21"/>
              </w:rPr>
              <w:t> </w:t>
            </w:r>
            <w:r>
              <w:rPr>
                <w:rFonts w:ascii="宋体" w:hAnsi="宋体" w:cs="宋体" w:eastAsia="宋体" w:hint="default"/>
                <w:sz w:val="21"/>
                <w:szCs w:val="21"/>
              </w:rPr>
              <w:t>让</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9"/>
                <w:sz w:val="21"/>
                <w:szCs w:val="21"/>
              </w:rPr>
              <w:t> </w:t>
            </w:r>
            <w:r>
              <w:rPr>
                <w:rFonts w:ascii="宋体" w:hAnsi="宋体" w:cs="宋体" w:eastAsia="宋体" w:hint="default"/>
                <w:sz w:val="21"/>
                <w:szCs w:val="21"/>
              </w:rPr>
              <w:t>持</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北</w:t>
            </w:r>
            <w:r>
              <w:rPr>
                <w:rFonts w:ascii="宋体" w:hAnsi="宋体" w:cs="宋体" w:eastAsia="宋体" w:hint="default"/>
                <w:spacing w:val="-66"/>
                <w:sz w:val="21"/>
                <w:szCs w:val="21"/>
              </w:rPr>
              <w:t> </w:t>
            </w:r>
            <w:r>
              <w:rPr>
                <w:rFonts w:ascii="宋体" w:hAnsi="宋体" w:cs="宋体" w:eastAsia="宋体" w:hint="default"/>
                <w:sz w:val="21"/>
                <w:szCs w:val="21"/>
              </w:rPr>
              <w:t>京</w:t>
            </w:r>
            <w:r>
              <w:rPr>
                <w:rFonts w:ascii="宋体" w:hAnsi="宋体" w:cs="宋体" w:eastAsia="宋体" w:hint="default"/>
                <w:spacing w:val="-69"/>
                <w:sz w:val="21"/>
                <w:szCs w:val="21"/>
              </w:rPr>
              <w:t> </w:t>
            </w:r>
            <w:r>
              <w:rPr>
                <w:rFonts w:ascii="宋体" w:hAnsi="宋体" w:cs="宋体" w:eastAsia="宋体" w:hint="default"/>
                <w:sz w:val="21"/>
                <w:szCs w:val="21"/>
              </w:rPr>
              <w:t>致</w:t>
            </w:r>
            <w:r>
              <w:rPr>
                <w:rFonts w:ascii="宋体" w:hAnsi="宋体" w:cs="宋体" w:eastAsia="宋体" w:hint="default"/>
                <w:spacing w:val="-69"/>
                <w:sz w:val="21"/>
                <w:szCs w:val="21"/>
              </w:rPr>
              <w:t> </w:t>
            </w:r>
            <w:r>
              <w:rPr>
                <w:rFonts w:ascii="宋体" w:hAnsi="宋体" w:cs="宋体" w:eastAsia="宋体" w:hint="default"/>
                <w:sz w:val="21"/>
                <w:szCs w:val="21"/>
              </w:rPr>
              <w:t>远</w:t>
            </w:r>
            <w:r>
              <w:rPr>
                <w:rFonts w:ascii="宋体" w:hAnsi="宋体" w:cs="宋体" w:eastAsia="宋体" w:hint="default"/>
                <w:spacing w:val="-66"/>
                <w:sz w:val="21"/>
                <w:szCs w:val="21"/>
              </w:rPr>
              <w:t> </w:t>
            </w:r>
            <w:r>
              <w:rPr>
                <w:rFonts w:ascii="宋体" w:hAnsi="宋体" w:cs="宋体" w:eastAsia="宋体" w:hint="default"/>
                <w:sz w:val="21"/>
                <w:szCs w:val="21"/>
              </w:rPr>
              <w:t>协</w:t>
            </w:r>
            <w:r>
              <w:rPr>
                <w:rFonts w:ascii="宋体" w:hAnsi="宋体" w:cs="宋体" w:eastAsia="宋体" w:hint="default"/>
                <w:w w:val="100"/>
                <w:sz w:val="21"/>
                <w:szCs w:val="21"/>
              </w:rPr>
              <w:t> </w:t>
            </w:r>
            <w:r>
              <w:rPr>
                <w:rFonts w:ascii="宋体" w:hAnsi="宋体" w:cs="宋体" w:eastAsia="宋体" w:hint="default"/>
                <w:sz w:val="21"/>
                <w:szCs w:val="21"/>
              </w:rPr>
              <w:t>创</w:t>
            </w:r>
            <w:r>
              <w:rPr>
                <w:rFonts w:ascii="宋体" w:hAnsi="宋体" w:cs="宋体" w:eastAsia="宋体" w:hint="default"/>
                <w:spacing w:val="-66"/>
                <w:sz w:val="21"/>
                <w:szCs w:val="21"/>
              </w:rPr>
              <w:t> </w:t>
            </w:r>
            <w:r>
              <w:rPr>
                <w:rFonts w:ascii="宋体" w:hAnsi="宋体" w:cs="宋体" w:eastAsia="宋体" w:hint="default"/>
                <w:sz w:val="21"/>
                <w:szCs w:val="21"/>
              </w:rPr>
              <w:t>软</w:t>
            </w:r>
            <w:r>
              <w:rPr>
                <w:rFonts w:ascii="宋体" w:hAnsi="宋体" w:cs="宋体" w:eastAsia="宋体" w:hint="default"/>
                <w:spacing w:val="-69"/>
                <w:sz w:val="21"/>
                <w:szCs w:val="21"/>
              </w:rPr>
              <w:t> </w:t>
            </w:r>
            <w:r>
              <w:rPr>
                <w:rFonts w:ascii="宋体" w:hAnsi="宋体" w:cs="宋体" w:eastAsia="宋体" w:hint="default"/>
                <w:sz w:val="21"/>
                <w:szCs w:val="21"/>
              </w:rPr>
              <w:t>件</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pacing w:val="10"/>
                <w:sz w:val="21"/>
                <w:szCs w:val="21"/>
              </w:rPr>
              <w:t>公司</w:t>
            </w:r>
            <w:r>
              <w:rPr>
                <w:rFonts w:ascii="宋体" w:hAnsi="宋体" w:cs="宋体" w:eastAsia="宋体" w:hint="default"/>
                <w:spacing w:val="28"/>
                <w:sz w:val="21"/>
                <w:szCs w:val="21"/>
              </w:rPr>
              <w:t> </w:t>
            </w:r>
            <w:r>
              <w:rPr>
                <w:rFonts w:ascii="宋体" w:hAnsi="宋体" w:cs="宋体" w:eastAsia="宋体" w:hint="default"/>
                <w:sz w:val="21"/>
                <w:szCs w:val="21"/>
              </w:rPr>
              <w:t>26.52%</w:t>
            </w:r>
          </w:p>
          <w:p>
            <w:pPr>
              <w:pStyle w:val="TableParagraph"/>
              <w:spacing w:line="274" w:lineRule="exact" w:before="22"/>
              <w:ind w:left="103" w:right="60"/>
              <w:jc w:val="both"/>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权</w:t>
            </w:r>
            <w:r>
              <w:rPr>
                <w:rFonts w:ascii="宋体" w:hAnsi="宋体" w:cs="宋体" w:eastAsia="宋体" w:hint="default"/>
                <w:spacing w:val="-68"/>
                <w:sz w:val="21"/>
                <w:szCs w:val="21"/>
              </w:rPr>
              <w:t> </w:t>
            </w:r>
            <w:r>
              <w:rPr>
                <w:rFonts w:ascii="宋体" w:hAnsi="宋体" w:cs="宋体" w:eastAsia="宋体" w:hint="default"/>
                <w:spacing w:val="18"/>
                <w:sz w:val="21"/>
                <w:szCs w:val="21"/>
              </w:rPr>
              <w:t>产生</w:t>
            </w:r>
            <w:r>
              <w:rPr>
                <w:rFonts w:ascii="宋体" w:hAnsi="宋体" w:cs="宋体" w:eastAsia="宋体" w:hint="default"/>
                <w:spacing w:val="-103"/>
                <w:sz w:val="21"/>
                <w:szCs w:val="21"/>
              </w:rPr>
              <w:t> </w:t>
            </w:r>
            <w:r>
              <w:rPr>
                <w:rFonts w:ascii="宋体" w:hAnsi="宋体" w:cs="宋体" w:eastAsia="宋体" w:hint="default"/>
                <w:sz w:val="21"/>
                <w:szCs w:val="21"/>
              </w:rPr>
              <w:t>的收益</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6,494,661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74,925,673</w:t>
            </w:r>
          </w:p>
        </w:tc>
      </w:tr>
      <w:tr>
        <w:trPr>
          <w:trHeight w:val="554"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丧失控制权后剩余股权按公允价值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重新计量的利得</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26,064,653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-41,003,212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-5,977,343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-15,266,221</w:t>
            </w:r>
          </w:p>
        </w:tc>
      </w:tr>
      <w:tr>
        <w:trPr>
          <w:trHeight w:val="283"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217,764,369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32,157,517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128,086,313</w:t>
            </w:r>
          </w:p>
        </w:tc>
      </w:tr>
    </w:tbl>
    <w:p>
      <w:pPr>
        <w:pStyle w:val="BodyText"/>
        <w:spacing w:line="297" w:lineRule="auto" w:before="86"/>
        <w:ind w:left="218" w:right="225"/>
        <w:jc w:val="left"/>
      </w:pPr>
      <w:r>
        <w:rPr>
          <w:spacing w:val="-2"/>
        </w:rPr>
        <w:t>注：公司对非经常性损益项目的确认依照中国证券监督管理委员会公告</w:t>
      </w:r>
      <w:r>
        <w:rPr>
          <w:rFonts w:ascii="宋体" w:hAnsi="宋体" w:cs="宋体" w:eastAsia="宋体" w:hint="default"/>
          <w:spacing w:val="-2"/>
        </w:rPr>
        <w:t>[2008]43</w:t>
      </w:r>
      <w:r>
        <w:rPr>
          <w:rFonts w:ascii="宋体" w:hAnsi="宋体" w:cs="宋体" w:eastAsia="宋体" w:hint="default"/>
        </w:rPr>
        <w:t> </w:t>
      </w:r>
      <w:r>
        <w:rPr>
          <w:spacing w:val="-5"/>
        </w:rPr>
        <w:t>号《公开发行证</w:t>
      </w:r>
      <w:r>
        <w:rPr>
          <w:spacing w:val="-95"/>
        </w:rPr>
        <w:t> </w:t>
      </w:r>
      <w:r>
        <w:rPr>
          <w:spacing w:val="-95"/>
        </w:rPr>
      </w:r>
      <w:r>
        <w:rPr/>
        <w:t>券的公司信息披露解释性公告第</w:t>
      </w:r>
      <w:r>
        <w:rPr>
          <w:spacing w:val="-57"/>
        </w:rPr>
        <w:t> </w:t>
      </w:r>
      <w:r>
        <w:rPr>
          <w:rFonts w:ascii="宋体" w:hAnsi="宋体" w:cs="宋体" w:eastAsia="宋体" w:hint="default"/>
        </w:rPr>
        <w:t>1</w:t>
      </w:r>
      <w:r>
        <w:rPr>
          <w:rFonts w:ascii="宋体" w:hAnsi="宋体" w:cs="宋体" w:eastAsia="宋体" w:hint="default"/>
          <w:spacing w:val="-57"/>
        </w:rPr>
        <w:t> </w:t>
      </w:r>
      <w:r>
        <w:rPr/>
        <w:t>号</w:t>
      </w:r>
      <w:r>
        <w:rPr>
          <w:rFonts w:ascii="宋体" w:hAnsi="宋体" w:cs="宋体" w:eastAsia="宋体" w:hint="default"/>
        </w:rPr>
        <w:t>-</w:t>
      </w:r>
      <w:r>
        <w:rPr/>
        <w:t>非经常性损益</w:t>
      </w:r>
      <w:r>
        <w:rPr>
          <w:rFonts w:ascii="宋体" w:hAnsi="宋体" w:cs="宋体" w:eastAsia="宋体" w:hint="default"/>
        </w:rPr>
        <w:t>(2008)</w:t>
      </w:r>
      <w:r>
        <w:rPr/>
        <w:t>》的规定执行。</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tabs>
          <w:tab w:pos="1057" w:val="left" w:leader="none"/>
        </w:tabs>
        <w:spacing w:before="0"/>
        <w:ind w:left="218" w:right="2465" w:firstLine="0"/>
        <w:jc w:val="left"/>
        <w:rPr>
          <w:rFonts w:ascii="宋体" w:hAnsi="宋体" w:cs="宋体" w:eastAsia="宋体" w:hint="default"/>
          <w:sz w:val="21"/>
          <w:szCs w:val="21"/>
        </w:rPr>
      </w:pPr>
      <w:r>
        <w:rPr>
          <w:rFonts w:ascii="宋体" w:hAnsi="宋体" w:cs="宋体" w:eastAsia="宋体" w:hint="default"/>
          <w:b/>
          <w:bCs/>
          <w:w w:val="95"/>
          <w:sz w:val="20"/>
          <w:szCs w:val="20"/>
        </w:rPr>
        <w:t>十一、</w:t>
        <w:tab/>
      </w:r>
      <w:r>
        <w:rPr>
          <w:rFonts w:ascii="宋体" w:hAnsi="宋体" w:cs="宋体" w:eastAsia="宋体" w:hint="default"/>
          <w:b/>
          <w:bCs/>
          <w:sz w:val="21"/>
          <w:szCs w:val="21"/>
        </w:rPr>
        <w:t>采用公允价值计量的项目</w:t>
      </w:r>
      <w:r>
        <w:rPr>
          <w:rFonts w:ascii="宋体" w:hAnsi="宋体" w:cs="宋体" w:eastAsia="宋体" w:hint="default"/>
          <w:sz w:val="21"/>
          <w:szCs w:val="21"/>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47"/>
              <w:jc w:val="right"/>
              <w:rPr>
                <w:rFonts w:ascii="宋体" w:hAnsi="宋体" w:cs="宋体" w:eastAsia="宋体" w:hint="default"/>
                <w:sz w:val="21"/>
                <w:szCs w:val="21"/>
              </w:rPr>
            </w:pPr>
            <w:r>
              <w:rPr>
                <w:rFonts w:ascii="宋体" w:hAnsi="宋体" w:cs="宋体" w:eastAsia="宋体" w:hint="default"/>
                <w:spacing w:val="-1"/>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3"/>
              <w:jc w:val="right"/>
              <w:rPr>
                <w:rFonts w:ascii="宋体" w:hAnsi="宋体" w:cs="宋体" w:eastAsia="宋体" w:hint="default"/>
                <w:sz w:val="21"/>
                <w:szCs w:val="21"/>
              </w:rPr>
            </w:pPr>
            <w:r>
              <w:rPr>
                <w:rFonts w:ascii="宋体" w:hAnsi="宋体" w:cs="宋体" w:eastAsia="宋体" w:hint="default"/>
                <w:spacing w:val="-1"/>
                <w:sz w:val="21"/>
                <w:szCs w:val="21"/>
              </w:rPr>
              <w:t>外汇掉期交易</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58,794,001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58,794,001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-1,705,998</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58,794,001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58,794,001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-1,705,998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tabs>
          <w:tab w:pos="1057" w:val="left" w:leader="none"/>
        </w:tabs>
        <w:spacing w:before="36"/>
        <w:ind w:left="218" w:right="2465" w:firstLine="0"/>
        <w:jc w:val="left"/>
        <w:rPr>
          <w:rFonts w:ascii="宋体" w:hAnsi="宋体" w:cs="宋体" w:eastAsia="宋体" w:hint="default"/>
          <w:sz w:val="21"/>
          <w:szCs w:val="21"/>
        </w:rPr>
      </w:pPr>
      <w:r>
        <w:rPr>
          <w:rFonts w:ascii="宋体" w:hAnsi="宋体" w:cs="宋体" w:eastAsia="宋体" w:hint="default"/>
          <w:b/>
          <w:bCs/>
          <w:w w:val="95"/>
          <w:sz w:val="20"/>
          <w:szCs w:val="20"/>
        </w:rPr>
        <w:t>十二、</w:t>
        <w:tab/>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pStyle w:val="Heading1"/>
        <w:tabs>
          <w:tab w:pos="1259" w:val="left" w:leader="none"/>
        </w:tabs>
        <w:spacing w:line="240" w:lineRule="auto" w:before="25"/>
        <w:ind w:right="15"/>
        <w:jc w:val="center"/>
        <w:rPr>
          <w:b w:val="0"/>
          <w:bCs w:val="0"/>
        </w:rPr>
      </w:pPr>
      <w:bookmarkStart w:name="_TOC_250009" w:id="3"/>
      <w:r>
        <w:rPr>
          <w:w w:val="95"/>
        </w:rPr>
        <w:t>第三节</w:t>
        <w:tab/>
      </w:r>
      <w:r>
        <w:rPr/>
        <w:t>公司业务概要</w:t>
      </w:r>
      <w:bookmarkEnd w:id="3"/>
      <w:r>
        <w:rPr>
          <w:b w:val="0"/>
          <w:bCs w:val="0"/>
        </w:rPr>
      </w:r>
    </w:p>
    <w:p>
      <w:pPr>
        <w:pStyle w:val="Heading2"/>
        <w:spacing w:line="240" w:lineRule="auto" w:before="250"/>
        <w:ind w:right="2465"/>
        <w:jc w:val="left"/>
        <w:rPr>
          <w:b w:val="0"/>
          <w:bCs w:val="0"/>
        </w:rPr>
      </w:pPr>
      <w:r>
        <w:rPr>
          <w:sz w:val="20"/>
          <w:szCs w:val="20"/>
        </w:rPr>
        <w:t>一、</w:t>
      </w:r>
      <w:r>
        <w:rPr>
          <w:spacing w:val="-86"/>
          <w:sz w:val="20"/>
          <w:szCs w:val="20"/>
        </w:rPr>
        <w:t> </w:t>
      </w:r>
      <w:r>
        <w:rPr/>
        <w:t>报告期内公司所从事的主要业务、经营模式及行业情况说明</w:t>
      </w:r>
      <w:r>
        <w:rPr>
          <w:b w:val="0"/>
          <w:bCs w:val="0"/>
        </w:rPr>
      </w:r>
    </w:p>
    <w:p>
      <w:pPr>
        <w:spacing w:line="403" w:lineRule="auto" w:before="118"/>
        <w:ind w:left="638" w:right="225" w:firstLine="0"/>
        <w:jc w:val="left"/>
        <w:rPr>
          <w:rFonts w:ascii="宋体" w:hAnsi="宋体" w:cs="宋体" w:eastAsia="宋体" w:hint="default"/>
          <w:sz w:val="21"/>
          <w:szCs w:val="21"/>
        </w:rPr>
      </w:pPr>
      <w:r>
        <w:rPr>
          <w:rFonts w:ascii="宋体" w:hAnsi="宋体" w:cs="宋体" w:eastAsia="宋体" w:hint="default"/>
          <w:b/>
          <w:bCs/>
          <w:sz w:val="21"/>
          <w:szCs w:val="21"/>
        </w:rPr>
        <w:t>（一）报告期内公司主要业务及经营模式说明</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报告期内，公司所从事的主要业务为软件及服务业务、企业互联网服务、互联网金融服务。</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公司的主要业务模块图如下：</w:t>
      </w:r>
    </w:p>
    <w:p>
      <w:pPr>
        <w:spacing w:after="0" w:line="403" w:lineRule="auto"/>
        <w:jc w:val="left"/>
        <w:rPr>
          <w:rFonts w:ascii="宋体" w:hAnsi="宋体" w:cs="宋体" w:eastAsia="宋体" w:hint="default"/>
          <w:sz w:val="21"/>
          <w:szCs w:val="21"/>
        </w:rPr>
        <w:sectPr>
          <w:pgSz w:w="11910" w:h="16840"/>
          <w:pgMar w:header="880" w:footer="1335" w:top="1120" w:bottom="152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4389" w:lineRule="exact"/>
        <w:ind w:left="617"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5270681" cy="278701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5270681" cy="2787014"/>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5"/>
        <w:rPr>
          <w:rFonts w:ascii="宋体" w:hAnsi="宋体" w:cs="宋体" w:eastAsia="宋体" w:hint="default"/>
          <w:sz w:val="11"/>
          <w:szCs w:val="11"/>
        </w:rPr>
      </w:pPr>
    </w:p>
    <w:p>
      <w:pPr>
        <w:pStyle w:val="Heading2"/>
        <w:spacing w:line="240" w:lineRule="auto"/>
        <w:ind w:left="560" w:right="2465"/>
        <w:jc w:val="left"/>
        <w:rPr>
          <w:b w:val="0"/>
          <w:bCs w:val="0"/>
        </w:rPr>
      </w:pPr>
      <w:r>
        <w:rPr>
          <w:rFonts w:ascii="宋体" w:hAnsi="宋体" w:cs="宋体" w:eastAsia="宋体" w:hint="default"/>
        </w:rPr>
        <w:t>1</w:t>
      </w:r>
      <w:r>
        <w:rPr/>
        <w:t>、软件及服务业务</w:t>
      </w:r>
      <w:r>
        <w:rPr>
          <w:b w:val="0"/>
          <w:bCs w:val="0"/>
        </w:rPr>
      </w:r>
    </w:p>
    <w:p>
      <w:pPr>
        <w:pStyle w:val="BodyText"/>
        <w:spacing w:line="460" w:lineRule="atLeast" w:before="1"/>
        <w:ind w:left="558" w:right="99"/>
        <w:jc w:val="left"/>
      </w:pPr>
      <w:r>
        <w:rPr/>
        <w:t>（</w:t>
      </w:r>
      <w:r>
        <w:rPr>
          <w:rFonts w:ascii="宋体" w:hAnsi="宋体" w:cs="宋体" w:eastAsia="宋体" w:hint="default"/>
        </w:rPr>
        <w:t>1</w:t>
      </w:r>
      <w:r>
        <w:rPr/>
        <w:t>）面向大型企业的解决方案与专业服务业务</w:t>
      </w:r>
      <w:r>
        <w:rPr>
          <w:w w:val="100"/>
        </w:rPr>
        <w:t> </w:t>
      </w:r>
      <w:r>
        <w:rPr/>
        <w:t>公司面向大型企业和集团的解决方案与专业服务业务主要是面向大型企业提供全面</w:t>
      </w:r>
      <w:r>
        <w:rPr>
          <w:spacing w:val="-47"/>
        </w:rPr>
        <w:t> </w:t>
      </w:r>
      <w:r>
        <w:rPr>
          <w:rFonts w:ascii="宋体" w:hAnsi="宋体" w:cs="宋体" w:eastAsia="宋体" w:hint="default"/>
        </w:rPr>
        <w:t>ERP</w:t>
      </w:r>
      <w:r>
        <w:rPr>
          <w:rFonts w:ascii="宋体" w:hAnsi="宋体" w:cs="宋体" w:eastAsia="宋体" w:hint="default"/>
          <w:spacing w:val="-50"/>
        </w:rPr>
        <w:t> </w:t>
      </w:r>
      <w:r>
        <w:rPr>
          <w:spacing w:val="-3"/>
        </w:rPr>
        <w:t>产品、</w:t>
      </w:r>
      <w:r>
        <w:rPr/>
      </w:r>
    </w:p>
    <w:p>
      <w:pPr>
        <w:pStyle w:val="BodyText"/>
        <w:spacing w:line="297" w:lineRule="auto" w:before="66"/>
        <w:ind w:right="307"/>
        <w:jc w:val="both"/>
      </w:pPr>
      <w:r>
        <w:rPr/>
        <w:t>解决方案、技术产品平台和专业服务</w:t>
      </w:r>
      <w:r>
        <w:rPr>
          <w:rFonts w:ascii="宋体" w:hAnsi="宋体" w:cs="宋体" w:eastAsia="宋体" w:hint="default"/>
        </w:rPr>
        <w:t>,</w:t>
      </w:r>
      <w:r>
        <w:rPr/>
        <w:t>产品主要包括</w:t>
      </w:r>
      <w:r>
        <w:rPr>
          <w:spacing w:val="-51"/>
        </w:rPr>
        <w:t> </w:t>
      </w:r>
      <w:r>
        <w:rPr>
          <w:rFonts w:ascii="宋体" w:hAnsi="宋体" w:cs="宋体" w:eastAsia="宋体" w:hint="default"/>
        </w:rPr>
        <w:t>NC</w:t>
      </w:r>
      <w:r>
        <w:rPr>
          <w:rFonts w:ascii="宋体" w:hAnsi="宋体" w:cs="宋体" w:eastAsia="宋体" w:hint="default"/>
          <w:spacing w:val="-53"/>
        </w:rPr>
        <w:t> </w:t>
      </w:r>
      <w:r>
        <w:rPr>
          <w:spacing w:val="-3"/>
        </w:rPr>
        <w:t>产品线、</w:t>
      </w:r>
      <w:r>
        <w:rPr>
          <w:rFonts w:ascii="宋体" w:hAnsi="宋体" w:cs="宋体" w:eastAsia="宋体" w:hint="default"/>
          <w:spacing w:val="-3"/>
        </w:rPr>
        <w:t>U9</w:t>
      </w:r>
      <w:r>
        <w:rPr>
          <w:rFonts w:ascii="宋体" w:hAnsi="宋体" w:cs="宋体" w:eastAsia="宋体" w:hint="default"/>
          <w:spacing w:val="-51"/>
        </w:rPr>
        <w:t> </w:t>
      </w:r>
      <w:r>
        <w:rPr>
          <w:spacing w:val="-3"/>
        </w:rPr>
        <w:t>产品线、</w:t>
      </w:r>
      <w:r>
        <w:rPr>
          <w:rFonts w:ascii="宋体" w:hAnsi="宋体" w:cs="宋体" w:eastAsia="宋体" w:hint="default"/>
          <w:spacing w:val="-3"/>
        </w:rPr>
        <w:t>PLM</w:t>
      </w:r>
      <w:r>
        <w:rPr>
          <w:rFonts w:ascii="宋体" w:hAnsi="宋体" w:cs="宋体" w:eastAsia="宋体" w:hint="default"/>
          <w:spacing w:val="-50"/>
        </w:rPr>
        <w:t> </w:t>
      </w:r>
      <w:r>
        <w:rPr>
          <w:spacing w:val="-4"/>
        </w:rPr>
        <w:t>产品线。其中</w:t>
      </w:r>
      <w:r>
        <w:rPr>
          <w:spacing w:val="-51"/>
        </w:rPr>
        <w:t> </w:t>
      </w:r>
      <w:r>
        <w:rPr>
          <w:rFonts w:ascii="宋体" w:hAnsi="宋体" w:cs="宋体" w:eastAsia="宋体" w:hint="default"/>
          <w:spacing w:val="-3"/>
        </w:rPr>
        <w:t>NC</w:t>
      </w:r>
      <w:r>
        <w:rPr>
          <w:rFonts w:ascii="宋体" w:hAnsi="宋体" w:cs="宋体" w:eastAsia="宋体" w:hint="default"/>
          <w:spacing w:val="-3"/>
          <w:w w:val="100"/>
        </w:rPr>
        <w:t> </w:t>
      </w:r>
      <w:r>
        <w:rPr/>
        <w:t>产品线为业务重点，</w:t>
      </w:r>
      <w:r>
        <w:rPr>
          <w:rFonts w:ascii="宋体" w:hAnsi="宋体" w:cs="宋体" w:eastAsia="宋体" w:hint="default"/>
        </w:rPr>
        <w:t>NC</w:t>
      </w:r>
      <w:r>
        <w:rPr>
          <w:rFonts w:ascii="宋体" w:hAnsi="宋体" w:cs="宋体" w:eastAsia="宋体" w:hint="default"/>
          <w:spacing w:val="-46"/>
        </w:rPr>
        <w:t> </w:t>
      </w:r>
      <w:r>
        <w:rPr/>
        <w:t>产品线聚焦了</w:t>
      </w:r>
      <w:r>
        <w:rPr>
          <w:spacing w:val="-45"/>
        </w:rPr>
        <w:t> </w:t>
      </w:r>
      <w:r>
        <w:rPr>
          <w:rFonts w:ascii="宋体" w:hAnsi="宋体" w:cs="宋体" w:eastAsia="宋体" w:hint="default"/>
        </w:rPr>
        <w:t>7</w:t>
      </w:r>
      <w:r>
        <w:rPr>
          <w:rFonts w:ascii="宋体" w:hAnsi="宋体" w:cs="宋体" w:eastAsia="宋体" w:hint="default"/>
          <w:spacing w:val="-45"/>
        </w:rPr>
        <w:t> </w:t>
      </w:r>
      <w:r>
        <w:rPr>
          <w:spacing w:val="-3"/>
        </w:rPr>
        <w:t>大领域即集团管控、供应链、电子商务、制造资产、人力</w:t>
      </w:r>
      <w:r>
        <w:rPr>
          <w:spacing w:val="-102"/>
        </w:rPr>
        <w:t> </w:t>
      </w:r>
      <w:r>
        <w:rPr>
          <w:spacing w:val="-102"/>
        </w:rPr>
      </w:r>
      <w:r>
        <w:rPr/>
        <w:t>协同、项目管理和</w:t>
      </w:r>
      <w:r>
        <w:rPr>
          <w:spacing w:val="-33"/>
        </w:rPr>
        <w:t> </w:t>
      </w:r>
      <w:r>
        <w:rPr>
          <w:rFonts w:ascii="宋体" w:hAnsi="宋体" w:cs="宋体" w:eastAsia="宋体" w:hint="default"/>
        </w:rPr>
        <w:t>iUAP</w:t>
      </w:r>
      <w:r>
        <w:rPr/>
        <w:t>，对</w:t>
      </w:r>
      <w:r>
        <w:rPr>
          <w:spacing w:val="-33"/>
        </w:rPr>
        <w:t> </w:t>
      </w:r>
      <w:r>
        <w:rPr>
          <w:rFonts w:ascii="宋体" w:hAnsi="宋体" w:cs="宋体" w:eastAsia="宋体" w:hint="default"/>
        </w:rPr>
        <w:t>20</w:t>
      </w:r>
      <w:r>
        <w:rPr>
          <w:rFonts w:ascii="宋体" w:hAnsi="宋体" w:cs="宋体" w:eastAsia="宋体" w:hint="default"/>
          <w:spacing w:val="-35"/>
        </w:rPr>
        <w:t> </w:t>
      </w:r>
      <w:r>
        <w:rPr/>
        <w:t>个子领域诸如财务共享、电子销售、生产制造等进行创新优化，</w:t>
      </w:r>
      <w:r>
        <w:rPr>
          <w:w w:val="100"/>
        </w:rPr>
        <w:t> </w:t>
      </w:r>
      <w:r>
        <w:rPr>
          <w:spacing w:val="-1"/>
        </w:rPr>
        <w:t>致力于助力和推动大型企业的互联网化。公司面向大型企业和集团的业务经营模式是为客户提供</w:t>
      </w:r>
      <w:r>
        <w:rPr>
          <w:spacing w:val="-55"/>
        </w:rPr>
        <w:t> </w:t>
      </w:r>
      <w:r>
        <w:rPr>
          <w:spacing w:val="-55"/>
        </w:rPr>
      </w:r>
      <w:r>
        <w:rPr>
          <w:spacing w:val="-3"/>
        </w:rPr>
        <w:t>标准产品及解决方案服务、专业服务（咨询、</w:t>
      </w:r>
      <w:r>
        <w:rPr>
          <w:rFonts w:ascii="宋体" w:hAnsi="宋体" w:cs="宋体" w:eastAsia="宋体" w:hint="default"/>
          <w:spacing w:val="-3"/>
        </w:rPr>
        <w:t>IT </w:t>
      </w:r>
      <w:r>
        <w:rPr>
          <w:spacing w:val="-3"/>
        </w:rPr>
        <w:t>系统建设、运营支撑），收入主要包括标准产品</w:t>
      </w:r>
      <w:r>
        <w:rPr>
          <w:spacing w:val="-75"/>
        </w:rPr>
        <w:t> </w:t>
      </w:r>
      <w:r>
        <w:rPr>
          <w:spacing w:val="-75"/>
        </w:rPr>
      </w:r>
      <w:r>
        <w:rPr>
          <w:spacing w:val="-4"/>
        </w:rPr>
        <w:t>软件许可（</w:t>
      </w:r>
      <w:r>
        <w:rPr>
          <w:rFonts w:ascii="宋体" w:hAnsi="宋体" w:cs="宋体" w:eastAsia="宋体" w:hint="default"/>
          <w:spacing w:val="-4"/>
        </w:rPr>
        <w:t>License</w:t>
      </w:r>
      <w:r>
        <w:rPr>
          <w:spacing w:val="-4"/>
        </w:rPr>
        <w:t>）收入、咨询实施服务收入、客户化开发服务收入（含软件许可收入）、需求</w:t>
      </w:r>
      <w:r>
        <w:rPr>
          <w:spacing w:val="-27"/>
        </w:rPr>
        <w:t> </w:t>
      </w:r>
      <w:r>
        <w:rPr>
          <w:spacing w:val="-27"/>
        </w:rPr>
      </w:r>
      <w:r>
        <w:rPr/>
        <w:t>变更服务收入、产品支持服务收入、系统运维服务收入（含驻场服务收入）、培训服务收入。</w:t>
      </w:r>
    </w:p>
    <w:p>
      <w:pPr>
        <w:pStyle w:val="BodyText"/>
        <w:spacing w:line="460" w:lineRule="exact" w:before="13"/>
        <w:ind w:left="558" w:right="304"/>
        <w:jc w:val="left"/>
      </w:pPr>
      <w:r>
        <w:rPr/>
        <w:t>（</w:t>
      </w:r>
      <w:r>
        <w:rPr>
          <w:rFonts w:ascii="宋体" w:hAnsi="宋体" w:cs="宋体" w:eastAsia="宋体" w:hint="default"/>
        </w:rPr>
        <w:t>2</w:t>
      </w:r>
      <w:r>
        <w:rPr/>
        <w:t>）面向中型企业的软件产品与解决方案业务</w:t>
      </w:r>
      <w:r>
        <w:rPr>
          <w:w w:val="100"/>
        </w:rPr>
        <w:t> </w:t>
      </w:r>
      <w:r>
        <w:rPr/>
        <w:t>公司面向中型企业的产品与解决方案业务主要是面向中型企业提供全面</w:t>
      </w:r>
      <w:r>
        <w:rPr>
          <w:spacing w:val="-50"/>
        </w:rPr>
        <w:t> </w:t>
      </w:r>
      <w:r>
        <w:rPr>
          <w:rFonts w:ascii="宋体" w:hAnsi="宋体" w:cs="宋体" w:eastAsia="宋体" w:hint="default"/>
        </w:rPr>
        <w:t>ERP</w:t>
      </w:r>
      <w:r>
        <w:rPr>
          <w:rFonts w:ascii="宋体" w:hAnsi="宋体" w:cs="宋体" w:eastAsia="宋体" w:hint="default"/>
          <w:spacing w:val="-51"/>
        </w:rPr>
        <w:t> </w:t>
      </w:r>
      <w:r>
        <w:rPr/>
        <w:t>产品、解决方案</w:t>
      </w:r>
    </w:p>
    <w:p>
      <w:pPr>
        <w:pStyle w:val="BodyText"/>
        <w:spacing w:line="297" w:lineRule="auto" w:before="1"/>
        <w:ind w:right="308"/>
        <w:jc w:val="both"/>
      </w:pPr>
      <w:r>
        <w:rPr>
          <w:spacing w:val="-4"/>
        </w:rPr>
        <w:t>和技术产品平台，主要产品为</w:t>
      </w:r>
      <w:r>
        <w:rPr>
          <w:spacing w:val="-19"/>
        </w:rPr>
        <w:t> </w:t>
      </w:r>
      <w:r>
        <w:rPr>
          <w:rFonts w:ascii="宋体" w:hAnsi="宋体" w:cs="宋体" w:eastAsia="宋体" w:hint="default"/>
          <w:spacing w:val="-4"/>
        </w:rPr>
        <w:t>U8+</w:t>
      </w:r>
      <w:r>
        <w:rPr>
          <w:spacing w:val="-4"/>
        </w:rPr>
        <w:t>产品线，涉及到智能制造解决方案、</w:t>
      </w:r>
      <w:r>
        <w:rPr>
          <w:rFonts w:ascii="宋体" w:hAnsi="宋体" w:cs="宋体" w:eastAsia="宋体" w:hint="default"/>
          <w:spacing w:val="-4"/>
        </w:rPr>
        <w:t>O2O</w:t>
      </w:r>
      <w:r>
        <w:rPr>
          <w:rFonts w:ascii="宋体" w:hAnsi="宋体" w:cs="宋体" w:eastAsia="宋体" w:hint="default"/>
          <w:spacing w:val="-23"/>
        </w:rPr>
        <w:t> </w:t>
      </w:r>
      <w:r>
        <w:rPr>
          <w:spacing w:val="-4"/>
        </w:rPr>
        <w:t>多渠道解决方案、业务</w:t>
      </w:r>
      <w:r>
        <w:rPr>
          <w:spacing w:val="-92"/>
        </w:rPr>
        <w:t> </w:t>
      </w:r>
      <w:r>
        <w:rPr>
          <w:spacing w:val="-92"/>
        </w:rPr>
      </w:r>
      <w:r>
        <w:rPr>
          <w:spacing w:val="-1"/>
        </w:rPr>
        <w:t>管控解决方案、供应链、财务核算、全面移动应用以及人力资源等领域。公司面向中型企业的业</w:t>
      </w:r>
      <w:r>
        <w:rPr>
          <w:spacing w:val="-55"/>
        </w:rPr>
        <w:t> </w:t>
      </w:r>
      <w:r>
        <w:rPr>
          <w:spacing w:val="-55"/>
        </w:rPr>
      </w:r>
      <w:r>
        <w:rPr>
          <w:spacing w:val="-1"/>
        </w:rPr>
        <w:t>务经营模式是为客户提供标准产品及解决方案服务，采用全分销的销售模式，收入主要包括标准</w:t>
      </w:r>
      <w:r>
        <w:rPr>
          <w:spacing w:val="-55"/>
        </w:rPr>
        <w:t> </w:t>
      </w:r>
      <w:r>
        <w:rPr>
          <w:spacing w:val="-55"/>
        </w:rPr>
      </w:r>
      <w:r>
        <w:rPr/>
        <w:t>产品软件许可（</w:t>
      </w:r>
      <w:r>
        <w:rPr>
          <w:rFonts w:ascii="宋体" w:hAnsi="宋体" w:cs="宋体" w:eastAsia="宋体" w:hint="default"/>
        </w:rPr>
        <w:t>License</w:t>
      </w:r>
      <w:r>
        <w:rPr/>
        <w:t>）收入、产品支持服务收入、培训服务收入。</w:t>
      </w:r>
    </w:p>
    <w:p>
      <w:pPr>
        <w:pStyle w:val="BodyText"/>
        <w:spacing w:line="460" w:lineRule="exact" w:before="13"/>
        <w:ind w:left="558" w:right="225"/>
        <w:jc w:val="left"/>
      </w:pPr>
      <w:r>
        <w:rPr/>
        <w:t>（</w:t>
      </w:r>
      <w:r>
        <w:rPr>
          <w:rFonts w:ascii="宋体" w:hAnsi="宋体" w:cs="宋体" w:eastAsia="宋体" w:hint="default"/>
        </w:rPr>
        <w:t>3</w:t>
      </w:r>
      <w:r>
        <w:rPr/>
        <w:t>）面向小型微型企业的软件包业务</w:t>
      </w:r>
      <w:r>
        <w:rPr>
          <w:w w:val="100"/>
        </w:rPr>
        <w:t> </w:t>
      </w:r>
      <w:r>
        <w:rPr>
          <w:spacing w:val="-2"/>
        </w:rPr>
        <w:t>公司面向小型微型企业的软件包业务主要是面向中国小微企业提供软件包和产品支持服务，</w:t>
      </w:r>
    </w:p>
    <w:p>
      <w:pPr>
        <w:pStyle w:val="BodyText"/>
        <w:spacing w:line="297" w:lineRule="auto" w:before="3"/>
        <w:ind w:right="307"/>
        <w:jc w:val="both"/>
      </w:pPr>
      <w:r>
        <w:rPr>
          <w:spacing w:val="-1"/>
        </w:rPr>
        <w:t>该业务主要是由公司控股子公司畅捷通信息技术股份有限公司（下称“畅捷通公司”）提供。畅</w:t>
      </w:r>
      <w:r>
        <w:rPr>
          <w:spacing w:val="-55"/>
        </w:rPr>
        <w:t> </w:t>
      </w:r>
      <w:r>
        <w:rPr>
          <w:spacing w:val="-55"/>
        </w:rPr>
      </w:r>
      <w:r>
        <w:rPr>
          <w:spacing w:val="-2"/>
        </w:rPr>
        <w:t>捷通公司的主要产品为</w:t>
      </w:r>
      <w:r>
        <w:rPr/>
        <w:t> </w:t>
      </w:r>
      <w:r>
        <w:rPr>
          <w:rFonts w:ascii="宋体" w:hAnsi="宋体" w:cs="宋体" w:eastAsia="宋体" w:hint="default"/>
          <w:spacing w:val="-2"/>
        </w:rPr>
        <w:t>T</w:t>
      </w:r>
      <w:r>
        <w:rPr>
          <w:rFonts w:ascii="宋体" w:hAnsi="宋体" w:cs="宋体" w:eastAsia="宋体" w:hint="default"/>
          <w:spacing w:val="-2"/>
          <w:position w:val="11"/>
          <w:sz w:val="11"/>
          <w:szCs w:val="11"/>
        </w:rPr>
        <w:t>+</w:t>
      </w:r>
      <w:r>
        <w:rPr>
          <w:spacing w:val="-2"/>
        </w:rPr>
        <w:t>产品线，聚焦商贸流通、工贸一体化和现代服务业，涉及领域包括供应</w:t>
      </w:r>
      <w:r>
        <w:rPr>
          <w:spacing w:val="-69"/>
        </w:rPr>
        <w:t> </w:t>
      </w:r>
      <w:r>
        <w:rPr>
          <w:spacing w:val="-69"/>
        </w:rPr>
      </w:r>
      <w:r>
        <w:rPr>
          <w:spacing w:val="-6"/>
        </w:rPr>
        <w:t>链、财务核算、营销、协同等。</w:t>
      </w:r>
      <w:r>
        <w:rPr>
          <w:rFonts w:ascii="宋体" w:hAnsi="宋体" w:cs="宋体" w:eastAsia="宋体" w:hint="default"/>
          <w:spacing w:val="-6"/>
        </w:rPr>
        <w:t>T</w:t>
      </w:r>
      <w:r>
        <w:rPr>
          <w:rFonts w:ascii="宋体" w:hAnsi="宋体" w:cs="宋体" w:eastAsia="宋体" w:hint="default"/>
          <w:spacing w:val="-6"/>
          <w:position w:val="11"/>
          <w:sz w:val="11"/>
          <w:szCs w:val="11"/>
        </w:rPr>
        <w:t>+</w:t>
      </w:r>
      <w:r>
        <w:rPr>
          <w:spacing w:val="-6"/>
        </w:rPr>
        <w:t>系列软件产品基于</w:t>
      </w:r>
      <w:r>
        <w:rPr>
          <w:spacing w:val="-25"/>
        </w:rPr>
        <w:t> </w:t>
      </w:r>
      <w:r>
        <w:rPr>
          <w:rFonts w:ascii="宋体" w:hAnsi="宋体" w:cs="宋体" w:eastAsia="宋体" w:hint="default"/>
        </w:rPr>
        <w:t>B/S</w:t>
      </w:r>
      <w:r>
        <w:rPr>
          <w:rFonts w:ascii="宋体" w:hAnsi="宋体" w:cs="宋体" w:eastAsia="宋体" w:hint="default"/>
          <w:spacing w:val="-25"/>
        </w:rPr>
        <w:t> </w:t>
      </w:r>
      <w:r>
        <w:rPr>
          <w:spacing w:val="-5"/>
        </w:rPr>
        <w:t>架构设计，能实现快速部署、实时管控、</w:t>
      </w:r>
      <w:r>
        <w:rPr>
          <w:spacing w:val="-90"/>
        </w:rPr>
        <w:t> </w:t>
      </w:r>
      <w:r>
        <w:rPr>
          <w:spacing w:val="-90"/>
        </w:rPr>
      </w:r>
      <w:r>
        <w:rPr>
          <w:spacing w:val="-1"/>
        </w:rPr>
        <w:t>多点应用，拓展了商贸管理功能，更能满足商贸服务业用户需求。公司面向小型微型企业的业务</w:t>
      </w:r>
      <w:r>
        <w:rPr>
          <w:spacing w:val="-55"/>
        </w:rPr>
        <w:t> </w:t>
      </w:r>
      <w:r>
        <w:rPr>
          <w:spacing w:val="-55"/>
        </w:rPr>
      </w:r>
      <w:r>
        <w:rPr>
          <w:spacing w:val="-8"/>
          <w:w w:val="100"/>
        </w:rPr>
        <w:t>经营模式是为客户提供标准软件产品、产品支持服务，收入主要包括标准产品软件许可（</w:t>
      </w:r>
      <w:r>
        <w:rPr>
          <w:rFonts w:ascii="宋体" w:hAnsi="宋体" w:cs="宋体" w:eastAsia="宋体" w:hint="default"/>
          <w:spacing w:val="-8"/>
          <w:w w:val="100"/>
        </w:rPr>
        <w:t>License</w:t>
      </w:r>
      <w:r>
        <w:rPr>
          <w:spacing w:val="-8"/>
          <w:w w:val="100"/>
        </w:rPr>
        <w:t>）</w:t>
      </w:r>
      <w:r>
        <w:rPr>
          <w:spacing w:val="-94"/>
          <w:w w:val="100"/>
        </w:rPr>
        <w:t> </w:t>
      </w:r>
      <w:r>
        <w:rPr/>
        <w:t>收入、产品支持服务收入。</w:t>
      </w:r>
    </w:p>
    <w:p>
      <w:pPr>
        <w:spacing w:after="0" w:line="297" w:lineRule="auto"/>
        <w:jc w:val="both"/>
        <w:sectPr>
          <w:pgSz w:w="11910" w:h="16840"/>
          <w:pgMar w:header="880" w:footer="1335" w:top="1120" w:bottom="1520" w:left="1660" w:right="960"/>
        </w:sectPr>
      </w:pPr>
    </w:p>
    <w:p>
      <w:pPr>
        <w:spacing w:line="240" w:lineRule="auto" w:before="4"/>
        <w:rPr>
          <w:rFonts w:ascii="宋体" w:hAnsi="宋体" w:cs="宋体" w:eastAsia="宋体" w:hint="default"/>
          <w:sz w:val="25"/>
          <w:szCs w:val="25"/>
        </w:rPr>
      </w:pPr>
    </w:p>
    <w:p>
      <w:pPr>
        <w:pStyle w:val="BodyText"/>
        <w:spacing w:line="240" w:lineRule="auto" w:before="36"/>
        <w:ind w:left="558" w:right="103"/>
        <w:jc w:val="left"/>
      </w:pPr>
      <w:r>
        <w:rPr/>
        <w:t>（</w:t>
      </w:r>
      <w:r>
        <w:rPr>
          <w:rFonts w:ascii="宋体" w:hAnsi="宋体" w:cs="宋体" w:eastAsia="宋体" w:hint="default"/>
        </w:rPr>
        <w:t>4</w:t>
      </w:r>
      <w:r>
        <w:rPr/>
        <w:t>）面向行业和领域的解决方案与专业服务业务</w:t>
      </w:r>
    </w:p>
    <w:p>
      <w:pPr>
        <w:spacing w:line="240" w:lineRule="auto" w:before="3"/>
        <w:rPr>
          <w:rFonts w:ascii="宋体" w:hAnsi="宋体" w:cs="宋体" w:eastAsia="宋体" w:hint="default"/>
          <w:sz w:val="14"/>
          <w:szCs w:val="14"/>
        </w:rPr>
      </w:pPr>
    </w:p>
    <w:p>
      <w:pPr>
        <w:pStyle w:val="BodyText"/>
        <w:spacing w:line="297" w:lineRule="auto"/>
        <w:ind w:right="207" w:firstLine="419"/>
        <w:jc w:val="both"/>
      </w:pPr>
      <w:r>
        <w:rPr>
          <w:rFonts w:ascii="宋体" w:hAnsi="宋体" w:cs="宋体" w:eastAsia="宋体" w:hint="default"/>
          <w:spacing w:val="-4"/>
        </w:rPr>
        <w:t>1</w:t>
      </w:r>
      <w:r>
        <w:rPr>
          <w:spacing w:val="-4"/>
        </w:rPr>
        <w:t>）公司面向政府行业的业务由北京用友政务软件有限公司（下称“用友政务公司”）负责经</w:t>
      </w:r>
      <w:r>
        <w:rPr>
          <w:w w:val="100"/>
        </w:rPr>
        <w:t> </w:t>
      </w:r>
      <w:r>
        <w:rPr>
          <w:spacing w:val="-1"/>
        </w:rPr>
        <w:t>营。用友政务公司聚焦政府行业，以定制化的解决方案为价值，以标准化的产品为交付基础，以</w:t>
      </w:r>
      <w:r>
        <w:rPr>
          <w:spacing w:val="-55"/>
        </w:rPr>
        <w:t> </w:t>
      </w:r>
      <w:r>
        <w:rPr>
          <w:spacing w:val="-55"/>
        </w:rPr>
      </w:r>
      <w:r>
        <w:rPr>
          <w:spacing w:val="-1"/>
        </w:rPr>
        <w:t>专业化的服务持续经营，并且将经营范围以财税为核心，扩充到与财税有关的相关业务。用友政</w:t>
      </w:r>
      <w:r>
        <w:rPr>
          <w:spacing w:val="-55"/>
        </w:rPr>
        <w:t> </w:t>
      </w:r>
      <w:r>
        <w:rPr>
          <w:spacing w:val="-55"/>
        </w:rPr>
      </w:r>
      <w:r>
        <w:rPr/>
        <w:t>务公司的主要产品包括</w:t>
      </w:r>
      <w:r>
        <w:rPr>
          <w:spacing w:val="4"/>
        </w:rPr>
        <w:t> </w:t>
      </w:r>
      <w:r>
        <w:rPr>
          <w:rFonts w:ascii="宋体" w:hAnsi="宋体" w:cs="宋体" w:eastAsia="宋体" w:hint="default"/>
        </w:rPr>
        <w:t>A++</w:t>
      </w:r>
      <w:r>
        <w:rPr/>
        <w:t>财政一体化套件、</w:t>
      </w:r>
      <w:r>
        <w:rPr>
          <w:rFonts w:ascii="宋体" w:hAnsi="宋体" w:cs="宋体" w:eastAsia="宋体" w:hint="default"/>
        </w:rPr>
        <w:t>A++</w:t>
      </w:r>
      <w:r>
        <w:rPr/>
        <w:t>银行业务套件、</w:t>
      </w:r>
      <w:r>
        <w:rPr>
          <w:rFonts w:ascii="宋体" w:hAnsi="宋体" w:cs="宋体" w:eastAsia="宋体" w:hint="default"/>
        </w:rPr>
        <w:t>A+</w:t>
      </w:r>
      <w:r>
        <w:rPr/>
        <w:t>财务管理、</w:t>
      </w:r>
      <w:r>
        <w:rPr>
          <w:rFonts w:ascii="宋体" w:hAnsi="宋体" w:cs="宋体" w:eastAsia="宋体" w:hint="default"/>
        </w:rPr>
        <w:t>A++</w:t>
      </w:r>
      <w:r>
        <w:rPr/>
        <w:t>行业财务等。</w:t>
      </w:r>
      <w:r>
        <w:rPr>
          <w:w w:val="100"/>
        </w:rPr>
        <w:t> </w:t>
      </w:r>
      <w:r>
        <w:rPr>
          <w:spacing w:val="-1"/>
        </w:rPr>
        <w:t>除政府财政和财务管理业务外，用友政务公司在税务行业、民生行业、政法行业等行业也有较强</w:t>
      </w:r>
      <w:r>
        <w:rPr>
          <w:spacing w:val="-55"/>
        </w:rPr>
        <w:t> </w:t>
      </w:r>
      <w:r>
        <w:rPr>
          <w:spacing w:val="-55"/>
        </w:rPr>
      </w:r>
      <w:r>
        <w:rPr>
          <w:spacing w:val="-1"/>
        </w:rPr>
        <w:t>的竞争力。用友政务公司为该行业的客户提供标准产品与解决方案服务、专业服务（咨询、运营</w:t>
      </w:r>
      <w:r>
        <w:rPr>
          <w:spacing w:val="-55"/>
        </w:rPr>
        <w:t> </w:t>
      </w:r>
      <w:r>
        <w:rPr>
          <w:spacing w:val="-55"/>
        </w:rPr>
      </w:r>
      <w:r>
        <w:rPr>
          <w:spacing w:val="-1"/>
        </w:rPr>
        <w:t>支撑）、运营服务（业务运营、应用运营、平台与数据运营）等，收入主要包括标准产品许可收</w:t>
      </w:r>
      <w:r>
        <w:rPr>
          <w:spacing w:val="-56"/>
        </w:rPr>
        <w:t> </w:t>
      </w:r>
      <w:r>
        <w:rPr>
          <w:spacing w:val="-56"/>
        </w:rPr>
      </w:r>
      <w:r>
        <w:rPr/>
        <w:t>入、支持与运维服务收入、咨询实施收入（实施交付、客户化开发、咨询服务、其他服务）。</w:t>
      </w:r>
    </w:p>
    <w:p>
      <w:pPr>
        <w:pStyle w:val="BodyText"/>
        <w:spacing w:line="297" w:lineRule="auto" w:before="136"/>
        <w:ind w:right="207" w:firstLine="419"/>
        <w:jc w:val="both"/>
      </w:pPr>
      <w:r>
        <w:rPr>
          <w:rFonts w:ascii="宋体" w:hAnsi="宋体" w:cs="宋体" w:eastAsia="宋体" w:hint="default"/>
          <w:spacing w:val="-9"/>
        </w:rPr>
        <w:t>2</w:t>
      </w:r>
      <w:r>
        <w:rPr>
          <w:spacing w:val="-9"/>
        </w:rPr>
        <w:t>）公司面向汽车行业的业务由用友汽车信息科技（上海）有限公司（下称“用友汽车公司”）</w:t>
      </w:r>
      <w:r>
        <w:rPr>
          <w:w w:val="100"/>
        </w:rPr>
        <w:t> </w:t>
      </w:r>
      <w:r>
        <w:rPr>
          <w:spacing w:val="-1"/>
        </w:rPr>
        <w:t>负责经营。用友汽车公司专注于汽车营销与后市场，为汽车主机厂、汽车经销商提供营销一体化</w:t>
      </w:r>
      <w:r>
        <w:rPr>
          <w:spacing w:val="-55"/>
        </w:rPr>
        <w:t> </w:t>
      </w:r>
      <w:r>
        <w:rPr>
          <w:spacing w:val="-55"/>
        </w:rPr>
      </w:r>
      <w:r>
        <w:rPr>
          <w:spacing w:val="-4"/>
        </w:rPr>
        <w:t>业务流程专业咨询服务和汽车经销商管理系统（</w:t>
      </w:r>
      <w:r>
        <w:rPr>
          <w:rFonts w:ascii="宋体" w:hAnsi="宋体" w:cs="宋体" w:eastAsia="宋体" w:hint="default"/>
          <w:spacing w:val="-4"/>
        </w:rPr>
        <w:t>DMS</w:t>
      </w:r>
      <w:r>
        <w:rPr>
          <w:spacing w:val="-4"/>
        </w:rPr>
        <w:t>）等核心应用系统全套解决方案，其经营模式</w:t>
      </w:r>
      <w:r>
        <w:rPr>
          <w:spacing w:val="-30"/>
        </w:rPr>
        <w:t> </w:t>
      </w:r>
      <w:r>
        <w:rPr>
          <w:spacing w:val="-30"/>
        </w:rPr>
      </w:r>
      <w:r>
        <w:rPr>
          <w:spacing w:val="-2"/>
        </w:rPr>
        <w:t>是为客户提供标准产品及解决方案服务、专业服务（咨询、</w:t>
      </w:r>
      <w:r>
        <w:rPr>
          <w:rFonts w:ascii="宋体" w:hAnsi="宋体" w:cs="宋体" w:eastAsia="宋体" w:hint="default"/>
          <w:spacing w:val="-2"/>
        </w:rPr>
        <w:t>IT</w:t>
      </w:r>
      <w:r>
        <w:rPr>
          <w:rFonts w:ascii="宋体" w:hAnsi="宋体" w:cs="宋体" w:eastAsia="宋体" w:hint="default"/>
        </w:rPr>
        <w:t> </w:t>
      </w:r>
      <w:r>
        <w:rPr>
          <w:spacing w:val="-3"/>
        </w:rPr>
        <w:t>系统建设、运营支撑）、运营服务</w:t>
      </w:r>
    </w:p>
    <w:p>
      <w:pPr>
        <w:pStyle w:val="BodyText"/>
        <w:spacing w:line="297" w:lineRule="auto" w:before="13"/>
        <w:ind w:right="103"/>
        <w:jc w:val="left"/>
      </w:pPr>
      <w:r>
        <w:rPr>
          <w:spacing w:val="-1"/>
        </w:rPr>
        <w:t>（业务运营、应用运营、平台与数据运营）等，收入主要包括标准产品许可收入、支持与运维服</w:t>
      </w:r>
      <w:r>
        <w:rPr>
          <w:spacing w:val="-55"/>
        </w:rPr>
        <w:t> </w:t>
      </w:r>
      <w:r>
        <w:rPr>
          <w:spacing w:val="-55"/>
        </w:rPr>
      </w:r>
      <w:r>
        <w:rPr/>
        <w:t>务收入、咨询实施收入（实施交付、客户化开发、应用集成服务、咨询服务、其他服务）。</w:t>
      </w:r>
    </w:p>
    <w:p>
      <w:pPr>
        <w:pStyle w:val="BodyText"/>
        <w:spacing w:line="297" w:lineRule="auto" w:before="135"/>
        <w:ind w:right="103" w:firstLine="419"/>
        <w:jc w:val="left"/>
      </w:pPr>
      <w:r>
        <w:rPr>
          <w:rFonts w:ascii="宋体" w:hAnsi="宋体" w:cs="宋体" w:eastAsia="宋体" w:hint="default"/>
          <w:spacing w:val="-1"/>
        </w:rPr>
        <w:t>3</w:t>
      </w:r>
      <w:r>
        <w:rPr>
          <w:spacing w:val="-1"/>
        </w:rPr>
        <w:t>）公司面向教育行业的业务由新道科技股份有限公司（下称“新道科技公司”）负责经营。</w:t>
      </w:r>
      <w:r>
        <w:rPr>
          <w:w w:val="100"/>
        </w:rPr>
        <w:t> </w:t>
      </w:r>
      <w:r>
        <w:rPr/>
        <w:t>新道科技公司面向本科院校、职业院校经管类专业提供实践教学解决方案，聚焦经管实训和创新</w:t>
      </w:r>
      <w:r>
        <w:rPr>
          <w:spacing w:val="-97"/>
        </w:rPr>
        <w:t> </w:t>
      </w:r>
      <w:r>
        <w:rPr>
          <w:spacing w:val="-97"/>
        </w:rPr>
      </w:r>
      <w:r>
        <w:rPr/>
        <w:t>创业两大业务方向，以泛经管人才培养为目标，与院校共同构建实践育人能力，服务教育事业。</w:t>
      </w:r>
      <w:r>
        <w:rPr>
          <w:spacing w:val="-97"/>
        </w:rPr>
        <w:t> </w:t>
      </w:r>
      <w:r>
        <w:rPr>
          <w:spacing w:val="-97"/>
        </w:rPr>
      </w:r>
      <w:r>
        <w:rPr/>
        <w:t>新道科技公司主要产品为虚拟商业环境（</w:t>
      </w:r>
      <w:r>
        <w:rPr>
          <w:rFonts w:ascii="宋体" w:hAnsi="宋体" w:cs="宋体" w:eastAsia="宋体" w:hint="default"/>
        </w:rPr>
        <w:t>VBSE</w:t>
      </w:r>
      <w:r>
        <w:rPr/>
        <w:t>）系列产品，包括 </w:t>
      </w:r>
      <w:r>
        <w:rPr>
          <w:rFonts w:ascii="宋体" w:hAnsi="宋体" w:cs="宋体" w:eastAsia="宋体" w:hint="default"/>
        </w:rPr>
        <w:t>VBSE-</w:t>
      </w:r>
      <w:r>
        <w:rPr/>
        <w:t>财务、</w:t>
      </w:r>
      <w:r>
        <w:rPr>
          <w:rFonts w:ascii="宋体" w:hAnsi="宋体" w:cs="宋体" w:eastAsia="宋体" w:hint="default"/>
        </w:rPr>
        <w:t>VBSE-</w:t>
      </w:r>
      <w:r>
        <w:rPr/>
        <w:t>营销、</w:t>
      </w:r>
      <w:r>
        <w:rPr>
          <w:rFonts w:ascii="宋体" w:hAnsi="宋体" w:cs="宋体" w:eastAsia="宋体" w:hint="default"/>
        </w:rPr>
        <w:t>VBSE-</w:t>
      </w:r>
      <w:r>
        <w:rPr>
          <w:rFonts w:ascii="宋体" w:hAnsi="宋体" w:cs="宋体" w:eastAsia="宋体" w:hint="default"/>
          <w:spacing w:val="-100"/>
        </w:rPr>
        <w:t> </w:t>
      </w:r>
      <w:r>
        <w:rPr>
          <w:rFonts w:ascii="宋体" w:hAnsi="宋体" w:cs="宋体" w:eastAsia="宋体" w:hint="default"/>
          <w:spacing w:val="-100"/>
        </w:rPr>
      </w:r>
      <w:r>
        <w:rPr>
          <w:spacing w:val="-4"/>
        </w:rPr>
        <w:t>综合、</w:t>
      </w:r>
      <w:r>
        <w:rPr>
          <w:rFonts w:ascii="宋体" w:hAnsi="宋体" w:cs="宋体" w:eastAsia="宋体" w:hint="default"/>
          <w:spacing w:val="-4"/>
        </w:rPr>
        <w:t>VBSE-</w:t>
      </w:r>
      <w:r>
        <w:rPr>
          <w:spacing w:val="-4"/>
        </w:rPr>
        <w:t>创业、经营管理沙盘、营销实战沙盘、策略销售沙盘、先天特质沙盘、教育空间、新</w:t>
      </w:r>
      <w:r>
        <w:rPr>
          <w:spacing w:val="-31"/>
        </w:rPr>
        <w:t> </w:t>
      </w:r>
      <w:r>
        <w:rPr>
          <w:spacing w:val="-31"/>
        </w:rPr>
      </w:r>
      <w:r>
        <w:rPr/>
        <w:t>道人才网等。新道科技公司为该行业的客户提供标准产品与解决方案服务、专业服务（咨询、运</w:t>
      </w:r>
      <w:r>
        <w:rPr>
          <w:spacing w:val="-96"/>
        </w:rPr>
        <w:t> </w:t>
      </w:r>
      <w:r>
        <w:rPr>
          <w:spacing w:val="-96"/>
        </w:rPr>
      </w:r>
      <w:r>
        <w:rPr/>
        <w:t>营支撑）、运营服务（业务运营、应用运营、平台与数据运营）等，收入主要包括标准产品许可</w:t>
      </w:r>
      <w:r>
        <w:rPr>
          <w:spacing w:val="-98"/>
        </w:rPr>
        <w:t> </w:t>
      </w:r>
      <w:r>
        <w:rPr>
          <w:spacing w:val="-98"/>
        </w:rPr>
      </w:r>
      <w:r>
        <w:rPr/>
        <w:t>收入、支持与运维服务收入、咨询实施收入（实施交付、客户化开发、咨询服务、其他服务）以</w:t>
      </w:r>
      <w:r>
        <w:rPr>
          <w:spacing w:val="-97"/>
        </w:rPr>
        <w:t> </w:t>
      </w:r>
      <w:r>
        <w:rPr>
          <w:spacing w:val="-97"/>
        </w:rPr>
      </w:r>
      <w:r>
        <w:rPr/>
        <w:t>及其他增值服务收入。</w:t>
      </w:r>
    </w:p>
    <w:p>
      <w:pPr>
        <w:pStyle w:val="BodyText"/>
        <w:spacing w:line="297" w:lineRule="auto" w:before="135"/>
        <w:ind w:right="207" w:firstLine="419"/>
        <w:jc w:val="both"/>
      </w:pPr>
      <w:r>
        <w:rPr>
          <w:rFonts w:ascii="宋体" w:hAnsi="宋体" w:cs="宋体" w:eastAsia="宋体" w:hint="default"/>
          <w:spacing w:val="-4"/>
        </w:rPr>
        <w:t>4</w:t>
      </w:r>
      <w:r>
        <w:rPr>
          <w:spacing w:val="-4"/>
        </w:rPr>
        <w:t>）公司面向金融行业的业务由用友金融信息技术有限公司（下称“用友金融公司”）负责经</w:t>
      </w:r>
      <w:r>
        <w:rPr>
          <w:w w:val="100"/>
        </w:rPr>
        <w:t> </w:t>
      </w:r>
      <w:r>
        <w:rPr>
          <w:spacing w:val="-1"/>
        </w:rPr>
        <w:t>营。用友金融公司以业务咨询与信息技术手段相结合，面向银行、证券、保险、信托、基金、期</w:t>
      </w:r>
      <w:r>
        <w:rPr>
          <w:spacing w:val="-55"/>
        </w:rPr>
        <w:t> </w:t>
      </w:r>
      <w:r>
        <w:rPr>
          <w:spacing w:val="-55"/>
        </w:rPr>
      </w:r>
      <w:r>
        <w:rPr>
          <w:spacing w:val="-1"/>
        </w:rPr>
        <w:t>货、租赁等金融企业提供咨询、软件、行业解决方案与专业服务。产品涵盖金融基础管理系统、</w:t>
      </w:r>
      <w:r>
        <w:rPr>
          <w:spacing w:val="-55"/>
        </w:rPr>
        <w:t> </w:t>
      </w:r>
      <w:r>
        <w:rPr>
          <w:spacing w:val="-55"/>
        </w:rPr>
      </w:r>
      <w:r>
        <w:rPr>
          <w:spacing w:val="-1"/>
        </w:rPr>
        <w:t>金融业务管理系统、养老金业务系统和租赁业务系统、金融互联网业务系统平台。金融基础管理</w:t>
      </w:r>
      <w:r>
        <w:rPr>
          <w:spacing w:val="-55"/>
        </w:rPr>
        <w:t> </w:t>
      </w:r>
      <w:r>
        <w:rPr>
          <w:spacing w:val="-55"/>
        </w:rPr>
      </w:r>
      <w:r>
        <w:rPr>
          <w:spacing w:val="-1"/>
        </w:rPr>
        <w:t>系统包括金融业务核算、增值税及税务、交易级总账、共享财务、人力资源、电子采购；金融业</w:t>
      </w:r>
      <w:r>
        <w:rPr>
          <w:spacing w:val="-55"/>
        </w:rPr>
        <w:t> </w:t>
      </w:r>
      <w:r>
        <w:rPr>
          <w:spacing w:val="-55"/>
        </w:rPr>
      </w:r>
      <w:r>
        <w:rPr/>
        <w:t>务管理系统包括管理会计平台</w:t>
      </w:r>
      <w:r>
        <w:rPr>
          <w:spacing w:val="5"/>
        </w:rPr>
        <w:t> </w:t>
      </w:r>
      <w:r>
        <w:rPr/>
        <w:t>、盈利能力系统、资金转移定价系统（</w:t>
      </w:r>
      <w:r>
        <w:rPr>
          <w:rFonts w:ascii="宋体" w:hAnsi="宋体" w:cs="宋体" w:eastAsia="宋体" w:hint="default"/>
        </w:rPr>
        <w:t>FTP</w:t>
      </w:r>
      <w:r>
        <w:rPr/>
        <w:t>）、产品定价、证券流</w:t>
      </w:r>
      <w:r>
        <w:rPr>
          <w:w w:val="100"/>
        </w:rPr>
        <w:t> </w:t>
      </w:r>
      <w:r>
        <w:rPr/>
        <w:t>动性、保险偿付</w:t>
      </w:r>
      <w:r>
        <w:rPr>
          <w:spacing w:val="-51"/>
        </w:rPr>
        <w:t> </w:t>
      </w:r>
      <w:r>
        <w:rPr>
          <w:rFonts w:ascii="宋体" w:hAnsi="宋体" w:cs="宋体" w:eastAsia="宋体" w:hint="default"/>
        </w:rPr>
        <w:t>2</w:t>
      </w:r>
      <w:r>
        <w:rPr>
          <w:rFonts w:ascii="宋体" w:hAnsi="宋体" w:cs="宋体" w:eastAsia="宋体" w:hint="default"/>
          <w:spacing w:val="-49"/>
        </w:rPr>
        <w:t> </w:t>
      </w:r>
      <w:r>
        <w:rPr/>
        <w:t>代、经济资本与新资本协议、资产负债、经营预算及经营绩效管理等产品；养</w:t>
      </w:r>
      <w:r>
        <w:rPr>
          <w:w w:val="100"/>
        </w:rPr>
        <w:t> </w:t>
      </w:r>
      <w:r>
        <w:rPr>
          <w:spacing w:val="-1"/>
        </w:rPr>
        <w:t>老金业务系统包括账管、受托、委托、托管等产品，租赁业务系统包括租前、租中、租后及财务</w:t>
      </w:r>
      <w:r>
        <w:rPr>
          <w:spacing w:val="-55"/>
        </w:rPr>
        <w:t> </w:t>
      </w:r>
      <w:r>
        <w:rPr>
          <w:spacing w:val="-55"/>
        </w:rPr>
      </w:r>
      <w:r>
        <w:rPr>
          <w:spacing w:val="-1"/>
        </w:rPr>
        <w:t>一体化产品；金融互联网业务系统平台包括融资租赁、保理、小贷网贷、担保、私募基金、互联</w:t>
      </w:r>
      <w:r>
        <w:rPr>
          <w:spacing w:val="-55"/>
        </w:rPr>
        <w:t> </w:t>
      </w:r>
      <w:r>
        <w:rPr>
          <w:spacing w:val="-55"/>
        </w:rPr>
      </w:r>
      <w:r>
        <w:rPr>
          <w:spacing w:val="-1"/>
        </w:rPr>
        <w:t>网保险、消费金融、村镇银行等产品。用友金融公司主要为客户提供标准产品及解决方案服务、</w:t>
      </w:r>
      <w:r>
        <w:rPr>
          <w:spacing w:val="-55"/>
        </w:rPr>
        <w:t> </w:t>
      </w:r>
      <w:r>
        <w:rPr>
          <w:spacing w:val="-55"/>
        </w:rPr>
      </w:r>
      <w:r>
        <w:rPr>
          <w:spacing w:val="-8"/>
        </w:rPr>
        <w:t>专业服务（咨询、</w:t>
      </w:r>
      <w:r>
        <w:rPr>
          <w:rFonts w:ascii="宋体" w:hAnsi="宋体" w:cs="宋体" w:eastAsia="宋体" w:hint="default"/>
          <w:spacing w:val="-8"/>
        </w:rPr>
        <w:t>IT </w:t>
      </w:r>
      <w:r>
        <w:rPr>
          <w:spacing w:val="-7"/>
        </w:rPr>
        <w:t>系统建设、运营支撑）、运营服务（业务运营、应用运营、平台与数据运营）</w:t>
      </w:r>
      <w:r>
        <w:rPr>
          <w:spacing w:val="-95"/>
        </w:rPr>
        <w:t> </w:t>
      </w:r>
      <w:r>
        <w:rPr>
          <w:spacing w:val="-95"/>
        </w:rPr>
      </w:r>
      <w:r>
        <w:rPr>
          <w:spacing w:val="-1"/>
        </w:rPr>
        <w:t>等，收入主要包括标准产品许可收入、支持与运维服务收入、咨询实施收入（实施交付、客户化</w:t>
      </w:r>
      <w:r>
        <w:rPr>
          <w:spacing w:val="-54"/>
        </w:rPr>
        <w:t> </w:t>
      </w:r>
      <w:r>
        <w:rPr>
          <w:spacing w:val="-54"/>
        </w:rPr>
      </w:r>
      <w:r>
        <w:rPr>
          <w:spacing w:val="-1"/>
        </w:rPr>
        <w:t>开发、应用集成服务、咨询服务、其他服务）、按业务系统交易流量或注册用户数收取的年使用</w:t>
      </w:r>
      <w:r>
        <w:rPr>
          <w:spacing w:val="-55"/>
        </w:rPr>
        <w:t> </w:t>
      </w:r>
      <w:r>
        <w:rPr>
          <w:spacing w:val="-55"/>
        </w:rPr>
      </w:r>
      <w:r>
        <w:rPr/>
        <w:t>费收入和业务定制收入以及其他增值服务收入。</w:t>
      </w:r>
    </w:p>
    <w:p>
      <w:pPr>
        <w:spacing w:after="0" w:line="297" w:lineRule="auto"/>
        <w:jc w:val="both"/>
        <w:sectPr>
          <w:pgSz w:w="11910" w:h="16840"/>
          <w:pgMar w:header="880" w:footer="1335" w:top="1120" w:bottom="1520" w:left="1660" w:right="1060"/>
        </w:sectPr>
      </w:pPr>
    </w:p>
    <w:p>
      <w:pPr>
        <w:spacing w:line="240" w:lineRule="auto" w:before="4"/>
        <w:rPr>
          <w:rFonts w:ascii="宋体" w:hAnsi="宋体" w:cs="宋体" w:eastAsia="宋体" w:hint="default"/>
          <w:sz w:val="25"/>
          <w:szCs w:val="25"/>
        </w:rPr>
      </w:pPr>
    </w:p>
    <w:p>
      <w:pPr>
        <w:pStyle w:val="BodyText"/>
        <w:spacing w:line="297" w:lineRule="auto" w:before="36"/>
        <w:ind w:right="207" w:firstLine="419"/>
        <w:jc w:val="right"/>
      </w:pPr>
      <w:r>
        <w:rPr>
          <w:rFonts w:ascii="宋体" w:hAnsi="宋体" w:cs="宋体" w:eastAsia="宋体" w:hint="default"/>
          <w:spacing w:val="-4"/>
        </w:rPr>
        <w:t>5</w:t>
      </w:r>
      <w:r>
        <w:rPr>
          <w:spacing w:val="-4"/>
        </w:rPr>
        <w:t>）公司面向医疗行业的业务由用友医疗卫生信息系统有限公司（下称“用友医疗公司”）负</w:t>
      </w:r>
      <w:r>
        <w:rPr>
          <w:w w:val="100"/>
        </w:rPr>
        <w:t> </w:t>
      </w:r>
      <w:r>
        <w:rPr>
          <w:spacing w:val="-1"/>
        </w:rPr>
        <w:t>责经营。用友医疗公司聚焦医疗机构客户群（医院、医联体、医疗集团），专注医院的信息化和</w:t>
      </w:r>
      <w:r>
        <w:rPr>
          <w:spacing w:val="-71"/>
        </w:rPr>
        <w:t> </w:t>
      </w:r>
      <w:r>
        <w:rPr>
          <w:spacing w:val="-71"/>
        </w:rPr>
      </w:r>
      <w:r>
        <w:rPr>
          <w:spacing w:val="-5"/>
        </w:rPr>
        <w:t>互联网化，目标是成为一家可持续、高成长、高效益的医疗 </w:t>
      </w:r>
      <w:r>
        <w:rPr>
          <w:rFonts w:ascii="宋体" w:hAnsi="宋体" w:cs="宋体" w:eastAsia="宋体" w:hint="default"/>
        </w:rPr>
        <w:t>IT</w:t>
      </w:r>
      <w:r>
        <w:rPr>
          <w:rFonts w:ascii="宋体" w:hAnsi="宋体" w:cs="宋体" w:eastAsia="宋体" w:hint="default"/>
          <w:spacing w:val="-29"/>
        </w:rPr>
        <w:t> </w:t>
      </w:r>
      <w:r>
        <w:rPr>
          <w:spacing w:val="-3"/>
        </w:rPr>
        <w:t>解决方案与服务提供商，核心产品</w:t>
      </w:r>
      <w:r>
        <w:rPr>
          <w:w w:val="100"/>
        </w:rPr>
        <w:t> </w:t>
      </w:r>
      <w:r>
        <w:rPr/>
        <w:t>包括支撑医院临床医疗服务的产品（</w:t>
      </w:r>
      <w:r>
        <w:rPr>
          <w:rFonts w:ascii="宋体" w:hAnsi="宋体" w:cs="宋体" w:eastAsia="宋体" w:hint="default"/>
        </w:rPr>
        <w:t>HIS </w:t>
      </w:r>
      <w:r>
        <w:rPr>
          <w:spacing w:val="-4"/>
        </w:rPr>
        <w:t>系统）、支撑医院综合运营管理的产品（</w:t>
      </w:r>
      <w:r>
        <w:rPr>
          <w:rFonts w:ascii="宋体" w:hAnsi="宋体" w:cs="宋体" w:eastAsia="宋体" w:hint="default"/>
          <w:spacing w:val="-4"/>
        </w:rPr>
        <w:t>HRP</w:t>
      </w:r>
      <w:r>
        <w:rPr>
          <w:rFonts w:ascii="宋体" w:hAnsi="宋体" w:cs="宋体" w:eastAsia="宋体" w:hint="default"/>
          <w:spacing w:val="-82"/>
        </w:rPr>
        <w:t> </w:t>
      </w:r>
      <w:r>
        <w:rPr>
          <w:spacing w:val="-8"/>
        </w:rPr>
        <w:t>系统）、集</w:t>
      </w:r>
      <w:r>
        <w:rPr>
          <w:w w:val="100"/>
        </w:rPr>
        <w:t> </w:t>
      </w:r>
      <w:r>
        <w:rPr/>
        <w:t>成平台与临床数据中心（</w:t>
      </w:r>
      <w:r>
        <w:rPr>
          <w:rFonts w:ascii="宋体" w:hAnsi="宋体" w:cs="宋体" w:eastAsia="宋体" w:hint="default"/>
        </w:rPr>
        <w:t>MIP</w:t>
      </w:r>
      <w:r>
        <w:rPr>
          <w:rFonts w:ascii="宋体" w:hAnsi="宋体" w:cs="宋体" w:eastAsia="宋体" w:hint="default"/>
          <w:spacing w:val="7"/>
        </w:rPr>
        <w:t> </w:t>
      </w:r>
      <w:r>
        <w:rPr/>
        <w:t>系统）等。公司在该行业为客户提供标准产品及解决方案服务、专</w:t>
      </w:r>
      <w:r>
        <w:rPr>
          <w:w w:val="100"/>
        </w:rPr>
        <w:t> </w:t>
      </w:r>
      <w:r>
        <w:rPr>
          <w:spacing w:val="-3"/>
        </w:rPr>
        <w:t>业服务（咨询、</w:t>
      </w:r>
      <w:r>
        <w:rPr>
          <w:rFonts w:ascii="宋体" w:hAnsi="宋体" w:cs="宋体" w:eastAsia="宋体" w:hint="default"/>
          <w:spacing w:val="-3"/>
        </w:rPr>
        <w:t>IT</w:t>
      </w:r>
      <w:r>
        <w:rPr>
          <w:rFonts w:ascii="宋体" w:hAnsi="宋体" w:cs="宋体" w:eastAsia="宋体" w:hint="default"/>
          <w:spacing w:val="26"/>
        </w:rPr>
        <w:t> </w:t>
      </w:r>
      <w:r>
        <w:rPr>
          <w:spacing w:val="-3"/>
        </w:rPr>
        <w:t>系统建设、运营支撑），收入主要包括标准产品许可收入、支持与运维服务收</w:t>
      </w:r>
      <w:r>
        <w:rPr>
          <w:w w:val="100"/>
        </w:rPr>
        <w:t> </w:t>
      </w:r>
      <w:r>
        <w:rPr>
          <w:spacing w:val="-6"/>
        </w:rPr>
        <w:t>入、咨询实施收入（实施交付、客户化开发、应用集成服务、其他服务）以及其他增值服务收入。</w:t>
      </w:r>
    </w:p>
    <w:p>
      <w:pPr>
        <w:pStyle w:val="BodyText"/>
        <w:spacing w:line="297" w:lineRule="auto" w:before="135"/>
        <w:ind w:right="207" w:firstLine="419"/>
        <w:jc w:val="both"/>
      </w:pPr>
      <w:r>
        <w:rPr>
          <w:rFonts w:ascii="宋体" w:hAnsi="宋体" w:cs="宋体" w:eastAsia="宋体" w:hint="default"/>
          <w:spacing w:val="-4"/>
        </w:rPr>
        <w:t>6</w:t>
      </w:r>
      <w:r>
        <w:rPr>
          <w:spacing w:val="-4"/>
        </w:rPr>
        <w:t>）公司面向审计行业的业务由北京用友审计软件有限公司（下称“用友审计公司”）负责经</w:t>
      </w:r>
      <w:r>
        <w:rPr>
          <w:w w:val="100"/>
        </w:rPr>
        <w:t> </w:t>
      </w:r>
      <w:r>
        <w:rPr>
          <w:spacing w:val="-1"/>
        </w:rPr>
        <w:t>营。用友审计公司专门致力于提供审计信息化软件产品、解决方案、管理咨询及技术服务，服务</w:t>
      </w:r>
      <w:r>
        <w:rPr>
          <w:spacing w:val="-55"/>
        </w:rPr>
        <w:t> </w:t>
      </w:r>
      <w:r>
        <w:rPr>
          <w:spacing w:val="-55"/>
        </w:rPr>
      </w:r>
      <w:r>
        <w:rPr>
          <w:spacing w:val="-1"/>
        </w:rPr>
        <w:t>领域包括内部内审、社会审计、税务查账，主要产品有用友数字化审计分析平台，用友审计作业</w:t>
      </w:r>
      <w:r>
        <w:rPr>
          <w:spacing w:val="-55"/>
        </w:rPr>
        <w:t> </w:t>
      </w:r>
      <w:r>
        <w:rPr>
          <w:spacing w:val="-55"/>
        </w:rPr>
      </w:r>
      <w:r>
        <w:rPr>
          <w:spacing w:val="-1"/>
        </w:rPr>
        <w:t>系统，用友税务查账系统等。公司在该行业为客户提供标准产品与解决方案服务、专业服务（咨</w:t>
      </w:r>
      <w:r>
        <w:rPr>
          <w:spacing w:val="-56"/>
        </w:rPr>
        <w:t> </w:t>
      </w:r>
      <w:r>
        <w:rPr>
          <w:spacing w:val="-56"/>
        </w:rPr>
      </w:r>
      <w:r>
        <w:rPr>
          <w:spacing w:val="-1"/>
        </w:rPr>
        <w:t>询、运营支撑），收入主要包括标准产品许可收入、支持与运维服务收入、咨询实施收入（实施</w:t>
      </w:r>
      <w:r>
        <w:rPr>
          <w:spacing w:val="-55"/>
        </w:rPr>
        <w:t> </w:t>
      </w:r>
      <w:r>
        <w:rPr>
          <w:spacing w:val="-55"/>
        </w:rPr>
      </w:r>
      <w:r>
        <w:rPr/>
        <w:t>交付、客户化开发、咨询服务、其他服务）以及其他增值服务收入。</w:t>
      </w:r>
    </w:p>
    <w:p>
      <w:pPr>
        <w:pStyle w:val="BodyText"/>
        <w:spacing w:line="297" w:lineRule="auto" w:before="133"/>
        <w:ind w:right="208" w:firstLine="419"/>
        <w:jc w:val="both"/>
      </w:pPr>
      <w:r>
        <w:rPr>
          <w:rFonts w:ascii="宋体" w:hAnsi="宋体" w:cs="宋体" w:eastAsia="宋体" w:hint="default"/>
          <w:spacing w:val="-4"/>
        </w:rPr>
        <w:t>7</w:t>
      </w:r>
      <w:r>
        <w:rPr>
          <w:spacing w:val="-4"/>
        </w:rPr>
        <w:t>）公司面向烟草行业的业务由厦门用友烟草软件有限责任公司（下称“用友烟草公司”）负</w:t>
      </w:r>
      <w:r>
        <w:rPr>
          <w:w w:val="100"/>
        </w:rPr>
        <w:t> </w:t>
      </w:r>
      <w:r>
        <w:rPr>
          <w:spacing w:val="-1"/>
        </w:rPr>
        <w:t>责经营。用友烟草公司的核心业务是面向中国烟草行业企业管理信息化领域的应用软件服务，全</w:t>
      </w:r>
      <w:r>
        <w:rPr>
          <w:spacing w:val="-55"/>
        </w:rPr>
        <w:t> </w:t>
      </w:r>
      <w:r>
        <w:rPr>
          <w:spacing w:val="-55"/>
        </w:rPr>
      </w:r>
      <w:r>
        <w:rPr>
          <w:spacing w:val="-1"/>
        </w:rPr>
        <w:t>方位为烟草行业企业提供及时有效的专业化服务。用友烟草主要为该行业的企业客户提供行业整</w:t>
      </w:r>
      <w:r>
        <w:rPr>
          <w:spacing w:val="-55"/>
        </w:rPr>
        <w:t> </w:t>
      </w:r>
      <w:r>
        <w:rPr>
          <w:spacing w:val="-55"/>
        </w:rPr>
      </w:r>
      <w:r>
        <w:rPr>
          <w:spacing w:val="-1"/>
        </w:rPr>
        <w:t>体解决方案（工业企业解决方案、商业企业解决方案、复烤企业解决方案）、综合分析解决方案</w:t>
      </w:r>
    </w:p>
    <w:p>
      <w:pPr>
        <w:pStyle w:val="BodyText"/>
        <w:spacing w:line="297" w:lineRule="auto" w:before="15"/>
        <w:ind w:right="207"/>
        <w:jc w:val="both"/>
      </w:pPr>
      <w:r>
        <w:rPr>
          <w:spacing w:val="-1"/>
        </w:rPr>
        <w:t>（工业综合分析、商业综合分析）、财务管理解决方案（会计核算解决方案、全员报销管理解决</w:t>
      </w:r>
      <w:r>
        <w:rPr>
          <w:spacing w:val="-55"/>
        </w:rPr>
        <w:t> </w:t>
      </w:r>
      <w:r>
        <w:rPr>
          <w:spacing w:val="-55"/>
        </w:rPr>
      </w:r>
      <w:r>
        <w:rPr>
          <w:spacing w:val="-1"/>
        </w:rPr>
        <w:t>方案）、供应链管理解决方案（商业一体化解决方案、原料管理解决方案、物资管理解决方案、</w:t>
      </w:r>
      <w:r>
        <w:rPr>
          <w:spacing w:val="-55"/>
        </w:rPr>
        <w:t> </w:t>
      </w:r>
      <w:r>
        <w:rPr>
          <w:spacing w:val="-55"/>
        </w:rPr>
      </w:r>
      <w:r>
        <w:rPr>
          <w:spacing w:val="-1"/>
        </w:rPr>
        <w:t>卷烟销售解决方案、综合营销解决方案）、设备资产管理解决方案（备件管理解决方案、资产设</w:t>
      </w:r>
      <w:r>
        <w:rPr>
          <w:spacing w:val="-55"/>
        </w:rPr>
        <w:t> </w:t>
      </w:r>
      <w:r>
        <w:rPr>
          <w:spacing w:val="-55"/>
        </w:rPr>
      </w:r>
      <w:r>
        <w:rPr>
          <w:spacing w:val="-1"/>
        </w:rPr>
        <w:t>备管理解决方案、工程项目管理解决方案）、生产管理解决方案（配方管理解决方案、生产管理</w:t>
      </w:r>
      <w:r>
        <w:rPr>
          <w:spacing w:val="-55"/>
        </w:rPr>
        <w:t> </w:t>
      </w:r>
      <w:r>
        <w:rPr>
          <w:spacing w:val="-55"/>
        </w:rPr>
      </w:r>
      <w:r>
        <w:rPr>
          <w:spacing w:val="-1"/>
        </w:rPr>
        <w:t>解决方案），其经营模式是为客户提供客户提供标准产品及解决方案服务、专业服务（咨询、</w:t>
      </w:r>
      <w:r>
        <w:rPr>
          <w:rFonts w:ascii="宋体" w:hAnsi="宋体" w:cs="宋体" w:eastAsia="宋体" w:hint="default"/>
          <w:spacing w:val="-1"/>
        </w:rPr>
        <w:t>IT</w:t>
      </w:r>
      <w:r>
        <w:rPr>
          <w:rFonts w:ascii="宋体" w:hAnsi="宋体" w:cs="宋体" w:eastAsia="宋体" w:hint="default"/>
          <w:spacing w:val="-55"/>
        </w:rPr>
        <w:t> </w:t>
      </w:r>
      <w:r>
        <w:rPr>
          <w:spacing w:val="-1"/>
        </w:rPr>
        <w:t>系统建设、运营支撑），收入主要包括标准产品许可收入、支持与运维服务收入、咨询实施收入</w:t>
      </w:r>
    </w:p>
    <w:p>
      <w:pPr>
        <w:pStyle w:val="BodyText"/>
        <w:spacing w:line="240" w:lineRule="auto" w:before="15"/>
        <w:ind w:right="0"/>
        <w:jc w:val="both"/>
      </w:pPr>
      <w:r>
        <w:rPr/>
        <w:t>（实施交付、客户化开发、应用集成服务、咨询服务、其他服务）以及其他增值服务收入。</w:t>
      </w:r>
    </w:p>
    <w:p>
      <w:pPr>
        <w:spacing w:line="240" w:lineRule="auto" w:before="3"/>
        <w:rPr>
          <w:rFonts w:ascii="宋体" w:hAnsi="宋体" w:cs="宋体" w:eastAsia="宋体" w:hint="default"/>
          <w:sz w:val="14"/>
          <w:szCs w:val="14"/>
        </w:rPr>
      </w:pPr>
    </w:p>
    <w:p>
      <w:pPr>
        <w:pStyle w:val="BodyText"/>
        <w:spacing w:line="297" w:lineRule="auto"/>
        <w:ind w:right="207" w:firstLine="419"/>
        <w:jc w:val="both"/>
      </w:pPr>
      <w:r>
        <w:rPr>
          <w:rFonts w:ascii="宋体" w:hAnsi="宋体" w:cs="宋体" w:eastAsia="宋体" w:hint="default"/>
          <w:spacing w:val="-4"/>
        </w:rPr>
        <w:t>8</w:t>
      </w:r>
      <w:r>
        <w:rPr>
          <w:spacing w:val="-4"/>
        </w:rPr>
        <w:t>）公司面向电信运营商和广电行业客户的业务由用友广信网络科技有限公司（下称“用友广</w:t>
      </w:r>
      <w:r>
        <w:rPr>
          <w:w w:val="100"/>
        </w:rPr>
        <w:t> </w:t>
      </w:r>
      <w:r>
        <w:rPr>
          <w:spacing w:val="-1"/>
        </w:rPr>
        <w:t>信公司”）负责经营。用友广信公司服务电信运营商和广电企业互联网化，核心业务是支持运营</w:t>
      </w:r>
      <w:r>
        <w:rPr>
          <w:spacing w:val="-55"/>
        </w:rPr>
        <w:t> </w:t>
      </w:r>
      <w:r>
        <w:rPr>
          <w:spacing w:val="-55"/>
        </w:rPr>
      </w:r>
      <w:r>
        <w:rPr>
          <w:spacing w:val="-4"/>
        </w:rPr>
        <w:t>商互联网</w:t>
      </w:r>
      <w:r>
        <w:rPr>
          <w:rFonts w:ascii="宋体" w:hAnsi="宋体" w:cs="宋体" w:eastAsia="宋体" w:hint="default"/>
          <w:spacing w:val="-4"/>
        </w:rPr>
        <w:t>+</w:t>
      </w:r>
      <w:r>
        <w:rPr>
          <w:spacing w:val="-4"/>
        </w:rPr>
        <w:t>的战略转型，在管理支撑系统（</w:t>
      </w:r>
      <w:r>
        <w:rPr>
          <w:rFonts w:ascii="宋体" w:hAnsi="宋体" w:cs="宋体" w:eastAsia="宋体" w:hint="default"/>
          <w:spacing w:val="-4"/>
        </w:rPr>
        <w:t>MSS</w:t>
      </w:r>
      <w:r>
        <w:rPr>
          <w:spacing w:val="-4"/>
        </w:rPr>
        <w:t>）和电子化销售服务管理（</w:t>
      </w:r>
      <w:r>
        <w:rPr>
          <w:rFonts w:ascii="宋体" w:hAnsi="宋体" w:cs="宋体" w:eastAsia="宋体" w:hint="default"/>
          <w:spacing w:val="-4"/>
        </w:rPr>
        <w:t>ESS</w:t>
      </w:r>
      <w:r>
        <w:rPr>
          <w:spacing w:val="-4"/>
        </w:rPr>
        <w:t>）领域内进行互联网</w:t>
      </w:r>
      <w:r>
        <w:rPr>
          <w:spacing w:val="-24"/>
        </w:rPr>
        <w:t> </w:t>
      </w:r>
      <w:r>
        <w:rPr>
          <w:spacing w:val="-24"/>
        </w:rPr>
      </w:r>
      <w:r>
        <w:rPr>
          <w:spacing w:val="-1"/>
        </w:rPr>
        <w:t>化的新应用需求实现和原有应用系统的升级改造。用友广信公司的主要产品包括财务和人力资源</w:t>
      </w:r>
      <w:r>
        <w:rPr>
          <w:spacing w:val="-55"/>
        </w:rPr>
        <w:t> </w:t>
      </w:r>
      <w:r>
        <w:rPr>
          <w:spacing w:val="-55"/>
        </w:rPr>
      </w:r>
      <w:r>
        <w:rPr>
          <w:spacing w:val="-1"/>
        </w:rPr>
        <w:t>系统、供应链系统、报账中心、资金管理系统、全生命周期的集团资产管理系统、集团采购及供</w:t>
      </w:r>
      <w:r>
        <w:rPr>
          <w:spacing w:val="-55"/>
        </w:rPr>
        <w:t> </w:t>
      </w:r>
      <w:r>
        <w:rPr>
          <w:spacing w:val="-55"/>
        </w:rPr>
      </w:r>
      <w:r>
        <w:rPr/>
        <w:t>应商协同系统，电子化销售服务管理系统</w:t>
      </w:r>
      <w:r>
        <w:rPr>
          <w:rFonts w:ascii="宋体" w:hAnsi="宋体" w:cs="宋体" w:eastAsia="宋体" w:hint="default"/>
        </w:rPr>
        <w:t>(ESS</w:t>
      </w:r>
      <w:r>
        <w:rPr>
          <w:rFonts w:ascii="宋体" w:hAnsi="宋体" w:cs="宋体" w:eastAsia="宋体" w:hint="default"/>
          <w:spacing w:val="6"/>
        </w:rPr>
        <w:t> </w:t>
      </w:r>
      <w:r>
        <w:rPr/>
        <w:t>系统</w:t>
      </w:r>
      <w:r>
        <w:rPr>
          <w:rFonts w:ascii="宋体" w:hAnsi="宋体" w:cs="宋体" w:eastAsia="宋体" w:hint="default"/>
        </w:rPr>
        <w:t>)</w:t>
      </w:r>
      <w:r>
        <w:rPr/>
        <w:t>、数据业务分析支撑系统、微信营销系统、</w:t>
      </w:r>
      <w:r>
        <w:rPr>
          <w:w w:val="100"/>
        </w:rPr>
        <w:t> </w:t>
      </w:r>
      <w:r>
        <w:rPr>
          <w:spacing w:val="-1"/>
        </w:rPr>
        <w:t>在线客服及导购系统。公司在该行业为客户提供标准产品与解决方案服务、专业服务（咨询、运</w:t>
      </w:r>
      <w:r>
        <w:rPr>
          <w:spacing w:val="-53"/>
        </w:rPr>
        <w:t> </w:t>
      </w:r>
      <w:r>
        <w:rPr>
          <w:spacing w:val="-53"/>
        </w:rPr>
      </w:r>
      <w:r>
        <w:rPr>
          <w:spacing w:val="-1"/>
        </w:rPr>
        <w:t>营支撑）、运营服务（业务运营、应用运营、平台与数据运营）等，收入主要包括标准产品许可</w:t>
      </w:r>
      <w:r>
        <w:rPr>
          <w:spacing w:val="-56"/>
        </w:rPr>
        <w:t> </w:t>
      </w:r>
      <w:r>
        <w:rPr>
          <w:spacing w:val="-56"/>
        </w:rPr>
      </w:r>
      <w:r>
        <w:rPr>
          <w:spacing w:val="-1"/>
        </w:rPr>
        <w:t>收入、支持与运维服务收入、咨询实施收入（实施交付、客户化开发、咨询服务、其他服务）以</w:t>
      </w:r>
      <w:r>
        <w:rPr>
          <w:spacing w:val="-55"/>
        </w:rPr>
        <w:t> </w:t>
      </w:r>
      <w:r>
        <w:rPr>
          <w:spacing w:val="-55"/>
        </w:rPr>
      </w:r>
      <w:r>
        <w:rPr/>
        <w:t>及其他增值服务收入。</w:t>
      </w:r>
    </w:p>
    <w:p>
      <w:pPr>
        <w:pStyle w:val="BodyText"/>
        <w:spacing w:line="297" w:lineRule="auto" w:before="135"/>
        <w:ind w:right="103" w:firstLine="419"/>
        <w:jc w:val="left"/>
      </w:pPr>
      <w:r>
        <w:rPr>
          <w:rFonts w:ascii="宋体" w:hAnsi="宋体" w:cs="宋体" w:eastAsia="宋体" w:hint="default"/>
          <w:spacing w:val="-1"/>
        </w:rPr>
        <w:t>9</w:t>
      </w:r>
      <w:r>
        <w:rPr>
          <w:spacing w:val="-1"/>
        </w:rPr>
        <w:t>）公司面向能源行业的业务由用友能源科技有限公司（下称“用友能源公司”）负责经营。</w:t>
      </w:r>
      <w:r>
        <w:rPr>
          <w:w w:val="100"/>
        </w:rPr>
        <w:t> </w:t>
      </w:r>
      <w:r>
        <w:rPr/>
        <w:t>用友能源公司是面向能源行业设立的专业公司，主要为石油石化、电网、综合能源集团、五大电</w:t>
      </w:r>
      <w:r>
        <w:rPr>
          <w:spacing w:val="-97"/>
        </w:rPr>
        <w:t> </w:t>
      </w:r>
      <w:r>
        <w:rPr>
          <w:spacing w:val="-97"/>
        </w:rPr>
      </w:r>
      <w:r>
        <w:rPr/>
        <w:t>力集团、核电、新能源等行业客户提供信息化服务及企业运营服务，定位于能源企业信息化解决</w:t>
      </w:r>
      <w:r>
        <w:rPr>
          <w:spacing w:val="-97"/>
        </w:rPr>
        <w:t> </w:t>
      </w:r>
      <w:r>
        <w:rPr>
          <w:spacing w:val="-97"/>
        </w:rPr>
      </w:r>
      <w:r>
        <w:rPr/>
        <w:t>方案、专业服务、运营服务提供商。用友能源公司的产品包括企业经营管理（财务、供应链、人</w:t>
      </w:r>
      <w:r>
        <w:rPr>
          <w:spacing w:val="-98"/>
        </w:rPr>
        <w:t> </w:t>
      </w:r>
      <w:r>
        <w:rPr>
          <w:spacing w:val="-98"/>
        </w:rPr>
      </w:r>
      <w:r>
        <w:rPr/>
        <w:t>力资源等）、工程项目管理、资产设备管理、燃料管理等一体化的行业解决方案，其经营模式是</w:t>
      </w:r>
    </w:p>
    <w:p>
      <w:pPr>
        <w:spacing w:after="0" w:line="297" w:lineRule="auto"/>
        <w:jc w:val="left"/>
        <w:sectPr>
          <w:pgSz w:w="11910" w:h="16840"/>
          <w:pgMar w:header="880" w:footer="1335" w:top="1120" w:bottom="1520" w:left="1660" w:right="1060"/>
        </w:sectPr>
      </w:pPr>
    </w:p>
    <w:p>
      <w:pPr>
        <w:spacing w:line="240" w:lineRule="auto" w:before="4"/>
        <w:rPr>
          <w:rFonts w:ascii="宋体" w:hAnsi="宋体" w:cs="宋体" w:eastAsia="宋体" w:hint="default"/>
          <w:sz w:val="25"/>
          <w:szCs w:val="25"/>
        </w:rPr>
      </w:pPr>
    </w:p>
    <w:p>
      <w:pPr>
        <w:pStyle w:val="BodyText"/>
        <w:spacing w:line="297" w:lineRule="auto" w:before="36"/>
        <w:ind w:right="148"/>
        <w:jc w:val="both"/>
      </w:pPr>
      <w:r>
        <w:rPr>
          <w:spacing w:val="-6"/>
        </w:rPr>
        <w:t>为客户提供标准产品及解决方案服务、专业服务（咨询、</w:t>
      </w:r>
      <w:r>
        <w:rPr>
          <w:rFonts w:ascii="宋体" w:hAnsi="宋体" w:cs="宋体" w:eastAsia="宋体" w:hint="default"/>
          <w:spacing w:val="-6"/>
        </w:rPr>
        <w:t>IT </w:t>
      </w:r>
      <w:r>
        <w:rPr>
          <w:spacing w:val="-10"/>
        </w:rPr>
        <w:t>系统建设、运营支撑）、运营服务（业</w:t>
      </w:r>
      <w:r>
        <w:rPr>
          <w:spacing w:val="-79"/>
        </w:rPr>
        <w:t> </w:t>
      </w:r>
      <w:r>
        <w:rPr>
          <w:spacing w:val="-79"/>
        </w:rPr>
      </w:r>
      <w:r>
        <w:rPr>
          <w:spacing w:val="-1"/>
        </w:rPr>
        <w:t>务运营、应用运营、平台与数据运营）等，收入主要包括标准产品许可收入、支持与运维服务收</w:t>
      </w:r>
      <w:r>
        <w:rPr>
          <w:spacing w:val="-55"/>
        </w:rPr>
        <w:t> </w:t>
      </w:r>
      <w:r>
        <w:rPr>
          <w:spacing w:val="-55"/>
        </w:rPr>
      </w:r>
      <w:r>
        <w:rPr>
          <w:spacing w:val="-1"/>
        </w:rPr>
        <w:t>入、咨询实施收入（实施交付、客户化开发、应用集成服务、咨询服务、其他服务）以及其他增</w:t>
      </w:r>
      <w:r>
        <w:rPr>
          <w:spacing w:val="-56"/>
        </w:rPr>
        <w:t> </w:t>
      </w:r>
      <w:r>
        <w:rPr>
          <w:spacing w:val="-56"/>
        </w:rPr>
      </w:r>
      <w:r>
        <w:rPr/>
        <w:t>值服务收入。</w:t>
      </w:r>
    </w:p>
    <w:p>
      <w:pPr>
        <w:pStyle w:val="BodyText"/>
        <w:spacing w:line="460" w:lineRule="exact" w:before="13"/>
        <w:ind w:left="558" w:right="144" w:firstLine="2"/>
        <w:jc w:val="left"/>
      </w:pPr>
      <w:r>
        <w:rPr>
          <w:rFonts w:ascii="宋体" w:hAnsi="宋体" w:cs="宋体" w:eastAsia="宋体" w:hint="default"/>
          <w:b/>
          <w:bCs/>
        </w:rPr>
        <w:t>2</w:t>
      </w:r>
      <w:r>
        <w:rPr>
          <w:rFonts w:ascii="宋体" w:hAnsi="宋体" w:cs="宋体" w:eastAsia="宋体" w:hint="default"/>
          <w:b/>
          <w:bCs/>
        </w:rPr>
        <w:t>、企业互联网服务</w:t>
      </w:r>
      <w:r>
        <w:rPr>
          <w:rFonts w:ascii="宋体" w:hAnsi="宋体" w:cs="宋体" w:eastAsia="宋体" w:hint="default"/>
          <w:b/>
          <w:bCs/>
          <w:w w:val="100"/>
        </w:rPr>
        <w:t> </w:t>
      </w:r>
      <w:r>
        <w:rPr>
          <w:spacing w:val="-2"/>
        </w:rPr>
        <w:t>报告期内，公司的企业互联网服务业务聚焦财务服务、营销服务、人力资源以及企业协同服</w:t>
      </w:r>
    </w:p>
    <w:p>
      <w:pPr>
        <w:pStyle w:val="BodyText"/>
        <w:spacing w:line="297" w:lineRule="auto" w:before="1"/>
        <w:ind w:right="148"/>
        <w:jc w:val="both"/>
      </w:pPr>
      <w:r>
        <w:rPr>
          <w:spacing w:val="-1"/>
        </w:rPr>
        <w:t>务，基本完成互联网服务业务的布局。畅捷通公司面向小微企业的财务及管理服务平台正式上线</w:t>
      </w:r>
      <w:r>
        <w:rPr>
          <w:spacing w:val="-55"/>
        </w:rPr>
        <w:t> </w:t>
      </w:r>
      <w:r>
        <w:rPr>
          <w:spacing w:val="-55"/>
        </w:rPr>
      </w:r>
      <w:r>
        <w:rPr>
          <w:spacing w:val="-1"/>
        </w:rPr>
        <w:t>运营；公司设立用友超客网络科技有限公司（下称“用友超客公司”），聚焦互联网运营模式的</w:t>
      </w:r>
      <w:r>
        <w:rPr>
          <w:spacing w:val="-55"/>
        </w:rPr>
        <w:t> </w:t>
      </w:r>
      <w:r>
        <w:rPr>
          <w:spacing w:val="-55"/>
        </w:rPr>
      </w:r>
      <w:r>
        <w:rPr/>
        <w:t>移动 </w:t>
      </w:r>
      <w:r>
        <w:rPr>
          <w:rFonts w:ascii="宋体" w:hAnsi="宋体" w:cs="宋体" w:eastAsia="宋体" w:hint="default"/>
          <w:spacing w:val="-10"/>
        </w:rPr>
        <w:t>CRM</w:t>
      </w:r>
      <w:r>
        <w:rPr>
          <w:spacing w:val="-10"/>
        </w:rPr>
        <w:t>、企业社交与协同服务；公司收购上海秉钧网络科技有限公司（下称“秉钧网络公司”），</w:t>
      </w:r>
      <w:r>
        <w:rPr>
          <w:spacing w:val="-91"/>
        </w:rPr>
        <w:t> </w:t>
      </w:r>
      <w:r>
        <w:rPr>
          <w:spacing w:val="-91"/>
        </w:rPr>
      </w:r>
      <w:r>
        <w:rPr>
          <w:spacing w:val="-6"/>
          <w:w w:val="100"/>
        </w:rPr>
        <w:t>进军企业数字营销服务市场；公司筹建薪资福利社保服务公司——用友薪福社云服务有限公司（下</w:t>
      </w:r>
      <w:r>
        <w:rPr>
          <w:spacing w:val="-3"/>
          <w:w w:val="100"/>
        </w:rPr>
        <w:t> </w:t>
      </w:r>
      <w:r>
        <w:rPr>
          <w:spacing w:val="-1"/>
        </w:rPr>
        <w:t>称“用友薪福社公司”）；用友通信公司推出“工作手机”和“嘟嘟平台”，把通信服务与公司</w:t>
      </w:r>
      <w:r>
        <w:rPr>
          <w:spacing w:val="-55"/>
        </w:rPr>
        <w:t> </w:t>
      </w:r>
      <w:r>
        <w:rPr>
          <w:spacing w:val="-55"/>
        </w:rPr>
      </w:r>
      <w:r>
        <w:rPr/>
        <w:t>各类软件和互联网服务融合。</w:t>
      </w:r>
    </w:p>
    <w:p>
      <w:pPr>
        <w:pStyle w:val="BodyText"/>
        <w:spacing w:line="458" w:lineRule="exact" w:before="14"/>
        <w:ind w:left="558" w:right="144"/>
        <w:jc w:val="left"/>
      </w:pPr>
      <w:r>
        <w:rPr/>
        <w:t>（</w:t>
      </w:r>
      <w:r>
        <w:rPr>
          <w:rFonts w:ascii="宋体" w:hAnsi="宋体" w:cs="宋体" w:eastAsia="宋体" w:hint="default"/>
        </w:rPr>
        <w:t>1</w:t>
      </w:r>
      <w:r>
        <w:rPr/>
        <w:t>）财务服务</w:t>
      </w:r>
      <w:r>
        <w:rPr>
          <w:w w:val="100"/>
        </w:rPr>
        <w:t> </w:t>
      </w:r>
      <w:r>
        <w:rPr>
          <w:spacing w:val="-2"/>
        </w:rPr>
        <w:t>公司的互联网财务服务业务包括财务、会计、商事服务，代账平台等业务。经营模式是为客</w:t>
      </w:r>
    </w:p>
    <w:p>
      <w:pPr>
        <w:pStyle w:val="BodyText"/>
        <w:spacing w:line="297" w:lineRule="auto" w:before="4"/>
        <w:ind w:right="148"/>
        <w:jc w:val="both"/>
      </w:pPr>
      <w:r>
        <w:rPr>
          <w:spacing w:val="-1"/>
        </w:rPr>
        <w:t>户提供互联网财务服务，收入模式包括运营服务收入、云应用服务收入、信息和数据服务收入、</w:t>
      </w:r>
      <w:r>
        <w:rPr>
          <w:spacing w:val="-55"/>
        </w:rPr>
        <w:t> </w:t>
      </w:r>
      <w:r>
        <w:rPr>
          <w:spacing w:val="-55"/>
        </w:rPr>
      </w:r>
      <w:r>
        <w:rPr/>
        <w:t>平台交易收入以及其他增值服务收入。</w:t>
      </w:r>
    </w:p>
    <w:p>
      <w:pPr>
        <w:pStyle w:val="BodyText"/>
        <w:spacing w:line="462" w:lineRule="exact" w:before="11"/>
        <w:ind w:left="558" w:right="144"/>
        <w:jc w:val="left"/>
        <w:rPr>
          <w:rFonts w:ascii="宋体" w:hAnsi="宋体" w:cs="宋体" w:eastAsia="宋体" w:hint="default"/>
        </w:rPr>
      </w:pPr>
      <w:r>
        <w:rPr>
          <w:rFonts w:ascii="宋体" w:hAnsi="宋体" w:cs="宋体" w:eastAsia="宋体" w:hint="default"/>
        </w:rPr>
        <w:t>1</w:t>
      </w:r>
      <w:r>
        <w:rPr/>
        <w:t>）面向小微企业的财务及管理服务平台</w:t>
      </w:r>
      <w:r>
        <w:rPr>
          <w:w w:val="100"/>
        </w:rPr>
        <w:t> </w:t>
      </w:r>
      <w:r>
        <w:rPr>
          <w:spacing w:val="-2"/>
          <w:w w:val="100"/>
        </w:rPr>
        <w:t>畅捷通公司财务及管理服务平台面向小微企业提供财务</w:t>
      </w:r>
      <w:r>
        <w:rPr>
          <w:spacing w:val="-60"/>
          <w:w w:val="100"/>
        </w:rPr>
        <w:t> </w:t>
      </w:r>
      <w:r>
        <w:rPr>
          <w:rFonts w:ascii="宋体" w:hAnsi="宋体" w:cs="宋体" w:eastAsia="宋体" w:hint="default"/>
          <w:w w:val="100"/>
        </w:rPr>
        <w:t>OTO</w:t>
      </w:r>
      <w:r>
        <w:rPr>
          <w:rFonts w:ascii="宋体" w:hAnsi="宋体" w:cs="宋体" w:eastAsia="宋体" w:hint="default"/>
          <w:spacing w:val="-60"/>
          <w:w w:val="100"/>
        </w:rPr>
        <w:t> </w:t>
      </w:r>
      <w:r>
        <w:rPr>
          <w:spacing w:val="-10"/>
          <w:w w:val="100"/>
        </w:rPr>
        <w:t>服务，小微企业可以借助财务</w:t>
      </w:r>
      <w:r>
        <w:rPr>
          <w:spacing w:val="-60"/>
          <w:w w:val="100"/>
        </w:rPr>
        <w:t> </w:t>
      </w:r>
      <w:r>
        <w:rPr>
          <w:rFonts w:ascii="宋体" w:hAnsi="宋体" w:cs="宋体" w:eastAsia="宋体" w:hint="default"/>
          <w:spacing w:val="-1"/>
          <w:w w:val="100"/>
        </w:rPr>
        <w:t>OTO</w:t>
      </w:r>
    </w:p>
    <w:p>
      <w:pPr>
        <w:pStyle w:val="BodyText"/>
        <w:spacing w:line="297" w:lineRule="auto" w:before="3"/>
        <w:ind w:right="148"/>
        <w:jc w:val="both"/>
      </w:pPr>
      <w:r>
        <w:rPr>
          <w:spacing w:val="-1"/>
        </w:rPr>
        <w:t>服务选择服务商，获得如代理记账、工商注册等各种专业服务；该平台面向小微企业提供企业信</w:t>
      </w:r>
      <w:r>
        <w:rPr>
          <w:spacing w:val="-55"/>
        </w:rPr>
        <w:t> </w:t>
      </w:r>
      <w:r>
        <w:rPr>
          <w:spacing w:val="-55"/>
        </w:rPr>
      </w:r>
      <w:r>
        <w:rPr>
          <w:spacing w:val="-1"/>
        </w:rPr>
        <w:t>息化应用服务，帮助小微企业提升管理效率；该平台面向会计群体，提供学习交流、财税知识问</w:t>
      </w:r>
      <w:r>
        <w:rPr>
          <w:spacing w:val="-55"/>
        </w:rPr>
        <w:t> </w:t>
      </w:r>
      <w:r>
        <w:rPr>
          <w:spacing w:val="-55"/>
        </w:rPr>
      </w:r>
      <w:r>
        <w:rPr>
          <w:spacing w:val="-1"/>
        </w:rPr>
        <w:t>答、会计同城会、会计考试指导的网上社区；该平台还面向第三方开发商，使第三方开发商可以</w:t>
      </w:r>
      <w:r>
        <w:rPr>
          <w:spacing w:val="-55"/>
        </w:rPr>
        <w:t> </w:t>
      </w:r>
      <w:r>
        <w:rPr>
          <w:spacing w:val="-55"/>
        </w:rPr>
      </w:r>
      <w:r>
        <w:rPr/>
        <w:t>在云技术平台上开发及部署云应用，并最终向小微企业用户提供服务。</w:t>
      </w:r>
    </w:p>
    <w:p>
      <w:pPr>
        <w:pStyle w:val="BodyText"/>
        <w:spacing w:line="297" w:lineRule="auto" w:before="135"/>
        <w:ind w:right="148" w:firstLine="419"/>
        <w:jc w:val="both"/>
      </w:pPr>
      <w:r>
        <w:rPr>
          <w:spacing w:val="-2"/>
        </w:rPr>
        <w:t>财务及管理服务平台可通过向小微企业提供的按年订购的企业信息化应用服务，获得服务收</w:t>
      </w:r>
      <w:r>
        <w:rPr>
          <w:w w:val="100"/>
        </w:rPr>
        <w:t> </w:t>
      </w:r>
      <w:r>
        <w:rPr>
          <w:spacing w:val="-1"/>
        </w:rPr>
        <w:t>入；通过向服务商提供互联网代账工具——易代账公司版，获得按年订购的服务收入；通过向第</w:t>
      </w:r>
      <w:r>
        <w:rPr>
          <w:spacing w:val="-55"/>
        </w:rPr>
        <w:t> </w:t>
      </w:r>
      <w:r>
        <w:rPr>
          <w:spacing w:val="-55"/>
        </w:rPr>
      </w:r>
      <w:r>
        <w:rPr>
          <w:spacing w:val="-1"/>
        </w:rPr>
        <w:t>三方开发商提供开发工具和推广他们的应用服务，获得分润收入。未来，通过积累的大量用户资</w:t>
      </w:r>
      <w:r>
        <w:rPr>
          <w:spacing w:val="-55"/>
        </w:rPr>
        <w:t> </w:t>
      </w:r>
      <w:r>
        <w:rPr>
          <w:spacing w:val="-55"/>
        </w:rPr>
      </w:r>
      <w:r>
        <w:rPr/>
        <w:t>源，将开展数据服务、金融服务，带来更多增值收入。</w:t>
      </w:r>
    </w:p>
    <w:p>
      <w:pPr>
        <w:pStyle w:val="BodyText"/>
        <w:spacing w:line="240" w:lineRule="auto" w:before="133"/>
        <w:ind w:left="558" w:right="144"/>
        <w:jc w:val="left"/>
      </w:pPr>
      <w:r>
        <w:rPr/>
        <w:t>畅捷通公司的财务及管理服务平台的业务模块图如下：</w:t>
      </w:r>
    </w:p>
    <w:p>
      <w:pPr>
        <w:spacing w:after="0" w:line="240" w:lineRule="auto"/>
        <w:jc w:val="left"/>
        <w:sectPr>
          <w:pgSz w:w="11910" w:h="16840"/>
          <w:pgMar w:header="880" w:footer="1335" w:top="1120" w:bottom="1520" w:left="1660" w:right="11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5095" w:lineRule="exact"/>
        <w:ind w:left="557" w:right="0" w:firstLine="0"/>
        <w:rPr>
          <w:rFonts w:ascii="宋体" w:hAnsi="宋体" w:cs="宋体" w:eastAsia="宋体" w:hint="default"/>
          <w:sz w:val="20"/>
          <w:szCs w:val="20"/>
        </w:rPr>
      </w:pPr>
      <w:r>
        <w:rPr>
          <w:rFonts w:ascii="宋体" w:hAnsi="宋体" w:cs="宋体" w:eastAsia="宋体" w:hint="default"/>
          <w:position w:val="-101"/>
          <w:sz w:val="20"/>
          <w:szCs w:val="20"/>
        </w:rPr>
        <w:drawing>
          <wp:inline distT="0" distB="0" distL="0" distR="0">
            <wp:extent cx="5180336" cy="323545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5180336" cy="3235452"/>
                    </a:xfrm>
                    <a:prstGeom prst="rect">
                      <a:avLst/>
                    </a:prstGeom>
                  </pic:spPr>
                </pic:pic>
              </a:graphicData>
            </a:graphic>
          </wp:inline>
        </w:drawing>
      </w:r>
      <w:r>
        <w:rPr>
          <w:rFonts w:ascii="宋体" w:hAnsi="宋体" w:cs="宋体" w:eastAsia="宋体" w:hint="default"/>
          <w:position w:val="-101"/>
          <w:sz w:val="20"/>
          <w:szCs w:val="20"/>
        </w:rPr>
      </w:r>
    </w:p>
    <w:p>
      <w:pPr>
        <w:spacing w:line="240" w:lineRule="auto" w:before="8"/>
        <w:rPr>
          <w:rFonts w:ascii="宋体" w:hAnsi="宋体" w:cs="宋体" w:eastAsia="宋体" w:hint="default"/>
          <w:sz w:val="5"/>
          <w:szCs w:val="5"/>
        </w:rPr>
      </w:pPr>
    </w:p>
    <w:p>
      <w:pPr>
        <w:pStyle w:val="BodyText"/>
        <w:spacing w:line="297" w:lineRule="auto" w:before="36"/>
        <w:ind w:right="148" w:firstLine="419"/>
        <w:jc w:val="both"/>
      </w:pPr>
      <w:r>
        <w:rPr>
          <w:rFonts w:ascii="宋体" w:hAnsi="宋体" w:cs="宋体" w:eastAsia="宋体" w:hint="default"/>
          <w:spacing w:val="-4"/>
          <w:w w:val="100"/>
        </w:rPr>
        <w:t>2</w:t>
      </w:r>
      <w:r>
        <w:rPr>
          <w:spacing w:val="-4"/>
          <w:w w:val="100"/>
        </w:rPr>
        <w:t>）易代帐是畅捷通公司面向代账个人和代账公司推出的帮助小微企业财务管理并快速编制会</w:t>
      </w:r>
      <w:r>
        <w:rPr>
          <w:w w:val="100"/>
        </w:rPr>
        <w:t> </w:t>
      </w:r>
      <w:r>
        <w:rPr>
          <w:spacing w:val="-1"/>
        </w:rPr>
        <w:t>计报表的云应用服务，改变传统的获客方式、记账方式和客户经营方式，通过联合财务服务商的</w:t>
      </w:r>
      <w:r>
        <w:rPr>
          <w:spacing w:val="-55"/>
        </w:rPr>
        <w:t> </w:t>
      </w:r>
      <w:r>
        <w:rPr>
          <w:spacing w:val="-55"/>
        </w:rPr>
      </w:r>
      <w:r>
        <w:rPr>
          <w:spacing w:val="-1"/>
        </w:rPr>
        <w:t>方式帮助小微企业财务管理。易代账分为易代账个人版和公司版，易代账个人版继续免费支持个</w:t>
      </w:r>
      <w:r>
        <w:rPr>
          <w:spacing w:val="-55"/>
        </w:rPr>
        <w:t> </w:t>
      </w:r>
      <w:r>
        <w:rPr>
          <w:spacing w:val="-55"/>
        </w:rPr>
      </w:r>
      <w:r>
        <w:rPr/>
        <w:t>人代账，易代账公司版采用按年订购付费模式获取收益。</w:t>
      </w:r>
    </w:p>
    <w:p>
      <w:pPr>
        <w:pStyle w:val="BodyText"/>
        <w:spacing w:line="297" w:lineRule="auto" w:before="136"/>
        <w:ind w:right="148" w:firstLine="419"/>
        <w:jc w:val="both"/>
      </w:pPr>
      <w:r>
        <w:rPr>
          <w:rFonts w:ascii="宋体" w:hAnsi="宋体" w:cs="宋体" w:eastAsia="宋体" w:hint="default"/>
          <w:spacing w:val="-4"/>
        </w:rPr>
        <w:t>3</w:t>
      </w:r>
      <w:r>
        <w:rPr>
          <w:spacing w:val="-4"/>
        </w:rPr>
        <w:t>）好会计是面向有专职会计的小微企业提供的简单、快捷、免维护云应用服务，主要提供发</w:t>
      </w:r>
      <w:r>
        <w:rPr>
          <w:w w:val="100"/>
        </w:rPr>
        <w:t> </w:t>
      </w:r>
      <w:r>
        <w:rPr>
          <w:spacing w:val="-1"/>
        </w:rPr>
        <w:t>票管理、现金日记账、会计记账等功能，围绕记账核算进行延伸，通过开放连接及移动应用提升</w:t>
      </w:r>
      <w:r>
        <w:rPr>
          <w:spacing w:val="-56"/>
        </w:rPr>
        <w:t> </w:t>
      </w:r>
      <w:r>
        <w:rPr>
          <w:spacing w:val="-56"/>
        </w:rPr>
      </w:r>
      <w:r>
        <w:rPr/>
        <w:t>财务管理能力，提高会计工作效率。好会计采用按年订购付费模式获取收益。</w:t>
      </w:r>
    </w:p>
    <w:p>
      <w:pPr>
        <w:pStyle w:val="BodyText"/>
        <w:spacing w:line="240" w:lineRule="auto" w:before="135"/>
        <w:ind w:left="558" w:right="144"/>
        <w:jc w:val="left"/>
      </w:pPr>
      <w:r>
        <w:rPr/>
        <w:t>（</w:t>
      </w:r>
      <w:r>
        <w:rPr>
          <w:rFonts w:ascii="宋体" w:hAnsi="宋体" w:cs="宋体" w:eastAsia="宋体" w:hint="default"/>
        </w:rPr>
        <w:t>2</w:t>
      </w:r>
      <w:r>
        <w:rPr/>
        <w:t>）营销服务</w:t>
      </w:r>
    </w:p>
    <w:p>
      <w:pPr>
        <w:spacing w:line="240" w:lineRule="auto" w:before="3"/>
        <w:rPr>
          <w:rFonts w:ascii="宋体" w:hAnsi="宋体" w:cs="宋体" w:eastAsia="宋体" w:hint="default"/>
          <w:sz w:val="14"/>
          <w:szCs w:val="14"/>
        </w:rPr>
      </w:pPr>
    </w:p>
    <w:p>
      <w:pPr>
        <w:pStyle w:val="BodyText"/>
        <w:spacing w:line="297" w:lineRule="auto"/>
        <w:ind w:right="147" w:firstLine="419"/>
        <w:jc w:val="both"/>
      </w:pPr>
      <w:r>
        <w:rPr>
          <w:spacing w:val="-4"/>
        </w:rPr>
        <w:t>公司的互联网营销服务业务包括超客营销、秉钧红人、</w:t>
      </w:r>
      <w:r>
        <w:rPr>
          <w:rFonts w:ascii="宋体" w:hAnsi="宋体" w:cs="宋体" w:eastAsia="宋体" w:hint="default"/>
          <w:spacing w:val="-4"/>
        </w:rPr>
        <w:t>U</w:t>
      </w:r>
      <w:r>
        <w:rPr>
          <w:rFonts w:ascii="宋体" w:hAnsi="宋体" w:cs="宋体" w:eastAsia="宋体" w:hint="default"/>
          <w:spacing w:val="-37"/>
        </w:rPr>
        <w:t> </w:t>
      </w:r>
      <w:r>
        <w:rPr>
          <w:spacing w:val="-7"/>
        </w:rPr>
        <w:t>易联、</w:t>
      </w:r>
      <w:r>
        <w:rPr>
          <w:rFonts w:ascii="宋体" w:hAnsi="宋体" w:cs="宋体" w:eastAsia="宋体" w:hint="default"/>
          <w:spacing w:val="-7"/>
        </w:rPr>
        <w:t>U</w:t>
      </w:r>
      <w:r>
        <w:rPr>
          <w:rFonts w:ascii="宋体" w:hAnsi="宋体" w:cs="宋体" w:eastAsia="宋体" w:hint="default"/>
          <w:spacing w:val="-39"/>
        </w:rPr>
        <w:t> </w:t>
      </w:r>
      <w:r>
        <w:rPr/>
        <w:t>订货和</w:t>
      </w:r>
      <w:r>
        <w:rPr>
          <w:spacing w:val="-37"/>
        </w:rPr>
        <w:t> </w:t>
      </w:r>
      <w:r>
        <w:rPr>
          <w:rFonts w:ascii="宋体" w:hAnsi="宋体" w:cs="宋体" w:eastAsia="宋体" w:hint="default"/>
        </w:rPr>
        <w:t>U</w:t>
      </w:r>
      <w:r>
        <w:rPr>
          <w:rFonts w:ascii="宋体" w:hAnsi="宋体" w:cs="宋体" w:eastAsia="宋体" w:hint="default"/>
          <w:spacing w:val="-38"/>
        </w:rPr>
        <w:t> </w:t>
      </w:r>
      <w:r>
        <w:rPr>
          <w:spacing w:val="-5"/>
        </w:rPr>
        <w:t>商城等，经营模式</w:t>
      </w:r>
      <w:r>
        <w:rPr>
          <w:w w:val="100"/>
        </w:rPr>
        <w:t> </w:t>
      </w:r>
      <w:r>
        <w:rPr>
          <w:spacing w:val="-4"/>
        </w:rPr>
        <w:t>为客户提供企业互联网数字营销、移动</w:t>
      </w:r>
      <w:r>
        <w:rPr>
          <w:spacing w:val="-25"/>
        </w:rPr>
        <w:t> </w:t>
      </w:r>
      <w:r>
        <w:rPr>
          <w:rFonts w:ascii="宋体" w:hAnsi="宋体" w:cs="宋体" w:eastAsia="宋体" w:hint="default"/>
          <w:spacing w:val="-6"/>
        </w:rPr>
        <w:t>CRM</w:t>
      </w:r>
      <w:r>
        <w:rPr>
          <w:spacing w:val="-6"/>
        </w:rPr>
        <w:t>、</w:t>
      </w:r>
      <w:r>
        <w:rPr>
          <w:rFonts w:ascii="宋体" w:hAnsi="宋体" w:cs="宋体" w:eastAsia="宋体" w:hint="default"/>
          <w:spacing w:val="-6"/>
        </w:rPr>
        <w:t>O2O</w:t>
      </w:r>
      <w:r>
        <w:rPr>
          <w:rFonts w:ascii="宋体" w:hAnsi="宋体" w:cs="宋体" w:eastAsia="宋体" w:hint="default"/>
          <w:spacing w:val="-25"/>
        </w:rPr>
        <w:t> </w:t>
      </w:r>
      <w:r>
        <w:rPr>
          <w:spacing w:val="-3"/>
        </w:rPr>
        <w:t>解决方案以及网上经销商平台服务，获得运营服</w:t>
      </w:r>
      <w:r>
        <w:rPr>
          <w:spacing w:val="-92"/>
        </w:rPr>
        <w:t> </w:t>
      </w:r>
      <w:r>
        <w:rPr>
          <w:spacing w:val="-92"/>
        </w:rPr>
      </w:r>
      <w:r>
        <w:rPr>
          <w:spacing w:val="-2"/>
        </w:rPr>
        <w:t>务收入、云应用服务收入、信息和数据服务收入、推广第三方厂商应用服务获得的分润收入以及</w:t>
      </w:r>
      <w:r>
        <w:rPr>
          <w:spacing w:val="-25"/>
        </w:rPr>
        <w:t> </w:t>
      </w:r>
      <w:r>
        <w:rPr>
          <w:spacing w:val="-25"/>
        </w:rPr>
      </w:r>
      <w:r>
        <w:rPr/>
        <w:t>其他增值服务收入。</w:t>
      </w:r>
    </w:p>
    <w:p>
      <w:pPr>
        <w:pStyle w:val="BodyText"/>
        <w:spacing w:line="240" w:lineRule="auto" w:before="136"/>
        <w:ind w:left="558" w:right="144"/>
        <w:jc w:val="left"/>
      </w:pPr>
      <w:r>
        <w:rPr>
          <w:rFonts w:ascii="Calibri" w:hAnsi="Calibri" w:cs="Calibri" w:eastAsia="Calibri" w:hint="default"/>
        </w:rPr>
        <w:t>1</w:t>
      </w:r>
      <w:r>
        <w:rPr/>
        <w:t>）超客营销</w:t>
      </w:r>
    </w:p>
    <w:p>
      <w:pPr>
        <w:pStyle w:val="BodyText"/>
        <w:spacing w:line="290" w:lineRule="auto" w:before="159"/>
        <w:ind w:right="148" w:firstLine="419"/>
        <w:jc w:val="both"/>
      </w:pPr>
      <w:r>
        <w:rPr/>
        <w:t>用友超客公司于</w:t>
      </w:r>
      <w:r>
        <w:rPr>
          <w:spacing w:val="-41"/>
        </w:rPr>
        <w:t> </w:t>
      </w:r>
      <w:r>
        <w:rPr>
          <w:rFonts w:ascii="Calibri" w:hAnsi="Calibri" w:cs="Calibri" w:eastAsia="Calibri" w:hint="default"/>
        </w:rPr>
        <w:t>2015</w:t>
      </w:r>
      <w:r>
        <w:rPr>
          <w:rFonts w:ascii="Calibri" w:hAnsi="Calibri" w:cs="Calibri" w:eastAsia="Calibri" w:hint="default"/>
          <w:spacing w:val="21"/>
        </w:rPr>
        <w:t> </w:t>
      </w:r>
      <w:r>
        <w:rPr/>
        <w:t>年</w:t>
      </w:r>
      <w:r>
        <w:rPr>
          <w:spacing w:val="-41"/>
        </w:rPr>
        <w:t> </w:t>
      </w:r>
      <w:r>
        <w:rPr>
          <w:rFonts w:ascii="Calibri" w:hAnsi="Calibri" w:cs="Calibri" w:eastAsia="Calibri" w:hint="default"/>
        </w:rPr>
        <w:t>9</w:t>
      </w:r>
      <w:r>
        <w:rPr>
          <w:rFonts w:ascii="Calibri" w:hAnsi="Calibri" w:cs="Calibri" w:eastAsia="Calibri" w:hint="default"/>
          <w:spacing w:val="20"/>
        </w:rPr>
        <w:t> </w:t>
      </w:r>
      <w:r>
        <w:rPr/>
        <w:t>月</w:t>
      </w:r>
      <w:r>
        <w:rPr>
          <w:spacing w:val="-41"/>
        </w:rPr>
        <w:t> </w:t>
      </w:r>
      <w:r>
        <w:rPr>
          <w:rFonts w:ascii="Calibri" w:hAnsi="Calibri" w:cs="Calibri" w:eastAsia="Calibri" w:hint="default"/>
        </w:rPr>
        <w:t>16</w:t>
      </w:r>
      <w:r>
        <w:rPr>
          <w:rFonts w:ascii="Calibri" w:hAnsi="Calibri" w:cs="Calibri" w:eastAsia="Calibri" w:hint="default"/>
          <w:spacing w:val="18"/>
        </w:rPr>
        <w:t> </w:t>
      </w:r>
      <w:r>
        <w:rPr/>
        <w:t>日正式对外发布超客营销</w:t>
      </w:r>
      <w:r>
        <w:rPr>
          <w:spacing w:val="-41"/>
        </w:rPr>
        <w:t> </w:t>
      </w:r>
      <w:r>
        <w:rPr>
          <w:rFonts w:ascii="Calibri" w:hAnsi="Calibri" w:cs="Calibri" w:eastAsia="Calibri" w:hint="default"/>
        </w:rPr>
        <w:t>2.0</w:t>
      </w:r>
      <w:r>
        <w:rPr/>
        <w:t>。超客营销是移动化、社交化</w:t>
      </w:r>
      <w:r>
        <w:rPr>
          <w:w w:val="100"/>
        </w:rPr>
        <w:t> </w:t>
      </w:r>
      <w:r>
        <w:rPr>
          <w:spacing w:val="-4"/>
        </w:rPr>
        <w:t>的企业云销售管理平台，注重社交化 </w:t>
      </w:r>
      <w:r>
        <w:rPr>
          <w:rFonts w:ascii="Calibri" w:hAnsi="Calibri" w:cs="Calibri" w:eastAsia="Calibri" w:hint="default"/>
        </w:rPr>
        <w:t>CRM </w:t>
      </w:r>
      <w:r>
        <w:rPr>
          <w:spacing w:val="-4"/>
        </w:rPr>
        <w:t>与社交化协同应用，帮助企业建立从市场营销推广到客</w:t>
      </w:r>
      <w:r>
        <w:rPr>
          <w:spacing w:val="-80"/>
        </w:rPr>
        <w:t> </w:t>
      </w:r>
      <w:r>
        <w:rPr>
          <w:spacing w:val="-80"/>
        </w:rPr>
      </w:r>
      <w:r>
        <w:rPr>
          <w:spacing w:val="-1"/>
        </w:rPr>
        <w:t>户管理与销售管理的营销管理一体化和社交化应用服务产品，具备分享、协作及定制特性，实现</w:t>
      </w:r>
      <w:r>
        <w:rPr>
          <w:spacing w:val="-55"/>
        </w:rPr>
        <w:t> </w:t>
      </w:r>
      <w:r>
        <w:rPr>
          <w:spacing w:val="-55"/>
        </w:rPr>
      </w:r>
      <w:r>
        <w:rPr>
          <w:spacing w:val="-1"/>
        </w:rPr>
        <w:t>业务的社交化，从而将传统封闭性业务管理变为开放性管理，实现更广泛的商业连接；平台通过</w:t>
      </w:r>
      <w:r>
        <w:rPr>
          <w:spacing w:val="-55"/>
        </w:rPr>
        <w:t> </w:t>
      </w:r>
      <w:r>
        <w:rPr>
          <w:spacing w:val="-55"/>
        </w:rPr>
      </w:r>
      <w:r>
        <w:rPr>
          <w:spacing w:val="-1"/>
        </w:rPr>
        <w:t>开放性接口实现与各类专业系统、自有系统、社会化数据服务平台进行数据、人员、组织和流程</w:t>
      </w:r>
      <w:r>
        <w:rPr>
          <w:spacing w:val="-55"/>
        </w:rPr>
        <w:t> </w:t>
      </w:r>
      <w:r>
        <w:rPr>
          <w:spacing w:val="-55"/>
        </w:rPr>
      </w:r>
      <w:r>
        <w:rPr>
          <w:spacing w:val="-1"/>
        </w:rPr>
        <w:t>连接，按照业务及角色需要提供数据服务、业务处理服务、协作沟通服务，将客户及消费者融合</w:t>
      </w:r>
      <w:r>
        <w:rPr>
          <w:spacing w:val="-55"/>
        </w:rPr>
        <w:t> </w:t>
      </w:r>
      <w:r>
        <w:rPr>
          <w:spacing w:val="-55"/>
        </w:rPr>
      </w:r>
      <w:r>
        <w:rPr>
          <w:spacing w:val="-1"/>
        </w:rPr>
        <w:t>到价值交付的各个环节，满足更加多样的客户需求，提升运营效率和服务水平。通过超客营销，</w:t>
      </w:r>
      <w:r>
        <w:rPr>
          <w:spacing w:val="-55"/>
        </w:rPr>
        <w:t> </w:t>
      </w:r>
      <w:r>
        <w:rPr>
          <w:spacing w:val="-55"/>
        </w:rPr>
      </w:r>
      <w:r>
        <w:rPr>
          <w:spacing w:val="-1"/>
        </w:rPr>
        <w:t>企业能够进行生意管理、客户互动、团队协同、粉丝聚合、全媒体发布，充分连接客户，帮助企</w:t>
      </w:r>
      <w:r>
        <w:rPr>
          <w:spacing w:val="-55"/>
        </w:rPr>
        <w:t> </w:t>
      </w:r>
      <w:r>
        <w:rPr>
          <w:spacing w:val="-55"/>
        </w:rPr>
      </w:r>
      <w:r>
        <w:rPr>
          <w:spacing w:val="-1"/>
        </w:rPr>
        <w:t>业管理销售，为企业带来更多生意。超客营销通过提供上述服务，获得服务收入、与第三方厂商</w:t>
      </w:r>
      <w:r>
        <w:rPr>
          <w:spacing w:val="-55"/>
        </w:rPr>
        <w:t> </w:t>
      </w:r>
      <w:r>
        <w:rPr>
          <w:spacing w:val="-55"/>
        </w:rPr>
      </w:r>
      <w:r>
        <w:rPr/>
        <w:t>的分润收入以及其他增值服务收入。</w:t>
      </w:r>
    </w:p>
    <w:p>
      <w:pPr>
        <w:spacing w:after="0" w:line="290" w:lineRule="auto"/>
        <w:jc w:val="both"/>
        <w:sectPr>
          <w:pgSz w:w="11910" w:h="16840"/>
          <w:pgMar w:header="880" w:footer="1335" w:top="1120" w:bottom="1520" w:left="1660" w:right="1120"/>
        </w:sectPr>
      </w:pPr>
    </w:p>
    <w:p>
      <w:pPr>
        <w:spacing w:line="240" w:lineRule="auto" w:before="4"/>
        <w:rPr>
          <w:rFonts w:ascii="宋体" w:hAnsi="宋体" w:cs="宋体" w:eastAsia="宋体" w:hint="default"/>
          <w:sz w:val="25"/>
          <w:szCs w:val="25"/>
        </w:rPr>
      </w:pPr>
    </w:p>
    <w:p>
      <w:pPr>
        <w:pStyle w:val="BodyText"/>
        <w:spacing w:line="240" w:lineRule="auto" w:before="36"/>
        <w:ind w:left="558" w:right="103"/>
        <w:jc w:val="left"/>
      </w:pPr>
      <w:r>
        <w:rPr>
          <w:rFonts w:ascii="宋体" w:hAnsi="宋体" w:cs="宋体" w:eastAsia="宋体" w:hint="default"/>
        </w:rPr>
        <w:t>2</w:t>
      </w:r>
      <w:r>
        <w:rPr/>
        <w:t>）秉钧网络</w:t>
      </w:r>
    </w:p>
    <w:p>
      <w:pPr>
        <w:spacing w:line="240" w:lineRule="auto" w:before="3"/>
        <w:rPr>
          <w:rFonts w:ascii="宋体" w:hAnsi="宋体" w:cs="宋体" w:eastAsia="宋体" w:hint="default"/>
          <w:sz w:val="14"/>
          <w:szCs w:val="14"/>
        </w:rPr>
      </w:pPr>
    </w:p>
    <w:p>
      <w:pPr>
        <w:pStyle w:val="BodyText"/>
        <w:spacing w:line="297" w:lineRule="auto"/>
        <w:ind w:right="208" w:firstLine="419"/>
        <w:jc w:val="both"/>
      </w:pPr>
      <w:r>
        <w:rPr>
          <w:spacing w:val="-2"/>
        </w:rPr>
        <w:t>秉钧网络公司是一家提供多渠道社会化媒体传播资源，为企业客户导流，帮助客户完成客户</w:t>
      </w:r>
      <w:r>
        <w:rPr>
          <w:w w:val="100"/>
        </w:rPr>
        <w:t> </w:t>
      </w:r>
      <w:r>
        <w:rPr>
          <w:spacing w:val="-1"/>
        </w:rPr>
        <w:t>获取、客户转化及支付环节，构建销售闭环，形成全国性网络渠道的以数字化营销为基础的服务</w:t>
      </w:r>
      <w:r>
        <w:rPr>
          <w:spacing w:val="-55"/>
        </w:rPr>
        <w:t> </w:t>
      </w:r>
      <w:r>
        <w:rPr>
          <w:spacing w:val="-55"/>
        </w:rPr>
      </w:r>
      <w:r>
        <w:rPr>
          <w:spacing w:val="-9"/>
        </w:rPr>
        <w:t>提供商。秉钧网络通过线上的社会化媒体的传播资源（如微信、微博）和线下的硬件类营销产品</w:t>
      </w:r>
      <w:r>
        <w:rPr>
          <w:rFonts w:ascii="宋体" w:hAnsi="宋体" w:cs="宋体" w:eastAsia="宋体" w:hint="default"/>
          <w:spacing w:val="-9"/>
        </w:rPr>
        <w:t>(</w:t>
      </w:r>
      <w:r>
        <w:rPr>
          <w:spacing w:val="-9"/>
        </w:rPr>
        <w:t>微</w:t>
      </w:r>
      <w:r>
        <w:rPr>
          <w:spacing w:val="-19"/>
        </w:rPr>
        <w:t> </w:t>
      </w:r>
      <w:r>
        <w:rPr/>
        <w:t>信打印机</w:t>
      </w:r>
      <w:r>
        <w:rPr>
          <w:spacing w:val="-51"/>
        </w:rPr>
        <w:t> </w:t>
      </w:r>
      <w:r>
        <w:rPr>
          <w:rFonts w:ascii="宋体" w:hAnsi="宋体" w:cs="宋体" w:eastAsia="宋体" w:hint="default"/>
        </w:rPr>
        <w:t>XPHoto,</w:t>
      </w:r>
      <w:r>
        <w:rPr/>
        <w:t>微信路由器</w:t>
      </w:r>
      <w:r>
        <w:rPr>
          <w:spacing w:val="-50"/>
        </w:rPr>
        <w:t> </w:t>
      </w:r>
      <w:r>
        <w:rPr>
          <w:rFonts w:ascii="宋体" w:hAnsi="宋体" w:cs="宋体" w:eastAsia="宋体" w:hint="default"/>
        </w:rPr>
        <w:t>XWifi)</w:t>
      </w:r>
      <w:r>
        <w:rPr/>
        <w:t>，为企业客户提供客户获取、流量导入服务。目前，秉钧网</w:t>
      </w:r>
      <w:r>
        <w:rPr>
          <w:w w:val="100"/>
        </w:rPr>
        <w:t> </w:t>
      </w:r>
      <w:r>
        <w:rPr>
          <w:spacing w:val="-1"/>
        </w:rPr>
        <w:t>络公司成为国内唯一覆盖微信、微博、论坛、媒体、贴吧等数字化媒体资源的提供商。用友秉钧</w:t>
      </w:r>
      <w:r>
        <w:rPr>
          <w:spacing w:val="-55"/>
        </w:rPr>
        <w:t> </w:t>
      </w:r>
      <w:r>
        <w:rPr>
          <w:spacing w:val="-55"/>
        </w:rPr>
      </w:r>
      <w:r>
        <w:rPr>
          <w:spacing w:val="-1"/>
        </w:rPr>
        <w:t>的主要产品“秉钧红人”把数字化营销产品和服务作为商品以电商的方式销售，客户可自主充值</w:t>
      </w:r>
      <w:r>
        <w:rPr>
          <w:spacing w:val="-55"/>
        </w:rPr>
        <w:t> </w:t>
      </w:r>
      <w:r>
        <w:rPr>
          <w:spacing w:val="-55"/>
        </w:rPr>
      </w:r>
      <w:r>
        <w:rPr/>
        <w:t>下单，红人可以自主接单结算，秉钧获取平台服务费。</w:t>
      </w:r>
    </w:p>
    <w:p>
      <w:pPr>
        <w:pStyle w:val="BodyText"/>
        <w:spacing w:line="240" w:lineRule="auto" w:before="135"/>
        <w:ind w:left="558" w:right="103"/>
        <w:jc w:val="left"/>
      </w:pPr>
      <w:r>
        <w:rPr>
          <w:rFonts w:ascii="宋体" w:hAnsi="宋体" w:cs="宋体" w:eastAsia="宋体" w:hint="default"/>
        </w:rPr>
        <w:t>3</w:t>
      </w:r>
      <w:r>
        <w:rPr/>
        <w:t>）</w:t>
      </w:r>
      <w:r>
        <w:rPr>
          <w:rFonts w:ascii="宋体" w:hAnsi="宋体" w:cs="宋体" w:eastAsia="宋体" w:hint="default"/>
        </w:rPr>
        <w:t>U</w:t>
      </w:r>
      <w:r>
        <w:rPr>
          <w:rFonts w:ascii="宋体" w:hAnsi="宋体" w:cs="宋体" w:eastAsia="宋体" w:hint="default"/>
          <w:spacing w:val="-55"/>
        </w:rPr>
        <w:t> </w:t>
      </w:r>
      <w:r>
        <w:rPr/>
        <w:t>易联、</w:t>
      </w:r>
      <w:r>
        <w:rPr>
          <w:rFonts w:ascii="宋体" w:hAnsi="宋体" w:cs="宋体" w:eastAsia="宋体" w:hint="default"/>
        </w:rPr>
        <w:t>U</w:t>
      </w:r>
      <w:r>
        <w:rPr>
          <w:rFonts w:ascii="宋体" w:hAnsi="宋体" w:cs="宋体" w:eastAsia="宋体" w:hint="default"/>
          <w:spacing w:val="-53"/>
        </w:rPr>
        <w:t> </w:t>
      </w:r>
      <w:r>
        <w:rPr/>
        <w:t>商城和</w:t>
      </w:r>
      <w:r>
        <w:rPr>
          <w:spacing w:val="-52"/>
        </w:rPr>
        <w:t> </w:t>
      </w:r>
      <w:r>
        <w:rPr>
          <w:rFonts w:ascii="宋体" w:hAnsi="宋体" w:cs="宋体" w:eastAsia="宋体" w:hint="default"/>
        </w:rPr>
        <w:t>U</w:t>
      </w:r>
      <w:r>
        <w:rPr>
          <w:rFonts w:ascii="宋体" w:hAnsi="宋体" w:cs="宋体" w:eastAsia="宋体" w:hint="default"/>
          <w:spacing w:val="-53"/>
        </w:rPr>
        <w:t> </w:t>
      </w:r>
      <w:r>
        <w:rPr>
          <w:spacing w:val="-3"/>
        </w:rPr>
        <w:t>订货</w:t>
      </w:r>
      <w:r>
        <w:rPr/>
      </w:r>
    </w:p>
    <w:p>
      <w:pPr>
        <w:spacing w:line="240" w:lineRule="auto" w:before="3"/>
        <w:rPr>
          <w:rFonts w:ascii="宋体" w:hAnsi="宋体" w:cs="宋体" w:eastAsia="宋体" w:hint="default"/>
          <w:sz w:val="14"/>
          <w:szCs w:val="14"/>
        </w:rPr>
      </w:pPr>
    </w:p>
    <w:p>
      <w:pPr>
        <w:pStyle w:val="BodyText"/>
        <w:spacing w:line="297" w:lineRule="auto"/>
        <w:ind w:right="101" w:firstLine="419"/>
        <w:jc w:val="left"/>
      </w:pPr>
      <w:r>
        <w:rPr>
          <w:spacing w:val="-4"/>
        </w:rPr>
        <w:t>用友优普信息技术有限公司（下称“用友优普公司”）的“</w:t>
      </w:r>
      <w:r>
        <w:rPr>
          <w:rFonts w:ascii="宋体" w:hAnsi="宋体" w:cs="宋体" w:eastAsia="宋体" w:hint="default"/>
          <w:spacing w:val="-4"/>
        </w:rPr>
        <w:t>U </w:t>
      </w:r>
      <w:r>
        <w:rPr>
          <w:spacing w:val="-7"/>
        </w:rPr>
        <w:t>易联”、“</w:t>
      </w:r>
      <w:r>
        <w:rPr>
          <w:rFonts w:ascii="宋体" w:hAnsi="宋体" w:cs="宋体" w:eastAsia="宋体" w:hint="default"/>
          <w:spacing w:val="-7"/>
        </w:rPr>
        <w:t>U</w:t>
      </w:r>
      <w:r>
        <w:rPr>
          <w:rFonts w:ascii="宋体" w:hAnsi="宋体" w:cs="宋体" w:eastAsia="宋体" w:hint="default"/>
          <w:spacing w:val="-72"/>
        </w:rPr>
        <w:t> </w:t>
      </w:r>
      <w:r>
        <w:rPr>
          <w:spacing w:val="-3"/>
        </w:rPr>
        <w:t>商城”涵盖会员营</w:t>
      </w:r>
      <w:r>
        <w:rPr>
          <w:w w:val="100"/>
        </w:rPr>
        <w:t> </w:t>
      </w:r>
      <w:r>
        <w:rPr/>
        <w:t>销、自建商城、微信商城、线上线下交易互动、会员的统一管理、电子会员卡、附近门店等，为</w:t>
      </w:r>
      <w:r>
        <w:rPr>
          <w:spacing w:val="-97"/>
        </w:rPr>
        <w:t> </w:t>
      </w:r>
      <w:r>
        <w:rPr>
          <w:spacing w:val="-97"/>
        </w:rPr>
      </w:r>
      <w:r>
        <w:rPr/>
        <w:t>企业打造闭环</w:t>
      </w:r>
      <w:r>
        <w:rPr>
          <w:spacing w:val="-33"/>
        </w:rPr>
        <w:t> </w:t>
      </w:r>
      <w:r>
        <w:rPr>
          <w:rFonts w:ascii="宋体" w:hAnsi="宋体" w:cs="宋体" w:eastAsia="宋体" w:hint="default"/>
        </w:rPr>
        <w:t>O2O</w:t>
      </w:r>
      <w:r>
        <w:rPr>
          <w:rFonts w:ascii="宋体" w:hAnsi="宋体" w:cs="宋体" w:eastAsia="宋体" w:hint="default"/>
          <w:spacing w:val="-33"/>
        </w:rPr>
        <w:t> </w:t>
      </w:r>
      <w:r>
        <w:rPr/>
        <w:t>提供了完整的解决方案；“</w:t>
      </w:r>
      <w:r>
        <w:rPr>
          <w:rFonts w:ascii="宋体" w:hAnsi="宋体" w:cs="宋体" w:eastAsia="宋体" w:hint="default"/>
        </w:rPr>
        <w:t>U</w:t>
      </w:r>
      <w:r>
        <w:rPr>
          <w:rFonts w:ascii="宋体" w:hAnsi="宋体" w:cs="宋体" w:eastAsia="宋体" w:hint="default"/>
          <w:spacing w:val="-33"/>
        </w:rPr>
        <w:t> </w:t>
      </w:r>
      <w:r>
        <w:rPr/>
        <w:t>订货”为企业的网上经销商平台，全面改变了企</w:t>
      </w:r>
      <w:r>
        <w:rPr>
          <w:w w:val="100"/>
        </w:rPr>
        <w:t> </w:t>
      </w:r>
      <w:r>
        <w:rPr/>
        <w:t>业经销商传统的订货模式，提供了企业统一的订货平台，订货高效、准确，财务对账清晰，并与</w:t>
      </w:r>
      <w:r>
        <w:rPr>
          <w:spacing w:val="-97"/>
        </w:rPr>
        <w:t> </w:t>
      </w:r>
      <w:r>
        <w:rPr>
          <w:spacing w:val="-97"/>
        </w:rPr>
      </w:r>
      <w:r>
        <w:rPr>
          <w:rFonts w:ascii="宋体" w:hAnsi="宋体" w:cs="宋体" w:eastAsia="宋体" w:hint="default"/>
        </w:rPr>
        <w:t>U8</w:t>
      </w:r>
      <w:r>
        <w:rPr>
          <w:rFonts w:ascii="宋体" w:hAnsi="宋体" w:cs="宋体" w:eastAsia="宋体" w:hint="default"/>
          <w:spacing w:val="-50"/>
        </w:rPr>
        <w:t> </w:t>
      </w:r>
      <w:r>
        <w:rPr/>
        <w:t>财务、供应链无缝整合，让企业与经销商交易更加简单。“</w:t>
      </w:r>
      <w:r>
        <w:rPr>
          <w:rFonts w:ascii="宋体" w:hAnsi="宋体" w:cs="宋体" w:eastAsia="宋体" w:hint="default"/>
        </w:rPr>
        <w:t>U</w:t>
      </w:r>
      <w:r>
        <w:rPr>
          <w:rFonts w:ascii="宋体" w:hAnsi="宋体" w:cs="宋体" w:eastAsia="宋体" w:hint="default"/>
          <w:spacing w:val="-53"/>
        </w:rPr>
        <w:t> </w:t>
      </w:r>
      <w:r>
        <w:rPr/>
        <w:t>易联”、“</w:t>
      </w:r>
      <w:r>
        <w:rPr>
          <w:rFonts w:ascii="宋体" w:hAnsi="宋体" w:cs="宋体" w:eastAsia="宋体" w:hint="default"/>
        </w:rPr>
        <w:t>U</w:t>
      </w:r>
      <w:r>
        <w:rPr>
          <w:rFonts w:ascii="宋体" w:hAnsi="宋体" w:cs="宋体" w:eastAsia="宋体" w:hint="default"/>
          <w:spacing w:val="-52"/>
        </w:rPr>
        <w:t> </w:t>
      </w:r>
      <w:r>
        <w:rPr/>
        <w:t>商城”和“</w:t>
      </w:r>
      <w:r>
        <w:rPr>
          <w:rFonts w:ascii="宋体" w:hAnsi="宋体" w:cs="宋体" w:eastAsia="宋体" w:hint="default"/>
        </w:rPr>
        <w:t>U</w:t>
      </w:r>
      <w:r>
        <w:rPr>
          <w:rFonts w:ascii="宋体" w:hAnsi="宋体" w:cs="宋体" w:eastAsia="宋体" w:hint="default"/>
          <w:spacing w:val="-53"/>
        </w:rPr>
        <w:t> </w:t>
      </w:r>
      <w:r>
        <w:rPr/>
        <w:t>订货”</w:t>
      </w:r>
      <w:r>
        <w:rPr>
          <w:w w:val="100"/>
        </w:rPr>
        <w:t> </w:t>
      </w:r>
      <w:r>
        <w:rPr/>
        <w:t>通过为企业提供</w:t>
      </w:r>
      <w:r>
        <w:rPr>
          <w:spacing w:val="-48"/>
        </w:rPr>
        <w:t> </w:t>
      </w:r>
      <w:r>
        <w:rPr>
          <w:rFonts w:ascii="宋体" w:hAnsi="宋体" w:cs="宋体" w:eastAsia="宋体" w:hint="default"/>
        </w:rPr>
        <w:t>O2O</w:t>
      </w:r>
      <w:r>
        <w:rPr>
          <w:rFonts w:ascii="宋体" w:hAnsi="宋体" w:cs="宋体" w:eastAsia="宋体" w:hint="default"/>
          <w:spacing w:val="-50"/>
        </w:rPr>
        <w:t> </w:t>
      </w:r>
      <w:r>
        <w:rPr/>
        <w:t>解决方案及网上经销商平台的方式，获得云应用服务收入、平台交易收入分</w:t>
      </w:r>
      <w:r>
        <w:rPr>
          <w:w w:val="100"/>
        </w:rPr>
        <w:t> </w:t>
      </w:r>
      <w:r>
        <w:rPr/>
        <w:t>成。</w:t>
      </w:r>
    </w:p>
    <w:p>
      <w:pPr>
        <w:pStyle w:val="BodyText"/>
        <w:spacing w:line="460" w:lineRule="exact" w:before="13"/>
        <w:ind w:left="558" w:right="101"/>
        <w:jc w:val="left"/>
      </w:pPr>
      <w:r>
        <w:rPr/>
        <w:t>（</w:t>
      </w:r>
      <w:r>
        <w:rPr>
          <w:rFonts w:ascii="宋体" w:hAnsi="宋体" w:cs="宋体" w:eastAsia="宋体" w:hint="default"/>
        </w:rPr>
        <w:t>3</w:t>
      </w:r>
      <w:r>
        <w:rPr/>
        <w:t>）人力资源服务</w:t>
      </w:r>
      <w:r>
        <w:rPr>
          <w:w w:val="100"/>
        </w:rPr>
        <w:t> </w:t>
      </w:r>
      <w:r>
        <w:rPr>
          <w:spacing w:val="-9"/>
          <w:w w:val="100"/>
        </w:rPr>
        <w:t>公司的互联网人力资源服务业务由筹建中的用友薪福社云服务公司（下称“用友薪福社公司”）</w:t>
      </w:r>
    </w:p>
    <w:p>
      <w:pPr>
        <w:pStyle w:val="BodyText"/>
        <w:spacing w:line="297" w:lineRule="auto" w:before="4"/>
        <w:ind w:right="208"/>
        <w:jc w:val="both"/>
      </w:pPr>
      <w:r>
        <w:rPr>
          <w:spacing w:val="-1"/>
        </w:rPr>
        <w:t>提供。用友薪福社公司的业务远景是提供中国最大的互联网人力资源服务交易平台。交易平台是</w:t>
      </w:r>
      <w:r>
        <w:rPr>
          <w:spacing w:val="-56"/>
        </w:rPr>
        <w:t> </w:t>
      </w:r>
      <w:r>
        <w:rPr>
          <w:spacing w:val="-56"/>
        </w:rPr>
      </w:r>
      <w:r>
        <w:rPr>
          <w:spacing w:val="-3"/>
        </w:rPr>
        <w:t>为服务商提供的业务处理系统，应用场景为</w:t>
      </w:r>
      <w:r>
        <w:rPr>
          <w:spacing w:val="-28"/>
        </w:rPr>
        <w:t> </w:t>
      </w:r>
      <w:r>
        <w:rPr>
          <w:rFonts w:ascii="宋体" w:hAnsi="宋体" w:cs="宋体" w:eastAsia="宋体" w:hint="default"/>
        </w:rPr>
        <w:t>SaaS</w:t>
      </w:r>
      <w:r>
        <w:rPr>
          <w:rFonts w:ascii="宋体" w:hAnsi="宋体" w:cs="宋体" w:eastAsia="宋体" w:hint="default"/>
          <w:spacing w:val="-28"/>
        </w:rPr>
        <w:t> </w:t>
      </w:r>
      <w:r>
        <w:rPr>
          <w:spacing w:val="-5"/>
        </w:rPr>
        <w:t>应用平台，价值为提升服务商的效率，并提供多</w:t>
      </w:r>
      <w:r>
        <w:rPr>
          <w:spacing w:val="-95"/>
        </w:rPr>
        <w:t> </w:t>
      </w:r>
      <w:r>
        <w:rPr>
          <w:spacing w:val="-95"/>
        </w:rPr>
      </w:r>
      <w:r>
        <w:rPr>
          <w:spacing w:val="-1"/>
        </w:rPr>
        <w:t>元产品供服务商产生交易；平台主要包括薪资、社保、福利等处理平台、计费、增值服务交易功</w:t>
      </w:r>
      <w:r>
        <w:rPr>
          <w:spacing w:val="-55"/>
        </w:rPr>
        <w:t> </w:t>
      </w:r>
      <w:r>
        <w:rPr>
          <w:spacing w:val="-55"/>
        </w:rPr>
      </w:r>
      <w:r>
        <w:rPr>
          <w:spacing w:val="-1"/>
        </w:rPr>
        <w:t>能等。业务的收入模式包括运营服务收入、云应用服务收入、平台交易收入分成、广告收入以及</w:t>
      </w:r>
      <w:r>
        <w:rPr>
          <w:spacing w:val="-55"/>
        </w:rPr>
        <w:t> </w:t>
      </w:r>
      <w:r>
        <w:rPr>
          <w:spacing w:val="-55"/>
        </w:rPr>
      </w:r>
      <w:r>
        <w:rPr/>
        <w:t>其他增值服务收入。</w:t>
      </w:r>
    </w:p>
    <w:p>
      <w:pPr>
        <w:pStyle w:val="BodyText"/>
        <w:spacing w:line="403" w:lineRule="auto" w:before="135"/>
        <w:ind w:left="558" w:right="4682"/>
        <w:jc w:val="left"/>
      </w:pPr>
      <w:r>
        <w:rPr>
          <w:spacing w:val="-2"/>
        </w:rPr>
        <w:t>（</w:t>
      </w:r>
      <w:r>
        <w:rPr>
          <w:rFonts w:ascii="宋体" w:hAnsi="宋体" w:cs="宋体" w:eastAsia="宋体" w:hint="default"/>
          <w:spacing w:val="-2"/>
        </w:rPr>
        <w:t>4</w:t>
      </w:r>
      <w:r>
        <w:rPr>
          <w:spacing w:val="-2"/>
        </w:rPr>
        <w:t>）其他互联网服务业务</w:t>
      </w:r>
      <w:r>
        <w:rPr>
          <w:spacing w:val="-83"/>
        </w:rPr>
        <w:t> </w:t>
      </w:r>
      <w:r>
        <w:rPr>
          <w:spacing w:val="-83"/>
        </w:rPr>
      </w:r>
      <w:r>
        <w:rPr>
          <w:rFonts w:ascii="宋体" w:hAnsi="宋体" w:cs="宋体" w:eastAsia="宋体" w:hint="default"/>
        </w:rPr>
        <w:t>1</w:t>
      </w:r>
      <w:r>
        <w:rPr/>
        <w:t>）移动通信服务</w:t>
      </w:r>
    </w:p>
    <w:p>
      <w:pPr>
        <w:pStyle w:val="BodyText"/>
        <w:spacing w:line="297" w:lineRule="auto" w:before="43"/>
        <w:ind w:right="209" w:firstLine="419"/>
        <w:jc w:val="both"/>
      </w:pPr>
      <w:r>
        <w:rPr>
          <w:spacing w:val="-2"/>
        </w:rPr>
        <w:t>报告期内，用友移动通信技术服务有限公司（下称“用友通信公司”）明确定位于服务企业</w:t>
      </w:r>
      <w:r>
        <w:rPr>
          <w:spacing w:val="-3"/>
          <w:w w:val="100"/>
        </w:rPr>
        <w:t> </w:t>
      </w:r>
      <w:r>
        <w:rPr/>
        <w:t>客户市场，主要为企业客户提供“用友融合通信”等</w:t>
      </w:r>
      <w:r>
        <w:rPr>
          <w:spacing w:val="-49"/>
        </w:rPr>
        <w:t> </w:t>
      </w:r>
      <w:r>
        <w:rPr>
          <w:rFonts w:ascii="宋体" w:hAnsi="宋体" w:cs="宋体" w:eastAsia="宋体" w:hint="default"/>
        </w:rPr>
        <w:t>ICT</w:t>
      </w:r>
      <w:r>
        <w:rPr>
          <w:rFonts w:ascii="宋体" w:hAnsi="宋体" w:cs="宋体" w:eastAsia="宋体" w:hint="default"/>
          <w:spacing w:val="-51"/>
        </w:rPr>
        <w:t> </w:t>
      </w:r>
      <w:r>
        <w:rPr/>
        <w:t>一体化解决方案、“用友工作手机”，</w:t>
      </w:r>
      <w:r>
        <w:rPr>
          <w:w w:val="100"/>
        </w:rPr>
        <w:t> </w:t>
      </w:r>
      <w:r>
        <w:rPr/>
        <w:t>力求做最懂企业移动互联的虚拟运营商。</w:t>
      </w:r>
    </w:p>
    <w:p>
      <w:pPr>
        <w:pStyle w:val="BodyText"/>
        <w:spacing w:line="240" w:lineRule="auto" w:before="135"/>
        <w:ind w:left="558" w:right="103"/>
        <w:jc w:val="left"/>
      </w:pPr>
      <w:r>
        <w:rPr>
          <w:spacing w:val="-4"/>
        </w:rPr>
        <w:t>在“用友融合通信”方面，用友通信公司推出了创新性的“通信</w:t>
      </w:r>
      <w:r>
        <w:rPr>
          <w:rFonts w:ascii="宋体" w:hAnsi="宋体" w:cs="宋体" w:eastAsia="宋体" w:hint="default"/>
          <w:spacing w:val="-4"/>
        </w:rPr>
        <w:t>+</w:t>
      </w:r>
      <w:r>
        <w:rPr>
          <w:spacing w:val="-4"/>
        </w:rPr>
        <w:t>管理软件”融合通信平台—</w:t>
      </w:r>
    </w:p>
    <w:p>
      <w:pPr>
        <w:pStyle w:val="BodyText"/>
        <w:spacing w:line="297" w:lineRule="auto" w:before="66"/>
        <w:ind w:right="207"/>
        <w:jc w:val="both"/>
      </w:pPr>
      <w:r>
        <w:rPr/>
        <w:t>—嘟嘟平台，服务于多种融合对象，既可以是传统的软件开发商，也可以是互联网</w:t>
      </w:r>
      <w:r>
        <w:rPr>
          <w:spacing w:val="-49"/>
        </w:rPr>
        <w:t> </w:t>
      </w:r>
      <w:r>
        <w:rPr>
          <w:rFonts w:ascii="宋体" w:hAnsi="宋体" w:cs="宋体" w:eastAsia="宋体" w:hint="default"/>
        </w:rPr>
        <w:t>APP</w:t>
      </w:r>
      <w:r>
        <w:rPr>
          <w:rFonts w:ascii="宋体" w:hAnsi="宋体" w:cs="宋体" w:eastAsia="宋体" w:hint="default"/>
          <w:spacing w:val="-52"/>
        </w:rPr>
        <w:t> </w:t>
      </w:r>
      <w:r>
        <w:rPr/>
        <w:t>及云服务</w:t>
      </w:r>
      <w:r>
        <w:rPr>
          <w:w w:val="100"/>
        </w:rPr>
        <w:t> </w:t>
      </w:r>
      <w:r>
        <w:rPr>
          <w:spacing w:val="-4"/>
        </w:rPr>
        <w:t>开发商。通过向用户开放</w:t>
      </w:r>
      <w:r>
        <w:rPr>
          <w:spacing w:val="-44"/>
        </w:rPr>
        <w:t> </w:t>
      </w:r>
      <w:r>
        <w:rPr>
          <w:rFonts w:ascii="宋体" w:hAnsi="宋体" w:cs="宋体" w:eastAsia="宋体" w:hint="default"/>
        </w:rPr>
        <w:t>HTTP</w:t>
      </w:r>
      <w:r>
        <w:rPr>
          <w:rFonts w:ascii="宋体" w:hAnsi="宋体" w:cs="宋体" w:eastAsia="宋体" w:hint="default"/>
          <w:spacing w:val="-41"/>
        </w:rPr>
        <w:t> </w:t>
      </w:r>
      <w:r>
        <w:rPr/>
        <w:t>和</w:t>
      </w:r>
      <w:r>
        <w:rPr>
          <w:spacing w:val="-44"/>
        </w:rPr>
        <w:t> </w:t>
      </w:r>
      <w:r>
        <w:rPr>
          <w:rFonts w:ascii="宋体" w:hAnsi="宋体" w:cs="宋体" w:eastAsia="宋体" w:hint="default"/>
        </w:rPr>
        <w:t>API</w:t>
      </w:r>
      <w:r>
        <w:rPr>
          <w:rFonts w:ascii="宋体" w:hAnsi="宋体" w:cs="宋体" w:eastAsia="宋体" w:hint="default"/>
          <w:spacing w:val="-44"/>
        </w:rPr>
        <w:t> </w:t>
      </w:r>
      <w:r>
        <w:rPr>
          <w:spacing w:val="-4"/>
        </w:rPr>
        <w:t>接口形态，用友嘟嘟平台可以方便地接入各种应用。用友嘟</w:t>
      </w:r>
      <w:r>
        <w:rPr>
          <w:spacing w:val="-100"/>
        </w:rPr>
        <w:t> </w:t>
      </w:r>
      <w:r>
        <w:rPr>
          <w:spacing w:val="-100"/>
        </w:rPr>
      </w:r>
      <w:r>
        <w:rPr>
          <w:spacing w:val="-1"/>
        </w:rPr>
        <w:t>嘟平台接入的基础通信能力通道，由专业通信运营商提供专业级通讯能力，并通过多通道优选，</w:t>
      </w:r>
      <w:r>
        <w:rPr>
          <w:spacing w:val="-55"/>
        </w:rPr>
        <w:t> </w:t>
      </w:r>
      <w:r>
        <w:rPr>
          <w:spacing w:val="-55"/>
        </w:rPr>
      </w:r>
      <w:r>
        <w:rPr>
          <w:spacing w:val="-1"/>
        </w:rPr>
        <w:t>向用户提供电信级性能、资费经济、接入简单、交互友好的通信服务。用友嘟嘟平台不仅可以提</w:t>
      </w:r>
      <w:r>
        <w:rPr>
          <w:spacing w:val="-55"/>
        </w:rPr>
        <w:t> </w:t>
      </w:r>
      <w:r>
        <w:rPr>
          <w:spacing w:val="-55"/>
        </w:rPr>
      </w:r>
      <w:r>
        <w:rPr/>
        <w:t>供多样化的通信能力，如多方通话、点击拨号、语音通知、电话录音、电话预约、</w:t>
      </w:r>
      <w:r>
        <w:rPr>
          <w:rFonts w:ascii="宋体" w:hAnsi="宋体" w:cs="宋体" w:eastAsia="宋体" w:hint="default"/>
        </w:rPr>
        <w:t>IVR</w:t>
      </w:r>
      <w:r>
        <w:rPr>
          <w:rFonts w:ascii="宋体" w:hAnsi="宋体" w:cs="宋体" w:eastAsia="宋体" w:hint="default"/>
          <w:spacing w:val="6"/>
        </w:rPr>
        <w:t> </w:t>
      </w:r>
      <w:r>
        <w:rPr/>
        <w:t>等通信服</w:t>
      </w:r>
      <w:r>
        <w:rPr>
          <w:w w:val="100"/>
        </w:rPr>
        <w:t> </w:t>
      </w:r>
      <w:r>
        <w:rPr/>
        <w:t>务，还为</w:t>
      </w:r>
      <w:r>
        <w:rPr>
          <w:spacing w:val="-52"/>
        </w:rPr>
        <w:t> </w:t>
      </w:r>
      <w:r>
        <w:rPr>
          <w:rFonts w:ascii="宋体" w:hAnsi="宋体" w:cs="宋体" w:eastAsia="宋体" w:hint="default"/>
        </w:rPr>
        <w:t>ISV</w:t>
      </w:r>
      <w:r>
        <w:rPr>
          <w:rFonts w:ascii="宋体" w:hAnsi="宋体" w:cs="宋体" w:eastAsia="宋体" w:hint="default"/>
          <w:spacing w:val="-50"/>
        </w:rPr>
        <w:t> </w:t>
      </w:r>
      <w:r>
        <w:rPr/>
        <w:t>提供专业的运营辅助增值服务，如账户管理、计费管理、充值卡管理、号码配置管</w:t>
      </w:r>
      <w:r>
        <w:rPr>
          <w:w w:val="100"/>
        </w:rPr>
        <w:t> </w:t>
      </w:r>
      <w:r>
        <w:rPr>
          <w:spacing w:val="-1"/>
        </w:rPr>
        <w:t>理、能力套餐管理、多通道管理等。用友嘟嘟平台现已完成与用友系全线产品的对接，经过前期</w:t>
      </w:r>
      <w:r>
        <w:rPr>
          <w:spacing w:val="-55"/>
        </w:rPr>
        <w:t> </w:t>
      </w:r>
      <w:r>
        <w:rPr>
          <w:spacing w:val="-55"/>
        </w:rPr>
      </w:r>
      <w:r>
        <w:rPr>
          <w:spacing w:val="-1"/>
        </w:rPr>
        <w:t>公司内部的融合实践，用友通信公司提供的将不仅是通信能力和运营能力，还有面向大中小微各</w:t>
      </w:r>
    </w:p>
    <w:p>
      <w:pPr>
        <w:spacing w:after="0" w:line="297" w:lineRule="auto"/>
        <w:jc w:val="both"/>
        <w:sectPr>
          <w:footerReference w:type="default" r:id="rId13"/>
          <w:pgSz w:w="11910" w:h="16840"/>
          <w:pgMar w:footer="1335" w:header="880" w:top="1120" w:bottom="1520" w:left="1660" w:right="1060"/>
          <w:pgNumType w:start="17"/>
        </w:sectPr>
      </w:pPr>
    </w:p>
    <w:p>
      <w:pPr>
        <w:spacing w:line="240" w:lineRule="auto" w:before="4"/>
        <w:rPr>
          <w:rFonts w:ascii="宋体" w:hAnsi="宋体" w:cs="宋体" w:eastAsia="宋体" w:hint="default"/>
          <w:sz w:val="25"/>
          <w:szCs w:val="25"/>
        </w:rPr>
      </w:pPr>
    </w:p>
    <w:p>
      <w:pPr>
        <w:pStyle w:val="BodyText"/>
        <w:spacing w:line="297" w:lineRule="auto" w:before="36"/>
        <w:ind w:right="308"/>
        <w:jc w:val="both"/>
      </w:pPr>
      <w:r>
        <w:rPr>
          <w:spacing w:val="-1"/>
        </w:rPr>
        <w:t>类企业软件和互联网服务的融合经验。在盈利模式上，用友嘟嘟平台支持按量计费和按套餐计费</w:t>
      </w:r>
      <w:r>
        <w:rPr>
          <w:spacing w:val="-55"/>
        </w:rPr>
        <w:t> </w:t>
      </w:r>
      <w:r>
        <w:rPr>
          <w:spacing w:val="-55"/>
        </w:rPr>
      </w:r>
      <w:r>
        <w:rPr>
          <w:spacing w:val="-1"/>
        </w:rPr>
        <w:t>两种计费模式。按量计费是采用用户现在运营平台账户上充值，后按照实际使用量进行计费；按</w:t>
      </w:r>
      <w:r>
        <w:rPr>
          <w:spacing w:val="-55"/>
        </w:rPr>
        <w:t> </w:t>
      </w:r>
      <w:r>
        <w:rPr>
          <w:spacing w:val="-55"/>
        </w:rPr>
      </w:r>
      <w:r>
        <w:rPr/>
        <w:t>套餐计费是</w:t>
      </w:r>
      <w:r>
        <w:rPr>
          <w:spacing w:val="-50"/>
        </w:rPr>
        <w:t> </w:t>
      </w:r>
      <w:r>
        <w:rPr>
          <w:rFonts w:ascii="宋体" w:hAnsi="宋体" w:cs="宋体" w:eastAsia="宋体" w:hint="default"/>
        </w:rPr>
        <w:t>ISV</w:t>
      </w:r>
      <w:r>
        <w:rPr>
          <w:rFonts w:ascii="宋体" w:hAnsi="宋体" w:cs="宋体" w:eastAsia="宋体" w:hint="default"/>
          <w:spacing w:val="-51"/>
        </w:rPr>
        <w:t> </w:t>
      </w:r>
      <w:r>
        <w:rPr/>
        <w:t>可以将嘟嘟单个或多个产品，进行资费差异化，组合捆绑或融合后，以一个整体</w:t>
      </w:r>
      <w:r>
        <w:rPr>
          <w:w w:val="100"/>
        </w:rPr>
        <w:t> </w:t>
      </w:r>
      <w:r>
        <w:rPr/>
        <w:t>提供给目标客户的资费方案。</w:t>
      </w:r>
    </w:p>
    <w:p>
      <w:pPr>
        <w:pStyle w:val="BodyText"/>
        <w:spacing w:line="297" w:lineRule="auto" w:before="135"/>
        <w:ind w:right="307" w:firstLine="419"/>
        <w:jc w:val="both"/>
      </w:pPr>
      <w:r>
        <w:rPr>
          <w:spacing w:val="-2"/>
        </w:rPr>
        <w:t>用友通信公司提供的“用友工作手机”的核心价值在于：一是软件、硬件、通信一站式解决</w:t>
      </w:r>
      <w:r>
        <w:rPr>
          <w:w w:val="100"/>
        </w:rPr>
        <w:t> </w:t>
      </w:r>
      <w:r>
        <w:rPr>
          <w:spacing w:val="-1"/>
        </w:rPr>
        <w:t>方案实现了移动互联网管理转型的最近通路；二是全线产品融合为客户提供了更好的服务体验，</w:t>
      </w:r>
      <w:r>
        <w:rPr>
          <w:spacing w:val="-55"/>
        </w:rPr>
        <w:t> </w:t>
      </w:r>
      <w:r>
        <w:rPr>
          <w:spacing w:val="-55"/>
        </w:rPr>
      </w:r>
      <w:r>
        <w:rPr>
          <w:spacing w:val="-1"/>
        </w:rPr>
        <w:t>目前已将通信融合到企业核心软件及互联网服务中，让工作流、业务流、审批流、上下游多节点</w:t>
      </w:r>
      <w:r>
        <w:rPr>
          <w:spacing w:val="-55"/>
        </w:rPr>
        <w:t> </w:t>
      </w:r>
      <w:r>
        <w:rPr>
          <w:spacing w:val="-55"/>
        </w:rPr>
      </w:r>
      <w:r>
        <w:rPr>
          <w:spacing w:val="-1"/>
        </w:rPr>
        <w:t>都能直接发起通信，重构企业沟通，让企业软件会说话，让系统预警处理更及时，进而更有效的</w:t>
      </w:r>
      <w:r>
        <w:rPr>
          <w:spacing w:val="-56"/>
        </w:rPr>
        <w:t> </w:t>
      </w:r>
      <w:r>
        <w:rPr>
          <w:spacing w:val="-56"/>
        </w:rPr>
      </w:r>
      <w:r>
        <w:rPr>
          <w:spacing w:val="-1"/>
        </w:rPr>
        <w:t>提升企业运行效率。在盈利模式上，“用友工作手机”主要通过提供通信能力差异化和场景化服</w:t>
      </w:r>
      <w:r>
        <w:rPr>
          <w:spacing w:val="-55"/>
        </w:rPr>
        <w:t> </w:t>
      </w:r>
      <w:r>
        <w:rPr>
          <w:spacing w:val="-55"/>
        </w:rPr>
      </w:r>
      <w:r>
        <w:rPr>
          <w:spacing w:val="-1"/>
        </w:rPr>
        <w:t>务，获取通信服务消费的费用，并采取一笔服务费即赠送通信费、应用及手机的方式，为企业实</w:t>
      </w:r>
      <w:r>
        <w:rPr>
          <w:spacing w:val="-55"/>
        </w:rPr>
        <w:t> </w:t>
      </w:r>
      <w:r>
        <w:rPr>
          <w:spacing w:val="-55"/>
        </w:rPr>
      </w:r>
      <w:r>
        <w:rPr/>
        <w:t>现了最低成本购买方案。</w:t>
      </w:r>
    </w:p>
    <w:p>
      <w:pPr>
        <w:pStyle w:val="BodyText"/>
        <w:spacing w:line="240" w:lineRule="auto" w:before="135"/>
        <w:ind w:left="558" w:right="2465"/>
        <w:jc w:val="left"/>
      </w:pPr>
      <w:r>
        <w:rPr>
          <w:rFonts w:ascii="宋体" w:hAnsi="宋体" w:cs="宋体" w:eastAsia="宋体" w:hint="default"/>
        </w:rPr>
        <w:t>2</w:t>
      </w:r>
      <w:r>
        <w:rPr/>
        <w:t>）电商通</w:t>
      </w:r>
    </w:p>
    <w:p>
      <w:pPr>
        <w:spacing w:line="240" w:lineRule="auto" w:before="3"/>
        <w:rPr>
          <w:rFonts w:ascii="宋体" w:hAnsi="宋体" w:cs="宋体" w:eastAsia="宋体" w:hint="default"/>
          <w:sz w:val="14"/>
          <w:szCs w:val="14"/>
        </w:rPr>
      </w:pPr>
    </w:p>
    <w:p>
      <w:pPr>
        <w:pStyle w:val="BodyText"/>
        <w:spacing w:line="297" w:lineRule="auto"/>
        <w:ind w:right="94" w:firstLine="419"/>
        <w:jc w:val="left"/>
      </w:pPr>
      <w:r>
        <w:rPr/>
        <w:t>电商通是一款帮助企业</w:t>
      </w:r>
      <w:r>
        <w:rPr>
          <w:spacing w:val="-50"/>
        </w:rPr>
        <w:t> </w:t>
      </w:r>
      <w:r>
        <w:rPr>
          <w:rFonts w:ascii="宋体" w:hAnsi="宋体" w:cs="宋体" w:eastAsia="宋体" w:hint="default"/>
        </w:rPr>
        <w:t>ERP</w:t>
      </w:r>
      <w:r>
        <w:rPr>
          <w:rFonts w:ascii="宋体" w:hAnsi="宋体" w:cs="宋体" w:eastAsia="宋体" w:hint="default"/>
          <w:spacing w:val="-48"/>
        </w:rPr>
        <w:t> </w:t>
      </w:r>
      <w:r>
        <w:rPr/>
        <w:t>系统实现与第三方电商平台、支付平台、仓储和物流平台实现数</w:t>
      </w:r>
      <w:r>
        <w:rPr>
          <w:w w:val="100"/>
        </w:rPr>
        <w:t> </w:t>
      </w:r>
      <w:r>
        <w:rPr/>
        <w:t>据信息对接，并在线进行订单等业务处理的公有云应用服务产品，能解决企业或个人在主流的电</w:t>
      </w:r>
      <w:r>
        <w:rPr>
          <w:spacing w:val="-97"/>
        </w:rPr>
        <w:t> </w:t>
      </w:r>
      <w:r>
        <w:rPr>
          <w:spacing w:val="-97"/>
        </w:rPr>
      </w:r>
      <w:r>
        <w:rPr/>
        <w:t>商渠道（如淘宝、天猫、京东、苏宁、国美、</w:t>
      </w:r>
      <w:r>
        <w:rPr>
          <w:rFonts w:ascii="宋体" w:hAnsi="宋体" w:cs="宋体" w:eastAsia="宋体" w:hint="default"/>
        </w:rPr>
        <w:t>1 </w:t>
      </w:r>
      <w:r>
        <w:rPr/>
        <w:t>号店等）开店后产生的销售订单的订单处理和仓</w:t>
      </w:r>
      <w:r>
        <w:rPr>
          <w:spacing w:val="-98"/>
        </w:rPr>
        <w:t> </w:t>
      </w:r>
      <w:r>
        <w:rPr>
          <w:spacing w:val="-98"/>
        </w:rPr>
      </w:r>
      <w:r>
        <w:rPr/>
        <w:t>库发货处理相关的重复性的日常事务，大大降低了企业运营成本，规范了企业的操作流程，减少</w:t>
      </w:r>
      <w:r>
        <w:rPr>
          <w:spacing w:val="-97"/>
        </w:rPr>
        <w:t> </w:t>
      </w:r>
      <w:r>
        <w:rPr>
          <w:spacing w:val="-97"/>
        </w:rPr>
      </w:r>
      <w:r>
        <w:rPr>
          <w:spacing w:val="-4"/>
          <w:w w:val="100"/>
        </w:rPr>
        <w:t>了因人工操作产生的直接成本和间接成本。同时电商通能解决与用友系列产品（</w:t>
      </w:r>
      <w:r>
        <w:rPr>
          <w:rFonts w:ascii="宋体" w:hAnsi="宋体" w:cs="宋体" w:eastAsia="宋体" w:hint="default"/>
          <w:spacing w:val="-4"/>
          <w:w w:val="100"/>
        </w:rPr>
        <w:t>U8\U9\T</w:t>
      </w:r>
      <w:r>
        <w:rPr>
          <w:rFonts w:ascii="宋体" w:hAnsi="宋体" w:cs="宋体" w:eastAsia="宋体" w:hint="default"/>
          <w:spacing w:val="-4"/>
          <w:w w:val="100"/>
          <w:position w:val="11"/>
          <w:sz w:val="11"/>
          <w:szCs w:val="11"/>
        </w:rPr>
        <w:t>+</w:t>
      </w:r>
      <w:r>
        <w:rPr>
          <w:rFonts w:ascii="宋体" w:hAnsi="宋体" w:cs="宋体" w:eastAsia="宋体" w:hint="default"/>
          <w:spacing w:val="-4"/>
          <w:w w:val="100"/>
        </w:rPr>
        <w:t>\NC5\NC6</w:t>
      </w:r>
      <w:r>
        <w:rPr>
          <w:spacing w:val="-4"/>
          <w:w w:val="100"/>
        </w:rPr>
        <w:t>）</w:t>
      </w:r>
      <w:r>
        <w:rPr>
          <w:w w:val="100"/>
        </w:rPr>
        <w:t> </w:t>
      </w:r>
      <w:r>
        <w:rPr/>
        <w:t>的（订单、库存、账单）数据对接，以实现应用间的数据传输和共享。电商通的用户无需部署服</w:t>
      </w:r>
      <w:r>
        <w:rPr>
          <w:spacing w:val="-97"/>
        </w:rPr>
        <w:t> </w:t>
      </w:r>
      <w:r>
        <w:rPr>
          <w:spacing w:val="-97"/>
        </w:rPr>
      </w:r>
      <w:r>
        <w:rPr/>
        <w:t>务器，只需在线按需订购付费使用即可享受到服务。电商通的主要服务对象是电商企业或个人用</w:t>
      </w:r>
      <w:r>
        <w:rPr>
          <w:spacing w:val="-97"/>
        </w:rPr>
        <w:t> </w:t>
      </w:r>
      <w:r>
        <w:rPr>
          <w:spacing w:val="-97"/>
        </w:rPr>
      </w:r>
      <w:r>
        <w:rPr/>
        <w:t>户，包括在主流电商渠道开店的企业或个人、店铺代运营商公司、传统企业转电商。电商通产品</w:t>
      </w:r>
      <w:r>
        <w:rPr>
          <w:spacing w:val="-97"/>
        </w:rPr>
        <w:t> </w:t>
      </w:r>
      <w:r>
        <w:rPr>
          <w:spacing w:val="-97"/>
        </w:rPr>
      </w:r>
      <w:r>
        <w:rPr/>
        <w:t>安全稳定，整个产品部署在阿里云上，能与淘宝无缝对接，实现数据互通和应用共享。电商通按</w:t>
      </w:r>
      <w:r>
        <w:rPr>
          <w:spacing w:val="-97"/>
        </w:rPr>
        <w:t> </w:t>
      </w:r>
      <w:r>
        <w:rPr>
          <w:spacing w:val="-97"/>
        </w:rPr>
      </w:r>
      <w:r>
        <w:rPr/>
        <w:t>照电商客户采购不同版本的</w:t>
      </w:r>
      <w:r>
        <w:rPr>
          <w:spacing w:val="-47"/>
        </w:rPr>
        <w:t> </w:t>
      </w:r>
      <w:r>
        <w:rPr>
          <w:rFonts w:ascii="宋体" w:hAnsi="宋体" w:cs="宋体" w:eastAsia="宋体" w:hint="default"/>
        </w:rPr>
        <w:t>SaaS</w:t>
      </w:r>
      <w:r>
        <w:rPr>
          <w:rFonts w:ascii="宋体" w:hAnsi="宋体" w:cs="宋体" w:eastAsia="宋体" w:hint="default"/>
          <w:spacing w:val="-47"/>
        </w:rPr>
        <w:t> </w:t>
      </w:r>
      <w:r>
        <w:rPr>
          <w:spacing w:val="-5"/>
        </w:rPr>
        <w:t>应用按年收费，全年免费升级最新功能，拥有高版本的用户可优</w:t>
      </w:r>
      <w:r>
        <w:rPr>
          <w:spacing w:val="-78"/>
        </w:rPr>
        <w:t> </w:t>
      </w:r>
      <w:r>
        <w:rPr>
          <w:spacing w:val="-78"/>
        </w:rPr>
      </w:r>
      <w:r>
        <w:rPr/>
        <w:t>先使用最新功能。</w:t>
      </w:r>
    </w:p>
    <w:p>
      <w:pPr>
        <w:pStyle w:val="BodyText"/>
        <w:spacing w:line="460" w:lineRule="exact" w:before="13"/>
        <w:ind w:left="558" w:right="225" w:firstLine="2"/>
        <w:jc w:val="left"/>
      </w:pPr>
      <w:r>
        <w:rPr>
          <w:rFonts w:ascii="宋体" w:hAnsi="宋体" w:cs="宋体" w:eastAsia="宋体" w:hint="default"/>
          <w:b/>
          <w:bCs/>
        </w:rPr>
        <w:t>3</w:t>
      </w:r>
      <w:r>
        <w:rPr>
          <w:rFonts w:ascii="宋体" w:hAnsi="宋体" w:cs="宋体" w:eastAsia="宋体" w:hint="default"/>
          <w:b/>
          <w:bCs/>
        </w:rPr>
        <w:t>、互联网金融服务</w:t>
      </w:r>
      <w:r>
        <w:rPr>
          <w:rFonts w:ascii="宋体" w:hAnsi="宋体" w:cs="宋体" w:eastAsia="宋体" w:hint="default"/>
          <w:b/>
          <w:bCs/>
          <w:w w:val="100"/>
        </w:rPr>
        <w:t> </w:t>
      </w:r>
      <w:r>
        <w:rPr>
          <w:spacing w:val="-2"/>
        </w:rPr>
        <w:t>报告期内，公司的互联网金融服务业务主要包括面向面向企业的支付服务业务和面向个人的</w:t>
      </w:r>
    </w:p>
    <w:p>
      <w:pPr>
        <w:pStyle w:val="BodyText"/>
        <w:spacing w:line="240" w:lineRule="auto" w:before="3"/>
        <w:ind w:right="0"/>
        <w:jc w:val="both"/>
      </w:pPr>
      <w:r>
        <w:rPr/>
        <w:t>互联网理财（</w:t>
      </w:r>
      <w:r>
        <w:rPr>
          <w:rFonts w:ascii="宋体" w:hAnsi="宋体" w:cs="宋体" w:eastAsia="宋体" w:hint="default"/>
        </w:rPr>
        <w:t>P2P</w:t>
      </w:r>
      <w:r>
        <w:rPr/>
        <w:t>）业务。</w:t>
      </w:r>
    </w:p>
    <w:p>
      <w:pPr>
        <w:pStyle w:val="BodyText"/>
        <w:spacing w:line="462" w:lineRule="exact" w:before="59"/>
        <w:ind w:left="558" w:right="225"/>
        <w:jc w:val="left"/>
      </w:pPr>
      <w:r>
        <w:rPr/>
        <w:t>（</w:t>
      </w:r>
      <w:r>
        <w:rPr>
          <w:rFonts w:ascii="宋体" w:hAnsi="宋体" w:cs="宋体" w:eastAsia="宋体" w:hint="default"/>
        </w:rPr>
        <w:t>1</w:t>
      </w:r>
      <w:r>
        <w:rPr/>
        <w:t>）企业支付业务</w:t>
      </w:r>
      <w:r>
        <w:rPr>
          <w:w w:val="100"/>
        </w:rPr>
        <w:t> </w:t>
      </w:r>
      <w:r>
        <w:rPr>
          <w:spacing w:val="-2"/>
        </w:rPr>
        <w:t>畅捷通公司的控股子公司北京畅捷通支付有限公司（下称“畅捷通支付公司”）致力于为企</w:t>
      </w:r>
    </w:p>
    <w:p>
      <w:pPr>
        <w:pStyle w:val="BodyText"/>
        <w:spacing w:line="297" w:lineRule="auto" w:before="3"/>
        <w:ind w:right="307"/>
        <w:jc w:val="both"/>
      </w:pPr>
      <w:r>
        <w:rPr>
          <w:spacing w:val="-5"/>
        </w:rPr>
        <w:t>业、政府及公共组织提供专业、标准、高效、易用的支付服务及相关金融服务。主要产品包括</w:t>
      </w:r>
      <w:r>
        <w:rPr>
          <w:spacing w:val="-16"/>
        </w:rPr>
        <w:t> </w:t>
      </w:r>
      <w:r>
        <w:rPr>
          <w:rFonts w:ascii="宋体" w:hAnsi="宋体" w:cs="宋体" w:eastAsia="宋体" w:hint="default"/>
        </w:rPr>
        <w:t>POS</w:t>
      </w:r>
      <w:r>
        <w:rPr>
          <w:rFonts w:ascii="宋体" w:hAnsi="宋体" w:cs="宋体" w:eastAsia="宋体" w:hint="default"/>
          <w:spacing w:val="-91"/>
        </w:rPr>
        <w:t> </w:t>
      </w:r>
      <w:r>
        <w:rPr>
          <w:rFonts w:ascii="宋体" w:hAnsi="宋体" w:cs="宋体" w:eastAsia="宋体" w:hint="default"/>
          <w:spacing w:val="-91"/>
        </w:rPr>
      </w:r>
      <w:r>
        <w:rPr>
          <w:spacing w:val="-2"/>
        </w:rPr>
        <w:t>收单、互联网支付、企业网银；主要经营模式是提供企业互联网金融服务；主要收入模式主要包</w:t>
      </w:r>
      <w:r>
        <w:rPr>
          <w:spacing w:val="-25"/>
        </w:rPr>
        <w:t> </w:t>
      </w:r>
      <w:r>
        <w:rPr>
          <w:spacing w:val="-25"/>
        </w:rPr>
      </w:r>
      <w:r>
        <w:rPr/>
        <w:t>括</w:t>
      </w:r>
      <w:r>
        <w:rPr>
          <w:spacing w:val="-54"/>
        </w:rPr>
        <w:t> </w:t>
      </w:r>
      <w:r>
        <w:rPr>
          <w:rFonts w:ascii="宋体" w:hAnsi="宋体" w:cs="宋体" w:eastAsia="宋体" w:hint="default"/>
        </w:rPr>
        <w:t>POS</w:t>
      </w:r>
      <w:r>
        <w:rPr>
          <w:rFonts w:ascii="宋体" w:hAnsi="宋体" w:cs="宋体" w:eastAsia="宋体" w:hint="default"/>
          <w:spacing w:val="-56"/>
        </w:rPr>
        <w:t> </w:t>
      </w:r>
      <w:r>
        <w:rPr/>
        <w:t>机收单业务手续费、支付业务手续费以及其他增值服务收入。</w:t>
      </w:r>
    </w:p>
    <w:p>
      <w:pPr>
        <w:pStyle w:val="BodyText"/>
        <w:spacing w:line="458" w:lineRule="exact" w:before="14"/>
        <w:ind w:left="558" w:right="225"/>
        <w:jc w:val="left"/>
      </w:pPr>
      <w:r>
        <w:rPr/>
        <w:t>（</w:t>
      </w:r>
      <w:r>
        <w:rPr>
          <w:rFonts w:ascii="宋体" w:hAnsi="宋体" w:cs="宋体" w:eastAsia="宋体" w:hint="default"/>
        </w:rPr>
        <w:t>2</w:t>
      </w:r>
      <w:r>
        <w:rPr/>
        <w:t>）</w:t>
      </w:r>
      <w:r>
        <w:rPr>
          <w:rFonts w:ascii="宋体" w:hAnsi="宋体" w:cs="宋体" w:eastAsia="宋体" w:hint="default"/>
        </w:rPr>
        <w:t>P2P</w:t>
      </w:r>
      <w:r>
        <w:rPr>
          <w:rFonts w:ascii="宋体" w:hAnsi="宋体" w:cs="宋体" w:eastAsia="宋体" w:hint="default"/>
          <w:spacing w:val="-55"/>
        </w:rPr>
        <w:t> </w:t>
      </w:r>
      <w:r>
        <w:rPr/>
        <w:t>业务</w:t>
      </w:r>
      <w:r>
        <w:rPr>
          <w:spacing w:val="-101"/>
        </w:rPr>
        <w:t> </w:t>
      </w:r>
      <w:r>
        <w:rPr>
          <w:spacing w:val="-2"/>
        </w:rPr>
        <w:t>公司控股子公司深圳前海用友力合金融服务有限公司（下称“友金所”）致力于建设开放性</w:t>
      </w:r>
    </w:p>
    <w:p>
      <w:pPr>
        <w:pStyle w:val="BodyText"/>
        <w:spacing w:line="297" w:lineRule="auto" w:before="4"/>
        <w:ind w:right="308"/>
        <w:jc w:val="both"/>
      </w:pPr>
      <w:r>
        <w:rPr>
          <w:spacing w:val="-2"/>
        </w:rPr>
        <w:t>平台，做国内领先的互联网财富管理平台，打造多样化、组合化、结构化综合投融资服务。积极</w:t>
      </w:r>
      <w:r>
        <w:rPr>
          <w:spacing w:val="-26"/>
        </w:rPr>
        <w:t> </w:t>
      </w:r>
      <w:r>
        <w:rPr>
          <w:spacing w:val="-26"/>
        </w:rPr>
      </w:r>
      <w:r>
        <w:rPr>
          <w:spacing w:val="-2"/>
        </w:rPr>
        <w:t>推动外部产品和渠道的合作，引入金融机构的产品、资产进行产品封装，完善友金所产品线。友</w:t>
      </w:r>
      <w:r>
        <w:rPr>
          <w:spacing w:val="-25"/>
        </w:rPr>
        <w:t> </w:t>
      </w:r>
      <w:r>
        <w:rPr>
          <w:spacing w:val="-25"/>
        </w:rPr>
      </w:r>
      <w:r>
        <w:rPr>
          <w:spacing w:val="-6"/>
        </w:rPr>
        <w:t>金所的业务模式为提供专业的全流程金融信息服务，打造安全、便捷、可信的综合性投融资平台，</w:t>
      </w:r>
    </w:p>
    <w:p>
      <w:pPr>
        <w:spacing w:after="0" w:line="297" w:lineRule="auto"/>
        <w:jc w:val="both"/>
        <w:sectPr>
          <w:pgSz w:w="11910" w:h="16840"/>
          <w:pgMar w:header="880" w:footer="1335" w:top="1120" w:bottom="1520" w:left="1660" w:right="960"/>
        </w:sectPr>
      </w:pPr>
    </w:p>
    <w:p>
      <w:pPr>
        <w:spacing w:line="240" w:lineRule="auto" w:before="4"/>
        <w:rPr>
          <w:rFonts w:ascii="宋体" w:hAnsi="宋体" w:cs="宋体" w:eastAsia="宋体" w:hint="default"/>
          <w:sz w:val="25"/>
          <w:szCs w:val="25"/>
        </w:rPr>
      </w:pPr>
    </w:p>
    <w:p>
      <w:pPr>
        <w:pStyle w:val="BodyText"/>
        <w:spacing w:line="297" w:lineRule="auto" w:before="36"/>
        <w:ind w:right="157"/>
        <w:jc w:val="both"/>
      </w:pPr>
      <w:r>
        <w:rPr>
          <w:spacing w:val="-2"/>
        </w:rPr>
        <w:t>为投资客户提供安全、收益稳健的互联网理财服务。友金所通过向借款人提供居间服务并收取一</w:t>
      </w:r>
      <w:r>
        <w:rPr>
          <w:spacing w:val="-25"/>
        </w:rPr>
        <w:t> </w:t>
      </w:r>
      <w:r>
        <w:rPr>
          <w:spacing w:val="-25"/>
        </w:rPr>
      </w:r>
      <w:r>
        <w:rPr/>
        <w:t>定的居间服务费作为其主要盈利模式。</w:t>
      </w:r>
    </w:p>
    <w:p>
      <w:pPr>
        <w:pStyle w:val="BodyText"/>
        <w:spacing w:line="297" w:lineRule="auto" w:before="135"/>
        <w:ind w:right="147" w:firstLine="419"/>
        <w:jc w:val="both"/>
      </w:pPr>
      <w:r>
        <w:rPr>
          <w:spacing w:val="-3"/>
        </w:rPr>
        <w:t>报告期内公司主要业务的发展情况，具体详见“第四节</w:t>
      </w:r>
      <w:r>
        <w:rPr>
          <w:spacing w:val="44"/>
        </w:rPr>
        <w:t> </w:t>
      </w:r>
      <w:r>
        <w:rPr>
          <w:spacing w:val="-5"/>
        </w:rPr>
        <w:t>管理层讨论与分析”中“一、管理层</w:t>
      </w:r>
      <w:r>
        <w:rPr>
          <w:w w:val="100"/>
        </w:rPr>
        <w:t> </w:t>
      </w:r>
      <w:r>
        <w:rPr/>
        <w:t>讨论与分析”中“（二）公司各项业务发展情况”。</w:t>
      </w:r>
    </w:p>
    <w:p>
      <w:pPr>
        <w:pStyle w:val="Heading2"/>
        <w:spacing w:line="403" w:lineRule="auto" w:before="135"/>
        <w:ind w:left="620" w:right="5863" w:hanging="60"/>
        <w:jc w:val="left"/>
        <w:rPr>
          <w:b w:val="0"/>
          <w:bCs w:val="0"/>
        </w:rPr>
      </w:pPr>
      <w:r>
        <w:rPr/>
        <w:t>（二）行业情况说明</w:t>
      </w:r>
      <w:r>
        <w:rPr>
          <w:spacing w:val="-103"/>
        </w:rPr>
        <w:t> </w:t>
      </w:r>
      <w:r>
        <w:rPr>
          <w:rFonts w:ascii="宋体" w:hAnsi="宋体" w:cs="宋体" w:eastAsia="宋体" w:hint="default"/>
          <w:spacing w:val="-1"/>
        </w:rPr>
        <w:t>1</w:t>
      </w:r>
      <w:r>
        <w:rPr>
          <w:spacing w:val="-1"/>
        </w:rPr>
        <w:t>、报告期内的行业情况说明</w:t>
      </w:r>
      <w:r>
        <w:rPr>
          <w:b w:val="0"/>
          <w:bCs w:val="0"/>
          <w:spacing w:val="-1"/>
        </w:rPr>
      </w:r>
    </w:p>
    <w:p>
      <w:pPr>
        <w:pStyle w:val="BodyText"/>
        <w:spacing w:line="297" w:lineRule="auto" w:before="40"/>
        <w:ind w:right="148" w:firstLine="419"/>
        <w:jc w:val="both"/>
      </w:pPr>
      <w:r>
        <w:rPr>
          <w:spacing w:val="-2"/>
        </w:rPr>
        <w:t>报告期内，公司所处产业领域（软件、互联网服务、互联网金融）呈现出如下特点：基于新</w:t>
      </w:r>
      <w:r>
        <w:rPr>
          <w:w w:val="100"/>
        </w:rPr>
        <w:t> </w:t>
      </w:r>
      <w:r>
        <w:rPr>
          <w:spacing w:val="-4"/>
        </w:rPr>
        <w:t>一代互联网技术（移动</w:t>
      </w:r>
      <w:r>
        <w:rPr>
          <w:rFonts w:ascii="宋体" w:hAnsi="宋体" w:cs="宋体" w:eastAsia="宋体" w:hint="default"/>
          <w:spacing w:val="-4"/>
        </w:rPr>
        <w:t>/</w:t>
      </w:r>
      <w:r>
        <w:rPr>
          <w:spacing w:val="-4"/>
        </w:rPr>
        <w:t>云计算</w:t>
      </w:r>
      <w:r>
        <w:rPr>
          <w:rFonts w:ascii="宋体" w:hAnsi="宋体" w:cs="宋体" w:eastAsia="宋体" w:hint="default"/>
          <w:spacing w:val="-4"/>
        </w:rPr>
        <w:t>/</w:t>
      </w:r>
      <w:r>
        <w:rPr>
          <w:spacing w:val="-4"/>
        </w:rPr>
        <w:t>大数据</w:t>
      </w:r>
      <w:r>
        <w:rPr>
          <w:rFonts w:ascii="宋体" w:hAnsi="宋体" w:cs="宋体" w:eastAsia="宋体" w:hint="default"/>
          <w:spacing w:val="-4"/>
        </w:rPr>
        <w:t>/</w:t>
      </w:r>
      <w:r>
        <w:rPr>
          <w:spacing w:val="-4"/>
        </w:rPr>
        <w:t>物联网）的架构和平台，数据资产化、价值化，应用服务</w:t>
      </w:r>
      <w:r>
        <w:rPr>
          <w:spacing w:val="-33"/>
        </w:rPr>
        <w:t> </w:t>
      </w:r>
      <w:r>
        <w:rPr>
          <w:spacing w:val="-33"/>
        </w:rPr>
      </w:r>
      <w:r>
        <w:rPr>
          <w:spacing w:val="-1"/>
        </w:rPr>
        <w:t>化、微型化、社交化、智能化的趋势，业务模式逐渐走向运营服务，客户按需使用和付费收益分</w:t>
      </w:r>
      <w:r>
        <w:rPr>
          <w:spacing w:val="-55"/>
        </w:rPr>
        <w:t> </w:t>
      </w:r>
      <w:r>
        <w:rPr>
          <w:spacing w:val="-55"/>
        </w:rPr>
      </w:r>
      <w:r>
        <w:rPr>
          <w:spacing w:val="-3"/>
        </w:rPr>
        <w:t>成；企业云服务（</w:t>
      </w:r>
      <w:r>
        <w:rPr>
          <w:rFonts w:ascii="宋体" w:hAnsi="宋体" w:cs="宋体" w:eastAsia="宋体" w:hint="default"/>
          <w:spacing w:val="-3"/>
        </w:rPr>
        <w:t>2B </w:t>
      </w:r>
      <w:r>
        <w:rPr>
          <w:spacing w:val="-3"/>
        </w:rPr>
        <w:t>互联网）市场产业竞争显著加剧，包括其它互联网公司、风险投资支持的新</w:t>
      </w:r>
      <w:r>
        <w:rPr>
          <w:spacing w:val="-78"/>
        </w:rPr>
        <w:t> </w:t>
      </w:r>
      <w:r>
        <w:rPr>
          <w:spacing w:val="-78"/>
        </w:rPr>
      </w:r>
      <w:r>
        <w:rPr>
          <w:spacing w:val="-1"/>
        </w:rPr>
        <w:t>创公司加入和角逐。在客户需求、产业升级、经济转型的有利驱动下，公司所处产业领域具有巨</w:t>
      </w:r>
      <w:r>
        <w:rPr>
          <w:spacing w:val="-55"/>
        </w:rPr>
        <w:t> </w:t>
      </w:r>
      <w:r>
        <w:rPr>
          <w:spacing w:val="-55"/>
        </w:rPr>
      </w:r>
      <w:r>
        <w:rPr/>
        <w:t>大发展机遇和空间。</w:t>
      </w:r>
    </w:p>
    <w:p>
      <w:pPr>
        <w:pStyle w:val="BodyText"/>
        <w:spacing w:line="458" w:lineRule="exact" w:before="14"/>
        <w:ind w:left="620" w:right="144" w:hanging="63"/>
        <w:jc w:val="left"/>
      </w:pPr>
      <w:r>
        <w:rPr/>
        <w:t>（</w:t>
      </w:r>
      <w:r>
        <w:rPr>
          <w:rFonts w:ascii="宋体" w:hAnsi="宋体" w:cs="宋体" w:eastAsia="宋体" w:hint="default"/>
        </w:rPr>
        <w:t>1</w:t>
      </w:r>
      <w:r>
        <w:rPr/>
        <w:t>）软件及服务业务</w:t>
      </w:r>
      <w:r>
        <w:rPr>
          <w:w w:val="100"/>
        </w:rPr>
        <w:t> </w:t>
      </w:r>
      <w:r>
        <w:rPr>
          <w:spacing w:val="-3"/>
        </w:rPr>
        <w:t>报告期内，客户业务与运营管理的互联网化，为软件提供商带来了技术更新、应用扩展和升</w:t>
      </w:r>
    </w:p>
    <w:p>
      <w:pPr>
        <w:pStyle w:val="BodyText"/>
        <w:spacing w:line="297" w:lineRule="auto" w:before="4"/>
        <w:ind w:right="147"/>
        <w:jc w:val="both"/>
      </w:pPr>
      <w:r>
        <w:rPr>
          <w:spacing w:val="-1"/>
        </w:rPr>
        <w:t>级、服务深化等需求，软件业务迎来了新的发展机遇。同时，企业或政府组织的互联网化（如电</w:t>
      </w:r>
      <w:r>
        <w:rPr>
          <w:spacing w:val="-55"/>
        </w:rPr>
        <w:t> </w:t>
      </w:r>
      <w:r>
        <w:rPr>
          <w:spacing w:val="-55"/>
        </w:rPr>
      </w:r>
      <w:r>
        <w:rPr/>
        <w:t>子商务）需要后台系统的支撑，也拉动了对</w:t>
      </w:r>
      <w:r>
        <w:rPr>
          <w:spacing w:val="-51"/>
        </w:rPr>
        <w:t> </w:t>
      </w:r>
      <w:r>
        <w:rPr>
          <w:rFonts w:ascii="宋体" w:hAnsi="宋体" w:cs="宋体" w:eastAsia="宋体" w:hint="default"/>
        </w:rPr>
        <w:t>ERP</w:t>
      </w:r>
      <w:r>
        <w:rPr>
          <w:rFonts w:ascii="宋体" w:hAnsi="宋体" w:cs="宋体" w:eastAsia="宋体" w:hint="default"/>
          <w:spacing w:val="-51"/>
        </w:rPr>
        <w:t> </w:t>
      </w:r>
      <w:r>
        <w:rPr/>
        <w:t>或</w:t>
      </w:r>
      <w:r>
        <w:rPr>
          <w:spacing w:val="-53"/>
        </w:rPr>
        <w:t> </w:t>
      </w:r>
      <w:r>
        <w:rPr>
          <w:rFonts w:ascii="宋体" w:hAnsi="宋体" w:cs="宋体" w:eastAsia="宋体" w:hint="default"/>
        </w:rPr>
        <w:t>GRP</w:t>
      </w:r>
      <w:r>
        <w:rPr>
          <w:rFonts w:ascii="宋体" w:hAnsi="宋体" w:cs="宋体" w:eastAsia="宋体" w:hint="default"/>
          <w:spacing w:val="-51"/>
        </w:rPr>
        <w:t> </w:t>
      </w:r>
      <w:r>
        <w:rPr/>
        <w:t>软件的需求。国内软件企业得益于国产化</w:t>
      </w:r>
      <w:r>
        <w:rPr>
          <w:w w:val="100"/>
        </w:rPr>
        <w:t> </w:t>
      </w:r>
      <w:r>
        <w:rPr>
          <w:spacing w:val="-1"/>
        </w:rPr>
        <w:t>替代政策和趋势、自身能力的提升以及本土服务和较低价格带来的相对竞争优势正在逐渐获得发</w:t>
      </w:r>
      <w:r>
        <w:rPr>
          <w:spacing w:val="-55"/>
        </w:rPr>
        <w:t> </w:t>
      </w:r>
      <w:r>
        <w:rPr>
          <w:spacing w:val="-55"/>
        </w:rPr>
      </w:r>
      <w:r>
        <w:rPr>
          <w:spacing w:val="-1"/>
        </w:rPr>
        <w:t>展红利，市场份额的获得在逐渐扩大。软件产业领域的主要经营模式是为客户提供标准产品及解</w:t>
      </w:r>
      <w:r>
        <w:rPr>
          <w:spacing w:val="-55"/>
        </w:rPr>
        <w:t> </w:t>
      </w:r>
      <w:r>
        <w:rPr>
          <w:spacing w:val="-55"/>
        </w:rPr>
      </w:r>
      <w:r>
        <w:rPr>
          <w:spacing w:val="-3"/>
        </w:rPr>
        <w:t>决方案服务、专业服务（咨询、</w:t>
      </w:r>
      <w:r>
        <w:rPr>
          <w:rFonts w:ascii="宋体" w:hAnsi="宋体" w:cs="宋体" w:eastAsia="宋体" w:hint="default"/>
          <w:spacing w:val="-3"/>
        </w:rPr>
        <w:t>IT </w:t>
      </w:r>
      <w:r>
        <w:rPr>
          <w:spacing w:val="-3"/>
        </w:rPr>
        <w:t>系统建设、运营支撑）、运营服务（业务运营、应用运营、平</w:t>
      </w:r>
      <w:r>
        <w:rPr>
          <w:spacing w:val="-76"/>
        </w:rPr>
        <w:t> </w:t>
      </w:r>
      <w:r>
        <w:rPr>
          <w:spacing w:val="-76"/>
        </w:rPr>
      </w:r>
      <w:r>
        <w:rPr>
          <w:spacing w:val="-1"/>
        </w:rPr>
        <w:t>台与数据运营）等，收入主要包括标准产品许可收入、支持与运维服务收入、咨询实施收入（实</w:t>
      </w:r>
      <w:r>
        <w:rPr>
          <w:spacing w:val="-56"/>
        </w:rPr>
        <w:t> </w:t>
      </w:r>
      <w:r>
        <w:rPr>
          <w:spacing w:val="-56"/>
        </w:rPr>
      </w:r>
      <w:r>
        <w:rPr/>
        <w:t>施交付、客户化开发、应用集成服务、咨询服务、其他服务）、运营服务收入。</w:t>
      </w:r>
    </w:p>
    <w:p>
      <w:pPr>
        <w:pStyle w:val="BodyText"/>
        <w:spacing w:line="297" w:lineRule="auto" w:before="135"/>
        <w:ind w:right="147" w:firstLine="482"/>
        <w:jc w:val="both"/>
      </w:pPr>
      <w:r>
        <w:rPr>
          <w:spacing w:val="-1"/>
        </w:rPr>
        <w:t>公司是亚太本土最大的管理软件、</w:t>
      </w:r>
      <w:hyperlink r:id="rId14">
        <w:r>
          <w:rPr>
            <w:rFonts w:ascii="宋体" w:hAnsi="宋体" w:cs="宋体" w:eastAsia="宋体" w:hint="default"/>
            <w:spacing w:val="-1"/>
          </w:rPr>
          <w:t>ERP</w:t>
        </w:r>
        <w:r>
          <w:rPr>
            <w:rFonts w:ascii="宋体" w:hAnsi="宋体" w:cs="宋体" w:eastAsia="宋体" w:hint="default"/>
            <w:spacing w:val="-9"/>
          </w:rPr>
          <w:t> </w:t>
        </w:r>
        <w:r>
          <w:rPr>
            <w:spacing w:val="-2"/>
          </w:rPr>
          <w:t>软件</w:t>
        </w:r>
      </w:hyperlink>
      <w:r>
        <w:rPr>
          <w:spacing w:val="-2"/>
        </w:rPr>
        <w:t>、集团管理软件、人力资源管理软件、客户关系</w:t>
      </w:r>
      <w:r>
        <w:rPr>
          <w:w w:val="100"/>
        </w:rPr>
        <w:t> </w:t>
      </w:r>
      <w:r>
        <w:rPr>
          <w:spacing w:val="-1"/>
        </w:rPr>
        <w:t>管理软件、小型企业管理软件、财政及行政事业单位管理软件、汽车行业管理软件、财经院校实</w:t>
      </w:r>
      <w:r>
        <w:rPr>
          <w:spacing w:val="-54"/>
        </w:rPr>
        <w:t> </w:t>
      </w:r>
      <w:r>
        <w:rPr>
          <w:spacing w:val="-54"/>
        </w:rPr>
      </w:r>
      <w:r>
        <w:rPr>
          <w:spacing w:val="-6"/>
        </w:rPr>
        <w:t>训教育软件与服务、烟草行业管理软件、广电和电信行业管理软件、内部审计软件及服务提供商，</w:t>
      </w:r>
      <w:r>
        <w:rPr>
          <w:spacing w:val="-54"/>
        </w:rPr>
        <w:t> </w:t>
      </w:r>
      <w:r>
        <w:rPr>
          <w:spacing w:val="-54"/>
        </w:rPr>
      </w:r>
      <w:r>
        <w:rPr/>
        <w:t>也是中国领先的医疗卫生、金融、能源行业管理软件和服务提供商。</w:t>
      </w:r>
    </w:p>
    <w:p>
      <w:pPr>
        <w:pStyle w:val="BodyText"/>
        <w:spacing w:line="460" w:lineRule="exact" w:before="13"/>
        <w:ind w:left="558" w:right="144"/>
        <w:jc w:val="left"/>
      </w:pPr>
      <w:r>
        <w:rPr/>
        <w:t>（</w:t>
      </w:r>
      <w:r>
        <w:rPr>
          <w:rFonts w:ascii="宋体" w:hAnsi="宋体" w:cs="宋体" w:eastAsia="宋体" w:hint="default"/>
        </w:rPr>
        <w:t>2</w:t>
      </w:r>
      <w:r>
        <w:rPr/>
        <w:t>）企业互联网服务</w:t>
      </w:r>
      <w:r>
        <w:rPr>
          <w:w w:val="100"/>
        </w:rPr>
        <w:t> </w:t>
      </w:r>
      <w:r>
        <w:rPr>
          <w:spacing w:val="-2"/>
        </w:rPr>
        <w:t>报告期内，新一代互联网技术的发展，正在加速驱动企业业务开展模式的转变，也改变了企</w:t>
      </w:r>
    </w:p>
    <w:p>
      <w:pPr>
        <w:pStyle w:val="BodyText"/>
        <w:spacing w:line="297" w:lineRule="auto" w:before="3"/>
        <w:ind w:right="148"/>
        <w:jc w:val="both"/>
      </w:pPr>
      <w:r>
        <w:rPr>
          <w:spacing w:val="-1"/>
        </w:rPr>
        <w:t>业的组织方式和协作方式。一方面，越来越多的企业逐渐将自己的业务利用互联网的方式和思维</w:t>
      </w:r>
      <w:r>
        <w:rPr>
          <w:spacing w:val="-55"/>
        </w:rPr>
        <w:t> </w:t>
      </w:r>
      <w:r>
        <w:rPr>
          <w:spacing w:val="-55"/>
        </w:rPr>
      </w:r>
      <w:r>
        <w:rPr>
          <w:spacing w:val="-1"/>
        </w:rPr>
        <w:t>来开展；另一方面，企业的营销、渠道、产品和运营等环节都已经迈向互联网化。企业互联网服</w:t>
      </w:r>
      <w:r>
        <w:rPr>
          <w:spacing w:val="-55"/>
        </w:rPr>
        <w:t> </w:t>
      </w:r>
      <w:r>
        <w:rPr>
          <w:spacing w:val="-55"/>
        </w:rPr>
      </w:r>
      <w:r>
        <w:rPr>
          <w:spacing w:val="-1"/>
        </w:rPr>
        <w:t>务的主要经营模式是为客户提供企业互联网应用服务和运营服务，收入主要包括应用服务收入、</w:t>
      </w:r>
      <w:r>
        <w:rPr>
          <w:spacing w:val="-55"/>
        </w:rPr>
        <w:t> </w:t>
      </w:r>
      <w:r>
        <w:rPr>
          <w:spacing w:val="-55"/>
        </w:rPr>
      </w:r>
      <w:r>
        <w:rPr/>
        <w:t>运营服务收入、平台服务收入、数据与信息服务收入以及其他增值服务。</w:t>
      </w:r>
    </w:p>
    <w:p>
      <w:pPr>
        <w:pStyle w:val="BodyText"/>
        <w:spacing w:line="240" w:lineRule="auto" w:before="135"/>
        <w:ind w:left="558" w:right="144"/>
        <w:jc w:val="left"/>
      </w:pPr>
      <w:r>
        <w:rPr/>
        <w:t>公司是中国领先的企业互联网服务提供商，在企业互联网服务产业领域中处于领先地位。</w:t>
      </w:r>
    </w:p>
    <w:p>
      <w:pPr>
        <w:spacing w:line="240" w:lineRule="auto" w:before="0"/>
        <w:rPr>
          <w:rFonts w:ascii="宋体" w:hAnsi="宋体" w:cs="宋体" w:eastAsia="宋体" w:hint="default"/>
          <w:sz w:val="14"/>
          <w:szCs w:val="14"/>
        </w:rPr>
      </w:pPr>
    </w:p>
    <w:p>
      <w:pPr>
        <w:pStyle w:val="BodyText"/>
        <w:spacing w:line="240" w:lineRule="auto"/>
        <w:ind w:left="558" w:right="144"/>
        <w:jc w:val="left"/>
      </w:pPr>
      <w:r>
        <w:rPr/>
        <w:t>（</w:t>
      </w:r>
      <w:r>
        <w:rPr>
          <w:rFonts w:ascii="宋体" w:hAnsi="宋体" w:cs="宋体" w:eastAsia="宋体" w:hint="default"/>
        </w:rPr>
        <w:t>3</w:t>
      </w:r>
      <w:r>
        <w:rPr/>
        <w:t>）互联网金融服务</w:t>
      </w:r>
    </w:p>
    <w:p>
      <w:pPr>
        <w:spacing w:line="240" w:lineRule="auto" w:before="3"/>
        <w:rPr>
          <w:rFonts w:ascii="宋体" w:hAnsi="宋体" w:cs="宋体" w:eastAsia="宋体" w:hint="default"/>
          <w:sz w:val="14"/>
          <w:szCs w:val="14"/>
        </w:rPr>
      </w:pPr>
    </w:p>
    <w:p>
      <w:pPr>
        <w:pStyle w:val="BodyText"/>
        <w:spacing w:line="297" w:lineRule="auto"/>
        <w:ind w:right="147" w:firstLine="419"/>
        <w:jc w:val="both"/>
      </w:pPr>
      <w:r>
        <w:rPr>
          <w:spacing w:val="-5"/>
        </w:rPr>
        <w:t>报告期内，我国互联网金融发展迅速，</w:t>
      </w:r>
      <w:r>
        <w:rPr>
          <w:rFonts w:ascii="宋体" w:hAnsi="宋体" w:cs="宋体" w:eastAsia="宋体" w:hint="default"/>
          <w:spacing w:val="-5"/>
        </w:rPr>
        <w:t>2C</w:t>
      </w:r>
      <w:r>
        <w:rPr>
          <w:rFonts w:ascii="宋体" w:hAnsi="宋体" w:cs="宋体" w:eastAsia="宋体" w:hint="default"/>
          <w:spacing w:val="-46"/>
        </w:rPr>
        <w:t> </w:t>
      </w:r>
      <w:r>
        <w:rPr/>
        <w:t>市场已渐被</w:t>
      </w:r>
      <w:r>
        <w:rPr>
          <w:spacing w:val="-42"/>
        </w:rPr>
        <w:t> </w:t>
      </w:r>
      <w:r>
        <w:rPr>
          <w:rFonts w:ascii="宋体" w:hAnsi="宋体" w:cs="宋体" w:eastAsia="宋体" w:hint="default"/>
        </w:rPr>
        <w:t>BAT</w:t>
      </w:r>
      <w:r>
        <w:rPr>
          <w:rFonts w:ascii="宋体" w:hAnsi="宋体" w:cs="宋体" w:eastAsia="宋体" w:hint="default"/>
          <w:spacing w:val="-46"/>
        </w:rPr>
        <w:t> </w:t>
      </w:r>
      <w:r>
        <w:rPr>
          <w:spacing w:val="-4"/>
        </w:rPr>
        <w:t>等互联网公司占领，</w:t>
      </w:r>
      <w:r>
        <w:rPr>
          <w:rFonts w:ascii="宋体" w:hAnsi="宋体" w:cs="宋体" w:eastAsia="宋体" w:hint="default"/>
          <w:spacing w:val="-4"/>
        </w:rPr>
        <w:t>2B</w:t>
      </w:r>
      <w:r>
        <w:rPr>
          <w:rFonts w:ascii="宋体" w:hAnsi="宋体" w:cs="宋体" w:eastAsia="宋体" w:hint="default"/>
          <w:spacing w:val="-43"/>
        </w:rPr>
        <w:t> </w:t>
      </w:r>
      <w:r>
        <w:rPr/>
        <w:t>市场仍具有</w:t>
      </w:r>
      <w:r>
        <w:rPr>
          <w:w w:val="100"/>
        </w:rPr>
        <w:t> </w:t>
      </w:r>
      <w:r>
        <w:rPr>
          <w:spacing w:val="-1"/>
        </w:rPr>
        <w:t>很大空间，企业支付及相关金融服务呈现旺盛的市场需求。互联网金融的主要经营模式是利用互</w:t>
      </w:r>
      <w:r>
        <w:rPr>
          <w:spacing w:val="-54"/>
        </w:rPr>
        <w:t> </w:t>
      </w:r>
      <w:r>
        <w:rPr>
          <w:spacing w:val="-54"/>
        </w:rPr>
      </w:r>
      <w:r>
        <w:rPr>
          <w:spacing w:val="-1"/>
        </w:rPr>
        <w:t>联网技术和信息通信技术实现资金融通、支付、投资和信息中介服务的新型金融业务模式，主要</w:t>
      </w:r>
    </w:p>
    <w:p>
      <w:pPr>
        <w:spacing w:after="0" w:line="297" w:lineRule="auto"/>
        <w:jc w:val="both"/>
        <w:sectPr>
          <w:pgSz w:w="11910" w:h="16840"/>
          <w:pgMar w:header="880" w:footer="1335" w:top="1120" w:bottom="1520" w:left="1660" w:right="1120"/>
        </w:sectPr>
      </w:pPr>
    </w:p>
    <w:p>
      <w:pPr>
        <w:spacing w:line="240" w:lineRule="auto" w:before="4"/>
        <w:rPr>
          <w:rFonts w:ascii="宋体" w:hAnsi="宋体" w:cs="宋体" w:eastAsia="宋体" w:hint="default"/>
          <w:sz w:val="25"/>
          <w:szCs w:val="25"/>
        </w:rPr>
      </w:pPr>
    </w:p>
    <w:p>
      <w:pPr>
        <w:pStyle w:val="BodyText"/>
        <w:spacing w:line="297" w:lineRule="auto" w:before="36"/>
        <w:ind w:right="207"/>
        <w:jc w:val="both"/>
      </w:pPr>
      <w:r>
        <w:rPr>
          <w:spacing w:val="-4"/>
        </w:rPr>
        <w:t>业务包括众筹、</w:t>
      </w:r>
      <w:r>
        <w:rPr>
          <w:rFonts w:ascii="宋体" w:hAnsi="宋体" w:cs="宋体" w:eastAsia="宋体" w:hint="default"/>
          <w:spacing w:val="-4"/>
        </w:rPr>
        <w:t>P2P </w:t>
      </w:r>
      <w:r>
        <w:rPr>
          <w:spacing w:val="-5"/>
        </w:rPr>
        <w:t>网贷、第三方支付、数字货币、大数据金融，收入包括居间收入、推荐收入、</w:t>
      </w:r>
      <w:r>
        <w:rPr>
          <w:spacing w:val="-97"/>
        </w:rPr>
        <w:t> </w:t>
      </w:r>
      <w:r>
        <w:rPr>
          <w:spacing w:val="-97"/>
        </w:rPr>
      </w:r>
      <w:r>
        <w:rPr/>
        <w:t>手续费收入、广告收入、定价收入、管理费收入等。</w:t>
      </w:r>
    </w:p>
    <w:p>
      <w:pPr>
        <w:spacing w:line="403" w:lineRule="auto" w:before="135"/>
        <w:ind w:left="560" w:right="844" w:hanging="3"/>
        <w:jc w:val="left"/>
        <w:rPr>
          <w:rFonts w:ascii="宋体" w:hAnsi="宋体" w:cs="宋体" w:eastAsia="宋体" w:hint="default"/>
          <w:sz w:val="21"/>
          <w:szCs w:val="21"/>
        </w:rPr>
      </w:pPr>
      <w:r>
        <w:rPr>
          <w:rFonts w:ascii="宋体" w:hAnsi="宋体" w:cs="宋体" w:eastAsia="宋体" w:hint="default"/>
          <w:sz w:val="21"/>
          <w:szCs w:val="21"/>
        </w:rPr>
        <w:t>公司在互联网金融产业领域开展了支付业务和</w:t>
      </w:r>
      <w:r>
        <w:rPr>
          <w:rFonts w:ascii="宋体" w:hAnsi="宋体" w:cs="宋体" w:eastAsia="宋体" w:hint="default"/>
          <w:spacing w:val="-54"/>
          <w:sz w:val="21"/>
          <w:szCs w:val="21"/>
        </w:rPr>
        <w:t> </w:t>
      </w:r>
      <w:r>
        <w:rPr>
          <w:rFonts w:ascii="宋体" w:hAnsi="宋体" w:cs="宋体" w:eastAsia="宋体" w:hint="default"/>
          <w:sz w:val="21"/>
          <w:szCs w:val="21"/>
        </w:rPr>
        <w:t>P2P</w:t>
      </w:r>
      <w:r>
        <w:rPr>
          <w:rFonts w:ascii="宋体" w:hAnsi="宋体" w:cs="宋体" w:eastAsia="宋体" w:hint="default"/>
          <w:spacing w:val="-56"/>
          <w:sz w:val="21"/>
          <w:szCs w:val="21"/>
        </w:rPr>
        <w:t> </w:t>
      </w:r>
      <w:r>
        <w:rPr>
          <w:rFonts w:ascii="宋体" w:hAnsi="宋体" w:cs="宋体" w:eastAsia="宋体" w:hint="default"/>
          <w:sz w:val="21"/>
          <w:szCs w:val="21"/>
        </w:rPr>
        <w:t>业务，并正加速其他业务的布局。</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、行业竞争格局和发展趋势</w:t>
      </w:r>
      <w:r>
        <w:rPr>
          <w:rFonts w:ascii="宋体" w:hAnsi="宋体" w:cs="宋体" w:eastAsia="宋体" w:hint="default"/>
          <w:sz w:val="21"/>
          <w:szCs w:val="21"/>
        </w:rPr>
      </w:r>
    </w:p>
    <w:p>
      <w:pPr>
        <w:pStyle w:val="BodyText"/>
        <w:spacing w:line="240" w:lineRule="auto" w:before="43"/>
        <w:ind w:left="558" w:right="103"/>
        <w:jc w:val="left"/>
      </w:pPr>
      <w:r>
        <w:rPr/>
        <w:t>（</w:t>
      </w:r>
      <w:r>
        <w:rPr>
          <w:rFonts w:ascii="宋体" w:hAnsi="宋体" w:cs="宋体" w:eastAsia="宋体" w:hint="default"/>
        </w:rPr>
        <w:t>1</w:t>
      </w:r>
      <w:r>
        <w:rPr/>
        <w:t>）行业竞争格局</w:t>
      </w:r>
    </w:p>
    <w:p>
      <w:pPr>
        <w:spacing w:line="240" w:lineRule="auto" w:before="3"/>
        <w:rPr>
          <w:rFonts w:ascii="宋体" w:hAnsi="宋体" w:cs="宋体" w:eastAsia="宋体" w:hint="default"/>
          <w:sz w:val="14"/>
          <w:szCs w:val="14"/>
        </w:rPr>
      </w:pPr>
    </w:p>
    <w:p>
      <w:pPr>
        <w:pStyle w:val="BodyText"/>
        <w:spacing w:line="297" w:lineRule="auto"/>
        <w:ind w:right="208" w:firstLine="419"/>
        <w:jc w:val="both"/>
      </w:pPr>
      <w:r>
        <w:rPr>
          <w:spacing w:val="-2"/>
        </w:rPr>
        <w:t>在经济结构转型的大背景下，企业软件渗透率提升和持续的技术创新这两大因素将在较长的</w:t>
      </w:r>
      <w:r>
        <w:rPr>
          <w:w w:val="100"/>
        </w:rPr>
        <w:t> </w:t>
      </w:r>
      <w:r>
        <w:rPr>
          <w:spacing w:val="-4"/>
        </w:rPr>
        <w:t>时间段发挥作用，刺激企业增加</w:t>
      </w:r>
      <w:r>
        <w:rPr>
          <w:spacing w:val="-25"/>
        </w:rPr>
        <w:t> </w:t>
      </w:r>
      <w:r>
        <w:rPr>
          <w:rFonts w:ascii="宋体" w:hAnsi="宋体" w:cs="宋体" w:eastAsia="宋体" w:hint="default"/>
        </w:rPr>
        <w:t>IT</w:t>
      </w:r>
      <w:r>
        <w:rPr>
          <w:rFonts w:ascii="宋体" w:hAnsi="宋体" w:cs="宋体" w:eastAsia="宋体" w:hint="default"/>
          <w:spacing w:val="-28"/>
        </w:rPr>
        <w:t> </w:t>
      </w:r>
      <w:r>
        <w:rPr>
          <w:spacing w:val="-4"/>
        </w:rPr>
        <w:t>投资，推动行业快速增长。在企业应用软件市场中，产品技术</w:t>
      </w:r>
      <w:r>
        <w:rPr>
          <w:spacing w:val="-95"/>
        </w:rPr>
        <w:t> </w:t>
      </w:r>
      <w:r>
        <w:rPr>
          <w:spacing w:val="-95"/>
        </w:rPr>
      </w:r>
      <w:r>
        <w:rPr>
          <w:spacing w:val="-1"/>
        </w:rPr>
        <w:t>的研发创新能力、产业生态链的构建与运营能力成为竞争的关键要素。企业互联网将重塑产业格</w:t>
      </w:r>
      <w:r>
        <w:rPr>
          <w:spacing w:val="-55"/>
        </w:rPr>
        <w:t> </w:t>
      </w:r>
      <w:r>
        <w:rPr>
          <w:spacing w:val="-55"/>
        </w:rPr>
      </w:r>
      <w:r>
        <w:rPr/>
        <w:t>局，平台、数据、运营能力是竞争的关键。</w:t>
      </w:r>
    </w:p>
    <w:p>
      <w:pPr>
        <w:pStyle w:val="BodyText"/>
        <w:spacing w:line="297" w:lineRule="auto" w:before="135"/>
        <w:ind w:right="103" w:firstLine="419"/>
        <w:jc w:val="left"/>
      </w:pPr>
      <w:r>
        <w:rPr>
          <w:spacing w:val="-2"/>
        </w:rPr>
        <w:t>从最近两年行业发展特点和趋势来看，得益于国产化替代政策和趋势以及在技术、产品、研</w:t>
      </w:r>
      <w:r>
        <w:rPr>
          <w:w w:val="100"/>
        </w:rPr>
        <w:t> </w:t>
      </w:r>
      <w:r>
        <w:rPr/>
        <w:t>发以及服务能力方面的提升，国内</w:t>
      </w:r>
      <w:r>
        <w:rPr>
          <w:spacing w:val="-56"/>
        </w:rPr>
        <w:t> </w:t>
      </w:r>
      <w:r>
        <w:rPr>
          <w:rFonts w:ascii="宋体" w:hAnsi="宋体" w:cs="宋体" w:eastAsia="宋体" w:hint="default"/>
        </w:rPr>
        <w:t>IT</w:t>
      </w:r>
      <w:r>
        <w:rPr>
          <w:rFonts w:ascii="宋体" w:hAnsi="宋体" w:cs="宋体" w:eastAsia="宋体" w:hint="default"/>
          <w:spacing w:val="-56"/>
        </w:rPr>
        <w:t> </w:t>
      </w:r>
      <w:r>
        <w:rPr/>
        <w:t>企业竞争优势增强，市场份额在逐渐扩大。</w:t>
      </w:r>
    </w:p>
    <w:p>
      <w:pPr>
        <w:pStyle w:val="BodyText"/>
        <w:spacing w:line="297" w:lineRule="auto" w:before="135"/>
        <w:ind w:right="98" w:firstLine="419"/>
        <w:jc w:val="left"/>
      </w:pPr>
      <w:r>
        <w:rPr/>
        <w:t>除传统行业竞争对手外，基于个人消费的互联网巨头和新生的</w:t>
      </w:r>
      <w:r>
        <w:rPr>
          <w:spacing w:val="-48"/>
        </w:rPr>
        <w:t> </w:t>
      </w:r>
      <w:r>
        <w:rPr>
          <w:rFonts w:ascii="宋体" w:hAnsi="宋体" w:cs="宋体" w:eastAsia="宋体" w:hint="default"/>
        </w:rPr>
        <w:t>SaaS</w:t>
      </w:r>
      <w:r>
        <w:rPr>
          <w:rFonts w:ascii="宋体" w:hAnsi="宋体" w:cs="宋体" w:eastAsia="宋体" w:hint="default"/>
          <w:spacing w:val="-51"/>
        </w:rPr>
        <w:t> </w:t>
      </w:r>
      <w:r>
        <w:rPr/>
        <w:t>厂商也会成为新进入者，</w:t>
      </w:r>
      <w:r>
        <w:rPr>
          <w:w w:val="100"/>
        </w:rPr>
        <w:t> </w:t>
      </w:r>
      <w:r>
        <w:rPr/>
        <w:t>对企业信息化应用的专业经验、企业客户基础以及资金投入能力等方面是其成功的关键因素。</w:t>
      </w:r>
    </w:p>
    <w:p>
      <w:pPr>
        <w:pStyle w:val="BodyText"/>
        <w:spacing w:line="460" w:lineRule="exact" w:before="10"/>
        <w:ind w:left="558" w:right="103" w:firstLine="2"/>
        <w:jc w:val="left"/>
      </w:pPr>
      <w:r>
        <w:rPr/>
        <w:t>（</w:t>
      </w:r>
      <w:r>
        <w:rPr>
          <w:rFonts w:ascii="宋体" w:hAnsi="宋体" w:cs="宋体" w:eastAsia="宋体" w:hint="default"/>
        </w:rPr>
        <w:t>2</w:t>
      </w:r>
      <w:r>
        <w:rPr/>
        <w:t>）行业发展趋势</w:t>
      </w:r>
      <w:r>
        <w:rPr>
          <w:w w:val="100"/>
        </w:rPr>
        <w:t> </w:t>
      </w:r>
      <w:r>
        <w:rPr>
          <w:spacing w:val="-7"/>
          <w:w w:val="100"/>
        </w:rPr>
        <w:t>当前，全球互联网化的重心正在从个人扩展到企业与组织，互联网化给企业带来革命性改变：</w:t>
      </w:r>
    </w:p>
    <w:p>
      <w:pPr>
        <w:pStyle w:val="BodyText"/>
        <w:spacing w:line="278" w:lineRule="auto" w:before="3"/>
        <w:ind w:right="208"/>
        <w:jc w:val="both"/>
      </w:pPr>
      <w:r>
        <w:rPr/>
        <w:t>全面从以产品为中心转向以客户为中心</w:t>
      </w:r>
      <w:r>
        <w:rPr>
          <w:rFonts w:ascii="Calibri" w:hAnsi="Calibri" w:cs="Calibri" w:eastAsia="Calibri" w:hint="default"/>
        </w:rPr>
        <w:t>(C2B) </w:t>
      </w:r>
      <w:r>
        <w:rPr>
          <w:spacing w:val="-3"/>
        </w:rPr>
        <w:t>，从领导指挥到员工创新</w:t>
      </w:r>
      <w:r>
        <w:rPr>
          <w:rFonts w:ascii="Calibri" w:hAnsi="Calibri" w:cs="Calibri" w:eastAsia="Calibri" w:hint="default"/>
          <w:spacing w:val="-3"/>
        </w:rPr>
        <w:t>(E2M)</w:t>
      </w:r>
      <w:r>
        <w:rPr>
          <w:spacing w:val="-3"/>
        </w:rPr>
        <w:t>，从流程驱动转向数</w:t>
      </w:r>
      <w:r>
        <w:rPr>
          <w:spacing w:val="-98"/>
        </w:rPr>
        <w:t> </w:t>
      </w:r>
      <w:r>
        <w:rPr>
          <w:spacing w:val="-98"/>
        </w:rPr>
      </w:r>
      <w:r>
        <w:rPr>
          <w:spacing w:val="-2"/>
        </w:rPr>
        <w:t>据驱动</w:t>
      </w:r>
      <w:r>
        <w:rPr>
          <w:rFonts w:ascii="Calibri" w:hAnsi="Calibri" w:cs="Calibri" w:eastAsia="Calibri" w:hint="default"/>
          <w:spacing w:val="-2"/>
        </w:rPr>
        <w:t>(DDE)</w:t>
      </w:r>
      <w:r>
        <w:rPr>
          <w:spacing w:val="-2"/>
        </w:rPr>
        <w:t>，从延时运行转为实时运行（</w:t>
      </w:r>
      <w:r>
        <w:rPr>
          <w:rFonts w:ascii="Calibri" w:hAnsi="Calibri" w:cs="Calibri" w:eastAsia="Calibri" w:hint="default"/>
          <w:spacing w:val="-2"/>
        </w:rPr>
        <w:t>RTE</w:t>
      </w:r>
      <w:r>
        <w:rPr>
          <w:spacing w:val="-2"/>
        </w:rPr>
        <w:t>）。未来每个企业都会是</w:t>
      </w:r>
      <w:r>
        <w:rPr>
          <w:rFonts w:ascii="Calibri" w:hAnsi="Calibri" w:cs="Calibri" w:eastAsia="Calibri" w:hint="default"/>
          <w:spacing w:val="-2"/>
        </w:rPr>
        <w:t>“</w:t>
      </w:r>
      <w:r>
        <w:rPr>
          <w:spacing w:val="-2"/>
        </w:rPr>
        <w:t>互联网企业</w:t>
      </w:r>
      <w:r>
        <w:rPr>
          <w:rFonts w:ascii="Calibri" w:hAnsi="Calibri" w:cs="Calibri" w:eastAsia="Calibri" w:hint="default"/>
          <w:spacing w:val="-2"/>
        </w:rPr>
        <w:t>”</w:t>
      </w:r>
      <w:r>
        <w:rPr>
          <w:spacing w:val="-2"/>
        </w:rPr>
        <w:t>、</w:t>
      </w:r>
      <w:r>
        <w:rPr>
          <w:rFonts w:ascii="Calibri" w:hAnsi="Calibri" w:cs="Calibri" w:eastAsia="Calibri" w:hint="default"/>
          <w:spacing w:val="-2"/>
        </w:rPr>
        <w:t>“</w:t>
      </w:r>
      <w:r>
        <w:rPr>
          <w:spacing w:val="-2"/>
        </w:rPr>
        <w:t>数据驱动</w:t>
      </w:r>
      <w:r>
        <w:rPr>
          <w:spacing w:val="-32"/>
        </w:rPr>
        <w:t> </w:t>
      </w:r>
      <w:r>
        <w:rPr>
          <w:spacing w:val="-32"/>
        </w:rPr>
      </w:r>
      <w:r>
        <w:rPr>
          <w:spacing w:val="-4"/>
        </w:rPr>
        <w:t>的企业</w:t>
      </w:r>
      <w:r>
        <w:rPr>
          <w:rFonts w:ascii="Calibri" w:hAnsi="Calibri" w:cs="Calibri" w:eastAsia="Calibri" w:hint="default"/>
          <w:spacing w:val="-4"/>
        </w:rPr>
        <w:t>”</w:t>
      </w:r>
      <w:r>
        <w:rPr>
          <w:spacing w:val="-4"/>
        </w:rPr>
        <w:t>。与此同时，全球互联网产业发展在经历了以浏览器、信息门户为代表的第一阶段，以信</w:t>
      </w:r>
      <w:r>
        <w:rPr>
          <w:spacing w:val="-15"/>
        </w:rPr>
        <w:t> </w:t>
      </w:r>
      <w:r>
        <w:rPr>
          <w:spacing w:val="-15"/>
        </w:rPr>
      </w:r>
      <w:r>
        <w:rPr>
          <w:spacing w:val="-1"/>
        </w:rPr>
        <w:t>息搜索、电子商务、网络游戏为代表的第二阶段，已经进入以移动终端、社交、企业互联网、互</w:t>
      </w:r>
      <w:r>
        <w:rPr>
          <w:spacing w:val="-55"/>
        </w:rPr>
        <w:t> </w:t>
      </w:r>
      <w:r>
        <w:rPr>
          <w:spacing w:val="-55"/>
        </w:rPr>
      </w:r>
      <w:r>
        <w:rPr/>
        <w:t>联网金融为代表的第三个重要发展阶段。</w:t>
      </w:r>
    </w:p>
    <w:p>
      <w:pPr>
        <w:pStyle w:val="BodyText"/>
        <w:spacing w:line="297" w:lineRule="auto" w:before="152"/>
        <w:ind w:right="208" w:firstLine="419"/>
        <w:jc w:val="both"/>
      </w:pPr>
      <w:r>
        <w:rPr>
          <w:spacing w:val="-2"/>
        </w:rPr>
        <w:t>企业互联网化是在以移动互联网、云计算、大数据、社交网络为代表的信息技术革新浪潮下</w:t>
      </w:r>
      <w:r>
        <w:rPr>
          <w:w w:val="100"/>
        </w:rPr>
        <w:t> </w:t>
      </w:r>
      <w:r>
        <w:rPr>
          <w:spacing w:val="-1"/>
        </w:rPr>
        <w:t>形成的。企业信息化从早期的以办公自动化为代表，部门级应用的电算化阶段，之后的以流程优</w:t>
      </w:r>
      <w:r>
        <w:rPr>
          <w:spacing w:val="-55"/>
        </w:rPr>
        <w:t> </w:t>
      </w:r>
      <w:r>
        <w:rPr>
          <w:spacing w:val="-55"/>
        </w:rPr>
      </w:r>
      <w:r>
        <w:rPr>
          <w:spacing w:val="-1"/>
        </w:rPr>
        <w:t>化为代表，企业级应用的信息化阶段，发展到今天以商业创新为代表，社会级计算的互联网化阶</w:t>
      </w:r>
      <w:r>
        <w:rPr>
          <w:spacing w:val="-55"/>
        </w:rPr>
        <w:t> </w:t>
      </w:r>
      <w:r>
        <w:rPr>
          <w:spacing w:val="-55"/>
        </w:rPr>
      </w:r>
      <w:r>
        <w:rPr>
          <w:spacing w:val="-1"/>
        </w:rPr>
        <w:t>段。企业互联网化阶段的核心价值是商业创新和产业融合，是企业运营模式的变革，涉及企业的</w:t>
      </w:r>
      <w:r>
        <w:rPr>
          <w:spacing w:val="-55"/>
        </w:rPr>
        <w:t> </w:t>
      </w:r>
      <w:r>
        <w:rPr>
          <w:spacing w:val="-55"/>
        </w:rPr>
      </w:r>
      <w:r>
        <w:rPr>
          <w:spacing w:val="-1"/>
        </w:rPr>
        <w:t>方方面面，包括前端业务、后台管理、内外协同，涵盖营销与服务、研发与设计、制造与物流、</w:t>
      </w:r>
      <w:r>
        <w:rPr>
          <w:spacing w:val="-55"/>
        </w:rPr>
        <w:t> </w:t>
      </w:r>
      <w:r>
        <w:rPr>
          <w:spacing w:val="-55"/>
        </w:rPr>
      </w:r>
      <w:r>
        <w:rPr/>
        <w:t>财务与人力、客户与伙伴、金融与税务等等。</w:t>
      </w:r>
    </w:p>
    <w:p>
      <w:pPr>
        <w:pStyle w:val="BodyText"/>
        <w:spacing w:line="283" w:lineRule="auto" w:before="133"/>
        <w:ind w:right="103" w:firstLine="419"/>
        <w:jc w:val="left"/>
      </w:pPr>
      <w:r>
        <w:rPr/>
        <w:t>数据、平台和运营将成为任何企业在互联网化之后的关键。</w:t>
      </w:r>
      <w:r>
        <w:rPr>
          <w:rFonts w:ascii="Calibri" w:hAnsi="Calibri" w:cs="Calibri" w:eastAsia="Calibri" w:hint="default"/>
        </w:rPr>
        <w:t>IT</w:t>
      </w:r>
      <w:r>
        <w:rPr>
          <w:rFonts w:ascii="Calibri" w:hAnsi="Calibri" w:cs="Calibri" w:eastAsia="Calibri" w:hint="default"/>
          <w:spacing w:val="27"/>
        </w:rPr>
        <w:t> </w:t>
      </w:r>
      <w:r>
        <w:rPr/>
        <w:t>变革路径将发生在三个方面：</w:t>
      </w:r>
      <w:r>
        <w:rPr>
          <w:w w:val="100"/>
        </w:rPr>
        <w:t> </w:t>
      </w:r>
      <w:r>
        <w:rPr>
          <w:spacing w:val="-3"/>
        </w:rPr>
        <w:t>即计算平台的变革、应用系统的变革，</w:t>
      </w:r>
      <w:r>
        <w:rPr>
          <w:rFonts w:ascii="Calibri" w:hAnsi="Calibri" w:cs="Calibri" w:eastAsia="Calibri" w:hint="default"/>
          <w:spacing w:val="-3"/>
        </w:rPr>
        <w:t>IT</w:t>
      </w:r>
      <w:r>
        <w:rPr>
          <w:rFonts w:ascii="Calibri" w:hAnsi="Calibri" w:cs="Calibri" w:eastAsia="Calibri" w:hint="default"/>
          <w:spacing w:val="15"/>
        </w:rPr>
        <w:t> </w:t>
      </w:r>
      <w:r>
        <w:rPr/>
        <w:t>部署模式的变革。企业的计算核心将从以流程为中心转</w:t>
      </w:r>
      <w:r>
        <w:rPr>
          <w:spacing w:val="-100"/>
        </w:rPr>
        <w:t> </w:t>
      </w:r>
      <w:r>
        <w:rPr>
          <w:spacing w:val="-100"/>
        </w:rPr>
      </w:r>
      <w:r>
        <w:rPr/>
        <w:t>向以数据为中心，计算终端将由</w:t>
      </w:r>
      <w:r>
        <w:rPr>
          <w:spacing w:val="-42"/>
        </w:rPr>
        <w:t> </w:t>
      </w:r>
      <w:r>
        <w:rPr>
          <w:rFonts w:ascii="Calibri" w:hAnsi="Calibri" w:cs="Calibri" w:eastAsia="Calibri" w:hint="default"/>
        </w:rPr>
        <w:t>PC</w:t>
      </w:r>
      <w:r>
        <w:rPr>
          <w:rFonts w:ascii="Calibri" w:hAnsi="Calibri" w:cs="Calibri" w:eastAsia="Calibri" w:hint="default"/>
          <w:spacing w:val="7"/>
        </w:rPr>
        <w:t> </w:t>
      </w:r>
      <w:r>
        <w:rPr/>
        <w:t>端转向移动端，计算架构将由传统的</w:t>
      </w:r>
      <w:r>
        <w:rPr>
          <w:spacing w:val="-42"/>
        </w:rPr>
        <w:t> </w:t>
      </w:r>
      <w:r>
        <w:rPr>
          <w:rFonts w:ascii="Calibri" w:hAnsi="Calibri" w:cs="Calibri" w:eastAsia="Calibri" w:hint="default"/>
        </w:rPr>
        <w:t>B/S</w:t>
      </w:r>
      <w:r>
        <w:rPr>
          <w:rFonts w:ascii="Calibri" w:hAnsi="Calibri" w:cs="Calibri" w:eastAsia="Calibri" w:hint="default"/>
          <w:spacing w:val="9"/>
        </w:rPr>
        <w:t> </w:t>
      </w:r>
      <w:r>
        <w:rPr/>
        <w:t>架构转向云计算架</w:t>
      </w:r>
      <w:r>
        <w:rPr>
          <w:w w:val="100"/>
        </w:rPr>
        <w:t> </w:t>
      </w:r>
      <w:r>
        <w:rPr/>
        <w:t>构，计算范围将由企业级计算转向社会级计算；而下一代信息系统则具有四个方面的特征：基于</w:t>
      </w:r>
      <w:r>
        <w:rPr>
          <w:spacing w:val="-97"/>
        </w:rPr>
        <w:t> </w:t>
      </w:r>
      <w:r>
        <w:rPr>
          <w:spacing w:val="-97"/>
        </w:rPr>
      </w:r>
      <w:r>
        <w:rPr/>
        <w:t>新的计算平台架构、采用新的应用架构、支持新的业务模式、能够支持企业构建产业生态，其应</w:t>
      </w:r>
      <w:r>
        <w:rPr>
          <w:spacing w:val="-97"/>
        </w:rPr>
        <w:t> </w:t>
      </w:r>
      <w:r>
        <w:rPr>
          <w:spacing w:val="-97"/>
        </w:rPr>
      </w:r>
      <w:r>
        <w:rPr/>
        <w:t>用架构将是以轻量级、碎片化、移动化应用为核心的体系；互联网时代的企业信息化框架也会发</w:t>
      </w:r>
      <w:r>
        <w:rPr>
          <w:spacing w:val="-97"/>
        </w:rPr>
        <w:t> </w:t>
      </w:r>
      <w:r>
        <w:rPr>
          <w:spacing w:val="-97"/>
        </w:rPr>
      </w:r>
      <w:r>
        <w:rPr/>
        <w:t>生变化，将会逐渐变成一个涵盖数字营销、协同工作、智能制造、智能产品、智能管理等内容的</w:t>
      </w:r>
      <w:r>
        <w:rPr>
          <w:spacing w:val="-97"/>
        </w:rPr>
        <w:t> </w:t>
      </w:r>
      <w:r>
        <w:rPr>
          <w:spacing w:val="-97"/>
        </w:rPr>
      </w:r>
      <w:r>
        <w:rPr>
          <w:spacing w:val="-5"/>
        </w:rPr>
        <w:t>全新框架；由于云计算带来的变化，企业的 </w:t>
      </w:r>
      <w:r>
        <w:rPr>
          <w:rFonts w:ascii="Calibri" w:hAnsi="Calibri" w:cs="Calibri" w:eastAsia="Calibri" w:hint="default"/>
        </w:rPr>
        <w:t>IT </w:t>
      </w:r>
      <w:r>
        <w:rPr>
          <w:spacing w:val="-3"/>
        </w:rPr>
        <w:t>部署会着更为多样化的选择，不同的企业会有不同</w:t>
      </w:r>
      <w:r>
        <w:rPr>
          <w:spacing w:val="-81"/>
        </w:rPr>
        <w:t> </w:t>
      </w:r>
      <w:r>
        <w:rPr>
          <w:spacing w:val="-81"/>
        </w:rPr>
      </w:r>
      <w:r>
        <w:rPr/>
        <w:t>的需求，所对应的 </w:t>
      </w:r>
      <w:r>
        <w:rPr>
          <w:rFonts w:ascii="Calibri" w:hAnsi="Calibri" w:cs="Calibri" w:eastAsia="Calibri" w:hint="default"/>
        </w:rPr>
        <w:t>IT </w:t>
      </w:r>
      <w:r>
        <w:rPr/>
        <w:t>部署模式也会有较大不同。</w:t>
      </w:r>
    </w:p>
    <w:p>
      <w:pPr>
        <w:spacing w:after="0" w:line="283" w:lineRule="auto"/>
        <w:jc w:val="left"/>
        <w:sectPr>
          <w:pgSz w:w="11910" w:h="16840"/>
          <w:pgMar w:header="880" w:footer="1335" w:top="1120" w:bottom="1520" w:left="1660" w:right="1060"/>
        </w:sectPr>
      </w:pPr>
    </w:p>
    <w:p>
      <w:pPr>
        <w:spacing w:line="240" w:lineRule="auto" w:before="4"/>
        <w:rPr>
          <w:rFonts w:ascii="宋体" w:hAnsi="宋体" w:cs="宋体" w:eastAsia="宋体" w:hint="default"/>
          <w:sz w:val="25"/>
          <w:szCs w:val="25"/>
        </w:rPr>
      </w:pPr>
    </w:p>
    <w:p>
      <w:pPr>
        <w:pStyle w:val="BodyText"/>
        <w:spacing w:line="297" w:lineRule="auto" w:before="36"/>
        <w:ind w:right="144" w:firstLine="419"/>
        <w:jc w:val="left"/>
      </w:pPr>
      <w:r>
        <w:rPr>
          <w:spacing w:val="-2"/>
        </w:rPr>
        <w:t>同时，信息安全的问题被上升至国家战略层面，在计算机软硬件领域，国产替代的进程出现</w:t>
      </w:r>
      <w:r>
        <w:rPr>
          <w:w w:val="100"/>
        </w:rPr>
        <w:t> </w:t>
      </w:r>
      <w:r>
        <w:rPr/>
        <w:t>加速，“国产化”逐渐成为一种趋势。目前信息产业国产化的浪潮仍在继续深化。</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spacing w:line="290" w:lineRule="auto" w:before="0"/>
        <w:ind w:left="138" w:right="4122"/>
        <w:jc w:val="left"/>
        <w:rPr>
          <w:rFonts w:ascii="宋体" w:hAnsi="宋体" w:cs="宋体" w:eastAsia="宋体" w:hint="default"/>
          <w:b w:val="0"/>
          <w:bCs w:val="0"/>
        </w:rPr>
      </w:pPr>
      <w:r>
        <w:rPr>
          <w:sz w:val="20"/>
          <w:szCs w:val="20"/>
        </w:rPr>
        <w:t>二、</w:t>
      </w:r>
      <w:r>
        <w:rPr>
          <w:spacing w:val="-84"/>
          <w:sz w:val="20"/>
          <w:szCs w:val="20"/>
        </w:rPr>
        <w:t> </w:t>
      </w:r>
      <w:r>
        <w:rPr/>
        <w:t>报告期内公司主要资产发生重大变化情况的说明</w:t>
      </w:r>
      <w:r>
        <w:rPr>
          <w:w w:val="100"/>
        </w:rPr>
        <w:t> </w:t>
      </w:r>
      <w:r>
        <w:rPr>
          <w:rFonts w:ascii="宋体" w:hAnsi="宋体" w:cs="宋体" w:eastAsia="宋体" w:hint="default"/>
          <w:b w:val="0"/>
          <w:bCs w:val="0"/>
        </w:rPr>
        <w:t>无。</w:t>
      </w:r>
    </w:p>
    <w:p>
      <w:pPr>
        <w:spacing w:line="240" w:lineRule="auto" w:before="3"/>
        <w:rPr>
          <w:rFonts w:ascii="宋体" w:hAnsi="宋体" w:cs="宋体" w:eastAsia="宋体" w:hint="default"/>
          <w:sz w:val="17"/>
          <w:szCs w:val="17"/>
        </w:rPr>
      </w:pPr>
    </w:p>
    <w:p>
      <w:pPr>
        <w:pStyle w:val="BodyText"/>
        <w:tabs>
          <w:tab w:pos="2240" w:val="left" w:leader="none"/>
          <w:tab w:pos="3500" w:val="left" w:leader="none"/>
          <w:tab w:pos="7495" w:val="left" w:leader="none"/>
        </w:tabs>
        <w:spacing w:line="240" w:lineRule="auto"/>
        <w:ind w:right="144"/>
        <w:jc w:val="left"/>
      </w:pPr>
      <w:r>
        <w:rPr>
          <w:spacing w:val="-2"/>
        </w:rPr>
        <w:t>其中：境外资产</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spacing w:val="-2"/>
        </w:rPr>
        <w:t>（单位：元</w:t>
        <w:tab/>
        <w:t>币种：人民币），占总资产的比例为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rFonts w:ascii="宋体" w:hAnsi="宋体" w:cs="宋体" w:eastAsia="宋体" w:hint="default"/>
          <w:spacing w:val="-2"/>
        </w:rPr>
        <w:t>%</w:t>
      </w:r>
      <w:r>
        <w:rPr>
          <w:spacing w:val="-2"/>
        </w:rPr>
        <w:t>。</w:t>
      </w:r>
    </w:p>
    <w:p>
      <w:pPr>
        <w:spacing w:line="240" w:lineRule="auto" w:before="9"/>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line="343" w:lineRule="auto" w:before="36"/>
        <w:ind w:left="558" w:right="3487" w:hanging="420"/>
        <w:jc w:val="left"/>
        <w:rPr>
          <w:rFonts w:ascii="宋体" w:hAnsi="宋体" w:cs="宋体" w:eastAsia="宋体" w:hint="default"/>
          <w:sz w:val="21"/>
          <w:szCs w:val="21"/>
        </w:rPr>
      </w:pPr>
      <w:r>
        <w:rPr>
          <w:rFonts w:ascii="宋体" w:hAnsi="宋体" w:cs="宋体" w:eastAsia="宋体" w:hint="default"/>
          <w:b/>
          <w:bCs/>
          <w:sz w:val="20"/>
          <w:szCs w:val="20"/>
        </w:rPr>
        <w:t>三、</w:t>
      </w:r>
      <w:r>
        <w:rPr>
          <w:rFonts w:ascii="宋体" w:hAnsi="宋体" w:cs="宋体" w:eastAsia="宋体" w:hint="default"/>
          <w:b/>
          <w:bCs/>
          <w:spacing w:val="-82"/>
          <w:sz w:val="20"/>
          <w:szCs w:val="20"/>
        </w:rPr>
        <w:t> </w:t>
      </w:r>
      <w:r>
        <w:rPr>
          <w:rFonts w:ascii="宋体" w:hAnsi="宋体" w:cs="宋体" w:eastAsia="宋体" w:hint="default"/>
          <w:b/>
          <w:bCs/>
          <w:sz w:val="21"/>
          <w:szCs w:val="21"/>
        </w:rPr>
        <w:t>报告期内核心竞争力分析</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报告期内，公司核心竞争力主要体现在下述方面：</w:t>
      </w:r>
    </w:p>
    <w:p>
      <w:pPr>
        <w:pStyle w:val="Heading2"/>
        <w:spacing w:line="240" w:lineRule="auto" w:before="95"/>
        <w:ind w:left="560" w:right="144"/>
        <w:jc w:val="left"/>
        <w:rPr>
          <w:b w:val="0"/>
          <w:bCs w:val="0"/>
        </w:rPr>
      </w:pPr>
      <w:r>
        <w:rPr/>
        <w:t>（一）产品优势</w:t>
      </w:r>
      <w:r>
        <w:rPr>
          <w:b w:val="0"/>
          <w:bCs w:val="0"/>
        </w:rPr>
      </w:r>
    </w:p>
    <w:p>
      <w:pPr>
        <w:spacing w:line="240" w:lineRule="auto" w:before="3"/>
        <w:rPr>
          <w:rFonts w:ascii="宋体" w:hAnsi="宋体" w:cs="宋体" w:eastAsia="宋体" w:hint="default"/>
          <w:b/>
          <w:bCs/>
          <w:sz w:val="14"/>
          <w:szCs w:val="14"/>
        </w:rPr>
      </w:pPr>
    </w:p>
    <w:p>
      <w:pPr>
        <w:pStyle w:val="BodyText"/>
        <w:spacing w:line="297" w:lineRule="auto"/>
        <w:ind w:right="148" w:firstLine="419"/>
        <w:jc w:val="both"/>
      </w:pPr>
      <w:r>
        <w:rPr>
          <w:spacing w:val="-2"/>
        </w:rPr>
        <w:t>公司在主要的产品技术上已经达到国际先进水平，产品优势持续提升，已经拉开了与国内主</w:t>
      </w:r>
      <w:r>
        <w:rPr>
          <w:w w:val="100"/>
        </w:rPr>
        <w:t> </w:t>
      </w:r>
      <w:r>
        <w:rPr>
          <w:spacing w:val="-1"/>
        </w:rPr>
        <w:t>要厂商的差距。相对于国外竞争对手，公司产品对中国市场的企业客户需求理解更深刻，产品更</w:t>
      </w:r>
      <w:r>
        <w:rPr>
          <w:spacing w:val="-55"/>
        </w:rPr>
        <w:t> </w:t>
      </w:r>
      <w:r>
        <w:rPr>
          <w:spacing w:val="-55"/>
        </w:rPr>
      </w:r>
      <w:r>
        <w:rPr/>
        <w:t>加契合用户的应用要求，性价比更高，服务更加贴近企业客户，更具便利性和及时性。</w:t>
      </w:r>
    </w:p>
    <w:p>
      <w:pPr>
        <w:pStyle w:val="BodyText"/>
        <w:spacing w:line="297" w:lineRule="auto" w:before="135"/>
        <w:ind w:right="147" w:firstLine="419"/>
        <w:jc w:val="both"/>
      </w:pPr>
      <w:r>
        <w:rPr>
          <w:spacing w:val="-2"/>
        </w:rPr>
        <w:t>软件与互联网运营服务、互联网金融服务融合发展，已经开始并将越来越成为公司的发展优</w:t>
      </w:r>
      <w:r>
        <w:rPr>
          <w:w w:val="100"/>
        </w:rPr>
        <w:t> </w:t>
      </w:r>
      <w:r>
        <w:rPr>
          <w:spacing w:val="-1"/>
        </w:rPr>
        <w:t>势。经过二十多年的发展和积累，公司建立了企业和公共组织软件产品和客户应用的坚实基础，</w:t>
      </w:r>
      <w:r>
        <w:rPr>
          <w:spacing w:val="-55"/>
        </w:rPr>
        <w:t> </w:t>
      </w:r>
      <w:r>
        <w:rPr>
          <w:spacing w:val="-55"/>
        </w:rPr>
      </w:r>
      <w:r>
        <w:rPr>
          <w:spacing w:val="-1"/>
        </w:rPr>
        <w:t>近年来公司互联网服务业务也得到快速发展，推出了面向小微企业的财务及管理服务平台（财务</w:t>
      </w:r>
      <w:r>
        <w:rPr>
          <w:spacing w:val="-55"/>
        </w:rPr>
        <w:t> </w:t>
      </w:r>
      <w:r>
        <w:rPr>
          <w:spacing w:val="-55"/>
        </w:rPr>
      </w:r>
      <w:r>
        <w:rPr>
          <w:spacing w:val="-1"/>
        </w:rPr>
        <w:t>服务）、超客营销和秉钧营销（数字营销）、嘟嘟（企业通信服务）、电商通（电商数据接口和</w:t>
      </w:r>
      <w:r>
        <w:rPr>
          <w:spacing w:val="-55"/>
        </w:rPr>
        <w:t> </w:t>
      </w:r>
      <w:r>
        <w:rPr>
          <w:spacing w:val="-55"/>
        </w:rPr>
      </w:r>
      <w:r>
        <w:rPr>
          <w:spacing w:val="-6"/>
        </w:rPr>
        <w:t>订单中心服务）、友户通（用友客户与数据公共服务）等服务，互联网金融也取得初步布局发展，</w:t>
      </w:r>
      <w:r>
        <w:rPr>
          <w:spacing w:val="-54"/>
        </w:rPr>
        <w:t> </w:t>
      </w:r>
      <w:r>
        <w:rPr>
          <w:spacing w:val="-54"/>
        </w:rPr>
      </w:r>
      <w:r>
        <w:rPr>
          <w:spacing w:val="-3"/>
        </w:rPr>
        <w:t>推出了畅捷支付（畅捷</w:t>
      </w:r>
      <w:r>
        <w:rPr>
          <w:spacing w:val="-41"/>
        </w:rPr>
        <w:t> </w:t>
      </w:r>
      <w:r>
        <w:rPr>
          <w:rFonts w:ascii="宋体" w:hAnsi="宋体" w:cs="宋体" w:eastAsia="宋体" w:hint="default"/>
          <w:spacing w:val="-4"/>
        </w:rPr>
        <w:t>POS</w:t>
      </w:r>
      <w:r>
        <w:rPr>
          <w:spacing w:val="-4"/>
        </w:rPr>
        <w:t>、畅捷网银、畅捷结算）、友金所（友金</w:t>
      </w:r>
      <w:r>
        <w:rPr>
          <w:spacing w:val="-38"/>
        </w:rPr>
        <w:t> </w:t>
      </w:r>
      <w:r>
        <w:rPr>
          <w:rFonts w:ascii="宋体" w:hAnsi="宋体" w:cs="宋体" w:eastAsia="宋体" w:hint="default"/>
        </w:rPr>
        <w:t>E</w:t>
      </w:r>
      <w:r>
        <w:rPr>
          <w:rFonts w:ascii="宋体" w:hAnsi="宋体" w:cs="宋体" w:eastAsia="宋体" w:hint="default"/>
          <w:spacing w:val="-41"/>
        </w:rPr>
        <w:t> </w:t>
      </w:r>
      <w:r>
        <w:rPr>
          <w:spacing w:val="-4"/>
        </w:rPr>
        <w:t>富、</w:t>
      </w:r>
      <w:r>
        <w:rPr>
          <w:rFonts w:ascii="宋体" w:hAnsi="宋体" w:cs="宋体" w:eastAsia="宋体" w:hint="default"/>
          <w:spacing w:val="-4"/>
        </w:rPr>
        <w:t>YY</w:t>
      </w:r>
      <w:r>
        <w:rPr>
          <w:rFonts w:ascii="宋体" w:hAnsi="宋体" w:cs="宋体" w:eastAsia="宋体" w:hint="default"/>
          <w:spacing w:val="-41"/>
        </w:rPr>
        <w:t> </w:t>
      </w:r>
      <w:r>
        <w:rPr>
          <w:spacing w:val="-4"/>
        </w:rPr>
        <w:t>理财、工资</w:t>
      </w:r>
      <w:r>
        <w:rPr>
          <w:rFonts w:ascii="宋体" w:hAnsi="宋体" w:cs="宋体" w:eastAsia="宋体" w:hint="default"/>
          <w:spacing w:val="-4"/>
        </w:rPr>
        <w:t>+</w:t>
      </w:r>
      <w:r>
        <w:rPr>
          <w:spacing w:val="-4"/>
        </w:rPr>
        <w:t>）等产</w:t>
      </w:r>
      <w:r>
        <w:rPr>
          <w:spacing w:val="-98"/>
        </w:rPr>
        <w:t> </w:t>
      </w:r>
      <w:r>
        <w:rPr>
          <w:spacing w:val="-98"/>
        </w:rPr>
      </w:r>
      <w:r>
        <w:rPr>
          <w:spacing w:val="-2"/>
        </w:rPr>
        <w:t>品。公司将把这些和今后越来越多的互联网运营服务、互联网金融服务与公司为客户提供的应用</w:t>
      </w:r>
      <w:r>
        <w:rPr>
          <w:spacing w:val="-15"/>
        </w:rPr>
        <w:t> </w:t>
      </w:r>
      <w:r>
        <w:rPr>
          <w:spacing w:val="-15"/>
        </w:rPr>
      </w:r>
      <w:r>
        <w:rPr>
          <w:spacing w:val="-1"/>
        </w:rPr>
        <w:t>软件系统紧密融合，使公司为客户提供的服务从流程服务和部分数据服务拓展到流程、数据、业</w:t>
      </w:r>
      <w:r>
        <w:rPr>
          <w:spacing w:val="-55"/>
        </w:rPr>
        <w:t> </w:t>
      </w:r>
      <w:r>
        <w:rPr>
          <w:spacing w:val="-55"/>
        </w:rPr>
      </w:r>
      <w:r>
        <w:rPr>
          <w:spacing w:val="-1"/>
        </w:rPr>
        <w:t>务和金融四个维度的服务，显著增加客户价值，极大增强了公司的竞争力，并成为公司重要的竞</w:t>
      </w:r>
      <w:r>
        <w:rPr>
          <w:spacing w:val="-55"/>
        </w:rPr>
        <w:t> </w:t>
      </w:r>
      <w:r>
        <w:rPr>
          <w:spacing w:val="-55"/>
        </w:rPr>
      </w:r>
      <w:r>
        <w:rPr/>
        <w:t>争优势。公司是继主流电商企业之后，服务企业（及公共组织）互联网化的最好平台。</w:t>
      </w:r>
    </w:p>
    <w:p>
      <w:pPr>
        <w:pStyle w:val="BodyText"/>
        <w:spacing w:line="295" w:lineRule="auto" w:before="135"/>
        <w:ind w:right="150" w:firstLine="419"/>
        <w:jc w:val="both"/>
      </w:pPr>
      <w:r>
        <w:rPr>
          <w:spacing w:val="-2"/>
        </w:rPr>
        <w:t>同时，公司在财政、汽车、金融、烟草、医疗、教育、广电和电信、能源等行业和审计等领</w:t>
      </w:r>
      <w:r>
        <w:rPr>
          <w:w w:val="100"/>
        </w:rPr>
        <w:t> </w:t>
      </w:r>
      <w:r>
        <w:rPr/>
        <w:t>域的产品与解决方案居国内领先水平。</w:t>
      </w:r>
    </w:p>
    <w:p>
      <w:pPr>
        <w:pStyle w:val="BodyText"/>
        <w:spacing w:line="460" w:lineRule="exact" w:before="15"/>
        <w:ind w:left="558" w:right="144" w:firstLine="2"/>
        <w:jc w:val="left"/>
      </w:pPr>
      <w:r>
        <w:rPr>
          <w:rFonts w:ascii="宋体" w:hAnsi="宋体" w:cs="宋体" w:eastAsia="宋体" w:hint="default"/>
          <w:b/>
          <w:bCs/>
        </w:rPr>
        <w:t>（二）研发优势</w:t>
      </w:r>
      <w:r>
        <w:rPr>
          <w:rFonts w:ascii="宋体" w:hAnsi="宋体" w:cs="宋体" w:eastAsia="宋体" w:hint="default"/>
          <w:b/>
          <w:bCs/>
          <w:w w:val="100"/>
        </w:rPr>
        <w:t> </w:t>
      </w:r>
      <w:r>
        <w:rPr>
          <w:spacing w:val="-2"/>
        </w:rPr>
        <w:t>公司拥有包括总部多个平台和应用研发中心、美国硅谷技术研发中心、深圳创新研发中心、</w:t>
      </w:r>
    </w:p>
    <w:p>
      <w:pPr>
        <w:pStyle w:val="BodyText"/>
        <w:spacing w:line="297" w:lineRule="auto" w:before="3"/>
        <w:ind w:right="147"/>
        <w:jc w:val="both"/>
      </w:pPr>
      <w:r>
        <w:rPr/>
        <w:t>南京制造业研发中心、重庆</w:t>
      </w:r>
      <w:r>
        <w:rPr>
          <w:spacing w:val="-49"/>
        </w:rPr>
        <w:t> </w:t>
      </w:r>
      <w:r>
        <w:rPr>
          <w:rFonts w:ascii="宋体" w:hAnsi="宋体" w:cs="宋体" w:eastAsia="宋体" w:hint="default"/>
        </w:rPr>
        <w:t>PLM</w:t>
      </w:r>
      <w:r>
        <w:rPr>
          <w:rFonts w:ascii="宋体" w:hAnsi="宋体" w:cs="宋体" w:eastAsia="宋体" w:hint="default"/>
          <w:spacing w:val="-51"/>
        </w:rPr>
        <w:t> </w:t>
      </w:r>
      <w:r>
        <w:rPr/>
        <w:t>研发中心、上海汽车行业应用研发中心、厦门烟草行业应用研发</w:t>
      </w:r>
      <w:r>
        <w:rPr>
          <w:w w:val="100"/>
        </w:rPr>
        <w:t> </w:t>
      </w:r>
      <w:r>
        <w:rPr/>
        <w:t>中心等在内的中国最大的企业及公共组织应用软件和云服务研发体系，拥有超过</w:t>
      </w:r>
      <w:r>
        <w:rPr>
          <w:spacing w:val="-50"/>
        </w:rPr>
        <w:t> </w:t>
      </w:r>
      <w:r>
        <w:rPr>
          <w:rFonts w:ascii="宋体" w:hAnsi="宋体" w:cs="宋体" w:eastAsia="宋体" w:hint="default"/>
        </w:rPr>
        <w:t>4,000</w:t>
      </w:r>
      <w:r>
        <w:rPr>
          <w:rFonts w:ascii="宋体" w:hAnsi="宋体" w:cs="宋体" w:eastAsia="宋体" w:hint="default"/>
          <w:spacing w:val="-50"/>
        </w:rPr>
        <w:t> </w:t>
      </w:r>
      <w:r>
        <w:rPr/>
        <w:t>人的研发</w:t>
      </w:r>
      <w:r>
        <w:rPr>
          <w:w w:val="100"/>
        </w:rPr>
        <w:t> </w:t>
      </w:r>
      <w:r>
        <w:rPr>
          <w:spacing w:val="-1"/>
        </w:rPr>
        <w:t>队伍和行业领先的研发管理体系与平台。公司的研发与支持服务团队是一支基础扎实，开发能力</w:t>
      </w:r>
      <w:r>
        <w:rPr>
          <w:spacing w:val="-55"/>
        </w:rPr>
        <w:t> </w:t>
      </w:r>
      <w:r>
        <w:rPr>
          <w:spacing w:val="-55"/>
        </w:rPr>
      </w:r>
      <w:r>
        <w:rPr/>
        <w:t>强，实践经验丰富，专业合理的人才队伍，专业化的员工队伍是项目顺利开展的重要保证。</w:t>
      </w:r>
    </w:p>
    <w:p>
      <w:pPr>
        <w:pStyle w:val="BodyText"/>
        <w:spacing w:line="297" w:lineRule="auto" w:before="133"/>
        <w:ind w:right="147" w:firstLine="419"/>
        <w:jc w:val="both"/>
      </w:pPr>
      <w:r>
        <w:rPr/>
        <w:t>公司的 </w:t>
      </w:r>
      <w:r>
        <w:rPr>
          <w:rFonts w:ascii="宋体" w:hAnsi="宋体" w:cs="宋体" w:eastAsia="宋体" w:hint="default"/>
        </w:rPr>
        <w:t>iUAP</w:t>
      </w:r>
      <w:r>
        <w:rPr>
          <w:rFonts w:ascii="宋体" w:hAnsi="宋体" w:cs="宋体" w:eastAsia="宋体" w:hint="default"/>
          <w:spacing w:val="6"/>
        </w:rPr>
        <w:t> </w:t>
      </w:r>
      <w:r>
        <w:rPr/>
        <w:t>平台和小微企业云服务平台将为企业互联网业务的研发提供强有力支撑。用友</w:t>
      </w:r>
      <w:r>
        <w:rPr>
          <w:w w:val="100"/>
        </w:rPr>
        <w:t> </w:t>
      </w:r>
      <w:r>
        <w:rPr>
          <w:rFonts w:ascii="宋体" w:hAnsi="宋体" w:cs="宋体" w:eastAsia="宋体" w:hint="default"/>
        </w:rPr>
        <w:t>iUAP</w:t>
      </w:r>
      <w:r>
        <w:rPr>
          <w:rFonts w:ascii="宋体" w:hAnsi="宋体" w:cs="宋体" w:eastAsia="宋体" w:hint="default"/>
          <w:spacing w:val="-38"/>
        </w:rPr>
        <w:t> </w:t>
      </w:r>
      <w:r>
        <w:rPr/>
        <w:t>平台采用</w:t>
      </w:r>
      <w:r>
        <w:rPr>
          <w:spacing w:val="-35"/>
        </w:rPr>
        <w:t> </w:t>
      </w:r>
      <w:r>
        <w:rPr>
          <w:rFonts w:ascii="宋体" w:hAnsi="宋体" w:cs="宋体" w:eastAsia="宋体" w:hint="default"/>
        </w:rPr>
        <w:t>UAP</w:t>
      </w:r>
      <w:r>
        <w:rPr>
          <w:rFonts w:ascii="宋体" w:hAnsi="宋体" w:cs="宋体" w:eastAsia="宋体" w:hint="default"/>
          <w:spacing w:val="-38"/>
        </w:rPr>
        <w:t> </w:t>
      </w:r>
      <w:r>
        <w:rPr>
          <w:spacing w:val="-3"/>
        </w:rPr>
        <w:t>和企业互联网开放平台的双核模式发展，通过双核平台不仅可以将企业内部的</w:t>
      </w:r>
      <w:r>
        <w:rPr>
          <w:spacing w:val="-99"/>
        </w:rPr>
        <w:t> </w:t>
      </w:r>
      <w:r>
        <w:rPr>
          <w:spacing w:val="-99"/>
        </w:rPr>
      </w:r>
      <w:r>
        <w:rPr>
          <w:spacing w:val="-1"/>
        </w:rPr>
        <w:t>运营管理数据与已有的互联网应用连接起来，而且企业可以依据双核平台开发全新的企业内部或</w:t>
      </w:r>
      <w:r>
        <w:rPr>
          <w:spacing w:val="-55"/>
        </w:rPr>
        <w:t> </w:t>
      </w:r>
      <w:r>
        <w:rPr>
          <w:spacing w:val="-55"/>
        </w:rPr>
      </w:r>
      <w:r>
        <w:rPr>
          <w:spacing w:val="-1"/>
        </w:rPr>
        <w:t>基于互联网的全新应用，并进行无缝衔接。同时，通过开放的平台与架构，可以聚集大量的开发</w:t>
      </w:r>
      <w:r>
        <w:rPr>
          <w:spacing w:val="-55"/>
        </w:rPr>
        <w:t> </w:t>
      </w:r>
      <w:r>
        <w:rPr>
          <w:spacing w:val="-55"/>
        </w:rPr>
      </w:r>
      <w:r>
        <w:rPr>
          <w:spacing w:val="-4"/>
        </w:rPr>
        <w:t>者，打造国内领先的企业级平台生态圈，以生态圈的模式围绕客户提供服务。用友 </w:t>
      </w:r>
      <w:r>
        <w:rPr>
          <w:rFonts w:ascii="宋体" w:hAnsi="宋体" w:cs="宋体" w:eastAsia="宋体" w:hint="default"/>
        </w:rPr>
        <w:t>iUAP</w:t>
      </w:r>
      <w:r>
        <w:rPr>
          <w:rFonts w:ascii="宋体" w:hAnsi="宋体" w:cs="宋体" w:eastAsia="宋体" w:hint="default"/>
          <w:spacing w:val="-58"/>
        </w:rPr>
        <w:t> </w:t>
      </w:r>
      <w:r>
        <w:rPr/>
        <w:t>平台包括</w:t>
      </w:r>
    </w:p>
    <w:p>
      <w:pPr>
        <w:spacing w:after="0" w:line="297" w:lineRule="auto"/>
        <w:jc w:val="both"/>
        <w:sectPr>
          <w:pgSz w:w="11910" w:h="16840"/>
          <w:pgMar w:header="880" w:footer="1335" w:top="1120" w:bottom="1520" w:left="1660" w:right="1120"/>
        </w:sectPr>
      </w:pPr>
    </w:p>
    <w:p>
      <w:pPr>
        <w:spacing w:line="240" w:lineRule="auto" w:before="4"/>
        <w:rPr>
          <w:rFonts w:ascii="宋体" w:hAnsi="宋体" w:cs="宋体" w:eastAsia="宋体" w:hint="default"/>
          <w:sz w:val="25"/>
          <w:szCs w:val="25"/>
        </w:rPr>
      </w:pPr>
    </w:p>
    <w:p>
      <w:pPr>
        <w:pStyle w:val="BodyText"/>
        <w:spacing w:line="297" w:lineRule="auto" w:before="36"/>
        <w:ind w:right="208"/>
        <w:jc w:val="both"/>
      </w:pPr>
      <w:r>
        <w:rPr>
          <w:spacing w:val="-1"/>
        </w:rPr>
        <w:t>了开发平台、应用平台、互联网平台服务、轻量级平台、集成平台、运行平台、移动平台、社交</w:t>
      </w:r>
      <w:r>
        <w:rPr>
          <w:spacing w:val="-55"/>
        </w:rPr>
        <w:t> </w:t>
      </w:r>
      <w:r>
        <w:rPr>
          <w:spacing w:val="-55"/>
        </w:rPr>
      </w:r>
      <w:r>
        <w:rPr>
          <w:spacing w:val="-1"/>
        </w:rPr>
        <w:t>平台、应用平台、商业分析平台、数据平台、云管理平台等多个系列平台产品。公司面向小微企</w:t>
      </w:r>
      <w:r>
        <w:rPr>
          <w:spacing w:val="-56"/>
        </w:rPr>
        <w:t> </w:t>
      </w:r>
      <w:r>
        <w:rPr>
          <w:spacing w:val="-56"/>
        </w:rPr>
      </w:r>
      <w:r>
        <w:rPr>
          <w:spacing w:val="-1"/>
        </w:rPr>
        <w:t>业的云服务平台（畅捷通平台）实现了公有云平台的完整性和高可用性，该平台依托用友设在美</w:t>
      </w:r>
      <w:r>
        <w:rPr>
          <w:spacing w:val="-55"/>
        </w:rPr>
        <w:t> </w:t>
      </w:r>
      <w:r>
        <w:rPr>
          <w:spacing w:val="-55"/>
        </w:rPr>
      </w:r>
      <w:r>
        <w:rPr/>
        <w:t>国硅谷的技术研发中心，将国际前沿技术引入公有云平台，保持与世界先进技术的同步发展。</w:t>
      </w:r>
    </w:p>
    <w:p>
      <w:pPr>
        <w:spacing w:line="460" w:lineRule="exact" w:before="13"/>
        <w:ind w:left="558" w:right="103" w:firstLine="2"/>
        <w:jc w:val="left"/>
        <w:rPr>
          <w:rFonts w:ascii="宋体" w:hAnsi="宋体" w:cs="宋体" w:eastAsia="宋体" w:hint="default"/>
          <w:sz w:val="21"/>
          <w:szCs w:val="21"/>
        </w:rPr>
      </w:pPr>
      <w:r>
        <w:rPr>
          <w:rFonts w:ascii="宋体" w:hAnsi="宋体" w:cs="宋体" w:eastAsia="宋体" w:hint="default"/>
          <w:b/>
          <w:bCs/>
          <w:sz w:val="21"/>
          <w:szCs w:val="21"/>
        </w:rPr>
        <w:t>（三）品牌及市场优势</w:t>
      </w:r>
      <w:r>
        <w:rPr>
          <w:rFonts w:ascii="宋体" w:hAnsi="宋体" w:cs="宋体" w:eastAsia="宋体" w:hint="default"/>
          <w:b/>
          <w:bCs/>
          <w:w w:val="100"/>
          <w:sz w:val="21"/>
          <w:szCs w:val="21"/>
        </w:rPr>
        <w:t> </w:t>
      </w:r>
      <w:r>
        <w:rPr>
          <w:rFonts w:ascii="宋体" w:hAnsi="宋体" w:cs="宋体" w:eastAsia="宋体" w:hint="default"/>
          <w:spacing w:val="-2"/>
          <w:sz w:val="21"/>
          <w:szCs w:val="21"/>
        </w:rPr>
        <w:t>用友是中国管理软件行业本土第一品牌，品牌优势已经成为公司重要竞争优势。报告期内，</w:t>
      </w:r>
    </w:p>
    <w:p>
      <w:pPr>
        <w:pStyle w:val="BodyText"/>
        <w:spacing w:line="297" w:lineRule="auto" w:before="1"/>
        <w:ind w:right="207"/>
        <w:jc w:val="both"/>
      </w:pPr>
      <w:r>
        <w:rPr>
          <w:spacing w:val="-3"/>
        </w:rPr>
        <w:t>公司获得中国产业互联网联盟、计世传媒等多家机构联合授予的“</w:t>
      </w:r>
      <w:r>
        <w:rPr>
          <w:rFonts w:ascii="宋体" w:hAnsi="宋体" w:cs="宋体" w:eastAsia="宋体" w:hint="default"/>
          <w:spacing w:val="-3"/>
        </w:rPr>
        <w:t>2015</w:t>
      </w:r>
      <w:r>
        <w:rPr>
          <w:rFonts w:ascii="宋体" w:hAnsi="宋体" w:cs="宋体" w:eastAsia="宋体" w:hint="default"/>
          <w:spacing w:val="-18"/>
        </w:rPr>
        <w:t> </w:t>
      </w:r>
      <w:r>
        <w:rPr/>
        <w:t>中国产业互联网领军企业</w:t>
      </w:r>
      <w:r>
        <w:rPr>
          <w:spacing w:val="-91"/>
        </w:rPr>
        <w:t> </w:t>
      </w:r>
      <w:r>
        <w:rPr>
          <w:spacing w:val="-91"/>
        </w:rPr>
      </w:r>
      <w:r>
        <w:rPr/>
        <w:t>奖”。用友</w:t>
      </w:r>
      <w:r>
        <w:rPr>
          <w:spacing w:val="-36"/>
        </w:rPr>
        <w:t> </w:t>
      </w:r>
      <w:r>
        <w:rPr>
          <w:rFonts w:ascii="宋体" w:hAnsi="宋体" w:cs="宋体" w:eastAsia="宋体" w:hint="default"/>
        </w:rPr>
        <w:t>iUAP</w:t>
      </w:r>
      <w:r>
        <w:rPr>
          <w:rFonts w:ascii="宋体" w:hAnsi="宋体" w:cs="宋体" w:eastAsia="宋体" w:hint="default"/>
          <w:spacing w:val="-33"/>
        </w:rPr>
        <w:t> </w:t>
      </w:r>
      <w:r>
        <w:rPr/>
        <w:t>获得了中国电子信息产业发展研究院授予的“2015</w:t>
      </w:r>
      <w:r>
        <w:rPr>
          <w:spacing w:val="-33"/>
        </w:rPr>
        <w:t> </w:t>
      </w:r>
      <w:r>
        <w:rPr/>
        <w:t>年度企业互联网开放平台最</w:t>
      </w:r>
      <w:r>
        <w:rPr>
          <w:w w:val="100"/>
        </w:rPr>
        <w:t> </w:t>
      </w:r>
      <w:r>
        <w:rPr/>
        <w:t>佳产品奖”。用友网络在由计世资讯举办的</w:t>
      </w:r>
      <w:r>
        <w:rPr>
          <w:spacing w:val="-51"/>
        </w:rPr>
        <w:t> </w:t>
      </w:r>
      <w:r>
        <w:rPr>
          <w:rFonts w:ascii="宋体" w:hAnsi="宋体" w:cs="宋体" w:eastAsia="宋体" w:hint="default"/>
        </w:rPr>
        <w:t>2015</w:t>
      </w:r>
      <w:r>
        <w:rPr>
          <w:rFonts w:ascii="宋体" w:hAnsi="宋体" w:cs="宋体" w:eastAsia="宋体" w:hint="default"/>
          <w:spacing w:val="-54"/>
        </w:rPr>
        <w:t> </w:t>
      </w:r>
      <w:r>
        <w:rPr/>
        <w:t>年“中国</w:t>
      </w:r>
      <w:r>
        <w:rPr>
          <w:spacing w:val="-51"/>
        </w:rPr>
        <w:t> </w:t>
      </w:r>
      <w:r>
        <w:rPr>
          <w:rFonts w:ascii="宋体" w:hAnsi="宋体" w:cs="宋体" w:eastAsia="宋体" w:hint="default"/>
        </w:rPr>
        <w:t>IT</w:t>
      </w:r>
      <w:r>
        <w:rPr>
          <w:rFonts w:ascii="宋体" w:hAnsi="宋体" w:cs="宋体" w:eastAsia="宋体" w:hint="default"/>
          <w:spacing w:val="-51"/>
        </w:rPr>
        <w:t> </w:t>
      </w:r>
      <w:r>
        <w:rPr/>
        <w:t>用户满意度年会”上荣获管理软件</w:t>
      </w:r>
      <w:r>
        <w:rPr>
          <w:w w:val="100"/>
        </w:rPr>
        <w:t> </w:t>
      </w:r>
      <w:r>
        <w:rPr>
          <w:spacing w:val="-6"/>
        </w:rPr>
        <w:t>用户满意度第一、</w:t>
      </w:r>
      <w:r>
        <w:rPr>
          <w:rFonts w:ascii="宋体" w:hAnsi="宋体" w:cs="宋体" w:eastAsia="宋体" w:hint="default"/>
          <w:spacing w:val="-6"/>
        </w:rPr>
        <w:t>ERP</w:t>
      </w:r>
      <w:r>
        <w:rPr>
          <w:rFonts w:ascii="宋体" w:hAnsi="宋体" w:cs="宋体" w:eastAsia="宋体" w:hint="default"/>
          <w:spacing w:val="-37"/>
        </w:rPr>
        <w:t> </w:t>
      </w:r>
      <w:r>
        <w:rPr>
          <w:spacing w:val="-6"/>
        </w:rPr>
        <w:t>软件用户满意度第一、</w:t>
      </w:r>
      <w:r>
        <w:rPr>
          <w:rFonts w:ascii="宋体" w:hAnsi="宋体" w:cs="宋体" w:eastAsia="宋体" w:hint="default"/>
          <w:spacing w:val="-6"/>
        </w:rPr>
        <w:t>HR</w:t>
      </w:r>
      <w:r>
        <w:rPr>
          <w:rFonts w:ascii="宋体" w:hAnsi="宋体" w:cs="宋体" w:eastAsia="宋体" w:hint="default"/>
          <w:spacing w:val="-37"/>
        </w:rPr>
        <w:t> </w:t>
      </w:r>
      <w:r>
        <w:rPr>
          <w:spacing w:val="-6"/>
        </w:rPr>
        <w:t>软件用户满意度第一、</w:t>
      </w:r>
      <w:r>
        <w:rPr>
          <w:rFonts w:ascii="宋体" w:hAnsi="宋体" w:cs="宋体" w:eastAsia="宋体" w:hint="default"/>
          <w:spacing w:val="-6"/>
        </w:rPr>
        <w:t>CRM</w:t>
      </w:r>
      <w:r>
        <w:rPr>
          <w:rFonts w:ascii="宋体" w:hAnsi="宋体" w:cs="宋体" w:eastAsia="宋体" w:hint="default"/>
          <w:spacing w:val="-37"/>
        </w:rPr>
        <w:t> </w:t>
      </w:r>
      <w:r>
        <w:rPr/>
        <w:t>软件用户满意度第一、</w:t>
      </w:r>
      <w:r>
        <w:rPr>
          <w:spacing w:val="-97"/>
        </w:rPr>
        <w:t> </w:t>
      </w:r>
      <w:r>
        <w:rPr>
          <w:spacing w:val="-97"/>
        </w:rPr>
      </w:r>
      <w:r>
        <w:rPr>
          <w:spacing w:val="-1"/>
        </w:rPr>
        <w:t>电子商务软件用户满意度第一、集团管控软件用户满意度第一等多项大奖。另外，用友优普公司</w:t>
      </w:r>
      <w:r>
        <w:rPr>
          <w:spacing w:val="-55"/>
        </w:rPr>
        <w:t> </w:t>
      </w:r>
      <w:r>
        <w:rPr>
          <w:spacing w:val="-55"/>
        </w:rPr>
      </w:r>
      <w:r>
        <w:rPr>
          <w:spacing w:val="-1"/>
        </w:rPr>
        <w:t>荣获中型企业互联网应用软件服务满意度第一，畅捷通公司荣获小微企业管理软件用户满意度第</w:t>
      </w:r>
      <w:r>
        <w:rPr>
          <w:spacing w:val="-55"/>
        </w:rPr>
        <w:t> </w:t>
      </w:r>
      <w:r>
        <w:rPr>
          <w:spacing w:val="-55"/>
        </w:rPr>
      </w:r>
      <w:r>
        <w:rPr>
          <w:spacing w:val="-1"/>
        </w:rPr>
        <w:t>一与小微企业财务服务用户满意度第一，用友政务公司荣获公共财政管理软件用户满意度第一与</w:t>
      </w:r>
      <w:r>
        <w:rPr>
          <w:spacing w:val="-55"/>
        </w:rPr>
        <w:t> </w:t>
      </w:r>
      <w:r>
        <w:rPr>
          <w:spacing w:val="-55"/>
        </w:rPr>
      </w:r>
      <w:r>
        <w:rPr/>
        <w:t>行政事业财务管理软件用户满意度第一。</w:t>
      </w:r>
    </w:p>
    <w:p>
      <w:pPr>
        <w:spacing w:line="460" w:lineRule="exact" w:before="13"/>
        <w:ind w:left="558" w:right="101" w:firstLine="2"/>
        <w:jc w:val="left"/>
        <w:rPr>
          <w:rFonts w:ascii="宋体" w:hAnsi="宋体" w:cs="宋体" w:eastAsia="宋体" w:hint="default"/>
          <w:sz w:val="21"/>
          <w:szCs w:val="21"/>
        </w:rPr>
      </w:pPr>
      <w:r>
        <w:rPr>
          <w:rFonts w:ascii="宋体" w:hAnsi="宋体" w:cs="宋体" w:eastAsia="宋体" w:hint="default"/>
          <w:b/>
          <w:bCs/>
          <w:sz w:val="21"/>
          <w:szCs w:val="21"/>
        </w:rPr>
        <w:t>（四）营销服务网络优势</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公司拥有中国管理软件业最大的营销服务网络。用友中高端客户业务营销服务网络遍布全国，</w:t>
      </w:r>
    </w:p>
    <w:p>
      <w:pPr>
        <w:pStyle w:val="BodyText"/>
        <w:spacing w:line="297" w:lineRule="auto" w:before="3"/>
        <w:ind w:right="207"/>
        <w:jc w:val="both"/>
      </w:pPr>
      <w:r>
        <w:rPr>
          <w:spacing w:val="-2"/>
        </w:rPr>
        <w:t>拥有近百家分支机构，为国内大中型企业提供及时快捷的本土化贴身服务。公司设置了海外客户</w:t>
      </w:r>
      <w:r>
        <w:rPr>
          <w:spacing w:val="-25"/>
        </w:rPr>
        <w:t> </w:t>
      </w:r>
      <w:r>
        <w:rPr>
          <w:spacing w:val="-25"/>
        </w:rPr>
      </w:r>
      <w:r>
        <w:rPr>
          <w:spacing w:val="-2"/>
        </w:rPr>
        <w:t>事业本部，在香港、澳门、台湾、新加坡、马来西亚、泰国、法国、加拿大、日本等地区和国家</w:t>
      </w:r>
      <w:r>
        <w:rPr>
          <w:spacing w:val="-25"/>
        </w:rPr>
        <w:t> </w:t>
      </w:r>
      <w:r>
        <w:rPr>
          <w:spacing w:val="-25"/>
        </w:rPr>
      </w:r>
      <w:r>
        <w:rPr>
          <w:spacing w:val="-2"/>
        </w:rPr>
        <w:t>设立了营销服务机构，以拓展海外中高端业务。畅捷通小微企业客户业务除了通过多年发展形成</w:t>
      </w:r>
      <w:r>
        <w:rPr>
          <w:spacing w:val="-25"/>
        </w:rPr>
        <w:t> </w:t>
      </w:r>
      <w:r>
        <w:rPr>
          <w:spacing w:val="-25"/>
        </w:rPr>
      </w:r>
      <w:r>
        <w:rPr/>
        <w:t>的国内规模最大的软件包销售与服务伙伴体系外，正在以 </w:t>
      </w:r>
      <w:r>
        <w:rPr>
          <w:rFonts w:ascii="宋体" w:hAnsi="宋体" w:cs="宋体" w:eastAsia="宋体" w:hint="default"/>
        </w:rPr>
        <w:t>PaaS</w:t>
      </w:r>
      <w:r>
        <w:rPr>
          <w:rFonts w:ascii="宋体" w:hAnsi="宋体" w:cs="宋体" w:eastAsia="宋体" w:hint="default"/>
          <w:spacing w:val="-56"/>
        </w:rPr>
        <w:t> </w:t>
      </w:r>
      <w:r>
        <w:rPr/>
        <w:t>层的技术及运营支撑为基础，建</w:t>
      </w:r>
      <w:r>
        <w:rPr>
          <w:w w:val="100"/>
        </w:rPr>
        <w:t> </w:t>
      </w:r>
      <w:r>
        <w:rPr/>
        <w:t>立</w:t>
      </w:r>
      <w:r>
        <w:rPr>
          <w:spacing w:val="-42"/>
        </w:rPr>
        <w:t> </w:t>
      </w:r>
      <w:r>
        <w:rPr>
          <w:rFonts w:ascii="宋体" w:hAnsi="宋体" w:cs="宋体" w:eastAsia="宋体" w:hint="default"/>
        </w:rPr>
        <w:t>SaaS</w:t>
      </w:r>
      <w:r>
        <w:rPr>
          <w:rFonts w:ascii="宋体" w:hAnsi="宋体" w:cs="宋体" w:eastAsia="宋体" w:hint="default"/>
          <w:spacing w:val="23"/>
        </w:rPr>
        <w:t> </w:t>
      </w:r>
      <w:r>
        <w:rPr>
          <w:spacing w:val="-3"/>
        </w:rPr>
        <w:t>层的平台级应用和垂直行业云应用，利用平台级云应用吸引大量企业客户和</w:t>
      </w:r>
      <w:r>
        <w:rPr>
          <w:spacing w:val="-42"/>
        </w:rPr>
        <w:t> </w:t>
      </w:r>
      <w:r>
        <w:rPr>
          <w:rFonts w:ascii="宋体" w:hAnsi="宋体" w:cs="宋体" w:eastAsia="宋体" w:hint="default"/>
          <w:spacing w:val="-8"/>
        </w:rPr>
        <w:t>ISV</w:t>
      </w:r>
      <w:r>
        <w:rPr>
          <w:spacing w:val="-8"/>
        </w:rPr>
        <w:t>，引导其</w:t>
      </w:r>
      <w:r>
        <w:rPr>
          <w:spacing w:val="-100"/>
        </w:rPr>
        <w:t> </w:t>
      </w:r>
      <w:r>
        <w:rPr>
          <w:spacing w:val="-100"/>
        </w:rPr>
      </w:r>
      <w:r>
        <w:rPr>
          <w:spacing w:val="-2"/>
        </w:rPr>
        <w:t>使用垂直行业云应用及开发新的云应用，共同形成自组织、自运营、自发展的畅捷通云生态圈。</w:t>
      </w:r>
      <w:r>
        <w:rPr>
          <w:spacing w:val="-25"/>
        </w:rPr>
        <w:t> </w:t>
      </w:r>
      <w:r>
        <w:rPr>
          <w:spacing w:val="-25"/>
        </w:rPr>
      </w:r>
      <w:r>
        <w:rPr>
          <w:spacing w:val="-2"/>
        </w:rPr>
        <w:t>用友行业业务在政务、汽车、金融、烟草、医疗、培训教育、审计、广电和电信、能源及运维服</w:t>
      </w:r>
      <w:r>
        <w:rPr>
          <w:spacing w:val="-25"/>
        </w:rPr>
        <w:t> </w:t>
      </w:r>
      <w:r>
        <w:rPr>
          <w:spacing w:val="-25"/>
        </w:rPr>
      </w:r>
      <w:r>
        <w:rPr/>
        <w:t>务等领域已具有非常成熟的营销服务生态链。</w:t>
      </w:r>
    </w:p>
    <w:p>
      <w:pPr>
        <w:spacing w:line="460" w:lineRule="exact" w:before="13"/>
        <w:ind w:left="558" w:right="216" w:firstLine="2"/>
        <w:jc w:val="left"/>
        <w:rPr>
          <w:rFonts w:ascii="宋体" w:hAnsi="宋体" w:cs="宋体" w:eastAsia="宋体" w:hint="default"/>
          <w:sz w:val="21"/>
          <w:szCs w:val="21"/>
        </w:rPr>
      </w:pPr>
      <w:r>
        <w:rPr>
          <w:rFonts w:ascii="宋体" w:hAnsi="宋体" w:cs="宋体" w:eastAsia="宋体" w:hint="default"/>
          <w:b/>
          <w:bCs/>
          <w:sz w:val="21"/>
          <w:szCs w:val="21"/>
        </w:rPr>
        <w:t>（五）公司客户基础优势</w:t>
      </w:r>
      <w:r>
        <w:rPr>
          <w:rFonts w:ascii="宋体" w:hAnsi="宋体" w:cs="宋体" w:eastAsia="宋体" w:hint="default"/>
          <w:b/>
          <w:bCs/>
          <w:w w:val="100"/>
          <w:sz w:val="21"/>
          <w:szCs w:val="21"/>
        </w:rPr>
        <w:t> </w:t>
      </w:r>
      <w:r>
        <w:rPr>
          <w:rFonts w:ascii="宋体" w:hAnsi="宋体" w:cs="宋体" w:eastAsia="宋体" w:hint="default"/>
          <w:sz w:val="21"/>
          <w:szCs w:val="21"/>
        </w:rPr>
        <w:t>经过多年的经营，公司形成了庞大的客户基础，公司各类型客户累计超过</w:t>
      </w:r>
      <w:r>
        <w:rPr>
          <w:rFonts w:ascii="宋体" w:hAnsi="宋体" w:cs="宋体" w:eastAsia="宋体" w:hint="default"/>
          <w:spacing w:val="-56"/>
          <w:sz w:val="21"/>
          <w:szCs w:val="21"/>
        </w:rPr>
        <w:t> </w:t>
      </w:r>
      <w:r>
        <w:rPr>
          <w:rFonts w:ascii="宋体" w:hAnsi="宋体" w:cs="宋体" w:eastAsia="宋体" w:hint="default"/>
          <w:sz w:val="21"/>
          <w:szCs w:val="21"/>
        </w:rPr>
        <w:t>200</w:t>
      </w:r>
      <w:r>
        <w:rPr>
          <w:rFonts w:ascii="宋体" w:hAnsi="宋体" w:cs="宋体" w:eastAsia="宋体" w:hint="default"/>
          <w:spacing w:val="-57"/>
          <w:sz w:val="21"/>
          <w:szCs w:val="21"/>
        </w:rPr>
        <w:t> </w:t>
      </w:r>
      <w:r>
        <w:rPr>
          <w:rFonts w:ascii="宋体" w:hAnsi="宋体" w:cs="宋体" w:eastAsia="宋体" w:hint="default"/>
          <w:sz w:val="21"/>
          <w:szCs w:val="21"/>
        </w:rPr>
        <w:t>万家，用户粘</w:t>
      </w:r>
    </w:p>
    <w:p>
      <w:pPr>
        <w:pStyle w:val="BodyText"/>
        <w:spacing w:line="297" w:lineRule="auto" w:before="1"/>
        <w:ind w:right="217"/>
        <w:jc w:val="both"/>
      </w:pPr>
      <w:r>
        <w:rPr>
          <w:spacing w:val="-2"/>
        </w:rPr>
        <w:t>度高。公司将凭借这些优势，通过企业互联网服务逐渐形成客户、数据、平台在内的生态圈，实</w:t>
      </w:r>
      <w:r>
        <w:rPr>
          <w:spacing w:val="-25"/>
        </w:rPr>
        <w:t> </w:t>
      </w:r>
      <w:r>
        <w:rPr>
          <w:spacing w:val="-25"/>
        </w:rPr>
      </w:r>
      <w:r>
        <w:rPr/>
        <w:t>现用友三大业务的协同发展。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1"/>
        <w:tabs>
          <w:tab w:pos="4060" w:val="left" w:leader="none"/>
        </w:tabs>
        <w:spacing w:line="240" w:lineRule="auto" w:before="0"/>
        <w:ind w:left="2800" w:right="103"/>
        <w:jc w:val="left"/>
        <w:rPr>
          <w:b w:val="0"/>
          <w:bCs w:val="0"/>
        </w:rPr>
      </w:pPr>
      <w:bookmarkStart w:name="_TOC_250008" w:id="4"/>
      <w:r>
        <w:rPr>
          <w:w w:val="95"/>
        </w:rPr>
        <w:t>第四节</w:t>
        <w:tab/>
      </w:r>
      <w:r>
        <w:rPr/>
        <w:t>管理层讨论与分析</w:t>
      </w:r>
      <w:bookmarkEnd w:id="4"/>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0"/>
        <w:jc w:val="both"/>
        <w:rPr>
          <w:b w:val="0"/>
          <w:bCs w:val="0"/>
        </w:rPr>
      </w:pPr>
      <w:r>
        <w:rPr/>
        <w:t>一、管理层讨论与分析</w:t>
      </w:r>
      <w:r>
        <w:rPr>
          <w:b w:val="0"/>
          <w:bCs w:val="0"/>
        </w:rPr>
      </w:r>
    </w:p>
    <w:p>
      <w:pPr>
        <w:pStyle w:val="Heading2"/>
        <w:spacing w:line="240" w:lineRule="auto" w:before="116"/>
        <w:ind w:left="618" w:right="103"/>
        <w:jc w:val="left"/>
        <w:rPr>
          <w:b w:val="0"/>
          <w:bCs w:val="0"/>
        </w:rPr>
      </w:pPr>
      <w:r>
        <w:rPr/>
        <w:t>（一）报告期内公司业务经营情况回顾</w:t>
      </w:r>
      <w:r>
        <w:rPr>
          <w:b w:val="0"/>
          <w:bCs w:val="0"/>
        </w:rPr>
      </w:r>
    </w:p>
    <w:p>
      <w:pPr>
        <w:spacing w:line="240" w:lineRule="auto" w:before="3"/>
        <w:rPr>
          <w:rFonts w:ascii="宋体" w:hAnsi="宋体" w:cs="宋体" w:eastAsia="宋体" w:hint="default"/>
          <w:b/>
          <w:bCs/>
          <w:sz w:val="14"/>
          <w:szCs w:val="14"/>
        </w:rPr>
      </w:pPr>
    </w:p>
    <w:p>
      <w:pPr>
        <w:pStyle w:val="BodyText"/>
        <w:spacing w:line="288" w:lineRule="auto"/>
        <w:ind w:right="207" w:firstLine="419"/>
        <w:jc w:val="both"/>
      </w:pPr>
      <w:r>
        <w:rPr>
          <w:rFonts w:ascii="Calibri" w:hAnsi="Calibri" w:cs="Calibri" w:eastAsia="Calibri" w:hint="default"/>
        </w:rPr>
        <w:t>2015</w:t>
      </w:r>
      <w:r>
        <w:rPr>
          <w:rFonts w:ascii="Calibri" w:hAnsi="Calibri" w:cs="Calibri" w:eastAsia="Calibri" w:hint="default"/>
          <w:spacing w:val="45"/>
        </w:rPr>
        <w:t> </w:t>
      </w:r>
      <w:r>
        <w:rPr>
          <w:spacing w:val="-3"/>
        </w:rPr>
        <w:t>年，是公司全面进军企业互联网服务业务和互联网金融业务的第一年。公司加大了新业</w:t>
      </w:r>
      <w:r>
        <w:rPr>
          <w:w w:val="100"/>
        </w:rPr>
        <w:t> </w:t>
      </w:r>
      <w:r>
        <w:rPr>
          <w:spacing w:val="-1"/>
        </w:rPr>
        <w:t>务的战略投入，为新时期公司的战略发展建立基础。报告期内，公司确立并贯彻执行软件业务，</w:t>
      </w:r>
      <w:r>
        <w:rPr>
          <w:spacing w:val="-55"/>
        </w:rPr>
        <w:t> </w:t>
      </w:r>
      <w:r>
        <w:rPr>
          <w:spacing w:val="-55"/>
        </w:rPr>
      </w:r>
      <w:r>
        <w:rPr>
          <w:spacing w:val="-1"/>
        </w:rPr>
        <w:t>互联网服务业务、互联网金融业务三个板块融合发展的总体经营策略：软件业务“聚焦经营，提</w:t>
      </w:r>
      <w:r>
        <w:rPr>
          <w:spacing w:val="-55"/>
        </w:rPr>
        <w:t> </w:t>
      </w:r>
      <w:r>
        <w:rPr>
          <w:spacing w:val="-55"/>
        </w:rPr>
      </w:r>
      <w:r>
        <w:rPr/>
        <w:t>高效益”，企业互联网服务业务“战略提速，形成规模”，互联网金融业务“完成布局</w:t>
      </w:r>
      <w:r>
        <w:rPr>
          <w:rFonts w:ascii="Calibri" w:hAnsi="Calibri" w:cs="Calibri" w:eastAsia="Calibri" w:hint="default"/>
        </w:rPr>
        <w:t>,  </w:t>
      </w:r>
      <w:r>
        <w:rPr>
          <w:rFonts w:ascii="Calibri" w:hAnsi="Calibri" w:cs="Calibri" w:eastAsia="Calibri" w:hint="default"/>
          <w:spacing w:val="29"/>
        </w:rPr>
        <w:t> </w:t>
      </w:r>
      <w:r>
        <w:rPr/>
        <w:t>战略突</w:t>
      </w:r>
    </w:p>
    <w:p>
      <w:pPr>
        <w:spacing w:after="0" w:line="288" w:lineRule="auto"/>
        <w:jc w:val="both"/>
        <w:sectPr>
          <w:footerReference w:type="default" r:id="rId15"/>
          <w:pgSz w:w="11910" w:h="16840"/>
          <w:pgMar w:footer="1335" w:header="880" w:top="1120" w:bottom="1520" w:left="1660" w:right="1060"/>
          <w:pgNumType w:start="22"/>
        </w:sectPr>
      </w:pPr>
    </w:p>
    <w:p>
      <w:pPr>
        <w:spacing w:line="240" w:lineRule="auto" w:before="4"/>
        <w:rPr>
          <w:rFonts w:ascii="宋体" w:hAnsi="宋体" w:cs="宋体" w:eastAsia="宋体" w:hint="default"/>
          <w:sz w:val="25"/>
          <w:szCs w:val="25"/>
        </w:rPr>
      </w:pPr>
    </w:p>
    <w:p>
      <w:pPr>
        <w:pStyle w:val="BodyText"/>
        <w:spacing w:line="240" w:lineRule="auto" w:before="36"/>
        <w:ind w:right="0"/>
        <w:jc w:val="both"/>
      </w:pPr>
      <w:r>
        <w:rPr/>
        <w:t>破”。通过公司全体员工的努力，各项业务工作取得了积极成效。</w:t>
      </w:r>
    </w:p>
    <w:p>
      <w:pPr>
        <w:spacing w:line="240" w:lineRule="auto" w:before="3"/>
        <w:rPr>
          <w:rFonts w:ascii="宋体" w:hAnsi="宋体" w:cs="宋体" w:eastAsia="宋体" w:hint="default"/>
          <w:sz w:val="14"/>
          <w:szCs w:val="14"/>
        </w:rPr>
      </w:pPr>
    </w:p>
    <w:p>
      <w:pPr>
        <w:pStyle w:val="BodyText"/>
        <w:spacing w:line="271" w:lineRule="auto"/>
        <w:ind w:right="148" w:firstLine="419"/>
        <w:jc w:val="both"/>
      </w:pPr>
      <w:r>
        <w:rPr/>
        <w:t>报告期内，公司实现营业收入</w:t>
      </w:r>
      <w:r>
        <w:rPr>
          <w:spacing w:val="-54"/>
        </w:rPr>
        <w:t> </w:t>
      </w:r>
      <w:r>
        <w:rPr>
          <w:rFonts w:ascii="Calibri" w:hAnsi="Calibri" w:cs="Calibri" w:eastAsia="Calibri" w:hint="default"/>
        </w:rPr>
        <w:t>445,127</w:t>
      </w:r>
      <w:r>
        <w:rPr>
          <w:rFonts w:ascii="Calibri" w:hAnsi="Calibri" w:cs="Calibri" w:eastAsia="Calibri" w:hint="default"/>
          <w:spacing w:val="6"/>
        </w:rPr>
        <w:t> </w:t>
      </w:r>
      <w:r>
        <w:rPr/>
        <w:t>万元，同比增长</w:t>
      </w:r>
      <w:r>
        <w:rPr>
          <w:spacing w:val="-55"/>
        </w:rPr>
        <w:t> </w:t>
      </w:r>
      <w:r>
        <w:rPr>
          <w:rFonts w:ascii="Calibri" w:hAnsi="Calibri" w:cs="Calibri" w:eastAsia="Calibri" w:hint="default"/>
        </w:rPr>
        <w:t>1.8%</w:t>
      </w:r>
      <w:r>
        <w:rPr/>
        <w:t>。归属于上市公司股东的净利润</w:t>
      </w:r>
      <w:r>
        <w:rPr>
          <w:w w:val="100"/>
        </w:rPr>
        <w:t> </w:t>
      </w:r>
      <w:r>
        <w:rPr>
          <w:rFonts w:ascii="Calibri" w:hAnsi="Calibri" w:cs="Calibri" w:eastAsia="Calibri" w:hint="default"/>
        </w:rPr>
        <w:t>32,375</w:t>
      </w:r>
      <w:r>
        <w:rPr>
          <w:rFonts w:ascii="Calibri" w:hAnsi="Calibri" w:cs="Calibri" w:eastAsia="Calibri" w:hint="default"/>
          <w:spacing w:val="14"/>
        </w:rPr>
        <w:t> </w:t>
      </w:r>
      <w:r>
        <w:rPr>
          <w:spacing w:val="-4"/>
        </w:rPr>
        <w:t>万元，去年同期为</w:t>
      </w:r>
      <w:r>
        <w:rPr>
          <w:spacing w:val="-48"/>
        </w:rPr>
        <w:t> </w:t>
      </w:r>
      <w:r>
        <w:rPr>
          <w:rFonts w:ascii="Calibri" w:hAnsi="Calibri" w:cs="Calibri" w:eastAsia="Calibri" w:hint="default"/>
        </w:rPr>
        <w:t>55,025</w:t>
      </w:r>
      <w:r>
        <w:rPr>
          <w:rFonts w:ascii="Calibri" w:hAnsi="Calibri" w:cs="Calibri" w:eastAsia="Calibri" w:hint="default"/>
          <w:spacing w:val="14"/>
        </w:rPr>
        <w:t> </w:t>
      </w:r>
      <w:r>
        <w:rPr>
          <w:spacing w:val="-4"/>
        </w:rPr>
        <w:t>万元，同比下降</w:t>
      </w:r>
      <w:r>
        <w:rPr>
          <w:spacing w:val="-48"/>
        </w:rPr>
        <w:t> </w:t>
      </w:r>
      <w:r>
        <w:rPr>
          <w:rFonts w:ascii="Calibri" w:hAnsi="Calibri" w:cs="Calibri" w:eastAsia="Calibri" w:hint="default"/>
        </w:rPr>
        <w:t>22,650</w:t>
      </w:r>
      <w:r>
        <w:rPr>
          <w:rFonts w:ascii="Calibri" w:hAnsi="Calibri" w:cs="Calibri" w:eastAsia="Calibri" w:hint="default"/>
          <w:spacing w:val="11"/>
        </w:rPr>
        <w:t> </w:t>
      </w:r>
      <w:r>
        <w:rPr>
          <w:spacing w:val="-3"/>
        </w:rPr>
        <w:t>万元，下降幅度为</w:t>
      </w:r>
      <w:r>
        <w:rPr>
          <w:spacing w:val="-48"/>
        </w:rPr>
        <w:t> </w:t>
      </w:r>
      <w:r>
        <w:rPr>
          <w:rFonts w:ascii="Calibri" w:hAnsi="Calibri" w:cs="Calibri" w:eastAsia="Calibri" w:hint="default"/>
          <w:spacing w:val="-3"/>
        </w:rPr>
        <w:t>41.2%</w:t>
      </w:r>
      <w:r>
        <w:rPr>
          <w:spacing w:val="-3"/>
        </w:rPr>
        <w:t>；扣除非常性损</w:t>
      </w:r>
    </w:p>
    <w:p>
      <w:pPr>
        <w:pStyle w:val="BodyText"/>
        <w:spacing w:line="271" w:lineRule="auto" w:before="6"/>
        <w:ind w:right="148"/>
        <w:jc w:val="both"/>
      </w:pPr>
      <w:r>
        <w:rPr/>
        <w:t>益后的净利润</w:t>
      </w:r>
      <w:r>
        <w:rPr>
          <w:spacing w:val="-53"/>
        </w:rPr>
        <w:t> </w:t>
      </w:r>
      <w:r>
        <w:rPr>
          <w:rFonts w:ascii="Calibri" w:hAnsi="Calibri" w:cs="Calibri" w:eastAsia="Calibri" w:hint="default"/>
        </w:rPr>
        <w:t>10,598</w:t>
      </w:r>
      <w:r>
        <w:rPr>
          <w:rFonts w:ascii="Calibri" w:hAnsi="Calibri" w:cs="Calibri" w:eastAsia="Calibri" w:hint="default"/>
          <w:spacing w:val="8"/>
        </w:rPr>
        <w:t> </w:t>
      </w:r>
      <w:r>
        <w:rPr>
          <w:spacing w:val="-6"/>
        </w:rPr>
        <w:t>万元，去年同期为</w:t>
      </w:r>
      <w:r>
        <w:rPr>
          <w:spacing w:val="-53"/>
        </w:rPr>
        <w:t> </w:t>
      </w:r>
      <w:r>
        <w:rPr>
          <w:rFonts w:ascii="Calibri" w:hAnsi="Calibri" w:cs="Calibri" w:eastAsia="Calibri" w:hint="default"/>
        </w:rPr>
        <w:t>51,809</w:t>
      </w:r>
      <w:r>
        <w:rPr>
          <w:rFonts w:ascii="Calibri" w:hAnsi="Calibri" w:cs="Calibri" w:eastAsia="Calibri" w:hint="default"/>
          <w:spacing w:val="8"/>
        </w:rPr>
        <w:t> </w:t>
      </w:r>
      <w:r>
        <w:rPr>
          <w:spacing w:val="-7"/>
        </w:rPr>
        <w:t>万元，同比下降</w:t>
      </w:r>
      <w:r>
        <w:rPr>
          <w:spacing w:val="-53"/>
        </w:rPr>
        <w:t> </w:t>
      </w:r>
      <w:r>
        <w:rPr>
          <w:rFonts w:ascii="Calibri" w:hAnsi="Calibri" w:cs="Calibri" w:eastAsia="Calibri" w:hint="default"/>
        </w:rPr>
        <w:t>41,211</w:t>
      </w:r>
      <w:r>
        <w:rPr>
          <w:rFonts w:ascii="Calibri" w:hAnsi="Calibri" w:cs="Calibri" w:eastAsia="Calibri" w:hint="default"/>
          <w:spacing w:val="6"/>
        </w:rPr>
        <w:t> </w:t>
      </w:r>
      <w:r>
        <w:rPr>
          <w:spacing w:val="-6"/>
        </w:rPr>
        <w:t>万元，下降幅度为</w:t>
      </w:r>
      <w:r>
        <w:rPr>
          <w:spacing w:val="-50"/>
        </w:rPr>
        <w:t> </w:t>
      </w:r>
      <w:r>
        <w:rPr>
          <w:rFonts w:ascii="Calibri" w:hAnsi="Calibri" w:cs="Calibri" w:eastAsia="Calibri" w:hint="default"/>
        </w:rPr>
        <w:t>79.5%</w:t>
      </w:r>
      <w:r>
        <w:rPr/>
        <w:t>。</w:t>
      </w:r>
      <w:r>
        <w:rPr>
          <w:w w:val="100"/>
        </w:rPr>
        <w:t> </w:t>
      </w:r>
      <w:r>
        <w:rPr>
          <w:spacing w:val="-4"/>
        </w:rPr>
        <w:t>影响净利润变动的主要原因是：（</w:t>
      </w:r>
      <w:r>
        <w:rPr>
          <w:rFonts w:ascii="Calibri" w:hAnsi="Calibri" w:cs="Calibri" w:eastAsia="Calibri" w:hint="default"/>
          <w:spacing w:val="-4"/>
        </w:rPr>
        <w:t>1</w:t>
      </w:r>
      <w:r>
        <w:rPr>
          <w:spacing w:val="-4"/>
        </w:rPr>
        <w:t>）公司战略性加大了对企业互联网服务业务、互联网金融业务</w:t>
      </w:r>
      <w:r>
        <w:rPr>
          <w:spacing w:val="-36"/>
        </w:rPr>
        <w:t> </w:t>
      </w:r>
      <w:r>
        <w:rPr>
          <w:spacing w:val="-36"/>
        </w:rPr>
      </w:r>
      <w:r>
        <w:rPr/>
        <w:t>的投入，报告期合计投入超过 </w:t>
      </w:r>
      <w:r>
        <w:rPr>
          <w:rFonts w:ascii="Calibri" w:hAnsi="Calibri" w:cs="Calibri" w:eastAsia="Calibri" w:hint="default"/>
        </w:rPr>
        <w:t>80,184</w:t>
      </w:r>
      <w:r>
        <w:rPr>
          <w:rFonts w:ascii="Calibri" w:hAnsi="Calibri" w:cs="Calibri" w:eastAsia="Calibri" w:hint="default"/>
          <w:spacing w:val="-2"/>
        </w:rPr>
        <w:t> </w:t>
      </w:r>
      <w:r>
        <w:rPr/>
        <w:t>万元；（</w:t>
      </w:r>
      <w:r>
        <w:rPr>
          <w:rFonts w:ascii="Calibri" w:hAnsi="Calibri" w:cs="Calibri" w:eastAsia="Calibri" w:hint="default"/>
        </w:rPr>
        <w:t>2</w:t>
      </w:r>
      <w:r>
        <w:rPr/>
        <w:t>）报告期内公司控股子公司畅捷通公司等子公司</w:t>
      </w:r>
    </w:p>
    <w:p>
      <w:pPr>
        <w:pStyle w:val="BodyText"/>
        <w:spacing w:line="240" w:lineRule="auto" w:before="3"/>
        <w:ind w:right="0"/>
        <w:jc w:val="both"/>
      </w:pPr>
      <w:r>
        <w:rPr/>
        <w:t>股权激励成本同比增加 </w:t>
      </w:r>
      <w:r>
        <w:rPr>
          <w:rFonts w:ascii="Calibri" w:hAnsi="Calibri" w:cs="Calibri" w:eastAsia="Calibri" w:hint="default"/>
        </w:rPr>
        <w:t>6,792</w:t>
      </w:r>
      <w:r>
        <w:rPr>
          <w:rFonts w:ascii="Calibri" w:hAnsi="Calibri" w:cs="Calibri" w:eastAsia="Calibri" w:hint="default"/>
          <w:spacing w:val="10"/>
        </w:rPr>
        <w:t> </w:t>
      </w:r>
      <w:r>
        <w:rPr>
          <w:spacing w:val="-4"/>
        </w:rPr>
        <w:t>万元；（</w:t>
      </w:r>
      <w:r>
        <w:rPr>
          <w:rFonts w:ascii="Calibri" w:hAnsi="Calibri" w:cs="Calibri" w:eastAsia="Calibri" w:hint="default"/>
          <w:spacing w:val="-4"/>
        </w:rPr>
        <w:t>3</w:t>
      </w:r>
      <w:r>
        <w:rPr>
          <w:spacing w:val="-4"/>
        </w:rPr>
        <w:t>）公司报告期内处置了致远公司部分股权，取得投资收益</w:t>
      </w:r>
    </w:p>
    <w:p>
      <w:pPr>
        <w:pStyle w:val="BodyText"/>
        <w:spacing w:line="240" w:lineRule="auto" w:before="39"/>
        <w:ind w:right="0"/>
        <w:jc w:val="both"/>
      </w:pPr>
      <w:r>
        <w:rPr>
          <w:rFonts w:ascii="Calibri" w:hAnsi="Calibri" w:cs="Calibri" w:eastAsia="Calibri" w:hint="default"/>
        </w:rPr>
        <w:t>16,487</w:t>
      </w:r>
      <w:r>
        <w:rPr>
          <w:rFonts w:ascii="Calibri" w:hAnsi="Calibri" w:cs="Calibri" w:eastAsia="Calibri" w:hint="default"/>
          <w:spacing w:val="2"/>
        </w:rPr>
        <w:t> </w:t>
      </w:r>
      <w:r>
        <w:rPr/>
        <w:t>万元。</w:t>
      </w:r>
    </w:p>
    <w:p>
      <w:pPr>
        <w:pStyle w:val="BodyText"/>
        <w:spacing w:line="285" w:lineRule="auto" w:before="159"/>
        <w:ind w:right="147" w:firstLine="419"/>
        <w:jc w:val="both"/>
      </w:pPr>
      <w:r>
        <w:rPr>
          <w:spacing w:val="-2"/>
        </w:rPr>
        <w:t>报告期内，尽管受宏观经济和产业调整的影响，以及公司对中端企业客户软件业务的业务模</w:t>
      </w:r>
      <w:r>
        <w:rPr>
          <w:w w:val="100"/>
        </w:rPr>
        <w:t> </w:t>
      </w:r>
      <w:r>
        <w:rPr>
          <w:spacing w:val="-1"/>
        </w:rPr>
        <w:t>式和组织结构调整带来的阶段性影响，软件业务收入和效益保持平稳发展。互联网服务业务和互</w:t>
      </w:r>
      <w:r>
        <w:rPr>
          <w:spacing w:val="-55"/>
        </w:rPr>
        <w:t> </w:t>
      </w:r>
      <w:r>
        <w:rPr>
          <w:spacing w:val="-55"/>
        </w:rPr>
      </w:r>
      <w:r>
        <w:rPr>
          <w:spacing w:val="-3"/>
        </w:rPr>
        <w:t>联网金融业务取得快速增长，互联网服务业务实现收入</w:t>
      </w:r>
      <w:r>
        <w:rPr>
          <w:spacing w:val="-43"/>
        </w:rPr>
        <w:t> </w:t>
      </w:r>
      <w:r>
        <w:rPr>
          <w:rFonts w:ascii="Calibri" w:hAnsi="Calibri" w:cs="Calibri" w:eastAsia="Calibri" w:hint="default"/>
        </w:rPr>
        <w:t>86,946,113</w:t>
      </w:r>
      <w:r>
        <w:rPr>
          <w:rFonts w:ascii="Calibri" w:hAnsi="Calibri" w:cs="Calibri" w:eastAsia="Calibri" w:hint="default"/>
          <w:spacing w:val="19"/>
        </w:rPr>
        <w:t> </w:t>
      </w:r>
      <w:r>
        <w:rPr>
          <w:spacing w:val="-7"/>
        </w:rPr>
        <w:t>元，同比增长</w:t>
      </w:r>
      <w:r>
        <w:rPr>
          <w:spacing w:val="-43"/>
        </w:rPr>
        <w:t> </w:t>
      </w:r>
      <w:r>
        <w:rPr>
          <w:rFonts w:ascii="Calibri" w:hAnsi="Calibri" w:cs="Calibri" w:eastAsia="Calibri" w:hint="default"/>
          <w:spacing w:val="-4"/>
        </w:rPr>
        <w:t>11,360.1%</w:t>
      </w:r>
      <w:r>
        <w:rPr>
          <w:spacing w:val="-4"/>
        </w:rPr>
        <w:t>，互联</w:t>
      </w:r>
      <w:r>
        <w:rPr>
          <w:spacing w:val="-99"/>
        </w:rPr>
        <w:t> </w:t>
      </w:r>
      <w:r>
        <w:rPr>
          <w:spacing w:val="-99"/>
        </w:rPr>
      </w:r>
      <w:r>
        <w:rPr/>
        <w:t>网金融业务实现收入</w:t>
      </w:r>
      <w:r>
        <w:rPr>
          <w:spacing w:val="-59"/>
        </w:rPr>
        <w:t> </w:t>
      </w:r>
      <w:r>
        <w:rPr>
          <w:rFonts w:ascii="Calibri" w:hAnsi="Calibri" w:cs="Calibri" w:eastAsia="Calibri" w:hint="default"/>
        </w:rPr>
        <w:t>81,092,687</w:t>
      </w:r>
      <w:r>
        <w:rPr>
          <w:rFonts w:ascii="Calibri" w:hAnsi="Calibri" w:cs="Calibri" w:eastAsia="Calibri" w:hint="default"/>
          <w:spacing w:val="3"/>
        </w:rPr>
        <w:t> </w:t>
      </w:r>
      <w:r>
        <w:rPr/>
        <w:t>元，同比增长</w:t>
      </w:r>
      <w:r>
        <w:rPr>
          <w:spacing w:val="-57"/>
        </w:rPr>
        <w:t> </w:t>
      </w:r>
      <w:r>
        <w:rPr>
          <w:rFonts w:ascii="Calibri" w:hAnsi="Calibri" w:cs="Calibri" w:eastAsia="Calibri" w:hint="default"/>
        </w:rPr>
        <w:t>1,263.1%</w:t>
      </w:r>
      <w:r>
        <w:rPr/>
        <w:t>。截止报告期末，企业互联网服务业务的</w:t>
      </w:r>
      <w:r>
        <w:rPr>
          <w:w w:val="100"/>
        </w:rPr>
        <w:t> </w:t>
      </w:r>
      <w:r>
        <w:rPr/>
        <w:t>企业客户数超过</w:t>
      </w:r>
      <w:r>
        <w:rPr>
          <w:spacing w:val="-44"/>
        </w:rPr>
        <w:t> </w:t>
      </w:r>
      <w:r>
        <w:rPr>
          <w:rFonts w:ascii="Calibri" w:hAnsi="Calibri" w:cs="Calibri" w:eastAsia="Calibri" w:hint="default"/>
        </w:rPr>
        <w:t>80</w:t>
      </w:r>
      <w:r>
        <w:rPr>
          <w:rFonts w:ascii="Calibri" w:hAnsi="Calibri" w:cs="Calibri" w:eastAsia="Calibri" w:hint="default"/>
          <w:spacing w:val="16"/>
        </w:rPr>
        <w:t> </w:t>
      </w:r>
      <w:r>
        <w:rPr>
          <w:spacing w:val="-8"/>
        </w:rPr>
        <w:t>万家，较</w:t>
      </w:r>
      <w:r>
        <w:rPr>
          <w:spacing w:val="-42"/>
        </w:rPr>
        <w:t> </w:t>
      </w:r>
      <w:r>
        <w:rPr>
          <w:rFonts w:ascii="Calibri" w:hAnsi="Calibri" w:cs="Calibri" w:eastAsia="Calibri" w:hint="default"/>
        </w:rPr>
        <w:t>2014</w:t>
      </w:r>
      <w:r>
        <w:rPr>
          <w:rFonts w:ascii="Calibri" w:hAnsi="Calibri" w:cs="Calibri" w:eastAsia="Calibri" w:hint="default"/>
          <w:spacing w:val="13"/>
        </w:rPr>
        <w:t> </w:t>
      </w:r>
      <w:r>
        <w:rPr/>
        <w:t>年年末增长</w:t>
      </w:r>
      <w:r>
        <w:rPr>
          <w:spacing w:val="-46"/>
        </w:rPr>
        <w:t> </w:t>
      </w:r>
      <w:r>
        <w:rPr>
          <w:rFonts w:ascii="Calibri" w:hAnsi="Calibri" w:cs="Calibri" w:eastAsia="Calibri" w:hint="default"/>
          <w:spacing w:val="-3"/>
        </w:rPr>
        <w:t>436.6%</w:t>
      </w:r>
      <w:r>
        <w:rPr>
          <w:spacing w:val="-3"/>
        </w:rPr>
        <w:t>。互联网金融业务中的支付业务交易金额达</w:t>
      </w:r>
    </w:p>
    <w:p>
      <w:pPr>
        <w:pStyle w:val="BodyText"/>
        <w:spacing w:line="271" w:lineRule="auto"/>
        <w:ind w:right="149"/>
        <w:jc w:val="both"/>
      </w:pPr>
      <w:r>
        <w:rPr>
          <w:w w:val="100"/>
        </w:rPr>
        <w:t>到</w:t>
      </w:r>
      <w:r>
        <w:rPr>
          <w:spacing w:val="-66"/>
          <w:w w:val="100"/>
        </w:rPr>
        <w:t> </w:t>
      </w:r>
      <w:r>
        <w:rPr>
          <w:rFonts w:ascii="Calibri" w:hAnsi="Calibri" w:cs="Calibri" w:eastAsia="Calibri" w:hint="default"/>
          <w:spacing w:val="-1"/>
          <w:w w:val="100"/>
        </w:rPr>
        <w:t>243</w:t>
      </w:r>
      <w:r>
        <w:rPr>
          <w:rFonts w:ascii="Calibri" w:hAnsi="Calibri" w:cs="Calibri" w:eastAsia="Calibri" w:hint="default"/>
          <w:spacing w:val="-7"/>
          <w:w w:val="100"/>
        </w:rPr>
        <w:t> </w:t>
      </w:r>
      <w:r>
        <w:rPr>
          <w:spacing w:val="-12"/>
          <w:w w:val="100"/>
        </w:rPr>
        <w:t>亿元人民币，同比增长</w:t>
      </w:r>
      <w:r>
        <w:rPr>
          <w:spacing w:val="-66"/>
          <w:w w:val="100"/>
        </w:rPr>
        <w:t> </w:t>
      </w:r>
      <w:r>
        <w:rPr>
          <w:rFonts w:ascii="Calibri" w:hAnsi="Calibri" w:cs="Calibri" w:eastAsia="Calibri" w:hint="default"/>
          <w:spacing w:val="-13"/>
          <w:w w:val="100"/>
        </w:rPr>
        <w:t>471%</w:t>
      </w:r>
      <w:r>
        <w:rPr>
          <w:spacing w:val="-13"/>
          <w:w w:val="100"/>
        </w:rPr>
        <w:t>，新增商户</w:t>
      </w:r>
      <w:r>
        <w:rPr>
          <w:spacing w:val="-69"/>
          <w:w w:val="100"/>
        </w:rPr>
        <w:t> </w:t>
      </w:r>
      <w:r>
        <w:rPr>
          <w:rFonts w:ascii="Calibri" w:hAnsi="Calibri" w:cs="Calibri" w:eastAsia="Calibri" w:hint="default"/>
          <w:spacing w:val="-1"/>
          <w:w w:val="100"/>
        </w:rPr>
        <w:t>24,532</w:t>
      </w:r>
      <w:r>
        <w:rPr>
          <w:rFonts w:ascii="Calibri" w:hAnsi="Calibri" w:cs="Calibri" w:eastAsia="Calibri" w:hint="default"/>
          <w:spacing w:val="-9"/>
          <w:w w:val="100"/>
        </w:rPr>
        <w:t> </w:t>
      </w:r>
      <w:r>
        <w:rPr>
          <w:spacing w:val="-14"/>
          <w:w w:val="100"/>
        </w:rPr>
        <w:t>家，累计商户超过</w:t>
      </w:r>
      <w:r>
        <w:rPr>
          <w:spacing w:val="-69"/>
          <w:w w:val="100"/>
        </w:rPr>
        <w:t> </w:t>
      </w:r>
      <w:r>
        <w:rPr>
          <w:rFonts w:ascii="Calibri" w:hAnsi="Calibri" w:cs="Calibri" w:eastAsia="Calibri" w:hint="default"/>
          <w:spacing w:val="-1"/>
          <w:w w:val="100"/>
        </w:rPr>
        <w:t>27,469</w:t>
      </w:r>
      <w:r>
        <w:rPr>
          <w:rFonts w:ascii="Calibri" w:hAnsi="Calibri" w:cs="Calibri" w:eastAsia="Calibri" w:hint="default"/>
          <w:spacing w:val="-9"/>
          <w:w w:val="100"/>
        </w:rPr>
        <w:t> </w:t>
      </w:r>
      <w:r>
        <w:rPr>
          <w:spacing w:val="-19"/>
          <w:w w:val="100"/>
        </w:rPr>
        <w:t>家，同比增长</w:t>
      </w:r>
      <w:r>
        <w:rPr>
          <w:spacing w:val="-66"/>
          <w:w w:val="100"/>
        </w:rPr>
        <w:t> </w:t>
      </w:r>
      <w:r>
        <w:rPr>
          <w:rFonts w:ascii="Calibri" w:hAnsi="Calibri" w:cs="Calibri" w:eastAsia="Calibri" w:hint="default"/>
          <w:spacing w:val="-2"/>
          <w:w w:val="100"/>
        </w:rPr>
        <w:t>431%</w:t>
      </w:r>
      <w:r>
        <w:rPr>
          <w:spacing w:val="-2"/>
          <w:w w:val="100"/>
        </w:rPr>
        <w:t>；</w:t>
      </w:r>
      <w:r>
        <w:rPr>
          <w:w w:val="100"/>
        </w:rPr>
        <w:t> </w:t>
      </w:r>
      <w:r>
        <w:rPr/>
        <w:t>互联网金融业务中的 </w:t>
      </w:r>
      <w:r>
        <w:rPr>
          <w:rFonts w:ascii="Calibri" w:hAnsi="Calibri" w:cs="Calibri" w:eastAsia="Calibri" w:hint="default"/>
        </w:rPr>
        <w:t>P2P </w:t>
      </w:r>
      <w:r>
        <w:rPr/>
        <w:t>业务累计撮合成交金额 </w:t>
      </w:r>
      <w:r>
        <w:rPr>
          <w:rFonts w:ascii="Calibri" w:hAnsi="Calibri" w:cs="Calibri" w:eastAsia="Calibri" w:hint="default"/>
        </w:rPr>
        <w:t>30.5</w:t>
      </w:r>
      <w:r>
        <w:rPr>
          <w:rFonts w:ascii="Calibri" w:hAnsi="Calibri" w:cs="Calibri" w:eastAsia="Calibri" w:hint="default"/>
          <w:spacing w:val="5"/>
        </w:rPr>
        <w:t> </w:t>
      </w:r>
      <w:r>
        <w:rPr/>
        <w:t>亿元人民币，报告期内新增撮合成交金额</w:t>
      </w:r>
      <w:r>
        <w:rPr>
          <w:w w:val="100"/>
        </w:rPr>
        <w:t> </w:t>
      </w:r>
      <w:r>
        <w:rPr>
          <w:rFonts w:ascii="Calibri" w:hAnsi="Calibri" w:cs="Calibri" w:eastAsia="Calibri" w:hint="default"/>
        </w:rPr>
        <w:t>29.3 </w:t>
      </w:r>
      <w:r>
        <w:rPr/>
        <w:t>亿元人民币，比 </w:t>
      </w:r>
      <w:r>
        <w:rPr>
          <w:rFonts w:ascii="Calibri" w:hAnsi="Calibri" w:cs="Calibri" w:eastAsia="Calibri" w:hint="default"/>
        </w:rPr>
        <w:t>2014 </w:t>
      </w:r>
      <w:r>
        <w:rPr/>
        <w:t>年年底增长 </w:t>
      </w:r>
      <w:r>
        <w:rPr>
          <w:rFonts w:ascii="Calibri" w:hAnsi="Calibri" w:cs="Calibri" w:eastAsia="Calibri" w:hint="default"/>
        </w:rPr>
        <w:t>2,353.1%</w:t>
      </w:r>
      <w:r>
        <w:rPr/>
        <w:t>，累计用户数 </w:t>
      </w:r>
      <w:r>
        <w:rPr>
          <w:rFonts w:ascii="Calibri" w:hAnsi="Calibri" w:cs="Calibri" w:eastAsia="Calibri" w:hint="default"/>
        </w:rPr>
        <w:t>342,945 </w:t>
      </w:r>
      <w:r>
        <w:rPr/>
        <w:t>人，比 </w:t>
      </w:r>
      <w:r>
        <w:rPr>
          <w:rFonts w:ascii="Calibri" w:hAnsi="Calibri" w:cs="Calibri" w:eastAsia="Calibri" w:hint="default"/>
        </w:rPr>
        <w:t>2014</w:t>
      </w:r>
      <w:r>
        <w:rPr>
          <w:rFonts w:ascii="Calibri" w:hAnsi="Calibri" w:cs="Calibri" w:eastAsia="Calibri" w:hint="default"/>
          <w:spacing w:val="38"/>
        </w:rPr>
        <w:t> </w:t>
      </w:r>
      <w:r>
        <w:rPr/>
        <w:t>年年底增长</w:t>
      </w:r>
    </w:p>
    <w:p>
      <w:pPr>
        <w:pStyle w:val="BodyText"/>
        <w:spacing w:line="240" w:lineRule="auto" w:before="6"/>
        <w:ind w:right="0"/>
        <w:jc w:val="both"/>
      </w:pPr>
      <w:r>
        <w:rPr>
          <w:rFonts w:ascii="Calibri" w:hAnsi="Calibri" w:cs="Calibri" w:eastAsia="Calibri" w:hint="default"/>
        </w:rPr>
        <w:t>2,152.2%</w:t>
      </w:r>
      <w:r>
        <w:rPr/>
        <w:t>。</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3"/>
          <w:szCs w:val="23"/>
        </w:rPr>
      </w:pPr>
    </w:p>
    <w:p>
      <w:pPr>
        <w:pStyle w:val="Heading2"/>
        <w:spacing w:line="240" w:lineRule="auto" w:before="0"/>
        <w:ind w:left="560" w:right="144"/>
        <w:jc w:val="left"/>
        <w:rPr>
          <w:b w:val="0"/>
          <w:bCs w:val="0"/>
        </w:rPr>
      </w:pPr>
      <w:r>
        <w:rPr/>
        <w:t>（二）报告期内公司各项业务发展情况</w:t>
      </w:r>
      <w:r>
        <w:rPr>
          <w:b w:val="0"/>
          <w:bCs w:val="0"/>
        </w:rPr>
      </w:r>
    </w:p>
    <w:p>
      <w:pPr>
        <w:spacing w:line="240" w:lineRule="auto" w:before="3"/>
        <w:rPr>
          <w:rFonts w:ascii="宋体" w:hAnsi="宋体" w:cs="宋体" w:eastAsia="宋体" w:hint="default"/>
          <w:b/>
          <w:bCs/>
          <w:sz w:val="14"/>
          <w:szCs w:val="14"/>
        </w:rPr>
      </w:pPr>
    </w:p>
    <w:p>
      <w:pPr>
        <w:spacing w:line="367" w:lineRule="auto" w:before="0"/>
        <w:ind w:left="558" w:right="144" w:firstLine="2"/>
        <w:jc w:val="left"/>
        <w:rPr>
          <w:rFonts w:ascii="宋体" w:hAnsi="宋体" w:cs="宋体" w:eastAsia="宋体" w:hint="default"/>
          <w:sz w:val="21"/>
          <w:szCs w:val="21"/>
        </w:rPr>
      </w:pPr>
      <w:r>
        <w:rPr>
          <w:rFonts w:ascii="Calibri" w:hAnsi="Calibri" w:cs="Calibri" w:eastAsia="Calibri" w:hint="default"/>
          <w:b/>
          <w:bCs/>
          <w:sz w:val="21"/>
          <w:szCs w:val="21"/>
        </w:rPr>
        <w:t>1</w:t>
      </w:r>
      <w:r>
        <w:rPr>
          <w:rFonts w:ascii="宋体" w:hAnsi="宋体" w:cs="宋体" w:eastAsia="宋体" w:hint="default"/>
          <w:b/>
          <w:bCs/>
          <w:sz w:val="21"/>
          <w:szCs w:val="21"/>
        </w:rPr>
        <w:t>、企业互联网服务业务发展情况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报告期内，公司持续推进企业互联网服务业务的落地，引领行业开拓企业互联网的新产品和</w:t>
      </w:r>
    </w:p>
    <w:p>
      <w:pPr>
        <w:pStyle w:val="BodyText"/>
        <w:spacing w:line="229" w:lineRule="exact"/>
        <w:ind w:right="0"/>
        <w:jc w:val="both"/>
      </w:pPr>
      <w:r>
        <w:rPr/>
        <w:t>新模式，推进传统企业业务模式的互联网化创新。互联网服务业务布局基本完成，取得了较之前</w:t>
      </w:r>
    </w:p>
    <w:p>
      <w:pPr>
        <w:pStyle w:val="BodyText"/>
        <w:spacing w:line="240" w:lineRule="auto" w:before="66"/>
        <w:ind w:right="0"/>
        <w:jc w:val="both"/>
        <w:rPr>
          <w:rFonts w:ascii="Calibri" w:hAnsi="Calibri" w:cs="Calibri" w:eastAsia="Calibri" w:hint="default"/>
        </w:rPr>
      </w:pPr>
      <w:r>
        <w:rPr/>
        <w:t>更为快速的发展。截至报告期末，公司企业互联网服务业务的企业客户数超过 </w:t>
      </w:r>
      <w:r>
        <w:rPr>
          <w:rFonts w:ascii="Calibri" w:hAnsi="Calibri" w:cs="Calibri" w:eastAsia="Calibri" w:hint="default"/>
        </w:rPr>
        <w:t>80 </w:t>
      </w:r>
      <w:r>
        <w:rPr/>
        <w:t>万家，较</w:t>
      </w:r>
      <w:r>
        <w:rPr>
          <w:spacing w:val="-55"/>
        </w:rPr>
        <w:t> </w:t>
      </w:r>
      <w:r>
        <w:rPr>
          <w:rFonts w:ascii="Calibri" w:hAnsi="Calibri" w:cs="Calibri" w:eastAsia="Calibri" w:hint="default"/>
        </w:rPr>
        <w:t>2014</w:t>
      </w:r>
    </w:p>
    <w:p>
      <w:pPr>
        <w:pStyle w:val="BodyText"/>
        <w:spacing w:line="240" w:lineRule="auto" w:before="39"/>
        <w:ind w:right="0"/>
        <w:jc w:val="both"/>
        <w:rPr>
          <w:rFonts w:ascii="Calibri" w:hAnsi="Calibri" w:cs="Calibri" w:eastAsia="Calibri" w:hint="default"/>
        </w:rPr>
      </w:pPr>
      <w:r>
        <w:rPr/>
        <w:t>年年末增长</w:t>
      </w:r>
      <w:r>
        <w:rPr>
          <w:spacing w:val="-56"/>
        </w:rPr>
        <w:t> </w:t>
      </w:r>
      <w:r>
        <w:rPr>
          <w:rFonts w:ascii="Calibri" w:hAnsi="Calibri" w:cs="Calibri" w:eastAsia="Calibri" w:hint="default"/>
        </w:rPr>
        <w:t>433.6%</w:t>
      </w:r>
      <w:r>
        <w:rPr/>
        <w:t>，畅捷通公司的小微企业云服务平台上的小微企业客户数超过</w:t>
      </w:r>
      <w:r>
        <w:rPr>
          <w:spacing w:val="-53"/>
        </w:rPr>
        <w:t> </w:t>
      </w:r>
      <w:r>
        <w:rPr>
          <w:rFonts w:ascii="Calibri" w:hAnsi="Calibri" w:cs="Calibri" w:eastAsia="Calibri" w:hint="default"/>
        </w:rPr>
        <w:t>60</w:t>
      </w:r>
      <w:r>
        <w:rPr>
          <w:rFonts w:ascii="Calibri" w:hAnsi="Calibri" w:cs="Calibri" w:eastAsia="Calibri" w:hint="default"/>
          <w:spacing w:val="2"/>
        </w:rPr>
        <w:t> </w:t>
      </w:r>
      <w:r>
        <w:rPr/>
        <w:t>万，较</w:t>
      </w:r>
      <w:r>
        <w:rPr>
          <w:spacing w:val="-56"/>
        </w:rPr>
        <w:t> </w:t>
      </w:r>
      <w:r>
        <w:rPr>
          <w:rFonts w:ascii="Calibri" w:hAnsi="Calibri" w:cs="Calibri" w:eastAsia="Calibri" w:hint="default"/>
        </w:rPr>
        <w:t>2014</w:t>
      </w:r>
    </w:p>
    <w:p>
      <w:pPr>
        <w:pStyle w:val="BodyText"/>
        <w:spacing w:line="240" w:lineRule="auto" w:before="36"/>
        <w:ind w:right="0"/>
        <w:jc w:val="both"/>
      </w:pPr>
      <w:r>
        <w:rPr/>
        <w:t>年年末增长</w:t>
      </w:r>
      <w:r>
        <w:rPr>
          <w:spacing w:val="-54"/>
        </w:rPr>
        <w:t> </w:t>
      </w:r>
      <w:r>
        <w:rPr>
          <w:rFonts w:ascii="Calibri" w:hAnsi="Calibri" w:cs="Calibri" w:eastAsia="Calibri" w:hint="default"/>
        </w:rPr>
        <w:t>338%</w:t>
      </w:r>
      <w:r>
        <w:rPr/>
        <w:t>。</w:t>
      </w:r>
    </w:p>
    <w:p>
      <w:pPr>
        <w:pStyle w:val="BodyText"/>
        <w:spacing w:line="240" w:lineRule="auto" w:before="159"/>
        <w:ind w:left="558" w:right="144"/>
        <w:jc w:val="left"/>
      </w:pPr>
      <w:r>
        <w:rPr/>
        <w:t>（</w:t>
      </w:r>
      <w:r>
        <w:rPr>
          <w:rFonts w:ascii="宋体" w:hAnsi="宋体" w:cs="宋体" w:eastAsia="宋体" w:hint="default"/>
        </w:rPr>
        <w:t>1</w:t>
      </w:r>
      <w:r>
        <w:rPr/>
        <w:t>）财务服务</w:t>
      </w:r>
    </w:p>
    <w:p>
      <w:pPr>
        <w:spacing w:line="240" w:lineRule="auto" w:before="3"/>
        <w:rPr>
          <w:rFonts w:ascii="宋体" w:hAnsi="宋体" w:cs="宋体" w:eastAsia="宋体" w:hint="default"/>
          <w:sz w:val="14"/>
          <w:szCs w:val="14"/>
        </w:rPr>
      </w:pPr>
    </w:p>
    <w:p>
      <w:pPr>
        <w:pStyle w:val="BodyText"/>
        <w:spacing w:line="271" w:lineRule="auto"/>
        <w:ind w:right="148" w:firstLine="419"/>
        <w:jc w:val="both"/>
      </w:pPr>
      <w:r>
        <w:rPr>
          <w:spacing w:val="-4"/>
        </w:rPr>
        <w:t>报告期内，畅捷通公司在</w:t>
      </w:r>
      <w:r>
        <w:rPr>
          <w:spacing w:val="-46"/>
        </w:rPr>
        <w:t> </w:t>
      </w:r>
      <w:r>
        <w:rPr>
          <w:rFonts w:ascii="Calibri" w:hAnsi="Calibri" w:cs="Calibri" w:eastAsia="Calibri" w:hint="default"/>
        </w:rPr>
        <w:t>10</w:t>
      </w:r>
      <w:r>
        <w:rPr>
          <w:rFonts w:ascii="Calibri" w:hAnsi="Calibri" w:cs="Calibri" w:eastAsia="Calibri" w:hint="default"/>
          <w:spacing w:val="13"/>
        </w:rPr>
        <w:t> </w:t>
      </w:r>
      <w:r>
        <w:rPr/>
        <w:t>月</w:t>
      </w:r>
      <w:r>
        <w:rPr>
          <w:spacing w:val="-48"/>
        </w:rPr>
        <w:t> </w:t>
      </w:r>
      <w:r>
        <w:rPr>
          <w:rFonts w:ascii="Calibri" w:hAnsi="Calibri" w:cs="Calibri" w:eastAsia="Calibri" w:hint="default"/>
        </w:rPr>
        <w:t>28</w:t>
      </w:r>
      <w:r>
        <w:rPr>
          <w:rFonts w:ascii="Calibri" w:hAnsi="Calibri" w:cs="Calibri" w:eastAsia="Calibri" w:hint="default"/>
          <w:spacing w:val="13"/>
        </w:rPr>
        <w:t> </w:t>
      </w:r>
      <w:r>
        <w:rPr/>
        <w:t>日发布财务</w:t>
      </w:r>
      <w:r>
        <w:rPr>
          <w:spacing w:val="-45"/>
        </w:rPr>
        <w:t> </w:t>
      </w:r>
      <w:r>
        <w:rPr>
          <w:rFonts w:ascii="Calibri" w:hAnsi="Calibri" w:cs="Calibri" w:eastAsia="Calibri" w:hint="default"/>
        </w:rPr>
        <w:t>OTO</w:t>
      </w:r>
      <w:r>
        <w:rPr>
          <w:rFonts w:ascii="Calibri" w:hAnsi="Calibri" w:cs="Calibri" w:eastAsia="Calibri" w:hint="default"/>
          <w:spacing w:val="11"/>
        </w:rPr>
        <w:t> </w:t>
      </w:r>
      <w:r>
        <w:rPr>
          <w:spacing w:val="-4"/>
        </w:rPr>
        <w:t>服务平台，向代理记账等服务商提供业务</w:t>
      </w:r>
      <w:r>
        <w:rPr>
          <w:w w:val="100"/>
        </w:rPr>
        <w:t> </w:t>
      </w:r>
      <w:r>
        <w:rPr/>
        <w:t>管理平台及代账工具、向小微企业及服务商提供交易撮合服务。</w:t>
      </w:r>
    </w:p>
    <w:p>
      <w:pPr>
        <w:pStyle w:val="BodyText"/>
        <w:spacing w:line="285" w:lineRule="auto" w:before="158"/>
        <w:ind w:right="148" w:firstLine="419"/>
        <w:jc w:val="both"/>
      </w:pPr>
      <w:r>
        <w:rPr>
          <w:spacing w:val="-2"/>
        </w:rPr>
        <w:t>报告期内，畅捷通公司的财务及管理服务平台采用网络推广和线下运营推广相结合的方式，</w:t>
      </w:r>
      <w:r>
        <w:rPr>
          <w:w w:val="100"/>
        </w:rPr>
        <w:t> </w:t>
      </w:r>
      <w:r>
        <w:rPr>
          <w:spacing w:val="-1"/>
        </w:rPr>
        <w:t>不断吸引代账机构、小微企业客户。一方面，畅捷通公司大力加强网上营销活动，开展服务商入</w:t>
      </w:r>
      <w:r>
        <w:rPr>
          <w:spacing w:val="-55"/>
        </w:rPr>
        <w:t> </w:t>
      </w:r>
      <w:r>
        <w:rPr>
          <w:spacing w:val="-55"/>
        </w:rPr>
      </w:r>
      <w:r>
        <w:rPr>
          <w:spacing w:val="-4"/>
        </w:rPr>
        <w:t>驻平台活动，在中国产业互联网大会参展并获奖，线上启动了易代账记账 </w:t>
      </w:r>
      <w:r>
        <w:rPr>
          <w:rFonts w:ascii="Calibri" w:hAnsi="Calibri" w:cs="Calibri" w:eastAsia="Calibri" w:hint="default"/>
        </w:rPr>
        <w:t>PK </w:t>
      </w:r>
      <w:r>
        <w:rPr>
          <w:spacing w:val="-5"/>
        </w:rPr>
        <w:t>赛等活动，不断强化</w:t>
      </w:r>
      <w:r>
        <w:rPr>
          <w:spacing w:val="-83"/>
        </w:rPr>
        <w:t> </w:t>
      </w:r>
      <w:r>
        <w:rPr>
          <w:spacing w:val="-83"/>
        </w:rPr>
      </w:r>
      <w:r>
        <w:rPr>
          <w:spacing w:val="-1"/>
        </w:rPr>
        <w:t>粉丝运营方式，形成良好口碑效应，提升平台曝光度，吸引小微企业和创业者关注；另一方面，</w:t>
      </w:r>
      <w:r>
        <w:rPr>
          <w:spacing w:val="-55"/>
        </w:rPr>
        <w:t> </w:t>
      </w:r>
      <w:r>
        <w:rPr>
          <w:spacing w:val="-55"/>
        </w:rPr>
      </w:r>
      <w:r>
        <w:rPr>
          <w:spacing w:val="-1"/>
        </w:rPr>
        <w:t>畅捷通公司举办平台上线正式新闻发布会，与北京工商联、深圳代账协会、深圳前海股权交易中</w:t>
      </w:r>
      <w:r>
        <w:rPr>
          <w:spacing w:val="-55"/>
        </w:rPr>
        <w:t> </w:t>
      </w:r>
      <w:r>
        <w:rPr>
          <w:spacing w:val="-55"/>
        </w:rPr>
      </w:r>
      <w:r>
        <w:rPr/>
        <w:t>心达成战略合作，举办“互联网</w:t>
      </w:r>
      <w:r>
        <w:rPr>
          <w:rFonts w:ascii="Calibri" w:hAnsi="Calibri" w:cs="Calibri" w:eastAsia="Calibri" w:hint="default"/>
        </w:rPr>
        <w:t>+</w:t>
      </w:r>
      <w:r>
        <w:rPr/>
        <w:t>代账”研讨会（培训会）</w:t>
      </w:r>
      <w:r>
        <w:rPr>
          <w:rFonts w:ascii="Calibri" w:hAnsi="Calibri" w:cs="Calibri" w:eastAsia="Calibri" w:hint="default"/>
        </w:rPr>
        <w:t>20</w:t>
      </w:r>
      <w:r>
        <w:rPr>
          <w:rFonts w:ascii="Calibri" w:hAnsi="Calibri" w:cs="Calibri" w:eastAsia="Calibri" w:hint="default"/>
          <w:spacing w:val="14"/>
        </w:rPr>
        <w:t> </w:t>
      </w:r>
      <w:r>
        <w:rPr/>
        <w:t>余场，与阿里创客达成合作，平台</w:t>
      </w:r>
      <w:r>
        <w:rPr>
          <w:w w:val="100"/>
        </w:rPr>
        <w:t> </w:t>
      </w:r>
      <w:r>
        <w:rPr>
          <w:spacing w:val="-4"/>
        </w:rPr>
        <w:t>及易代账入驻阿里云创客</w:t>
      </w:r>
      <w:r>
        <w:rPr>
          <w:rFonts w:ascii="Calibri" w:hAnsi="Calibri" w:cs="Calibri" w:eastAsia="Calibri" w:hint="default"/>
          <w:spacing w:val="-4"/>
        </w:rPr>
        <w:t>+</w:t>
      </w:r>
      <w:r>
        <w:rPr>
          <w:spacing w:val="-4"/>
        </w:rPr>
        <w:t>频道，覆盖阿里云用户群，在线下引流商机、合作发展、持续推广财务</w:t>
      </w:r>
      <w:r>
        <w:rPr>
          <w:spacing w:val="-36"/>
        </w:rPr>
        <w:t> </w:t>
      </w:r>
      <w:r>
        <w:rPr>
          <w:spacing w:val="-36"/>
        </w:rPr>
      </w:r>
      <w:r>
        <w:rPr/>
        <w:t>及管理服务平台。</w:t>
      </w:r>
    </w:p>
    <w:p>
      <w:pPr>
        <w:pStyle w:val="BodyText"/>
        <w:spacing w:line="240" w:lineRule="auto" w:before="146"/>
        <w:ind w:left="558" w:right="0"/>
        <w:jc w:val="left"/>
      </w:pPr>
      <w:r>
        <w:rPr/>
        <w:t>报告期内，畅捷通公司的财务及管理服务平台荣获 </w:t>
      </w:r>
      <w:r>
        <w:rPr>
          <w:rFonts w:ascii="Calibri" w:hAnsi="Calibri" w:cs="Calibri" w:eastAsia="Calibri" w:hint="default"/>
        </w:rPr>
        <w:t>CCW </w:t>
      </w:r>
      <w:r>
        <w:rPr/>
        <w:t>颁发的“</w:t>
      </w:r>
      <w:r>
        <w:rPr>
          <w:rFonts w:ascii="Calibri" w:hAnsi="Calibri" w:cs="Calibri" w:eastAsia="Calibri" w:hint="default"/>
        </w:rPr>
        <w:t>2015</w:t>
      </w:r>
      <w:r>
        <w:rPr>
          <w:rFonts w:ascii="Calibri" w:hAnsi="Calibri" w:cs="Calibri" w:eastAsia="Calibri" w:hint="default"/>
          <w:spacing w:val="17"/>
        </w:rPr>
        <w:t> </w:t>
      </w:r>
      <w:r>
        <w:rPr/>
        <w:t>年度中国产业互联网</w:t>
      </w:r>
    </w:p>
    <w:p>
      <w:pPr>
        <w:spacing w:after="0" w:line="240" w:lineRule="auto"/>
        <w:jc w:val="left"/>
        <w:sectPr>
          <w:footerReference w:type="default" r:id="rId16"/>
          <w:pgSz w:w="11910" w:h="16840"/>
          <w:pgMar w:footer="1335" w:header="880" w:top="1120" w:bottom="1520" w:left="1660" w:right="1120"/>
          <w:pgNumType w:start="23"/>
        </w:sectPr>
      </w:pPr>
    </w:p>
    <w:p>
      <w:pPr>
        <w:spacing w:line="240" w:lineRule="auto" w:before="4"/>
        <w:rPr>
          <w:rFonts w:ascii="宋体" w:hAnsi="宋体" w:cs="宋体" w:eastAsia="宋体" w:hint="default"/>
          <w:sz w:val="25"/>
          <w:szCs w:val="25"/>
        </w:rPr>
      </w:pPr>
    </w:p>
    <w:p>
      <w:pPr>
        <w:pStyle w:val="BodyText"/>
        <w:spacing w:line="283" w:lineRule="auto" w:before="36"/>
        <w:ind w:right="209"/>
        <w:jc w:val="both"/>
      </w:pPr>
      <w:r>
        <w:rPr>
          <w:spacing w:val="-1"/>
        </w:rPr>
        <w:t>创新产品奖”及中国电子信息产业发展研究院、中国软件评测中心、赛迪智库软件与信息服务业</w:t>
      </w:r>
      <w:r>
        <w:rPr>
          <w:spacing w:val="-55"/>
        </w:rPr>
        <w:t> </w:t>
      </w:r>
      <w:r>
        <w:rPr>
          <w:spacing w:val="-55"/>
        </w:rPr>
      </w:r>
      <w:r>
        <w:rPr>
          <w:spacing w:val="-4"/>
        </w:rPr>
        <w:t>研究所、《软件与集成电路》杂志社联合颁发的“</w:t>
      </w:r>
      <w:r>
        <w:rPr>
          <w:rFonts w:ascii="Calibri" w:hAnsi="Calibri" w:cs="Calibri" w:eastAsia="Calibri" w:hint="default"/>
          <w:spacing w:val="-4"/>
        </w:rPr>
        <w:t>2015 </w:t>
      </w:r>
      <w:r>
        <w:rPr/>
        <w:t>年度中国软件和信息服务财务服务领域互</w:t>
      </w:r>
      <w:r>
        <w:rPr>
          <w:spacing w:val="-92"/>
        </w:rPr>
        <w:t> </w:t>
      </w:r>
      <w:r>
        <w:rPr>
          <w:spacing w:val="-92"/>
        </w:rPr>
      </w:r>
      <w:r>
        <w:rPr/>
        <w:t>联网</w:t>
      </w:r>
      <w:r>
        <w:rPr>
          <w:rFonts w:ascii="Calibri" w:hAnsi="Calibri" w:cs="Calibri" w:eastAsia="Calibri" w:hint="default"/>
        </w:rPr>
        <w:t>+</w:t>
      </w:r>
      <w:r>
        <w:rPr/>
        <w:t>创新企业奖”。</w:t>
      </w:r>
    </w:p>
    <w:p>
      <w:pPr>
        <w:pStyle w:val="BodyText"/>
        <w:spacing w:line="240" w:lineRule="auto" w:before="113"/>
        <w:ind w:left="558" w:right="103"/>
        <w:jc w:val="left"/>
      </w:pPr>
      <w:r>
        <w:rPr/>
        <w:t>截至报告期末，已经有</w:t>
      </w:r>
      <w:r>
        <w:rPr>
          <w:spacing w:val="-58"/>
        </w:rPr>
        <w:t> </w:t>
      </w:r>
      <w:r>
        <w:rPr>
          <w:rFonts w:ascii="Calibri" w:hAnsi="Calibri" w:cs="Calibri" w:eastAsia="Calibri" w:hint="default"/>
        </w:rPr>
        <w:t>851</w:t>
      </w:r>
      <w:r>
        <w:rPr>
          <w:rFonts w:ascii="Calibri" w:hAnsi="Calibri" w:cs="Calibri" w:eastAsia="Calibri" w:hint="default"/>
          <w:spacing w:val="3"/>
        </w:rPr>
        <w:t> </w:t>
      </w:r>
      <w:r>
        <w:rPr/>
        <w:t>家代账公司加入畅捷通公司的财务及管理服务平台。</w:t>
      </w:r>
    </w:p>
    <w:p>
      <w:pPr>
        <w:pStyle w:val="BodyText"/>
        <w:spacing w:line="240" w:lineRule="auto" w:before="159"/>
        <w:ind w:left="558" w:right="103"/>
        <w:jc w:val="left"/>
      </w:pPr>
      <w:r>
        <w:rPr/>
        <w:t>（</w:t>
      </w:r>
      <w:r>
        <w:rPr>
          <w:rFonts w:ascii="宋体" w:hAnsi="宋体" w:cs="宋体" w:eastAsia="宋体" w:hint="default"/>
        </w:rPr>
        <w:t>2</w:t>
      </w:r>
      <w:r>
        <w:rPr/>
        <w:t>）营销服务</w:t>
      </w:r>
    </w:p>
    <w:p>
      <w:pPr>
        <w:spacing w:line="240" w:lineRule="auto" w:before="3"/>
        <w:rPr>
          <w:rFonts w:ascii="宋体" w:hAnsi="宋体" w:cs="宋体" w:eastAsia="宋体" w:hint="default"/>
          <w:sz w:val="14"/>
          <w:szCs w:val="14"/>
        </w:rPr>
      </w:pPr>
    </w:p>
    <w:p>
      <w:pPr>
        <w:pStyle w:val="BodyText"/>
        <w:spacing w:line="240" w:lineRule="auto"/>
        <w:ind w:left="558" w:right="103"/>
        <w:jc w:val="left"/>
      </w:pPr>
      <w:r>
        <w:rPr>
          <w:rFonts w:ascii="Calibri" w:hAnsi="Calibri" w:cs="Calibri" w:eastAsia="Calibri" w:hint="default"/>
        </w:rPr>
        <w:t>1</w:t>
      </w:r>
      <w:r>
        <w:rPr/>
        <w:t>）超客营销</w:t>
      </w:r>
    </w:p>
    <w:p>
      <w:pPr>
        <w:pStyle w:val="BodyText"/>
        <w:spacing w:line="280" w:lineRule="auto" w:before="156"/>
        <w:ind w:right="101" w:firstLine="419"/>
        <w:jc w:val="left"/>
      </w:pPr>
      <w:r>
        <w:rPr>
          <w:spacing w:val="-5"/>
        </w:rPr>
        <w:t>报告期内，用友超客公司初步建立了基于 </w:t>
      </w:r>
      <w:r>
        <w:rPr>
          <w:rFonts w:ascii="Calibri" w:hAnsi="Calibri" w:cs="Calibri" w:eastAsia="Calibri" w:hint="default"/>
        </w:rPr>
        <w:t>2B</w:t>
      </w:r>
      <w:r>
        <w:rPr>
          <w:rFonts w:ascii="Calibri" w:hAnsi="Calibri" w:cs="Calibri" w:eastAsia="Calibri" w:hint="default"/>
          <w:spacing w:val="-16"/>
        </w:rPr>
        <w:t> </w:t>
      </w:r>
      <w:r>
        <w:rPr>
          <w:spacing w:val="-4"/>
        </w:rPr>
        <w:t>互联网云服务的专属直销体系和运营体系，建立</w:t>
      </w:r>
      <w:r>
        <w:rPr>
          <w:w w:val="100"/>
        </w:rPr>
        <w:t> </w:t>
      </w:r>
      <w:r>
        <w:rPr/>
        <w:t>了近</w:t>
      </w:r>
      <w:r>
        <w:rPr>
          <w:spacing w:val="-38"/>
        </w:rPr>
        <w:t> </w:t>
      </w:r>
      <w:r>
        <w:rPr>
          <w:rFonts w:ascii="Calibri" w:hAnsi="Calibri" w:cs="Calibri" w:eastAsia="Calibri" w:hint="default"/>
        </w:rPr>
        <w:t>300</w:t>
      </w:r>
      <w:r>
        <w:rPr>
          <w:rFonts w:ascii="Calibri" w:hAnsi="Calibri" w:cs="Calibri" w:eastAsia="Calibri" w:hint="default"/>
          <w:spacing w:val="18"/>
        </w:rPr>
        <w:t> </w:t>
      </w:r>
      <w:r>
        <w:rPr/>
        <w:t>家从事超客</w:t>
      </w:r>
      <w:r>
        <w:rPr>
          <w:spacing w:val="-38"/>
        </w:rPr>
        <w:t> </w:t>
      </w:r>
      <w:r>
        <w:rPr>
          <w:rFonts w:ascii="Calibri" w:hAnsi="Calibri" w:cs="Calibri" w:eastAsia="Calibri" w:hint="default"/>
        </w:rPr>
        <w:t>2B</w:t>
      </w:r>
      <w:r>
        <w:rPr>
          <w:rFonts w:ascii="Calibri" w:hAnsi="Calibri" w:cs="Calibri" w:eastAsia="Calibri" w:hint="default"/>
          <w:spacing w:val="18"/>
        </w:rPr>
        <w:t> </w:t>
      </w:r>
      <w:r>
        <w:rPr/>
        <w:t>互联网云服务合作伙伴体系，建立了基于</w:t>
      </w:r>
      <w:r>
        <w:rPr>
          <w:spacing w:val="-41"/>
        </w:rPr>
        <w:t> </w:t>
      </w:r>
      <w:r>
        <w:rPr>
          <w:rFonts w:ascii="Calibri" w:hAnsi="Calibri" w:cs="Calibri" w:eastAsia="Calibri" w:hint="default"/>
        </w:rPr>
        <w:t>2B</w:t>
      </w:r>
      <w:r>
        <w:rPr>
          <w:rFonts w:ascii="Calibri" w:hAnsi="Calibri" w:cs="Calibri" w:eastAsia="Calibri" w:hint="default"/>
          <w:spacing w:val="20"/>
        </w:rPr>
        <w:t> </w:t>
      </w:r>
      <w:r>
        <w:rPr/>
        <w:t>云服务的开发体系和团队，</w:t>
      </w:r>
      <w:r>
        <w:rPr>
          <w:w w:val="100"/>
        </w:rPr>
        <w:t> </w:t>
      </w:r>
      <w:r>
        <w:rPr/>
        <w:t>引进了众多互联网开发技术人才，初步建立了基于云服务业务模式并支撑超客云服务业务开展和</w:t>
      </w:r>
      <w:r>
        <w:rPr>
          <w:spacing w:val="-97"/>
        </w:rPr>
        <w:t> </w:t>
      </w:r>
      <w:r>
        <w:rPr>
          <w:spacing w:val="-97"/>
        </w:rPr>
      </w:r>
      <w:r>
        <w:rPr/>
        <w:t>公司价值体现的业务运作体系。</w:t>
      </w:r>
    </w:p>
    <w:p>
      <w:pPr>
        <w:pStyle w:val="BodyText"/>
        <w:spacing w:line="292" w:lineRule="auto" w:before="150"/>
        <w:ind w:right="209" w:firstLine="419"/>
        <w:jc w:val="both"/>
      </w:pPr>
      <w:r>
        <w:rPr>
          <w:spacing w:val="-2"/>
        </w:rPr>
        <w:t>报告期内，用友超客公司围绕公司成立、产品发布开展市场推广活动，树立公司及产品知名</w:t>
      </w:r>
      <w:r>
        <w:rPr>
          <w:w w:val="100"/>
        </w:rPr>
        <w:t> </w:t>
      </w:r>
      <w:r>
        <w:rPr>
          <w:spacing w:val="-1"/>
        </w:rPr>
        <w:t>度，采用网络推广和线下运营推广相结合的方式，不断提升品牌美誉度。一方面，用友超客公司</w:t>
      </w:r>
      <w:r>
        <w:rPr>
          <w:spacing w:val="-55"/>
        </w:rPr>
        <w:t> </w:t>
      </w:r>
      <w:r>
        <w:rPr>
          <w:spacing w:val="-55"/>
        </w:rPr>
      </w:r>
      <w:r>
        <w:rPr>
          <w:spacing w:val="-11"/>
          <w:w w:val="100"/>
        </w:rPr>
        <w:t>加强超客营销的网络推广，覆盖公司官网</w:t>
      </w:r>
      <w:r>
        <w:rPr>
          <w:rFonts w:ascii="Calibri" w:hAnsi="Calibri" w:cs="Calibri" w:eastAsia="Calibri" w:hint="default"/>
          <w:spacing w:val="-11"/>
          <w:w w:val="100"/>
        </w:rPr>
        <w:t>/</w:t>
      </w:r>
      <w:r>
        <w:rPr>
          <w:spacing w:val="-11"/>
          <w:w w:val="100"/>
        </w:rPr>
        <w:t>官微、百度品牌专区、百度手机助手、腾讯广点通、</w:t>
      </w:r>
      <w:r>
        <w:rPr>
          <w:rFonts w:ascii="Calibri" w:hAnsi="Calibri" w:cs="Calibri" w:eastAsia="Calibri" w:hint="default"/>
          <w:spacing w:val="-11"/>
          <w:w w:val="100"/>
        </w:rPr>
        <w:t>DSP</w:t>
      </w:r>
      <w:r>
        <w:rPr>
          <w:spacing w:val="-11"/>
          <w:w w:val="100"/>
        </w:rPr>
        <w:t>、</w:t>
      </w:r>
      <w:r>
        <w:rPr>
          <w:spacing w:val="-65"/>
          <w:w w:val="100"/>
        </w:rPr>
        <w:t> </w:t>
      </w:r>
      <w:r>
        <w:rPr>
          <w:spacing w:val="-1"/>
        </w:rPr>
        <w:t>自媒体、秉钧红人等多种传播渠道，取得良好效果，构建出强大的体验门户；另一方面，用友超</w:t>
      </w:r>
      <w:r>
        <w:rPr>
          <w:spacing w:val="-55"/>
        </w:rPr>
        <w:t> </w:t>
      </w:r>
      <w:r>
        <w:rPr>
          <w:spacing w:val="-55"/>
        </w:rPr>
      </w:r>
      <w:r>
        <w:rPr>
          <w:spacing w:val="-1"/>
        </w:rPr>
        <w:t>客公司通过举办发布会、企业家俱乐部、粉丝会、应用体验会、协会商会园区推广、社区运营等</w:t>
      </w:r>
      <w:r>
        <w:rPr>
          <w:spacing w:val="-55"/>
        </w:rPr>
        <w:t> </w:t>
      </w:r>
      <w:r>
        <w:rPr>
          <w:spacing w:val="-55"/>
        </w:rPr>
      </w:r>
      <w:r>
        <w:rPr/>
        <w:t>线下活动，开展</w:t>
      </w:r>
      <w:r>
        <w:rPr>
          <w:spacing w:val="-53"/>
        </w:rPr>
        <w:t> </w:t>
      </w:r>
      <w:r>
        <w:rPr>
          <w:rFonts w:ascii="Calibri" w:hAnsi="Calibri" w:cs="Calibri" w:eastAsia="Calibri" w:hint="default"/>
        </w:rPr>
        <w:t>300</w:t>
      </w:r>
      <w:r>
        <w:rPr>
          <w:rFonts w:ascii="Calibri" w:hAnsi="Calibri" w:cs="Calibri" w:eastAsia="Calibri" w:hint="default"/>
          <w:spacing w:val="4"/>
        </w:rPr>
        <w:t> </w:t>
      </w:r>
      <w:r>
        <w:rPr/>
        <w:t>余场地推活动，参会人数超过</w:t>
      </w:r>
      <w:r>
        <w:rPr>
          <w:spacing w:val="-54"/>
        </w:rPr>
        <w:t> </w:t>
      </w:r>
      <w:r>
        <w:rPr>
          <w:rFonts w:ascii="Calibri" w:hAnsi="Calibri" w:cs="Calibri" w:eastAsia="Calibri" w:hint="default"/>
        </w:rPr>
        <w:t>7</w:t>
      </w:r>
      <w:r>
        <w:rPr>
          <w:rFonts w:ascii="Calibri" w:hAnsi="Calibri" w:cs="Calibri" w:eastAsia="Calibri" w:hint="default"/>
          <w:spacing w:val="4"/>
        </w:rPr>
        <w:t> </w:t>
      </w:r>
      <w:r>
        <w:rPr/>
        <w:t>万人。通过上述运营推广活动，超客营销实</w:t>
      </w:r>
    </w:p>
    <w:p>
      <w:pPr>
        <w:pStyle w:val="BodyText"/>
        <w:spacing w:line="284" w:lineRule="exact"/>
        <w:ind w:right="0"/>
        <w:jc w:val="both"/>
      </w:pPr>
      <w:r>
        <w:rPr/>
        <w:t>现了近 </w:t>
      </w:r>
      <w:r>
        <w:rPr>
          <w:rFonts w:ascii="Calibri" w:hAnsi="Calibri" w:cs="Calibri" w:eastAsia="Calibri" w:hint="default"/>
        </w:rPr>
        <w:t>2,000</w:t>
      </w:r>
      <w:r>
        <w:rPr>
          <w:rFonts w:ascii="Calibri" w:hAnsi="Calibri" w:cs="Calibri" w:eastAsia="Calibri" w:hint="default"/>
          <w:spacing w:val="3"/>
        </w:rPr>
        <w:t> </w:t>
      </w:r>
      <w:r>
        <w:rPr/>
        <w:t>个云服务订单，近百万活跃用户，树立和提升了公司及产品的知名度。报告期内，</w:t>
      </w:r>
    </w:p>
    <w:p>
      <w:pPr>
        <w:pStyle w:val="BodyText"/>
        <w:spacing w:line="297" w:lineRule="auto" w:before="39"/>
        <w:ind w:right="208"/>
        <w:jc w:val="both"/>
      </w:pPr>
      <w:r>
        <w:rPr>
          <w:spacing w:val="-1"/>
        </w:rPr>
        <w:t>超客营销集成了秉钧网络公司的秉钧红人、用友通信公司的多方通话业务嘟嘟，推进互联网业务</w:t>
      </w:r>
      <w:r>
        <w:rPr>
          <w:spacing w:val="-55"/>
        </w:rPr>
        <w:t> </w:t>
      </w:r>
      <w:r>
        <w:rPr>
          <w:spacing w:val="-55"/>
        </w:rPr>
      </w:r>
      <w:r>
        <w:rPr/>
        <w:t>的融合发展。</w:t>
      </w:r>
    </w:p>
    <w:p>
      <w:pPr>
        <w:pStyle w:val="BodyText"/>
        <w:spacing w:line="240" w:lineRule="auto" w:before="133"/>
        <w:ind w:left="558" w:right="103"/>
        <w:jc w:val="left"/>
      </w:pPr>
      <w:r>
        <w:rPr>
          <w:spacing w:val="-3"/>
        </w:rPr>
        <w:t>报告期内，用友超客公司及产品品牌获得 </w:t>
      </w:r>
      <w:r>
        <w:rPr>
          <w:rFonts w:ascii="Calibri" w:hAnsi="Calibri" w:cs="Calibri" w:eastAsia="Calibri" w:hint="default"/>
        </w:rPr>
        <w:t>ZDnet2015 </w:t>
      </w:r>
      <w:r>
        <w:rPr>
          <w:spacing w:val="-3"/>
        </w:rPr>
        <w:t>年度凌云奖评选“</w:t>
      </w:r>
      <w:r>
        <w:rPr>
          <w:rFonts w:ascii="Calibri" w:hAnsi="Calibri" w:cs="Calibri" w:eastAsia="Calibri" w:hint="default"/>
          <w:spacing w:val="-3"/>
        </w:rPr>
        <w:t>2015</w:t>
      </w:r>
      <w:r>
        <w:rPr>
          <w:rFonts w:ascii="Calibri" w:hAnsi="Calibri" w:cs="Calibri" w:eastAsia="Calibri" w:hint="default"/>
          <w:spacing w:val="-4"/>
        </w:rPr>
        <w:t> </w:t>
      </w:r>
      <w:r>
        <w:rPr/>
        <w:t>年度最佳企业级</w:t>
      </w:r>
    </w:p>
    <w:p>
      <w:pPr>
        <w:pStyle w:val="BodyText"/>
        <w:spacing w:line="367" w:lineRule="auto" w:before="39"/>
        <w:ind w:left="558" w:right="103" w:hanging="420"/>
        <w:jc w:val="left"/>
      </w:pPr>
      <w:r>
        <w:rPr>
          <w:rFonts w:ascii="Calibri" w:hAnsi="Calibri" w:cs="Calibri" w:eastAsia="Calibri" w:hint="default"/>
        </w:rPr>
        <w:t>SaaS</w:t>
      </w:r>
      <w:r>
        <w:rPr>
          <w:rFonts w:ascii="Calibri" w:hAnsi="Calibri" w:cs="Calibri" w:eastAsia="Calibri" w:hint="default"/>
          <w:spacing w:val="3"/>
        </w:rPr>
        <w:t> </w:t>
      </w:r>
      <w:r>
        <w:rPr/>
        <w:t>首选品牌”、中国软件网选型</w:t>
      </w:r>
      <w:r>
        <w:rPr>
          <w:spacing w:val="-56"/>
        </w:rPr>
        <w:t> </w:t>
      </w:r>
      <w:r>
        <w:rPr>
          <w:rFonts w:ascii="Calibri" w:hAnsi="Calibri" w:cs="Calibri" w:eastAsia="Calibri" w:hint="default"/>
        </w:rPr>
        <w:t>1000</w:t>
      </w:r>
      <w:r>
        <w:rPr>
          <w:rFonts w:ascii="Calibri" w:hAnsi="Calibri" w:cs="Calibri" w:eastAsia="Calibri" w:hint="default"/>
          <w:spacing w:val="5"/>
        </w:rPr>
        <w:t> </w:t>
      </w:r>
      <w:r>
        <w:rPr/>
        <w:t>强评选“</w:t>
      </w:r>
      <w:r>
        <w:rPr>
          <w:rFonts w:ascii="Calibri" w:hAnsi="Calibri" w:cs="Calibri" w:eastAsia="Calibri" w:hint="default"/>
        </w:rPr>
        <w:t>2016</w:t>
      </w:r>
      <w:r>
        <w:rPr>
          <w:rFonts w:ascii="Calibri" w:hAnsi="Calibri" w:cs="Calibri" w:eastAsia="Calibri" w:hint="default"/>
          <w:spacing w:val="3"/>
        </w:rPr>
        <w:t> </w:t>
      </w:r>
      <w:r>
        <w:rPr/>
        <w:t>社交化</w:t>
      </w:r>
      <w:r>
        <w:rPr>
          <w:spacing w:val="-54"/>
        </w:rPr>
        <w:t> </w:t>
      </w:r>
      <w:r>
        <w:rPr>
          <w:rFonts w:ascii="Calibri" w:hAnsi="Calibri" w:cs="Calibri" w:eastAsia="Calibri" w:hint="default"/>
        </w:rPr>
        <w:t>CRM</w:t>
      </w:r>
      <w:r>
        <w:rPr>
          <w:rFonts w:ascii="Calibri" w:hAnsi="Calibri" w:cs="Calibri" w:eastAsia="Calibri" w:hint="default"/>
          <w:spacing w:val="1"/>
        </w:rPr>
        <w:t> </w:t>
      </w:r>
      <w:r>
        <w:rPr/>
        <w:t>最佳客户满意奖”等奖项。</w:t>
      </w:r>
      <w:r>
        <w:rPr>
          <w:w w:val="100"/>
        </w:rPr>
        <w:t> </w:t>
      </w:r>
      <w:r>
        <w:rPr>
          <w:rFonts w:ascii="Calibri" w:hAnsi="Calibri" w:cs="Calibri" w:eastAsia="Calibri" w:hint="default"/>
        </w:rPr>
        <w:t>2</w:t>
      </w:r>
      <w:r>
        <w:rPr/>
        <w:t>）秉钧网络</w:t>
      </w:r>
      <w:r>
        <w:rPr>
          <w:w w:val="100"/>
        </w:rPr>
        <w:t> </w:t>
      </w:r>
      <w:r>
        <w:rPr>
          <w:spacing w:val="-7"/>
        </w:rPr>
        <w:t>报告期内，秉钧网络公司持续推进公司营销软件研发工作，推出了基于微信、支付宝服务号、</w:t>
      </w:r>
    </w:p>
    <w:p>
      <w:pPr>
        <w:pStyle w:val="BodyText"/>
        <w:spacing w:line="230" w:lineRule="exact"/>
        <w:ind w:right="0"/>
        <w:jc w:val="both"/>
      </w:pPr>
      <w:r>
        <w:rPr/>
        <w:t>百度直达号、小米服务号等主流社交、支付、门户平台所开发的企业营销后台管理软件——微平</w:t>
      </w:r>
    </w:p>
    <w:p>
      <w:pPr>
        <w:pStyle w:val="BodyText"/>
        <w:spacing w:line="297" w:lineRule="auto" w:before="66"/>
        <w:ind w:right="208"/>
        <w:jc w:val="both"/>
      </w:pPr>
      <w:r>
        <w:rPr>
          <w:spacing w:val="-1"/>
        </w:rPr>
        <w:t>台；加强了网络营销，包括百度等搜索引擎投放，以及新闻媒体网站的宣传文章撰写等，参与了</w:t>
      </w:r>
      <w:r>
        <w:rPr>
          <w:spacing w:val="-55"/>
        </w:rPr>
        <w:t> </w:t>
      </w:r>
      <w:r>
        <w:rPr>
          <w:spacing w:val="-55"/>
        </w:rPr>
      </w:r>
      <w:r>
        <w:rPr>
          <w:spacing w:val="-1"/>
        </w:rPr>
        <w:t>正和岛、阿里战略合作发布会和云栖大会等对外交流会；加大“秉钧红人”的推广活动，通过社</w:t>
      </w:r>
      <w:r>
        <w:rPr>
          <w:spacing w:val="-55"/>
        </w:rPr>
        <w:t> </w:t>
      </w:r>
      <w:r>
        <w:rPr>
          <w:spacing w:val="-55"/>
        </w:rPr>
      </w:r>
      <w:r>
        <w:rPr/>
        <w:t>交媒体进行营销推广，尝试和地推团队合作推广</w:t>
      </w:r>
      <w:r>
        <w:rPr>
          <w:spacing w:val="-54"/>
        </w:rPr>
        <w:t> </w:t>
      </w:r>
      <w:r>
        <w:rPr>
          <w:rFonts w:ascii="Calibri" w:hAnsi="Calibri" w:cs="Calibri" w:eastAsia="Calibri" w:hint="default"/>
        </w:rPr>
        <w:t>APP</w:t>
      </w:r>
      <w:r>
        <w:rPr>
          <w:rFonts w:ascii="Calibri" w:hAnsi="Calibri" w:cs="Calibri" w:eastAsia="Calibri" w:hint="default"/>
          <w:spacing w:val="3"/>
        </w:rPr>
        <w:t> </w:t>
      </w:r>
      <w:r>
        <w:rPr/>
        <w:t>下载。</w:t>
      </w:r>
    </w:p>
    <w:p>
      <w:pPr>
        <w:pStyle w:val="BodyText"/>
        <w:spacing w:line="240" w:lineRule="auto" w:before="97"/>
        <w:ind w:left="558" w:right="0"/>
        <w:jc w:val="left"/>
      </w:pPr>
      <w:r>
        <w:rPr/>
        <w:t>报告期内，秉钧红人涵盖了 </w:t>
      </w:r>
      <w:r>
        <w:rPr>
          <w:rFonts w:ascii="Calibri" w:hAnsi="Calibri" w:cs="Calibri" w:eastAsia="Calibri" w:hint="default"/>
        </w:rPr>
        <w:t>6,000 </w:t>
      </w:r>
      <w:r>
        <w:rPr/>
        <w:t>多家新闻媒体板块、</w:t>
      </w:r>
      <w:r>
        <w:rPr>
          <w:rFonts w:ascii="Calibri" w:hAnsi="Calibri" w:cs="Calibri" w:eastAsia="Calibri" w:hint="default"/>
        </w:rPr>
        <w:t>8,000 </w:t>
      </w:r>
      <w:r>
        <w:rPr/>
        <w:t>家论坛、</w:t>
      </w:r>
      <w:r>
        <w:rPr>
          <w:rFonts w:ascii="Calibri" w:hAnsi="Calibri" w:cs="Calibri" w:eastAsia="Calibri" w:hint="default"/>
        </w:rPr>
        <w:t>30,000</w:t>
      </w:r>
      <w:r>
        <w:rPr>
          <w:rFonts w:ascii="Calibri" w:hAnsi="Calibri" w:cs="Calibri" w:eastAsia="Calibri" w:hint="default"/>
          <w:spacing w:val="-3"/>
        </w:rPr>
        <w:t> </w:t>
      </w:r>
      <w:r>
        <w:rPr/>
        <w:t>多个微博红人、</w:t>
      </w:r>
    </w:p>
    <w:p>
      <w:pPr>
        <w:pStyle w:val="BodyText"/>
        <w:spacing w:line="240" w:lineRule="auto" w:before="39"/>
        <w:ind w:right="0"/>
        <w:jc w:val="both"/>
      </w:pPr>
      <w:r>
        <w:rPr>
          <w:rFonts w:ascii="Calibri" w:hAnsi="Calibri" w:cs="Calibri" w:eastAsia="Calibri" w:hint="default"/>
          <w:w w:val="100"/>
        </w:rPr>
        <w:t>20</w:t>
      </w:r>
      <w:r>
        <w:rPr>
          <w:rFonts w:ascii="Calibri" w:hAnsi="Calibri" w:cs="Calibri" w:eastAsia="Calibri" w:hint="default"/>
          <w:spacing w:val="-3"/>
          <w:w w:val="100"/>
        </w:rPr>
        <w:t>,</w:t>
      </w:r>
      <w:r>
        <w:rPr>
          <w:rFonts w:ascii="Calibri" w:hAnsi="Calibri" w:cs="Calibri" w:eastAsia="Calibri" w:hint="default"/>
          <w:spacing w:val="-2"/>
          <w:w w:val="100"/>
        </w:rPr>
        <w:t>00</w:t>
      </w:r>
      <w:r>
        <w:rPr>
          <w:rFonts w:ascii="Calibri" w:hAnsi="Calibri" w:cs="Calibri" w:eastAsia="Calibri" w:hint="default"/>
          <w:w w:val="100"/>
        </w:rPr>
        <w:t>0</w:t>
      </w:r>
      <w:r>
        <w:rPr>
          <w:rFonts w:ascii="Calibri" w:hAnsi="Calibri" w:cs="Calibri" w:eastAsia="Calibri" w:hint="default"/>
          <w:spacing w:val="-11"/>
        </w:rPr>
        <w:t> </w:t>
      </w:r>
      <w:r>
        <w:rPr>
          <w:spacing w:val="-3"/>
          <w:w w:val="100"/>
        </w:rPr>
        <w:t>个</w:t>
      </w:r>
      <w:r>
        <w:rPr>
          <w:w w:val="100"/>
        </w:rPr>
        <w:t>微</w:t>
      </w:r>
      <w:r>
        <w:rPr>
          <w:spacing w:val="-3"/>
          <w:w w:val="100"/>
        </w:rPr>
        <w:t>信</w:t>
      </w:r>
      <w:r>
        <w:rPr>
          <w:w w:val="100"/>
        </w:rPr>
        <w:t>与</w:t>
      </w:r>
      <w:r>
        <w:rPr>
          <w:spacing w:val="-3"/>
          <w:w w:val="100"/>
        </w:rPr>
        <w:t>朋</w:t>
      </w:r>
      <w:r>
        <w:rPr>
          <w:w w:val="100"/>
        </w:rPr>
        <w:t>友</w:t>
      </w:r>
      <w:r>
        <w:rPr>
          <w:spacing w:val="-3"/>
          <w:w w:val="100"/>
        </w:rPr>
        <w:t>圈大</w:t>
      </w:r>
      <w:r>
        <w:rPr>
          <w:w w:val="100"/>
        </w:rPr>
        <w:t>号和</w:t>
      </w:r>
      <w:r>
        <w:rPr>
          <w:spacing w:val="-72"/>
        </w:rPr>
        <w:t> </w:t>
      </w:r>
      <w:r>
        <w:rPr>
          <w:rFonts w:ascii="Calibri" w:hAnsi="Calibri" w:cs="Calibri" w:eastAsia="Calibri" w:hint="default"/>
          <w:w w:val="100"/>
        </w:rPr>
        <w:t>5</w:t>
      </w:r>
      <w:r>
        <w:rPr>
          <w:rFonts w:ascii="Calibri" w:hAnsi="Calibri" w:cs="Calibri" w:eastAsia="Calibri" w:hint="default"/>
          <w:spacing w:val="-3"/>
          <w:w w:val="100"/>
        </w:rPr>
        <w:t>,</w:t>
      </w:r>
      <w:r>
        <w:rPr>
          <w:rFonts w:ascii="Calibri" w:hAnsi="Calibri" w:cs="Calibri" w:eastAsia="Calibri" w:hint="default"/>
          <w:w w:val="100"/>
        </w:rPr>
        <w:t>0</w:t>
      </w:r>
      <w:r>
        <w:rPr>
          <w:rFonts w:ascii="Calibri" w:hAnsi="Calibri" w:cs="Calibri" w:eastAsia="Calibri" w:hint="default"/>
          <w:spacing w:val="-2"/>
          <w:w w:val="100"/>
        </w:rPr>
        <w:t>0</w:t>
      </w:r>
      <w:r>
        <w:rPr>
          <w:rFonts w:ascii="Calibri" w:hAnsi="Calibri" w:cs="Calibri" w:eastAsia="Calibri" w:hint="default"/>
          <w:w w:val="100"/>
        </w:rPr>
        <w:t>0</w:t>
      </w:r>
      <w:r>
        <w:rPr>
          <w:rFonts w:ascii="Calibri" w:hAnsi="Calibri" w:cs="Calibri" w:eastAsia="Calibri" w:hint="default"/>
          <w:spacing w:val="-13"/>
        </w:rPr>
        <w:t> </w:t>
      </w:r>
      <w:r>
        <w:rPr>
          <w:w w:val="100"/>
        </w:rPr>
        <w:t>多</w:t>
      </w:r>
      <w:r>
        <w:rPr>
          <w:spacing w:val="-3"/>
          <w:w w:val="100"/>
        </w:rPr>
        <w:t>个</w:t>
      </w:r>
      <w:r>
        <w:rPr>
          <w:w w:val="100"/>
        </w:rPr>
        <w:t>网</w:t>
      </w:r>
      <w:r>
        <w:rPr>
          <w:spacing w:val="-3"/>
          <w:w w:val="100"/>
        </w:rPr>
        <w:t>络</w:t>
      </w:r>
      <w:r>
        <w:rPr>
          <w:w w:val="100"/>
        </w:rPr>
        <w:t>推</w:t>
      </w:r>
      <w:r>
        <w:rPr>
          <w:spacing w:val="-3"/>
          <w:w w:val="100"/>
        </w:rPr>
        <w:t>广资</w:t>
      </w:r>
      <w:r>
        <w:rPr>
          <w:w w:val="100"/>
        </w:rPr>
        <w:t>源</w:t>
      </w:r>
      <w:r>
        <w:rPr>
          <w:spacing w:val="-106"/>
          <w:w w:val="100"/>
        </w:rPr>
        <w:t>，</w:t>
      </w:r>
      <w:r>
        <w:rPr>
          <w:spacing w:val="-3"/>
          <w:w w:val="100"/>
        </w:rPr>
        <w:t>为</w:t>
      </w:r>
      <w:r>
        <w:rPr>
          <w:w w:val="100"/>
        </w:rPr>
        <w:t>目</w:t>
      </w:r>
      <w:r>
        <w:rPr>
          <w:spacing w:val="-3"/>
          <w:w w:val="100"/>
        </w:rPr>
        <w:t>前</w:t>
      </w:r>
      <w:r>
        <w:rPr>
          <w:w w:val="100"/>
        </w:rPr>
        <w:t>国</w:t>
      </w:r>
      <w:r>
        <w:rPr>
          <w:spacing w:val="-3"/>
          <w:w w:val="100"/>
        </w:rPr>
        <w:t>内</w:t>
      </w:r>
      <w:r>
        <w:rPr>
          <w:w w:val="100"/>
        </w:rPr>
        <w:t>最</w:t>
      </w:r>
      <w:r>
        <w:rPr>
          <w:spacing w:val="-3"/>
          <w:w w:val="100"/>
        </w:rPr>
        <w:t>强</w:t>
      </w:r>
      <w:r>
        <w:rPr>
          <w:w w:val="100"/>
        </w:rPr>
        <w:t>的</w:t>
      </w:r>
      <w:r>
        <w:rPr>
          <w:spacing w:val="-3"/>
          <w:w w:val="100"/>
        </w:rPr>
        <w:t>社会</w:t>
      </w:r>
      <w:r>
        <w:rPr>
          <w:w w:val="100"/>
        </w:rPr>
        <w:t>化媒</w:t>
      </w:r>
      <w:r>
        <w:rPr>
          <w:spacing w:val="-3"/>
          <w:w w:val="100"/>
        </w:rPr>
        <w:t>介</w:t>
      </w:r>
      <w:r>
        <w:rPr>
          <w:w w:val="100"/>
        </w:rPr>
        <w:t>资</w:t>
      </w:r>
      <w:r>
        <w:rPr>
          <w:spacing w:val="-3"/>
          <w:w w:val="100"/>
        </w:rPr>
        <w:t>源</w:t>
      </w:r>
      <w:r>
        <w:rPr>
          <w:w w:val="100"/>
        </w:rPr>
        <w:t>系</w:t>
      </w:r>
      <w:r>
        <w:rPr>
          <w:spacing w:val="-3"/>
          <w:w w:val="100"/>
        </w:rPr>
        <w:t>统</w:t>
      </w:r>
      <w:r>
        <w:rPr>
          <w:w w:val="100"/>
        </w:rPr>
        <w:t>。</w:t>
      </w:r>
    </w:p>
    <w:p>
      <w:pPr>
        <w:pStyle w:val="BodyText"/>
        <w:spacing w:line="271" w:lineRule="auto" w:before="159"/>
        <w:ind w:right="103" w:firstLine="419"/>
        <w:jc w:val="left"/>
      </w:pPr>
      <w:r>
        <w:rPr>
          <w:rFonts w:ascii="Calibri" w:hAnsi="Calibri" w:cs="Calibri" w:eastAsia="Calibri" w:hint="default"/>
        </w:rPr>
        <w:t>3</w:t>
      </w:r>
      <w:r>
        <w:rPr/>
        <w:t>）报告期内，公司推出并持续更新“</w:t>
      </w:r>
      <w:r>
        <w:rPr>
          <w:rFonts w:ascii="Calibri" w:hAnsi="Calibri" w:cs="Calibri" w:eastAsia="Calibri" w:hint="default"/>
        </w:rPr>
        <w:t>U </w:t>
      </w:r>
      <w:r>
        <w:rPr/>
        <w:t>易联”、“</w:t>
      </w:r>
      <w:r>
        <w:rPr>
          <w:rFonts w:ascii="Calibri" w:hAnsi="Calibri" w:cs="Calibri" w:eastAsia="Calibri" w:hint="default"/>
        </w:rPr>
        <w:t>U </w:t>
      </w:r>
      <w:r>
        <w:rPr/>
        <w:t>商城”、“</w:t>
      </w:r>
      <w:r>
        <w:rPr>
          <w:rFonts w:ascii="Calibri" w:hAnsi="Calibri" w:cs="Calibri" w:eastAsia="Calibri" w:hint="default"/>
        </w:rPr>
        <w:t>U</w:t>
      </w:r>
      <w:r>
        <w:rPr>
          <w:rFonts w:ascii="Calibri" w:hAnsi="Calibri" w:cs="Calibri" w:eastAsia="Calibri" w:hint="default"/>
          <w:spacing w:val="-9"/>
        </w:rPr>
        <w:t> </w:t>
      </w:r>
      <w:r>
        <w:rPr/>
        <w:t>订货”产品。报告期内，</w:t>
      </w:r>
      <w:r>
        <w:rPr>
          <w:w w:val="100"/>
        </w:rPr>
        <w:t> </w:t>
      </w:r>
      <w:r>
        <w:rPr/>
        <w:t>三个互联网产品已经积累企业注册客户数</w:t>
      </w:r>
      <w:r>
        <w:rPr>
          <w:spacing w:val="-54"/>
        </w:rPr>
        <w:t> </w:t>
      </w:r>
      <w:r>
        <w:rPr>
          <w:rFonts w:ascii="Calibri" w:hAnsi="Calibri" w:cs="Calibri" w:eastAsia="Calibri" w:hint="default"/>
        </w:rPr>
        <w:t>1000</w:t>
      </w:r>
      <w:r>
        <w:rPr>
          <w:rFonts w:ascii="Calibri" w:hAnsi="Calibri" w:cs="Calibri" w:eastAsia="Calibri" w:hint="default"/>
          <w:spacing w:val="3"/>
        </w:rPr>
        <w:t> </w:t>
      </w:r>
      <w:r>
        <w:rPr/>
        <w:t>余家，收费客户</w:t>
      </w:r>
      <w:r>
        <w:rPr>
          <w:spacing w:val="-54"/>
        </w:rPr>
        <w:t> </w:t>
      </w:r>
      <w:r>
        <w:rPr>
          <w:rFonts w:ascii="Calibri" w:hAnsi="Calibri" w:cs="Calibri" w:eastAsia="Calibri" w:hint="default"/>
        </w:rPr>
        <w:t>60</w:t>
      </w:r>
      <w:r>
        <w:rPr>
          <w:rFonts w:ascii="Calibri" w:hAnsi="Calibri" w:cs="Calibri" w:eastAsia="Calibri" w:hint="default"/>
          <w:spacing w:val="2"/>
        </w:rPr>
        <w:t> </w:t>
      </w:r>
      <w:r>
        <w:rPr/>
        <w:t>家。</w:t>
      </w:r>
    </w:p>
    <w:p>
      <w:pPr>
        <w:pStyle w:val="BodyText"/>
        <w:spacing w:line="364" w:lineRule="auto" w:before="126"/>
        <w:ind w:left="558" w:right="103"/>
        <w:jc w:val="left"/>
      </w:pPr>
      <w:r>
        <w:rPr/>
        <w:t>（</w:t>
      </w:r>
      <w:r>
        <w:rPr>
          <w:rFonts w:ascii="Calibri" w:hAnsi="Calibri" w:cs="Calibri" w:eastAsia="Calibri" w:hint="default"/>
        </w:rPr>
        <w:t>3</w:t>
      </w:r>
      <w:r>
        <w:rPr/>
        <w:t>）人力资源服务</w:t>
      </w:r>
      <w:r>
        <w:rPr>
          <w:w w:val="100"/>
        </w:rPr>
        <w:t> </w:t>
      </w:r>
      <w:r>
        <w:rPr>
          <w:spacing w:val="-2"/>
        </w:rPr>
        <w:t>报告期内，公司筹建用友薪福社公司。用友薪福社公司初步完成了核心业务定位的论证以及</w:t>
      </w:r>
    </w:p>
    <w:p>
      <w:pPr>
        <w:pStyle w:val="BodyText"/>
        <w:spacing w:line="232" w:lineRule="exact"/>
        <w:ind w:right="0"/>
        <w:jc w:val="both"/>
      </w:pPr>
      <w:r>
        <w:rPr/>
        <w:t>业务规划，并在用友企业互联网发展战略的指导下，确立了通过互联网运营模式提供专业人力资</w:t>
      </w:r>
    </w:p>
    <w:p>
      <w:pPr>
        <w:pStyle w:val="BodyText"/>
        <w:spacing w:line="297" w:lineRule="auto" w:before="66"/>
        <w:ind w:right="208"/>
        <w:jc w:val="both"/>
      </w:pPr>
      <w:r>
        <w:rPr>
          <w:spacing w:val="-1"/>
        </w:rPr>
        <w:t>源服务的具体业务模式，引进了互联网技术高级人才、人力资源服务业内专家等核心骨干经营团</w:t>
      </w:r>
      <w:r>
        <w:rPr>
          <w:spacing w:val="-55"/>
        </w:rPr>
        <w:t> </w:t>
      </w:r>
      <w:r>
        <w:rPr>
          <w:spacing w:val="-55"/>
        </w:rPr>
      </w:r>
      <w:r>
        <w:rPr/>
        <w:t>队成员，初步建立了研发团队，并且迅速投入服务产品的研发。</w:t>
      </w:r>
    </w:p>
    <w:p>
      <w:pPr>
        <w:spacing w:after="0" w:line="297" w:lineRule="auto"/>
        <w:jc w:val="both"/>
        <w:sectPr>
          <w:pgSz w:w="11910" w:h="16840"/>
          <w:pgMar w:header="880" w:footer="1335" w:top="1120" w:bottom="1520" w:left="1660" w:right="1060"/>
        </w:sectPr>
      </w:pPr>
    </w:p>
    <w:p>
      <w:pPr>
        <w:spacing w:line="240" w:lineRule="auto" w:before="4"/>
        <w:rPr>
          <w:rFonts w:ascii="宋体" w:hAnsi="宋体" w:cs="宋体" w:eastAsia="宋体" w:hint="default"/>
          <w:sz w:val="25"/>
          <w:szCs w:val="25"/>
        </w:rPr>
      </w:pPr>
    </w:p>
    <w:p>
      <w:pPr>
        <w:pStyle w:val="BodyText"/>
        <w:spacing w:line="240" w:lineRule="auto" w:before="36"/>
        <w:ind w:left="558" w:right="103"/>
        <w:jc w:val="left"/>
      </w:pPr>
      <w:r>
        <w:rPr/>
        <w:t>（</w:t>
      </w:r>
      <w:r>
        <w:rPr>
          <w:rFonts w:ascii="Calibri" w:hAnsi="Calibri" w:cs="Calibri" w:eastAsia="Calibri" w:hint="default"/>
        </w:rPr>
        <w:t>4</w:t>
      </w:r>
      <w:r>
        <w:rPr/>
        <w:t>）其他互联网服务业务</w:t>
      </w:r>
    </w:p>
    <w:p>
      <w:pPr>
        <w:pStyle w:val="BodyText"/>
        <w:spacing w:line="367" w:lineRule="auto" w:before="159"/>
        <w:ind w:left="558" w:right="103"/>
        <w:jc w:val="left"/>
      </w:pPr>
      <w:r>
        <w:rPr>
          <w:rFonts w:ascii="Calibri" w:hAnsi="Calibri" w:cs="Calibri" w:eastAsia="Calibri" w:hint="default"/>
        </w:rPr>
        <w:t>1</w:t>
      </w:r>
      <w:r>
        <w:rPr/>
        <w:t>）移动通信服务</w:t>
      </w:r>
      <w:r>
        <w:rPr>
          <w:w w:val="100"/>
        </w:rPr>
        <w:t> </w:t>
      </w:r>
      <w:r>
        <w:rPr>
          <w:spacing w:val="-2"/>
        </w:rPr>
        <w:t>报告期内，用友通信公司的通信电信业务运营支撑系统完成研发和测试，设计并研发上线通</w:t>
      </w:r>
    </w:p>
    <w:p>
      <w:pPr>
        <w:pStyle w:val="BodyText"/>
        <w:spacing w:line="229" w:lineRule="exact"/>
        <w:ind w:right="0"/>
        <w:jc w:val="both"/>
      </w:pPr>
      <w:r>
        <w:rPr/>
        <w:t>信能力计费、账单、批价、支付等基础运营功能，与多家智能通信服务商完成技术对接，现已可</w:t>
      </w:r>
    </w:p>
    <w:p>
      <w:pPr>
        <w:pStyle w:val="BodyText"/>
        <w:spacing w:line="240" w:lineRule="auto" w:before="66"/>
        <w:ind w:right="0"/>
        <w:jc w:val="both"/>
      </w:pPr>
      <w:r>
        <w:rPr/>
        <w:t>同时提供多种类、多通道通信能力。</w:t>
      </w:r>
    </w:p>
    <w:p>
      <w:pPr>
        <w:spacing w:line="240" w:lineRule="auto" w:before="3"/>
        <w:rPr>
          <w:rFonts w:ascii="宋体" w:hAnsi="宋体" w:cs="宋体" w:eastAsia="宋体" w:hint="default"/>
          <w:sz w:val="14"/>
          <w:szCs w:val="14"/>
        </w:rPr>
      </w:pPr>
    </w:p>
    <w:p>
      <w:pPr>
        <w:pStyle w:val="BodyText"/>
        <w:spacing w:line="288" w:lineRule="auto"/>
        <w:ind w:right="207" w:firstLine="419"/>
        <w:jc w:val="both"/>
      </w:pPr>
      <w:r>
        <w:rPr>
          <w:spacing w:val="-2"/>
        </w:rPr>
        <w:t>报告期内，用友通信公司的多方通话业务嘟嘟平台完成与用友网络、畅捷通公司、用友优普</w:t>
      </w:r>
      <w:r>
        <w:rPr>
          <w:w w:val="100"/>
        </w:rPr>
        <w:t> </w:t>
      </w:r>
      <w:r>
        <w:rPr>
          <w:spacing w:val="-1"/>
        </w:rPr>
        <w:t>公司、用友超客公司的产品对接，帮助企业充分连接客户，并积极参与用友超客公司的“企业空</w:t>
      </w:r>
      <w:r>
        <w:rPr>
          <w:spacing w:val="-55"/>
        </w:rPr>
        <w:t> </w:t>
      </w:r>
      <w:r>
        <w:rPr>
          <w:spacing w:val="-55"/>
        </w:rPr>
      </w:r>
      <w:r>
        <w:rPr>
          <w:spacing w:val="-11"/>
        </w:rPr>
        <w:t>间”发布会和“链接我的客户”发布会、阿里云栖大会、</w:t>
      </w:r>
      <w:r>
        <w:rPr>
          <w:rFonts w:ascii="Calibri" w:hAnsi="Calibri" w:cs="Calibri" w:eastAsia="Calibri" w:hint="default"/>
          <w:spacing w:val="-11"/>
        </w:rPr>
        <w:t>2015 </w:t>
      </w:r>
      <w:r>
        <w:rPr/>
        <w:t>国际虚拟运营峰会十余场市场活动，</w:t>
      </w:r>
      <w:r>
        <w:rPr>
          <w:spacing w:val="-72"/>
        </w:rPr>
        <w:t> </w:t>
      </w:r>
      <w:r>
        <w:rPr>
          <w:spacing w:val="-72"/>
        </w:rPr>
      </w:r>
      <w:r>
        <w:rPr>
          <w:spacing w:val="-4"/>
        </w:rPr>
        <w:t>增加嘟嘟平台的行业曝光，提升品牌知晓度。嘟嘟平台推动了“通信能力</w:t>
      </w:r>
      <w:r>
        <w:rPr>
          <w:rFonts w:ascii="Calibri" w:hAnsi="Calibri" w:cs="Calibri" w:eastAsia="Calibri" w:hint="default"/>
          <w:spacing w:val="-4"/>
        </w:rPr>
        <w:t>+</w:t>
      </w:r>
      <w:r>
        <w:rPr>
          <w:spacing w:val="-4"/>
        </w:rPr>
        <w:t>管理软件”这一互联网</w:t>
      </w:r>
    </w:p>
    <w:p>
      <w:pPr>
        <w:pStyle w:val="BodyText"/>
        <w:spacing w:line="283" w:lineRule="auto"/>
        <w:ind w:right="208"/>
        <w:jc w:val="both"/>
      </w:pPr>
      <w:r>
        <w:rPr>
          <w:rFonts w:ascii="Calibri" w:hAnsi="Calibri" w:cs="Calibri" w:eastAsia="Calibri" w:hint="default"/>
          <w:spacing w:val="-4"/>
        </w:rPr>
        <w:t>+</w:t>
      </w:r>
      <w:r>
        <w:rPr>
          <w:spacing w:val="-4"/>
        </w:rPr>
        <w:t>时期的创新融合模式，在公司内部以及转售市场、多方通信行业内均引起了广大的反响，收获了</w:t>
      </w:r>
      <w:r>
        <w:rPr>
          <w:spacing w:val="-33"/>
        </w:rPr>
        <w:t> </w:t>
      </w:r>
      <w:r>
        <w:rPr>
          <w:spacing w:val="-33"/>
        </w:rPr>
      </w:r>
      <w:r>
        <w:rPr>
          <w:spacing w:val="-1"/>
        </w:rPr>
        <w:t>来自各个层面的对用友嘟嘟的关注。报告期内，用友通信公司围绕重要融合产品解决方案“用友</w:t>
      </w:r>
      <w:r>
        <w:rPr>
          <w:spacing w:val="-55"/>
        </w:rPr>
        <w:t> </w:t>
      </w:r>
      <w:r>
        <w:rPr>
          <w:spacing w:val="-55"/>
        </w:rPr>
      </w:r>
      <w:r>
        <w:rPr>
          <w:spacing w:val="-1"/>
        </w:rPr>
        <w:t>工作手机”开展市场活动，通过联合用友优普公司举行的系列“用友工作手机”巡展，取得了更</w:t>
      </w:r>
      <w:r>
        <w:rPr>
          <w:spacing w:val="-55"/>
        </w:rPr>
        <w:t> </w:t>
      </w:r>
      <w:r>
        <w:rPr>
          <w:spacing w:val="-55"/>
        </w:rPr>
      </w:r>
      <w:r>
        <w:rPr>
          <w:spacing w:val="-4"/>
        </w:rPr>
        <w:t>多伙伴及客户的关注，微信粉丝关注量翻倍，文章阅读量大幅提高，并形成大量的有效转载，</w:t>
      </w:r>
      <w:r>
        <w:rPr>
          <w:rFonts w:ascii="Calibri" w:hAnsi="Calibri" w:cs="Calibri" w:eastAsia="Calibri" w:hint="default"/>
          <w:spacing w:val="-4"/>
        </w:rPr>
        <w:t>170</w:t>
      </w:r>
      <w:r>
        <w:rPr>
          <w:rFonts w:ascii="Calibri" w:hAnsi="Calibri" w:cs="Calibri" w:eastAsia="Calibri" w:hint="default"/>
          <w:spacing w:val="18"/>
        </w:rPr>
        <w:t> </w:t>
      </w:r>
      <w:r>
        <w:rPr/>
        <w:t>号卡用户数获得了稳步增长。</w:t>
      </w:r>
    </w:p>
    <w:p>
      <w:pPr>
        <w:pStyle w:val="BodyText"/>
        <w:spacing w:line="240" w:lineRule="auto" w:before="148"/>
        <w:ind w:left="558" w:right="103"/>
        <w:jc w:val="left"/>
      </w:pPr>
      <w:r>
        <w:rPr>
          <w:spacing w:val="-4"/>
        </w:rPr>
        <w:t>报告期内，用友通信公司已累计发展</w:t>
      </w:r>
      <w:r>
        <w:rPr>
          <w:spacing w:val="-39"/>
        </w:rPr>
        <w:t> </w:t>
      </w:r>
      <w:r>
        <w:rPr>
          <w:rFonts w:ascii="Calibri" w:hAnsi="Calibri" w:cs="Calibri" w:eastAsia="Calibri" w:hint="default"/>
        </w:rPr>
        <w:t>310</w:t>
      </w:r>
      <w:r>
        <w:rPr>
          <w:rFonts w:ascii="Calibri" w:hAnsi="Calibri" w:cs="Calibri" w:eastAsia="Calibri" w:hint="default"/>
          <w:spacing w:val="21"/>
        </w:rPr>
        <w:t> </w:t>
      </w:r>
      <w:r>
        <w:rPr>
          <w:spacing w:val="-3"/>
        </w:rPr>
        <w:t>多家伙伴开始销售嘟嘟产品，发展新增用户</w:t>
      </w:r>
      <w:r>
        <w:rPr>
          <w:spacing w:val="-41"/>
        </w:rPr>
        <w:t> </w:t>
      </w:r>
      <w:r>
        <w:rPr>
          <w:rFonts w:ascii="Calibri" w:hAnsi="Calibri" w:cs="Calibri" w:eastAsia="Calibri" w:hint="default"/>
        </w:rPr>
        <w:t>17.1</w:t>
      </w:r>
      <w:r>
        <w:rPr>
          <w:rFonts w:ascii="Calibri" w:hAnsi="Calibri" w:cs="Calibri" w:eastAsia="Calibri" w:hint="default"/>
          <w:spacing w:val="17"/>
        </w:rPr>
        <w:t> </w:t>
      </w:r>
      <w:r>
        <w:rPr/>
        <w:t>万</w:t>
      </w:r>
    </w:p>
    <w:p>
      <w:pPr>
        <w:pStyle w:val="BodyText"/>
        <w:spacing w:line="240" w:lineRule="auto" w:before="39"/>
        <w:ind w:right="0"/>
        <w:jc w:val="both"/>
      </w:pPr>
      <w:r>
        <w:rPr/>
        <w:t>户，企业客户近万家，日活跃企业客户近千户，日通话次数达 </w:t>
      </w:r>
      <w:r>
        <w:rPr>
          <w:rFonts w:ascii="Calibri" w:hAnsi="Calibri" w:cs="Calibri" w:eastAsia="Calibri" w:hint="default"/>
        </w:rPr>
        <w:t>3,000</w:t>
      </w:r>
      <w:r>
        <w:rPr>
          <w:rFonts w:ascii="Calibri" w:hAnsi="Calibri" w:cs="Calibri" w:eastAsia="Calibri" w:hint="default"/>
          <w:spacing w:val="2"/>
        </w:rPr>
        <w:t> </w:t>
      </w:r>
      <w:r>
        <w:rPr/>
        <w:t>余次；“用友工作手机”累</w:t>
      </w:r>
    </w:p>
    <w:p>
      <w:pPr>
        <w:pStyle w:val="BodyText"/>
        <w:spacing w:line="271" w:lineRule="auto" w:before="39"/>
        <w:ind w:right="208"/>
        <w:jc w:val="both"/>
      </w:pPr>
      <w:r>
        <w:rPr/>
        <w:t>计发展企业用户</w:t>
      </w:r>
      <w:r>
        <w:rPr>
          <w:spacing w:val="-49"/>
        </w:rPr>
        <w:t> </w:t>
      </w:r>
      <w:r>
        <w:rPr>
          <w:rFonts w:ascii="Calibri" w:hAnsi="Calibri" w:cs="Calibri" w:eastAsia="Calibri" w:hint="default"/>
        </w:rPr>
        <w:t>126</w:t>
      </w:r>
      <w:r>
        <w:rPr>
          <w:rFonts w:ascii="Calibri" w:hAnsi="Calibri" w:cs="Calibri" w:eastAsia="Calibri" w:hint="default"/>
          <w:spacing w:val="10"/>
        </w:rPr>
        <w:t> </w:t>
      </w:r>
      <w:r>
        <w:rPr>
          <w:spacing w:val="-4"/>
        </w:rPr>
        <w:t>家，累计放号</w:t>
      </w:r>
      <w:r>
        <w:rPr>
          <w:spacing w:val="-51"/>
        </w:rPr>
        <w:t> </w:t>
      </w:r>
      <w:r>
        <w:rPr>
          <w:rFonts w:ascii="Calibri" w:hAnsi="Calibri" w:cs="Calibri" w:eastAsia="Calibri" w:hint="default"/>
        </w:rPr>
        <w:t>6,000</w:t>
      </w:r>
      <w:r>
        <w:rPr>
          <w:rFonts w:ascii="Calibri" w:hAnsi="Calibri" w:cs="Calibri" w:eastAsia="Calibri" w:hint="default"/>
          <w:spacing w:val="10"/>
        </w:rPr>
        <w:t> </w:t>
      </w:r>
      <w:r>
        <w:rPr>
          <w:spacing w:val="-3"/>
        </w:rPr>
        <w:t>余户，在网活跃用户近</w:t>
      </w:r>
      <w:r>
        <w:rPr>
          <w:spacing w:val="-51"/>
        </w:rPr>
        <w:t> </w:t>
      </w:r>
      <w:r>
        <w:rPr>
          <w:rFonts w:ascii="Calibri" w:hAnsi="Calibri" w:cs="Calibri" w:eastAsia="Calibri" w:hint="default"/>
        </w:rPr>
        <w:t>5,000</w:t>
      </w:r>
      <w:r>
        <w:rPr>
          <w:rFonts w:ascii="Calibri" w:hAnsi="Calibri" w:cs="Calibri" w:eastAsia="Calibri" w:hint="default"/>
          <w:spacing w:val="10"/>
        </w:rPr>
        <w:t> </w:t>
      </w:r>
      <w:r>
        <w:rPr>
          <w:spacing w:val="-4"/>
        </w:rPr>
        <w:t>余户，活跃率达</w:t>
      </w:r>
      <w:r>
        <w:rPr>
          <w:spacing w:val="-51"/>
        </w:rPr>
        <w:t> </w:t>
      </w:r>
      <w:r>
        <w:rPr>
          <w:rFonts w:ascii="Calibri" w:hAnsi="Calibri" w:cs="Calibri" w:eastAsia="Calibri" w:hint="default"/>
          <w:spacing w:val="-3"/>
        </w:rPr>
        <w:t>81.5%</w:t>
      </w:r>
      <w:r>
        <w:rPr>
          <w:spacing w:val="-3"/>
        </w:rPr>
        <w:t>，远</w:t>
      </w:r>
      <w:r>
        <w:rPr>
          <w:spacing w:val="-103"/>
        </w:rPr>
        <w:t> </w:t>
      </w:r>
      <w:r>
        <w:rPr>
          <w:spacing w:val="-103"/>
        </w:rPr>
      </w:r>
      <w:r>
        <w:rPr/>
        <w:t>高于同行业企业的活跃度。</w:t>
      </w:r>
    </w:p>
    <w:p>
      <w:pPr>
        <w:pStyle w:val="BodyText"/>
        <w:spacing w:line="240" w:lineRule="auto" w:before="159"/>
        <w:ind w:left="558" w:right="103"/>
        <w:jc w:val="left"/>
      </w:pPr>
      <w:r>
        <w:rPr>
          <w:rFonts w:ascii="Calibri" w:hAnsi="Calibri" w:cs="Calibri" w:eastAsia="Calibri" w:hint="default"/>
        </w:rPr>
        <w:t>2</w:t>
      </w:r>
      <w:r>
        <w:rPr/>
        <w:t>）电商通</w:t>
      </w:r>
    </w:p>
    <w:p>
      <w:pPr>
        <w:pStyle w:val="BodyText"/>
        <w:spacing w:line="283" w:lineRule="auto" w:before="156"/>
        <w:ind w:right="207" w:firstLine="419"/>
        <w:jc w:val="both"/>
      </w:pPr>
      <w:r>
        <w:rPr/>
        <w:t>报告期内，公司于</w:t>
      </w:r>
      <w:r>
        <w:rPr>
          <w:spacing w:val="-55"/>
        </w:rPr>
        <w:t> </w:t>
      </w:r>
      <w:r>
        <w:rPr>
          <w:rFonts w:ascii="Calibri" w:hAnsi="Calibri" w:cs="Calibri" w:eastAsia="Calibri" w:hint="default"/>
        </w:rPr>
        <w:t>2015</w:t>
      </w:r>
      <w:r>
        <w:rPr>
          <w:rFonts w:ascii="Calibri" w:hAnsi="Calibri" w:cs="Calibri" w:eastAsia="Calibri" w:hint="default"/>
          <w:spacing w:val="3"/>
        </w:rPr>
        <w:t> </w:t>
      </w:r>
      <w:r>
        <w:rPr/>
        <w:t>年</w:t>
      </w:r>
      <w:r>
        <w:rPr>
          <w:spacing w:val="-54"/>
        </w:rPr>
        <w:t> </w:t>
      </w:r>
      <w:r>
        <w:rPr>
          <w:rFonts w:ascii="Calibri" w:hAnsi="Calibri" w:cs="Calibri" w:eastAsia="Calibri" w:hint="default"/>
        </w:rPr>
        <w:t>9</w:t>
      </w:r>
      <w:r>
        <w:rPr>
          <w:rFonts w:ascii="Calibri" w:hAnsi="Calibri" w:cs="Calibri" w:eastAsia="Calibri" w:hint="default"/>
          <w:spacing w:val="5"/>
        </w:rPr>
        <w:t> </w:t>
      </w:r>
      <w:r>
        <w:rPr/>
        <w:t>月</w:t>
      </w:r>
      <w:r>
        <w:rPr>
          <w:spacing w:val="-56"/>
        </w:rPr>
        <w:t> </w:t>
      </w:r>
      <w:r>
        <w:rPr>
          <w:rFonts w:ascii="Calibri" w:hAnsi="Calibri" w:cs="Calibri" w:eastAsia="Calibri" w:hint="default"/>
        </w:rPr>
        <w:t>30</w:t>
      </w:r>
      <w:r>
        <w:rPr>
          <w:rFonts w:ascii="Calibri" w:hAnsi="Calibri" w:cs="Calibri" w:eastAsia="Calibri" w:hint="default"/>
          <w:spacing w:val="5"/>
        </w:rPr>
        <w:t> </w:t>
      </w:r>
      <w:r>
        <w:rPr/>
        <w:t>日推出了公有云应用服务产品“电商通”。电商通支持对</w:t>
      </w:r>
      <w:r>
        <w:rPr>
          <w:w w:val="100"/>
        </w:rPr>
        <w:t> </w:t>
      </w:r>
      <w:r>
        <w:rPr/>
        <w:t>接</w:t>
      </w:r>
      <w:r>
        <w:rPr>
          <w:spacing w:val="-47"/>
        </w:rPr>
        <w:t> </w:t>
      </w:r>
      <w:r>
        <w:rPr>
          <w:rFonts w:ascii="Calibri" w:hAnsi="Calibri" w:cs="Calibri" w:eastAsia="Calibri" w:hint="default"/>
        </w:rPr>
        <w:t>U8\U9\T</w:t>
      </w:r>
      <w:r>
        <w:rPr>
          <w:rFonts w:ascii="Calibri" w:hAnsi="Calibri" w:cs="Calibri" w:eastAsia="Calibri" w:hint="default"/>
          <w:position w:val="10"/>
          <w:sz w:val="14"/>
          <w:szCs w:val="14"/>
        </w:rPr>
        <w:t>+</w:t>
      </w:r>
      <w:r>
        <w:rPr>
          <w:rFonts w:ascii="Calibri" w:hAnsi="Calibri" w:cs="Calibri" w:eastAsia="Calibri" w:hint="default"/>
        </w:rPr>
        <w:t>\NC</w:t>
      </w:r>
      <w:r>
        <w:rPr>
          <w:rFonts w:ascii="Calibri" w:hAnsi="Calibri" w:cs="Calibri" w:eastAsia="Calibri" w:hint="default"/>
          <w:spacing w:val="9"/>
        </w:rPr>
        <w:t> </w:t>
      </w:r>
      <w:r>
        <w:rPr/>
        <w:t>等用友全系列产品，以实现电商前端业务和后端系统间的数据传输和共享，在与</w:t>
      </w:r>
      <w:r>
        <w:rPr>
          <w:spacing w:val="-3"/>
          <w:w w:val="100"/>
        </w:rPr>
        <w:t> </w:t>
      </w:r>
      <w:r>
        <w:rPr>
          <w:spacing w:val="-7"/>
        </w:rPr>
        <w:t>阿里巴巴的合作中，处理了大量来自淘宝等第三方电商平台的订单和物流管理，经历了“双十一”</w:t>
      </w:r>
      <w:r>
        <w:rPr>
          <w:spacing w:val="-13"/>
        </w:rPr>
        <w:t> </w:t>
      </w:r>
      <w:r>
        <w:rPr>
          <w:spacing w:val="-13"/>
        </w:rPr>
      </w:r>
      <w:r>
        <w:rPr>
          <w:spacing w:val="-1"/>
        </w:rPr>
        <w:t>的客户使用考验，初具流量规模。电商通下一步将接入京东、一号店、亚马逊等所有主流第三方</w:t>
      </w:r>
      <w:r>
        <w:rPr>
          <w:spacing w:val="-55"/>
        </w:rPr>
        <w:t> </w:t>
      </w:r>
      <w:r>
        <w:rPr>
          <w:spacing w:val="-55"/>
        </w:rPr>
      </w:r>
      <w:r>
        <w:rPr/>
        <w:t>电商平台。</w:t>
      </w:r>
    </w:p>
    <w:p>
      <w:pPr>
        <w:pStyle w:val="BodyText"/>
        <w:spacing w:line="367" w:lineRule="auto" w:before="148"/>
        <w:ind w:left="558" w:right="103"/>
        <w:jc w:val="left"/>
      </w:pPr>
      <w:r>
        <w:rPr>
          <w:rFonts w:ascii="Calibri" w:hAnsi="Calibri" w:cs="Calibri" w:eastAsia="Calibri" w:hint="default"/>
        </w:rPr>
        <w:t>3</w:t>
      </w:r>
      <w:r>
        <w:rPr/>
        <w:t>）其他企业互联网服务业务</w:t>
      </w:r>
      <w:r>
        <w:rPr>
          <w:w w:val="100"/>
        </w:rPr>
        <w:t> </w:t>
      </w:r>
      <w:r>
        <w:rPr>
          <w:spacing w:val="-2"/>
        </w:rPr>
        <w:t>报告期内，公司面向政府行业推出了政府采购电商平台服务、政府采购大数据分析服务，面</w:t>
      </w:r>
    </w:p>
    <w:p>
      <w:pPr>
        <w:pStyle w:val="BodyText"/>
        <w:spacing w:line="228" w:lineRule="exact"/>
        <w:ind w:right="0"/>
        <w:jc w:val="both"/>
      </w:pPr>
      <w:r>
        <w:rPr/>
        <w:t>向医疗行业推出了医疗耗材电子采购平台，加快基于互联网运营模式的医疗物资交易平台研发与</w:t>
      </w:r>
    </w:p>
    <w:p>
      <w:pPr>
        <w:pStyle w:val="BodyText"/>
        <w:spacing w:line="240" w:lineRule="auto" w:before="66"/>
        <w:ind w:right="0"/>
        <w:jc w:val="both"/>
      </w:pPr>
      <w:r>
        <w:rPr/>
        <w:t>部署，面向汽车行业加大了汽车后市场云服务业务的推广工作。</w:t>
      </w:r>
    </w:p>
    <w:p>
      <w:pPr>
        <w:spacing w:line="240" w:lineRule="auto" w:before="3"/>
        <w:rPr>
          <w:rFonts w:ascii="宋体" w:hAnsi="宋体" w:cs="宋体" w:eastAsia="宋体" w:hint="default"/>
          <w:sz w:val="14"/>
          <w:szCs w:val="14"/>
        </w:rPr>
      </w:pPr>
    </w:p>
    <w:p>
      <w:pPr>
        <w:pStyle w:val="BodyText"/>
        <w:spacing w:line="240" w:lineRule="auto"/>
        <w:ind w:left="558" w:right="103"/>
        <w:jc w:val="left"/>
      </w:pPr>
      <w:r>
        <w:rPr/>
        <w:t>（</w:t>
      </w:r>
      <w:r>
        <w:rPr>
          <w:rFonts w:ascii="Calibri" w:hAnsi="Calibri" w:cs="Calibri" w:eastAsia="Calibri" w:hint="default"/>
        </w:rPr>
        <w:t>5</w:t>
      </w:r>
      <w:r>
        <w:rPr/>
        <w:t>）云平台发展情况</w:t>
      </w:r>
    </w:p>
    <w:p>
      <w:pPr>
        <w:pStyle w:val="BodyText"/>
        <w:spacing w:line="240" w:lineRule="auto" w:before="159"/>
        <w:ind w:left="558" w:right="103"/>
        <w:jc w:val="left"/>
      </w:pPr>
      <w:r>
        <w:rPr>
          <w:rFonts w:ascii="Calibri" w:hAnsi="Calibri" w:cs="Calibri" w:eastAsia="Calibri" w:hint="default"/>
        </w:rPr>
        <w:t>1</w:t>
      </w:r>
      <w:r>
        <w:rPr/>
        <w:t>）</w:t>
      </w:r>
      <w:r>
        <w:rPr>
          <w:rFonts w:ascii="Calibri" w:hAnsi="Calibri" w:cs="Calibri" w:eastAsia="Calibri" w:hint="default"/>
        </w:rPr>
        <w:t>iUAP</w:t>
      </w:r>
      <w:r>
        <w:rPr>
          <w:rFonts w:ascii="Calibri" w:hAnsi="Calibri" w:cs="Calibri" w:eastAsia="Calibri" w:hint="default"/>
          <w:spacing w:val="5"/>
        </w:rPr>
        <w:t> </w:t>
      </w:r>
      <w:r>
        <w:rPr/>
        <w:t>平台</w:t>
      </w:r>
    </w:p>
    <w:p>
      <w:pPr>
        <w:pStyle w:val="BodyText"/>
        <w:spacing w:line="278" w:lineRule="auto" w:before="159"/>
        <w:ind w:right="99" w:firstLine="419"/>
        <w:jc w:val="left"/>
      </w:pPr>
      <w:r>
        <w:rPr/>
        <w:t>报告期内，公司持续发展</w:t>
      </w:r>
      <w:r>
        <w:rPr>
          <w:spacing w:val="-46"/>
        </w:rPr>
        <w:t> </w:t>
      </w:r>
      <w:r>
        <w:rPr>
          <w:rFonts w:ascii="Calibri" w:hAnsi="Calibri" w:cs="Calibri" w:eastAsia="Calibri" w:hint="default"/>
        </w:rPr>
        <w:t>iUAP</w:t>
      </w:r>
      <w:r>
        <w:rPr>
          <w:rFonts w:ascii="Calibri" w:hAnsi="Calibri" w:cs="Calibri" w:eastAsia="Calibri" w:hint="default"/>
          <w:spacing w:val="11"/>
        </w:rPr>
        <w:t> </w:t>
      </w:r>
      <w:r>
        <w:rPr/>
        <w:t>企业互联网开放平台，公司在企业大数据、企业互联网应用、</w:t>
      </w:r>
      <w:r>
        <w:rPr>
          <w:w w:val="100"/>
        </w:rPr>
        <w:t> </w:t>
      </w:r>
      <w:r>
        <w:rPr/>
        <w:t>主数据、业务流程处理，企业移动化领域签署多个战略项目，获得市场进一步认可。期间发布了</w:t>
      </w:r>
      <w:r>
        <w:rPr>
          <w:spacing w:val="-97"/>
        </w:rPr>
        <w:t> </w:t>
      </w:r>
      <w:r>
        <w:rPr>
          <w:spacing w:val="-97"/>
        </w:rPr>
      </w:r>
      <w:r>
        <w:rPr>
          <w:rFonts w:ascii="Calibri" w:hAnsi="Calibri" w:cs="Calibri" w:eastAsia="Calibri" w:hint="default"/>
        </w:rPr>
        <w:t>iUAP2.0</w:t>
      </w:r>
      <w:r>
        <w:rPr/>
        <w:t>、运维平台</w:t>
      </w:r>
      <w:r>
        <w:rPr>
          <w:spacing w:val="-55"/>
        </w:rPr>
        <w:t> </w:t>
      </w:r>
      <w:r>
        <w:rPr>
          <w:rFonts w:ascii="Calibri" w:hAnsi="Calibri" w:cs="Calibri" w:eastAsia="Calibri" w:hint="default"/>
        </w:rPr>
        <w:t>2.0</w:t>
      </w:r>
      <w:r>
        <w:rPr/>
        <w:t>、</w:t>
      </w:r>
      <w:r>
        <w:rPr>
          <w:rFonts w:ascii="Calibri" w:hAnsi="Calibri" w:cs="Calibri" w:eastAsia="Calibri" w:hint="default"/>
        </w:rPr>
        <w:t>UAP</w:t>
      </w:r>
      <w:r>
        <w:rPr>
          <w:rFonts w:ascii="Calibri" w:hAnsi="Calibri" w:cs="Calibri" w:eastAsia="Calibri" w:hint="default"/>
          <w:spacing w:val="15"/>
        </w:rPr>
        <w:t> </w:t>
      </w:r>
      <w:r>
        <w:rPr>
          <w:rFonts w:ascii="Calibri" w:hAnsi="Calibri" w:cs="Calibri" w:eastAsia="Calibri" w:hint="default"/>
        </w:rPr>
        <w:t>Sever6.5</w:t>
      </w:r>
      <w:r>
        <w:rPr/>
        <w:t>、</w:t>
      </w:r>
      <w:r>
        <w:rPr>
          <w:rFonts w:ascii="Calibri" w:hAnsi="Calibri" w:cs="Calibri" w:eastAsia="Calibri" w:hint="default"/>
        </w:rPr>
        <w:t>UAP </w:t>
      </w:r>
      <w:r>
        <w:rPr/>
        <w:t>应用平台</w:t>
      </w:r>
      <w:r>
        <w:rPr>
          <w:spacing w:val="-54"/>
        </w:rPr>
        <w:t> </w:t>
      </w:r>
      <w:r>
        <w:rPr>
          <w:rFonts w:ascii="Calibri" w:hAnsi="Calibri" w:cs="Calibri" w:eastAsia="Calibri" w:hint="default"/>
        </w:rPr>
        <w:t>6.5</w:t>
      </w:r>
      <w:r>
        <w:rPr/>
        <w:t>、</w:t>
      </w:r>
      <w:r>
        <w:rPr>
          <w:rFonts w:ascii="Calibri" w:hAnsi="Calibri" w:cs="Calibri" w:eastAsia="Calibri" w:hint="default"/>
        </w:rPr>
        <w:t>ESB6.5</w:t>
      </w:r>
      <w:r>
        <w:rPr/>
        <w:t>、开发平台</w:t>
      </w:r>
      <w:r>
        <w:rPr>
          <w:spacing w:val="-57"/>
        </w:rPr>
        <w:t> </w:t>
      </w:r>
      <w:r>
        <w:rPr>
          <w:rFonts w:ascii="Calibri" w:hAnsi="Calibri" w:cs="Calibri" w:eastAsia="Calibri" w:hint="default"/>
        </w:rPr>
        <w:t>6.5</w:t>
      </w:r>
      <w:r>
        <w:rPr/>
        <w:t>、</w:t>
      </w:r>
      <w:r>
        <w:rPr>
          <w:rFonts w:ascii="Calibri" w:hAnsi="Calibri" w:cs="Calibri" w:eastAsia="Calibri" w:hint="default"/>
        </w:rPr>
        <w:t>iUAP</w:t>
      </w:r>
      <w:r>
        <w:rPr>
          <w:rFonts w:ascii="Calibri" w:hAnsi="Calibri" w:cs="Calibri" w:eastAsia="Calibri" w:hint="default"/>
          <w:spacing w:val="15"/>
        </w:rPr>
        <w:t> </w:t>
      </w:r>
      <w:r>
        <w:rPr>
          <w:rFonts w:ascii="Calibri" w:hAnsi="Calibri" w:cs="Calibri" w:eastAsia="Calibri" w:hint="default"/>
        </w:rPr>
        <w:t>BPM2.0</w:t>
      </w:r>
      <w:r>
        <w:rPr/>
        <w:t>、</w:t>
      </w:r>
      <w:r>
        <w:rPr>
          <w:w w:val="100"/>
        </w:rPr>
        <w:t> </w:t>
      </w:r>
      <w:r>
        <w:rPr>
          <w:rFonts w:ascii="Calibri" w:hAnsi="Calibri" w:cs="Calibri" w:eastAsia="Calibri" w:hint="default"/>
        </w:rPr>
        <w:t>UAP</w:t>
      </w:r>
      <w:r>
        <w:rPr>
          <w:rFonts w:ascii="Calibri" w:hAnsi="Calibri" w:cs="Calibri" w:eastAsia="Calibri" w:hint="default"/>
          <w:spacing w:val="6"/>
        </w:rPr>
        <w:t> </w:t>
      </w:r>
      <w:r>
        <w:rPr>
          <w:rFonts w:ascii="Calibri" w:hAnsi="Calibri" w:cs="Calibri" w:eastAsia="Calibri" w:hint="default"/>
        </w:rPr>
        <w:t>Mobile2.7</w:t>
      </w:r>
      <w:r>
        <w:rPr/>
        <w:t>、</w:t>
      </w:r>
      <w:r>
        <w:rPr>
          <w:rFonts w:ascii="Calibri" w:hAnsi="Calibri" w:cs="Calibri" w:eastAsia="Calibri" w:hint="default"/>
        </w:rPr>
        <w:t>XBRL2.1</w:t>
      </w:r>
      <w:r>
        <w:rPr/>
        <w:t>、用友</w:t>
      </w:r>
      <w:r>
        <w:rPr>
          <w:spacing w:val="-56"/>
        </w:rPr>
        <w:t> </w:t>
      </w:r>
      <w:r>
        <w:rPr>
          <w:rFonts w:ascii="Calibri" w:hAnsi="Calibri" w:cs="Calibri" w:eastAsia="Calibri" w:hint="default"/>
        </w:rPr>
        <w:t>DI2.3</w:t>
      </w:r>
      <w:r>
        <w:rPr/>
        <w:t>、</w:t>
      </w:r>
      <w:r>
        <w:rPr>
          <w:rFonts w:ascii="Calibri" w:hAnsi="Calibri" w:cs="Calibri" w:eastAsia="Calibri" w:hint="default"/>
        </w:rPr>
        <w:t>BQ8.2</w:t>
      </w:r>
      <w:r>
        <w:rPr/>
        <w:t>、</w:t>
      </w:r>
      <w:r>
        <w:rPr>
          <w:rFonts w:ascii="Calibri" w:hAnsi="Calibri" w:cs="Calibri" w:eastAsia="Calibri" w:hint="default"/>
        </w:rPr>
        <w:t>iUAP</w:t>
      </w:r>
      <w:r>
        <w:rPr>
          <w:rFonts w:ascii="Calibri" w:hAnsi="Calibri" w:cs="Calibri" w:eastAsia="Calibri" w:hint="default"/>
          <w:spacing w:val="6"/>
        </w:rPr>
        <w:t> </w:t>
      </w:r>
      <w:r>
        <w:rPr>
          <w:rFonts w:ascii="Calibri" w:hAnsi="Calibri" w:cs="Calibri" w:eastAsia="Calibri" w:hint="default"/>
        </w:rPr>
        <w:t>Soma2.0</w:t>
      </w:r>
      <w:r>
        <w:rPr/>
        <w:t>。云服务方面，用友有信公有云服务</w:t>
      </w:r>
      <w:r>
        <w:rPr>
          <w:w w:val="100"/>
        </w:rPr>
        <w:t> </w:t>
      </w:r>
      <w:r>
        <w:rPr>
          <w:rFonts w:ascii="Calibri" w:hAnsi="Calibri" w:cs="Calibri" w:eastAsia="Calibri" w:hint="default"/>
        </w:rPr>
        <w:t>2.0 </w:t>
      </w:r>
      <w:r>
        <w:rPr/>
        <w:t>发布，短信服务</w:t>
      </w:r>
      <w:r>
        <w:rPr>
          <w:spacing w:val="-56"/>
        </w:rPr>
        <w:t> </w:t>
      </w:r>
      <w:r>
        <w:rPr>
          <w:rFonts w:ascii="Calibri" w:hAnsi="Calibri" w:cs="Calibri" w:eastAsia="Calibri" w:hint="default"/>
        </w:rPr>
        <w:t>Umessage</w:t>
      </w:r>
      <w:r>
        <w:rPr>
          <w:rFonts w:ascii="Calibri" w:hAnsi="Calibri" w:cs="Calibri" w:eastAsia="Calibri" w:hint="default"/>
          <w:spacing w:val="-3"/>
        </w:rPr>
        <w:t> </w:t>
      </w:r>
      <w:r>
        <w:rPr>
          <w:rFonts w:ascii="Calibri" w:hAnsi="Calibri" w:cs="Calibri" w:eastAsia="Calibri" w:hint="default"/>
        </w:rPr>
        <w:t>2.0</w:t>
      </w:r>
      <w:r>
        <w:rPr>
          <w:rFonts w:ascii="Calibri" w:hAnsi="Calibri" w:cs="Calibri" w:eastAsia="Calibri" w:hint="default"/>
          <w:spacing w:val="4"/>
        </w:rPr>
        <w:t> </w:t>
      </w:r>
      <w:r>
        <w:rPr/>
        <w:t>发布，云审流程云服务上线运行。</w:t>
      </w:r>
    </w:p>
    <w:p>
      <w:pPr>
        <w:pStyle w:val="BodyText"/>
        <w:spacing w:line="240" w:lineRule="auto" w:before="118"/>
        <w:ind w:left="558" w:right="103"/>
        <w:jc w:val="left"/>
      </w:pPr>
      <w:r>
        <w:rPr>
          <w:spacing w:val="-4"/>
        </w:rPr>
        <w:t>报告期内，用友 </w:t>
      </w:r>
      <w:r>
        <w:rPr>
          <w:rFonts w:ascii="Calibri" w:hAnsi="Calibri" w:cs="Calibri" w:eastAsia="Calibri" w:hint="default"/>
        </w:rPr>
        <w:t>iUAP</w:t>
      </w:r>
      <w:r>
        <w:rPr>
          <w:rFonts w:ascii="Calibri" w:hAnsi="Calibri" w:cs="Calibri" w:eastAsia="Calibri" w:hint="default"/>
          <w:spacing w:val="15"/>
        </w:rPr>
        <w:t> </w:t>
      </w:r>
      <w:r>
        <w:rPr>
          <w:spacing w:val="-4"/>
        </w:rPr>
        <w:t>贯彻执行对伙伴的全面开放政策，包括拥抱开源、全面开放、知识共享</w:t>
      </w:r>
    </w:p>
    <w:p>
      <w:pPr>
        <w:spacing w:after="0" w:line="240" w:lineRule="auto"/>
        <w:jc w:val="left"/>
        <w:sectPr>
          <w:pgSz w:w="11910" w:h="16840"/>
          <w:pgMar w:header="880" w:footer="1335" w:top="1120" w:bottom="1520" w:left="1660" w:right="1060"/>
        </w:sectPr>
      </w:pPr>
    </w:p>
    <w:p>
      <w:pPr>
        <w:spacing w:line="240" w:lineRule="auto" w:before="4"/>
        <w:rPr>
          <w:rFonts w:ascii="宋体" w:hAnsi="宋体" w:cs="宋体" w:eastAsia="宋体" w:hint="default"/>
          <w:sz w:val="25"/>
          <w:szCs w:val="25"/>
        </w:rPr>
      </w:pPr>
    </w:p>
    <w:p>
      <w:pPr>
        <w:pStyle w:val="BodyText"/>
        <w:spacing w:line="384" w:lineRule="auto" w:before="36"/>
        <w:ind w:left="558" w:right="144" w:hanging="420"/>
        <w:jc w:val="left"/>
      </w:pPr>
      <w:r>
        <w:rPr/>
        <w:t>等，并积极展开与高校间全面合作，包括技术联合实验室、课题攻关、课程开设等。</w:t>
      </w:r>
      <w:r>
        <w:rPr>
          <w:w w:val="100"/>
        </w:rPr>
        <w:t> </w:t>
      </w:r>
      <w:r>
        <w:rPr>
          <w:rFonts w:ascii="Calibri" w:hAnsi="Calibri" w:cs="Calibri" w:eastAsia="Calibri" w:hint="default"/>
        </w:rPr>
        <w:t>2</w:t>
      </w:r>
      <w:r>
        <w:rPr/>
        <w:t>）小微企业云服务平台</w:t>
      </w:r>
      <w:r>
        <w:rPr>
          <w:w w:val="100"/>
        </w:rPr>
        <w:t> </w:t>
      </w:r>
      <w:r>
        <w:rPr>
          <w:spacing w:val="-7"/>
          <w:w w:val="100"/>
        </w:rPr>
        <w:t>报告期内，畅捷通公司的小微企业云服务平台持续优化。开放平台发布了相关集成开发工具，</w:t>
      </w:r>
    </w:p>
    <w:p>
      <w:pPr>
        <w:pStyle w:val="BodyText"/>
        <w:spacing w:line="215" w:lineRule="exact"/>
        <w:ind w:right="0"/>
        <w:jc w:val="both"/>
      </w:pPr>
      <w:r>
        <w:rPr/>
        <w:t>提升了开发者的开发效率；运营系统不断完善，推出了企业管理工作台，实现了从订购、支付、</w:t>
      </w:r>
    </w:p>
    <w:p>
      <w:pPr>
        <w:pStyle w:val="BodyText"/>
        <w:spacing w:line="292" w:lineRule="auto" w:before="66"/>
        <w:ind w:right="147"/>
        <w:jc w:val="both"/>
      </w:pPr>
      <w:r>
        <w:rPr>
          <w:spacing w:val="-1"/>
        </w:rPr>
        <w:t>开通应用及服务商分润的全流程管理；运行平台优化了资源管理和负载均衡机制，提高了资源使</w:t>
      </w:r>
      <w:r>
        <w:rPr>
          <w:spacing w:val="-55"/>
        </w:rPr>
        <w:t> </w:t>
      </w:r>
      <w:r>
        <w:rPr>
          <w:spacing w:val="-55"/>
        </w:rPr>
      </w:r>
      <w:r>
        <w:rPr>
          <w:spacing w:val="-1"/>
        </w:rPr>
        <w:t>用率及运行的稳定性，发布了第三方开发商自助测试系统，大幅缩短了云应用的上线时间；公共</w:t>
      </w:r>
      <w:r>
        <w:rPr>
          <w:spacing w:val="-55"/>
        </w:rPr>
        <w:t> </w:t>
      </w:r>
      <w:r>
        <w:rPr>
          <w:spacing w:val="-55"/>
        </w:rPr>
      </w:r>
      <w:r>
        <w:rPr>
          <w:spacing w:val="-1"/>
        </w:rPr>
        <w:t>服务系统引入服务治理框架，优化了公共服务架构，提高了公共服务的开发效率及稳定性；智能</w:t>
      </w:r>
      <w:r>
        <w:rPr>
          <w:spacing w:val="-55"/>
        </w:rPr>
        <w:t> </w:t>
      </w:r>
      <w:r>
        <w:rPr>
          <w:spacing w:val="-55"/>
        </w:rPr>
      </w:r>
      <w:r>
        <w:rPr>
          <w:spacing w:val="-2"/>
        </w:rPr>
        <w:t>平台构建面向财会财经领域的语音识别结果纠错模型，支持易代账语音记账及</w:t>
      </w:r>
      <w:r>
        <w:rPr/>
        <w:t> </w:t>
      </w:r>
      <w:r>
        <w:rPr>
          <w:rFonts w:ascii="Calibri" w:hAnsi="Calibri" w:cs="Calibri" w:eastAsia="Calibri" w:hint="default"/>
          <w:spacing w:val="-4"/>
        </w:rPr>
        <w:t>T+</w:t>
      </w:r>
      <w:r>
        <w:rPr>
          <w:spacing w:val="-4"/>
        </w:rPr>
        <w:t>语音下单；大数</w:t>
      </w:r>
      <w:r>
        <w:rPr>
          <w:spacing w:val="-98"/>
        </w:rPr>
        <w:t> </w:t>
      </w:r>
      <w:r>
        <w:rPr>
          <w:spacing w:val="-98"/>
        </w:rPr>
      </w:r>
      <w:r>
        <w:rPr>
          <w:spacing w:val="-1"/>
        </w:rPr>
        <w:t>据平台研发了行为分析与运营分析大数据系统，在各个应用服务上推广并完善了埋点规范，实现</w:t>
      </w:r>
      <w:r>
        <w:rPr>
          <w:spacing w:val="-55"/>
        </w:rPr>
        <w:t> </w:t>
      </w:r>
      <w:r>
        <w:rPr>
          <w:spacing w:val="-55"/>
        </w:rPr>
      </w:r>
      <w:r>
        <w:rPr/>
        <w:t>了对各个应用及平台用户注册、留存、活跃数量等多维度分析的功能。</w:t>
      </w:r>
    </w:p>
    <w:p>
      <w:pPr>
        <w:spacing w:line="367" w:lineRule="auto" w:before="139"/>
        <w:ind w:left="558" w:right="144" w:firstLine="2"/>
        <w:jc w:val="left"/>
        <w:rPr>
          <w:rFonts w:ascii="宋体" w:hAnsi="宋体" w:cs="宋体" w:eastAsia="宋体" w:hint="default"/>
          <w:sz w:val="21"/>
          <w:szCs w:val="21"/>
        </w:rPr>
      </w:pPr>
      <w:r>
        <w:rPr>
          <w:rFonts w:ascii="Calibri" w:hAnsi="Calibri" w:cs="Calibri" w:eastAsia="Calibri" w:hint="default"/>
          <w:b/>
          <w:bCs/>
          <w:sz w:val="21"/>
          <w:szCs w:val="21"/>
        </w:rPr>
        <w:t>2</w:t>
      </w:r>
      <w:r>
        <w:rPr>
          <w:rFonts w:ascii="宋体" w:hAnsi="宋体" w:cs="宋体" w:eastAsia="宋体" w:hint="default"/>
          <w:b/>
          <w:bCs/>
          <w:sz w:val="21"/>
          <w:szCs w:val="21"/>
        </w:rPr>
        <w:t>、软件及服务业务发展情况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报告期内，公司软件及服务业务总体继续保持了管理软件市场的领先，行业类软件和小微企</w:t>
      </w:r>
    </w:p>
    <w:p>
      <w:pPr>
        <w:pStyle w:val="BodyText"/>
        <w:spacing w:line="229" w:lineRule="exact"/>
        <w:ind w:right="0"/>
        <w:jc w:val="both"/>
      </w:pPr>
      <w:r>
        <w:rPr/>
        <w:t>业管理软件取得良好业绩。公司在数字营销、共享服务领域实现了客户规模与解决方案的快速发</w:t>
      </w:r>
    </w:p>
    <w:p>
      <w:pPr>
        <w:pStyle w:val="BodyText"/>
        <w:spacing w:line="297" w:lineRule="auto" w:before="63"/>
        <w:ind w:right="147"/>
        <w:jc w:val="both"/>
      </w:pPr>
      <w:r>
        <w:rPr>
          <w:spacing w:val="-4"/>
        </w:rPr>
        <w:t>展，在深圳成立创新中心，加强企业移动应用平台研发创新。用友优普公司的</w:t>
      </w:r>
      <w:r>
        <w:rPr>
          <w:spacing w:val="-22"/>
        </w:rPr>
        <w:t> </w:t>
      </w:r>
      <w:r>
        <w:rPr>
          <w:rFonts w:ascii="宋体" w:hAnsi="宋体" w:cs="宋体" w:eastAsia="宋体" w:hint="default"/>
        </w:rPr>
        <w:t>U8</w:t>
      </w:r>
      <w:r>
        <w:rPr>
          <w:rFonts w:ascii="宋体" w:hAnsi="宋体" w:cs="宋体" w:eastAsia="宋体" w:hint="default"/>
          <w:spacing w:val="-27"/>
        </w:rPr>
        <w:t> </w:t>
      </w:r>
      <w:r>
        <w:rPr>
          <w:spacing w:val="-5"/>
        </w:rPr>
        <w:t>实施全分销，强</w:t>
      </w:r>
      <w:r>
        <w:rPr>
          <w:spacing w:val="-93"/>
        </w:rPr>
        <w:t> </w:t>
      </w:r>
      <w:r>
        <w:rPr>
          <w:spacing w:val="-93"/>
        </w:rPr>
      </w:r>
      <w:r>
        <w:rPr>
          <w:spacing w:val="-4"/>
        </w:rPr>
        <w:t>化产品和伙伴体系发展，实现了业务模式优化升级，</w:t>
      </w:r>
      <w:r>
        <w:rPr>
          <w:rFonts w:ascii="宋体" w:hAnsi="宋体" w:cs="宋体" w:eastAsia="宋体" w:hint="default"/>
          <w:spacing w:val="-4"/>
        </w:rPr>
        <w:t>O2O</w:t>
      </w:r>
      <w:r>
        <w:rPr>
          <w:spacing w:val="-4"/>
        </w:rPr>
        <w:t>、智能制造探索取得成效。其他行业公司</w:t>
      </w:r>
      <w:r>
        <w:rPr>
          <w:spacing w:val="-29"/>
        </w:rPr>
        <w:t> </w:t>
      </w:r>
      <w:r>
        <w:rPr>
          <w:spacing w:val="-29"/>
        </w:rPr>
      </w:r>
      <w:r>
        <w:rPr/>
        <w:t>在各自行业领域加强了互联网化的产品与业务发展。</w:t>
      </w:r>
    </w:p>
    <w:p>
      <w:pPr>
        <w:pStyle w:val="BodyText"/>
        <w:spacing w:line="462" w:lineRule="exact" w:before="11"/>
        <w:ind w:left="558" w:right="147"/>
        <w:jc w:val="left"/>
      </w:pPr>
      <w:r>
        <w:rPr/>
        <w:t>（</w:t>
      </w:r>
      <w:r>
        <w:rPr>
          <w:rFonts w:ascii="宋体" w:hAnsi="宋体" w:cs="宋体" w:eastAsia="宋体" w:hint="default"/>
        </w:rPr>
        <w:t>1</w:t>
      </w:r>
      <w:r>
        <w:rPr/>
        <w:t>）面向大型企业的解决方案与专业服务业务发展情况</w:t>
      </w:r>
      <w:r>
        <w:rPr>
          <w:w w:val="100"/>
        </w:rPr>
        <w:t> </w:t>
      </w:r>
      <w:r>
        <w:rPr>
          <w:spacing w:val="-5"/>
        </w:rPr>
        <w:t>报告期内，公司围绕大型企业互联网转型，积极推进公司的 </w:t>
      </w:r>
      <w:r>
        <w:rPr>
          <w:rFonts w:ascii="宋体" w:hAnsi="宋体" w:cs="宋体" w:eastAsia="宋体" w:hint="default"/>
        </w:rPr>
        <w:t>NC</w:t>
      </w:r>
      <w:r>
        <w:rPr>
          <w:rFonts w:ascii="宋体" w:hAnsi="宋体" w:cs="宋体" w:eastAsia="宋体" w:hint="default"/>
          <w:spacing w:val="-74"/>
        </w:rPr>
        <w:t> </w:t>
      </w:r>
      <w:r>
        <w:rPr/>
        <w:t>解决方案与专业服务的互联网</w:t>
      </w:r>
    </w:p>
    <w:p>
      <w:pPr>
        <w:pStyle w:val="BodyText"/>
        <w:spacing w:line="297" w:lineRule="auto" w:before="3"/>
        <w:ind w:right="147"/>
        <w:jc w:val="both"/>
      </w:pPr>
      <w:r>
        <w:rPr/>
        <w:t>化，帮助集团企业互联网转型，构建数字化商业生态。</w:t>
      </w:r>
      <w:r>
        <w:rPr>
          <w:rFonts w:ascii="宋体" w:hAnsi="宋体" w:cs="宋体" w:eastAsia="宋体" w:hint="default"/>
        </w:rPr>
        <w:t>NC</w:t>
      </w:r>
      <w:r>
        <w:rPr>
          <w:rFonts w:ascii="宋体" w:hAnsi="宋体" w:cs="宋体" w:eastAsia="宋体" w:hint="default"/>
          <w:spacing w:val="-33"/>
        </w:rPr>
        <w:t> </w:t>
      </w:r>
      <w:r>
        <w:rPr/>
        <w:t>产品线发布</w:t>
      </w:r>
      <w:r>
        <w:rPr>
          <w:spacing w:val="-33"/>
        </w:rPr>
        <w:t> </w:t>
      </w:r>
      <w:r>
        <w:rPr>
          <w:rFonts w:ascii="宋体" w:hAnsi="宋体" w:cs="宋体" w:eastAsia="宋体" w:hint="default"/>
        </w:rPr>
        <w:t>NC65</w:t>
      </w:r>
      <w:r>
        <w:rPr>
          <w:rFonts w:ascii="宋体" w:hAnsi="宋体" w:cs="宋体" w:eastAsia="宋体" w:hint="default"/>
          <w:spacing w:val="-36"/>
        </w:rPr>
        <w:t> </w:t>
      </w:r>
      <w:r>
        <w:rPr/>
        <w:t>最新版本，重点推进</w:t>
      </w:r>
      <w:r>
        <w:rPr>
          <w:w w:val="100"/>
        </w:rPr>
        <w:t> </w:t>
      </w:r>
      <w:r>
        <w:rPr>
          <w:spacing w:val="-1"/>
        </w:rPr>
        <w:t>开放互联、共享服务、用户体验和行业化解决方案。开放互联方面，公司加强了电子商务和数字</w:t>
      </w:r>
      <w:r>
        <w:rPr>
          <w:spacing w:val="-55"/>
        </w:rPr>
        <w:t> </w:t>
      </w:r>
      <w:r>
        <w:rPr>
          <w:spacing w:val="-55"/>
        </w:rPr>
      </w:r>
      <w:r>
        <w:rPr>
          <w:spacing w:val="-1"/>
        </w:rPr>
        <w:t>营销的的解决方案，连接惠商云、电商通、用友有信、用友嘟嘟、畅捷支付等用友公有云服务，</w:t>
      </w:r>
      <w:r>
        <w:rPr>
          <w:spacing w:val="-55"/>
        </w:rPr>
        <w:t> </w:t>
      </w:r>
      <w:r>
        <w:rPr>
          <w:spacing w:val="-55"/>
        </w:rPr>
      </w:r>
      <w:r>
        <w:rPr/>
        <w:t>推进混合云解决方案，签约了</w:t>
      </w:r>
      <w:r>
        <w:rPr>
          <w:spacing w:val="-51"/>
        </w:rPr>
        <w:t> </w:t>
      </w:r>
      <w:r>
        <w:rPr>
          <w:rFonts w:ascii="宋体" w:hAnsi="宋体" w:cs="宋体" w:eastAsia="宋体" w:hint="default"/>
        </w:rPr>
        <w:t>TCL</w:t>
      </w:r>
      <w:r>
        <w:rPr>
          <w:rFonts w:ascii="宋体" w:hAnsi="宋体" w:cs="宋体" w:eastAsia="宋体" w:hint="default"/>
          <w:spacing w:val="-49"/>
        </w:rPr>
        <w:t> </w:t>
      </w:r>
      <w:r>
        <w:rPr/>
        <w:t>等标杆客户；共享服务方面，公司推出了全面集成的财务共享</w:t>
      </w:r>
      <w:r>
        <w:rPr>
          <w:w w:val="100"/>
        </w:rPr>
        <w:t> </w:t>
      </w:r>
      <w:r>
        <w:rPr>
          <w:spacing w:val="-1"/>
        </w:rPr>
        <w:t>服务解决方案，并树立中国国旅、延长石油等标杆用户；用户体验方面，公司加大在大型企业客</w:t>
      </w:r>
      <w:r>
        <w:rPr>
          <w:spacing w:val="-55"/>
        </w:rPr>
        <w:t> </w:t>
      </w:r>
      <w:r>
        <w:rPr>
          <w:spacing w:val="-55"/>
        </w:rPr>
      </w:r>
      <w:r>
        <w:rPr>
          <w:spacing w:val="-6"/>
          <w:w w:val="100"/>
        </w:rPr>
        <w:t>户的移动应用业务的研发投入力度，变革产品研发模式，重点支持每一个界面的社交化沟通协同，</w:t>
      </w:r>
      <w:r>
        <w:rPr>
          <w:w w:val="100"/>
        </w:rPr>
        <w:t> </w:t>
      </w:r>
      <w:r>
        <w:rPr/>
        <w:t>发布了涉及企业协同、营销、财务、资产、</w:t>
      </w:r>
      <w:r>
        <w:rPr>
          <w:rFonts w:ascii="宋体" w:hAnsi="宋体" w:cs="宋体" w:eastAsia="宋体" w:hint="default"/>
        </w:rPr>
        <w:t>HR</w:t>
      </w:r>
      <w:r>
        <w:rPr>
          <w:rFonts w:ascii="宋体" w:hAnsi="宋体" w:cs="宋体" w:eastAsia="宋体" w:hint="default"/>
          <w:spacing w:val="-35"/>
        </w:rPr>
        <w:t> </w:t>
      </w:r>
      <w:r>
        <w:rPr/>
        <w:t>等多个领域近</w:t>
      </w:r>
      <w:r>
        <w:rPr>
          <w:spacing w:val="-33"/>
        </w:rPr>
        <w:t> </w:t>
      </w:r>
      <w:r>
        <w:rPr>
          <w:rFonts w:ascii="宋体" w:hAnsi="宋体" w:cs="宋体" w:eastAsia="宋体" w:hint="default"/>
        </w:rPr>
        <w:t>50</w:t>
      </w:r>
      <w:r>
        <w:rPr>
          <w:rFonts w:ascii="宋体" w:hAnsi="宋体" w:cs="宋体" w:eastAsia="宋体" w:hint="default"/>
          <w:spacing w:val="-33"/>
        </w:rPr>
        <w:t> </w:t>
      </w:r>
      <w:r>
        <w:rPr/>
        <w:t>多款企业级移动应用产品，发展</w:t>
      </w:r>
      <w:r>
        <w:rPr>
          <w:w w:val="100"/>
        </w:rPr>
        <w:t> </w:t>
      </w:r>
      <w:r>
        <w:rPr>
          <w:spacing w:val="-1"/>
        </w:rPr>
        <w:t>了茅台集团、正邦集团等标杆客户；行业化解决方案方面，重点推进了以智能制造为核心的制造</w:t>
      </w:r>
      <w:r>
        <w:rPr>
          <w:spacing w:val="-55"/>
        </w:rPr>
        <w:t> </w:t>
      </w:r>
      <w:r>
        <w:rPr>
          <w:spacing w:val="-55"/>
        </w:rPr>
      </w:r>
      <w:r>
        <w:rPr>
          <w:spacing w:val="-1"/>
        </w:rPr>
        <w:t>业解决方案，以项目和资产管理为核心的公用交通行业，以全渠道零售和电商为核心的消费品行</w:t>
      </w:r>
      <w:r>
        <w:rPr>
          <w:spacing w:val="-55"/>
        </w:rPr>
        <w:t> </w:t>
      </w:r>
      <w:r>
        <w:rPr>
          <w:spacing w:val="-55"/>
        </w:rPr>
      </w:r>
      <w:r>
        <w:rPr>
          <w:spacing w:val="-5"/>
        </w:rPr>
        <w:t>业解决方案，取得较好业绩，签约创美集团等标杆客户。报告期内，公司积极推动</w:t>
      </w:r>
      <w:r>
        <w:rPr>
          <w:spacing w:val="-20"/>
        </w:rPr>
        <w:t> </w:t>
      </w:r>
      <w:r>
        <w:rPr>
          <w:rFonts w:ascii="宋体" w:hAnsi="宋体" w:cs="宋体" w:eastAsia="宋体" w:hint="default"/>
        </w:rPr>
        <w:t>NC</w:t>
      </w:r>
      <w:r>
        <w:rPr>
          <w:rFonts w:ascii="宋体" w:hAnsi="宋体" w:cs="宋体" w:eastAsia="宋体" w:hint="default"/>
          <w:spacing w:val="-24"/>
        </w:rPr>
        <w:t> </w:t>
      </w:r>
      <w:r>
        <w:rPr/>
        <w:t>产品应用软</w:t>
      </w:r>
      <w:r>
        <w:rPr>
          <w:spacing w:val="-91"/>
        </w:rPr>
        <w:t> </w:t>
      </w:r>
      <w:r>
        <w:rPr>
          <w:spacing w:val="-91"/>
        </w:rPr>
      </w:r>
      <w:r>
        <w:rPr/>
        <w:t>件向云运营方式的转型，发版了私有云运营服务产品</w:t>
      </w:r>
      <w:r>
        <w:rPr>
          <w:spacing w:val="-49"/>
        </w:rPr>
        <w:t> </w:t>
      </w:r>
      <w:r>
        <w:rPr>
          <w:rFonts w:ascii="宋体" w:hAnsi="宋体" w:cs="宋体" w:eastAsia="宋体" w:hint="default"/>
        </w:rPr>
        <w:t>V1.5</w:t>
      </w:r>
      <w:r>
        <w:rPr>
          <w:rFonts w:ascii="宋体" w:hAnsi="宋体" w:cs="宋体" w:eastAsia="宋体" w:hint="default"/>
          <w:spacing w:val="-52"/>
        </w:rPr>
        <w:t> </w:t>
      </w:r>
      <w:r>
        <w:rPr/>
        <w:t>版本</w:t>
      </w:r>
      <w:r>
        <w:rPr>
          <w:rFonts w:ascii="宋体" w:hAnsi="宋体" w:cs="宋体" w:eastAsia="宋体" w:hint="default"/>
        </w:rPr>
        <w:t>,</w:t>
      </w:r>
      <w:r>
        <w:rPr/>
        <w:t>打造“云应用</w:t>
      </w:r>
      <w:r>
        <w:rPr>
          <w:rFonts w:ascii="宋体" w:hAnsi="宋体" w:cs="宋体" w:eastAsia="宋体" w:hint="default"/>
        </w:rPr>
        <w:t>+</w:t>
      </w:r>
      <w:r>
        <w:rPr/>
        <w:t>云运营</w:t>
      </w:r>
      <w:r>
        <w:rPr>
          <w:rFonts w:ascii="宋体" w:hAnsi="宋体" w:cs="宋体" w:eastAsia="宋体" w:hint="default"/>
        </w:rPr>
        <w:t>+</w:t>
      </w:r>
      <w:r>
        <w:rPr/>
        <w:t>云托管”</w:t>
      </w:r>
      <w:r>
        <w:rPr>
          <w:w w:val="100"/>
        </w:rPr>
        <w:t> </w:t>
      </w:r>
      <w:r>
        <w:rPr>
          <w:spacing w:val="-1"/>
        </w:rPr>
        <w:t>三位一体的私有云运营服务，满足大型企业用户私有云运营业务标准化和定制化模式的需求。报</w:t>
      </w:r>
      <w:r>
        <w:rPr>
          <w:spacing w:val="-54"/>
        </w:rPr>
        <w:t> </w:t>
      </w:r>
      <w:r>
        <w:rPr>
          <w:spacing w:val="-54"/>
        </w:rPr>
      </w:r>
      <w:r>
        <w:rPr/>
        <w:t>告期内，公司继续加速推进</w:t>
      </w:r>
      <w:r>
        <w:rPr>
          <w:spacing w:val="-41"/>
        </w:rPr>
        <w:t> </w:t>
      </w:r>
      <w:r>
        <w:rPr>
          <w:rFonts w:ascii="宋体" w:hAnsi="宋体" w:cs="宋体" w:eastAsia="宋体" w:hint="default"/>
        </w:rPr>
        <w:t>SPS</w:t>
      </w:r>
      <w:r>
        <w:rPr>
          <w:rFonts w:ascii="宋体" w:hAnsi="宋体" w:cs="宋体" w:eastAsia="宋体" w:hint="default"/>
          <w:spacing w:val="-41"/>
        </w:rPr>
        <w:t> </w:t>
      </w:r>
      <w:r>
        <w:rPr/>
        <w:t>业务，保证了客户</w:t>
      </w:r>
      <w:r>
        <w:rPr>
          <w:spacing w:val="-43"/>
        </w:rPr>
        <w:t> </w:t>
      </w:r>
      <w:r>
        <w:rPr>
          <w:rFonts w:ascii="宋体" w:hAnsi="宋体" w:cs="宋体" w:eastAsia="宋体" w:hint="default"/>
        </w:rPr>
        <w:t>SPS</w:t>
      </w:r>
      <w:r>
        <w:rPr>
          <w:rFonts w:ascii="宋体" w:hAnsi="宋体" w:cs="宋体" w:eastAsia="宋体" w:hint="default"/>
          <w:spacing w:val="-41"/>
        </w:rPr>
        <w:t> </w:t>
      </w:r>
      <w:r>
        <w:rPr/>
        <w:t>服务的续约率，</w:t>
      </w:r>
      <w:r>
        <w:rPr>
          <w:rFonts w:ascii="宋体" w:hAnsi="宋体" w:cs="宋体" w:eastAsia="宋体" w:hint="default"/>
        </w:rPr>
        <w:t>SPS</w:t>
      </w:r>
      <w:r>
        <w:rPr>
          <w:rFonts w:ascii="宋体" w:hAnsi="宋体" w:cs="宋体" w:eastAsia="宋体" w:hint="default"/>
          <w:spacing w:val="-43"/>
        </w:rPr>
        <w:t> </w:t>
      </w:r>
      <w:r>
        <w:rPr/>
        <w:t>服务收入取得了较好</w:t>
      </w:r>
      <w:r>
        <w:rPr>
          <w:w w:val="100"/>
        </w:rPr>
        <w:t> </w:t>
      </w:r>
      <w:r>
        <w:rPr/>
        <w:t>的增长。</w:t>
      </w:r>
    </w:p>
    <w:p>
      <w:pPr>
        <w:pStyle w:val="BodyText"/>
        <w:spacing w:line="297" w:lineRule="auto" w:before="133"/>
        <w:ind w:right="144" w:firstLine="419"/>
        <w:jc w:val="left"/>
      </w:pPr>
      <w:r>
        <w:rPr>
          <w:spacing w:val="-3"/>
        </w:rPr>
        <w:t>报告期内，公司围绕企业互联网化转型与创新，举办了系列的企业互联网转型峰会及论坛</w:t>
      </w:r>
      <w:r>
        <w:rPr>
          <w:spacing w:val="-8"/>
        </w:rPr>
        <w:t> </w:t>
      </w:r>
      <w:r>
        <w:rPr>
          <w:rFonts w:ascii="宋体" w:hAnsi="宋体" w:cs="宋体" w:eastAsia="宋体" w:hint="default"/>
          <w:spacing w:val="-3"/>
        </w:rPr>
        <w:t>10</w:t>
      </w:r>
      <w:r>
        <w:rPr>
          <w:rFonts w:ascii="宋体" w:hAnsi="宋体" w:cs="宋体" w:eastAsia="宋体" w:hint="default"/>
          <w:spacing w:val="-3"/>
          <w:w w:val="100"/>
        </w:rPr>
        <w:t> </w:t>
      </w:r>
      <w:r>
        <w:rPr>
          <w:spacing w:val="-4"/>
        </w:rPr>
        <w:t>余场及“企业互联网</w:t>
      </w:r>
      <w:r>
        <w:rPr>
          <w:rFonts w:ascii="宋体" w:hAnsi="宋体" w:cs="宋体" w:eastAsia="宋体" w:hint="default"/>
          <w:spacing w:val="-4"/>
        </w:rPr>
        <w:t>+</w:t>
      </w:r>
      <w:r>
        <w:rPr>
          <w:spacing w:val="-4"/>
        </w:rPr>
        <w:t>行动大会”，举办财务共享服务和管理会计高峰会，推动传统企业的互联网</w:t>
      </w:r>
    </w:p>
    <w:p>
      <w:pPr>
        <w:pStyle w:val="BodyText"/>
        <w:spacing w:line="297" w:lineRule="auto" w:before="15"/>
        <w:ind w:right="157"/>
        <w:jc w:val="both"/>
      </w:pPr>
      <w:r>
        <w:rPr>
          <w:rFonts w:ascii="宋体" w:hAnsi="宋体" w:cs="宋体" w:eastAsia="宋体" w:hint="default"/>
          <w:spacing w:val="-2"/>
        </w:rPr>
        <w:t>+</w:t>
      </w:r>
      <w:r>
        <w:rPr>
          <w:spacing w:val="-2"/>
        </w:rPr>
        <w:t>行动落地；在行业</w:t>
      </w:r>
      <w:r>
        <w:rPr>
          <w:rFonts w:ascii="宋体" w:hAnsi="宋体" w:cs="宋体" w:eastAsia="宋体" w:hint="default"/>
          <w:spacing w:val="-2"/>
        </w:rPr>
        <w:t>/</w:t>
      </w:r>
      <w:r>
        <w:rPr>
          <w:spacing w:val="-2"/>
        </w:rPr>
        <w:t>领域市场推广方面，针对在企业互联网客户关注的热点领域，举办了主题为</w:t>
      </w:r>
      <w:r>
        <w:rPr>
          <w:spacing w:val="-24"/>
        </w:rPr>
        <w:t> </w:t>
      </w:r>
      <w:r>
        <w:rPr>
          <w:spacing w:val="-24"/>
        </w:rPr>
      </w:r>
      <w:r>
        <w:rPr/>
        <w:t>“构建</w:t>
      </w:r>
      <w:r>
        <w:rPr>
          <w:spacing w:val="-53"/>
        </w:rPr>
        <w:t> </w:t>
      </w:r>
      <w:r>
        <w:rPr>
          <w:rFonts w:ascii="宋体" w:hAnsi="宋体" w:cs="宋体" w:eastAsia="宋体" w:hint="default"/>
        </w:rPr>
        <w:t>O2O</w:t>
      </w:r>
      <w:r>
        <w:rPr>
          <w:rFonts w:ascii="宋体" w:hAnsi="宋体" w:cs="宋体" w:eastAsia="宋体" w:hint="default"/>
          <w:spacing w:val="-55"/>
        </w:rPr>
        <w:t> </w:t>
      </w:r>
      <w:r>
        <w:rPr/>
        <w:t>全渠道营销体系”的推广用友全渠道营销</w:t>
      </w:r>
      <w:r>
        <w:rPr>
          <w:spacing w:val="-53"/>
        </w:rPr>
        <w:t> </w:t>
      </w:r>
      <w:r>
        <w:rPr>
          <w:rFonts w:ascii="宋体" w:hAnsi="宋体" w:cs="宋体" w:eastAsia="宋体" w:hint="default"/>
        </w:rPr>
        <w:t>O2O</w:t>
      </w:r>
      <w:r>
        <w:rPr>
          <w:rFonts w:ascii="宋体" w:hAnsi="宋体" w:cs="宋体" w:eastAsia="宋体" w:hint="default"/>
          <w:spacing w:val="-55"/>
        </w:rPr>
        <w:t> </w:t>
      </w:r>
      <w:r>
        <w:rPr/>
        <w:t>解决方案及互联网服务（电商通等）等</w:t>
      </w:r>
      <w:r>
        <w:rPr>
          <w:w w:val="100"/>
        </w:rPr>
        <w:t> </w:t>
      </w:r>
      <w:r>
        <w:rPr/>
        <w:t>活动，用以推广用友全渠道</w:t>
      </w:r>
      <w:r>
        <w:rPr>
          <w:spacing w:val="-53"/>
        </w:rPr>
        <w:t> </w:t>
      </w:r>
      <w:r>
        <w:rPr>
          <w:rFonts w:ascii="宋体" w:hAnsi="宋体" w:cs="宋体" w:eastAsia="宋体" w:hint="default"/>
        </w:rPr>
        <w:t>O2O</w:t>
      </w:r>
      <w:r>
        <w:rPr>
          <w:rFonts w:ascii="宋体" w:hAnsi="宋体" w:cs="宋体" w:eastAsia="宋体" w:hint="default"/>
          <w:spacing w:val="-56"/>
        </w:rPr>
        <w:t> </w:t>
      </w:r>
      <w:r>
        <w:rPr/>
        <w:t>解决方案；面向制造业举办了智能制造线上研讨会、以及国机重</w:t>
      </w:r>
      <w:r>
        <w:rPr>
          <w:w w:val="100"/>
        </w:rPr>
        <w:t> </w:t>
      </w:r>
      <w:r>
        <w:rPr/>
        <w:t>工、广东万和新电气等客户现场体验会。</w:t>
      </w:r>
    </w:p>
    <w:p>
      <w:pPr>
        <w:spacing w:after="0" w:line="297" w:lineRule="auto"/>
        <w:jc w:val="both"/>
        <w:sectPr>
          <w:pgSz w:w="11910" w:h="16840"/>
          <w:pgMar w:header="880" w:footer="1335" w:top="1120" w:bottom="1520" w:left="1660" w:right="1120"/>
        </w:sectPr>
      </w:pPr>
    </w:p>
    <w:p>
      <w:pPr>
        <w:spacing w:line="240" w:lineRule="auto" w:before="4"/>
        <w:rPr>
          <w:rFonts w:ascii="宋体" w:hAnsi="宋体" w:cs="宋体" w:eastAsia="宋体" w:hint="default"/>
          <w:sz w:val="25"/>
          <w:szCs w:val="25"/>
        </w:rPr>
      </w:pPr>
    </w:p>
    <w:p>
      <w:pPr>
        <w:pStyle w:val="BodyText"/>
        <w:spacing w:line="297" w:lineRule="auto" w:before="36"/>
        <w:ind w:right="157" w:firstLine="419"/>
        <w:jc w:val="both"/>
      </w:pPr>
      <w:r>
        <w:rPr/>
        <w:t>报告期内，公司签约中国国旅、茅台集团、创美集团、</w:t>
      </w:r>
      <w:r>
        <w:rPr>
          <w:rFonts w:ascii="宋体" w:hAnsi="宋体" w:cs="宋体" w:eastAsia="宋体" w:hint="default"/>
        </w:rPr>
        <w:t>TCL</w:t>
      </w:r>
      <w:r>
        <w:rPr>
          <w:rFonts w:ascii="宋体" w:hAnsi="宋体" w:cs="宋体" w:eastAsia="宋体" w:hint="default"/>
          <w:spacing w:val="-55"/>
        </w:rPr>
        <w:t> </w:t>
      </w:r>
      <w:r>
        <w:rPr/>
        <w:t>等标杆客户；在私有云运营服务</w:t>
      </w:r>
      <w:r>
        <w:rPr>
          <w:w w:val="100"/>
        </w:rPr>
        <w:t> </w:t>
      </w:r>
      <w:r>
        <w:rPr>
          <w:spacing w:val="-2"/>
        </w:rPr>
        <w:t>方面，公司在四川、山东、江西、海外等多省取得项目突破，运营客户既有宝洁（中国）营销有</w:t>
      </w:r>
      <w:r>
        <w:rPr>
          <w:spacing w:val="-25"/>
        </w:rPr>
        <w:t> </w:t>
      </w:r>
      <w:r>
        <w:rPr>
          <w:spacing w:val="-25"/>
        </w:rPr>
      </w:r>
      <w:r>
        <w:rPr/>
        <w:t>限公司等</w:t>
      </w:r>
      <w:r>
        <w:rPr>
          <w:spacing w:val="-55"/>
        </w:rPr>
        <w:t> </w:t>
      </w:r>
      <w:r>
        <w:rPr>
          <w:rFonts w:ascii="宋体" w:hAnsi="宋体" w:cs="宋体" w:eastAsia="宋体" w:hint="default"/>
        </w:rPr>
        <w:t>500</w:t>
      </w:r>
      <w:r>
        <w:rPr>
          <w:rFonts w:ascii="宋体" w:hAnsi="宋体" w:cs="宋体" w:eastAsia="宋体" w:hint="default"/>
          <w:spacing w:val="-55"/>
        </w:rPr>
        <w:t> </w:t>
      </w:r>
      <w:r>
        <w:rPr/>
        <w:t>强企业，又有江西盐业集团公司等国有企业，还有戴德梁行等海外企业。</w:t>
      </w:r>
    </w:p>
    <w:p>
      <w:pPr>
        <w:pStyle w:val="BodyText"/>
        <w:spacing w:line="460" w:lineRule="exact" w:before="13"/>
        <w:ind w:left="558" w:right="143"/>
        <w:jc w:val="left"/>
      </w:pPr>
      <w:r>
        <w:rPr/>
        <w:t>（</w:t>
      </w:r>
      <w:r>
        <w:rPr>
          <w:rFonts w:ascii="宋体" w:hAnsi="宋体" w:cs="宋体" w:eastAsia="宋体" w:hint="default"/>
        </w:rPr>
        <w:t>2</w:t>
      </w:r>
      <w:r>
        <w:rPr/>
        <w:t>）面向中型企业的软件产品与解决方案业务发展情况</w:t>
      </w:r>
      <w:r>
        <w:rPr>
          <w:w w:val="100"/>
        </w:rPr>
        <w:t> </w:t>
      </w:r>
      <w:r>
        <w:rPr/>
        <w:t>报告期内，用友优普公司围绕中型企业转型互联网，全面推进</w:t>
      </w:r>
      <w:r>
        <w:rPr>
          <w:spacing w:val="-50"/>
        </w:rPr>
        <w:t> </w:t>
      </w:r>
      <w:r>
        <w:rPr>
          <w:rFonts w:ascii="宋体" w:hAnsi="宋体" w:cs="宋体" w:eastAsia="宋体" w:hint="default"/>
        </w:rPr>
        <w:t>U8</w:t>
      </w:r>
      <w:r>
        <w:rPr>
          <w:rFonts w:ascii="宋体" w:hAnsi="宋体" w:cs="宋体" w:eastAsia="宋体" w:hint="default"/>
          <w:spacing w:val="-50"/>
        </w:rPr>
        <w:t> </w:t>
      </w:r>
      <w:r>
        <w:rPr/>
        <w:t>的企业互联网</w:t>
      </w:r>
      <w:r>
        <w:rPr>
          <w:rFonts w:ascii="宋体" w:hAnsi="宋体" w:cs="宋体" w:eastAsia="宋体" w:hint="default"/>
        </w:rPr>
        <w:t>+</w:t>
      </w:r>
      <w:r>
        <w:rPr/>
        <w:t>解决方案深</w:t>
      </w:r>
    </w:p>
    <w:p>
      <w:pPr>
        <w:pStyle w:val="BodyText"/>
        <w:spacing w:line="297" w:lineRule="auto" w:before="3"/>
        <w:ind w:right="147"/>
        <w:jc w:val="both"/>
      </w:pPr>
      <w:r>
        <w:rPr/>
        <w:t>度应用。用友优普公司的</w:t>
      </w:r>
      <w:r>
        <w:rPr>
          <w:spacing w:val="7"/>
        </w:rPr>
        <w:t> </w:t>
      </w:r>
      <w:r>
        <w:rPr>
          <w:rFonts w:ascii="宋体" w:hAnsi="宋体" w:cs="宋体" w:eastAsia="宋体" w:hint="default"/>
        </w:rPr>
        <w:t>U8+</w:t>
      </w:r>
      <w:r>
        <w:rPr/>
        <w:t>定位为企业互联网应用平台，以帮助中国成长型企业快速应对多变</w:t>
      </w:r>
      <w:r>
        <w:rPr>
          <w:w w:val="100"/>
        </w:rPr>
        <w:t> </w:t>
      </w:r>
      <w:r>
        <w:rPr>
          <w:spacing w:val="-3"/>
        </w:rPr>
        <w:t>的市场环境，实现管理创新和商业模式转型升级；发布了 </w:t>
      </w:r>
      <w:r>
        <w:rPr>
          <w:rFonts w:ascii="宋体" w:hAnsi="宋体" w:cs="宋体" w:eastAsia="宋体" w:hint="default"/>
          <w:spacing w:val="-3"/>
        </w:rPr>
        <w:t>U8+V12.1</w:t>
      </w:r>
      <w:r>
        <w:rPr>
          <w:spacing w:val="-3"/>
        </w:rPr>
        <w:t>，全面支持企业创新，打造了</w:t>
      </w:r>
      <w:r>
        <w:rPr>
          <w:spacing w:val="-74"/>
        </w:rPr>
        <w:t> </w:t>
      </w:r>
      <w:r>
        <w:rPr>
          <w:spacing w:val="-74"/>
        </w:rPr>
      </w:r>
      <w:r>
        <w:rPr>
          <w:spacing w:val="-4"/>
        </w:rPr>
        <w:t>营销</w:t>
      </w:r>
      <w:r>
        <w:rPr>
          <w:rFonts w:ascii="宋体" w:hAnsi="宋体" w:cs="宋体" w:eastAsia="宋体" w:hint="default"/>
          <w:spacing w:val="-4"/>
        </w:rPr>
        <w:t>+</w:t>
      </w:r>
      <w:r>
        <w:rPr>
          <w:spacing w:val="-4"/>
        </w:rPr>
        <w:t>、制造</w:t>
      </w:r>
      <w:r>
        <w:rPr>
          <w:rFonts w:ascii="宋体" w:hAnsi="宋体" w:cs="宋体" w:eastAsia="宋体" w:hint="default"/>
          <w:spacing w:val="-4"/>
        </w:rPr>
        <w:t>+</w:t>
      </w:r>
      <w:r>
        <w:rPr>
          <w:spacing w:val="-4"/>
        </w:rPr>
        <w:t>、金融</w:t>
      </w:r>
      <w:r>
        <w:rPr>
          <w:rFonts w:ascii="宋体" w:hAnsi="宋体" w:cs="宋体" w:eastAsia="宋体" w:hint="default"/>
          <w:spacing w:val="-4"/>
        </w:rPr>
        <w:t>+</w:t>
      </w:r>
      <w:r>
        <w:rPr>
          <w:spacing w:val="-4"/>
        </w:rPr>
        <w:t>、社交</w:t>
      </w:r>
      <w:r>
        <w:rPr>
          <w:rFonts w:ascii="宋体" w:hAnsi="宋体" w:cs="宋体" w:eastAsia="宋体" w:hint="default"/>
          <w:spacing w:val="-4"/>
        </w:rPr>
        <w:t>+</w:t>
      </w:r>
      <w:r>
        <w:rPr>
          <w:spacing w:val="-4"/>
        </w:rPr>
        <w:t>、服务</w:t>
      </w:r>
      <w:r>
        <w:rPr>
          <w:rFonts w:ascii="宋体" w:hAnsi="宋体" w:cs="宋体" w:eastAsia="宋体" w:hint="default"/>
          <w:spacing w:val="-4"/>
        </w:rPr>
        <w:t>+</w:t>
      </w:r>
      <w:r>
        <w:rPr>
          <w:spacing w:val="-4"/>
        </w:rPr>
        <w:t>、决策</w:t>
      </w:r>
      <w:r>
        <w:rPr>
          <w:rFonts w:ascii="宋体" w:hAnsi="宋体" w:cs="宋体" w:eastAsia="宋体" w:hint="default"/>
          <w:spacing w:val="-4"/>
        </w:rPr>
        <w:t>+</w:t>
      </w:r>
      <w:r>
        <w:rPr>
          <w:spacing w:val="-4"/>
        </w:rPr>
        <w:t>、通信</w:t>
      </w:r>
      <w:r>
        <w:rPr>
          <w:rFonts w:ascii="宋体" w:hAnsi="宋体" w:cs="宋体" w:eastAsia="宋体" w:hint="default"/>
          <w:spacing w:val="-4"/>
        </w:rPr>
        <w:t>+</w:t>
      </w:r>
      <w:r>
        <w:rPr>
          <w:spacing w:val="-4"/>
        </w:rPr>
        <w:t>、移动</w:t>
      </w:r>
      <w:r>
        <w:rPr>
          <w:rFonts w:ascii="宋体" w:hAnsi="宋体" w:cs="宋体" w:eastAsia="宋体" w:hint="default"/>
          <w:spacing w:val="-4"/>
        </w:rPr>
        <w:t>+</w:t>
      </w:r>
      <w:r>
        <w:rPr>
          <w:spacing w:val="-4"/>
        </w:rPr>
        <w:t>、安全</w:t>
      </w:r>
      <w:r>
        <w:rPr>
          <w:rFonts w:ascii="宋体" w:hAnsi="宋体" w:cs="宋体" w:eastAsia="宋体" w:hint="default"/>
          <w:spacing w:val="-4"/>
        </w:rPr>
        <w:t>+</w:t>
      </w:r>
      <w:r>
        <w:rPr>
          <w:spacing w:val="-4"/>
        </w:rPr>
        <w:t>等一系列互联网特色的应用</w:t>
      </w:r>
      <w:r>
        <w:rPr>
          <w:spacing w:val="-27"/>
        </w:rPr>
        <w:t> </w:t>
      </w:r>
      <w:r>
        <w:rPr>
          <w:spacing w:val="-27"/>
        </w:rPr>
      </w:r>
      <w:r>
        <w:rPr/>
        <w:t>服务；</w:t>
      </w:r>
      <w:r>
        <w:rPr>
          <w:rFonts w:ascii="宋体" w:hAnsi="宋体" w:cs="宋体" w:eastAsia="宋体" w:hint="default"/>
        </w:rPr>
        <w:t>U8+V12.1</w:t>
      </w:r>
      <w:r>
        <w:rPr>
          <w:rFonts w:ascii="宋体" w:hAnsi="宋体" w:cs="宋体" w:eastAsia="宋体" w:hint="default"/>
          <w:spacing w:val="-43"/>
        </w:rPr>
        <w:t> </w:t>
      </w:r>
      <w:r>
        <w:rPr>
          <w:rFonts w:ascii="宋体" w:hAnsi="宋体" w:cs="宋体" w:eastAsia="宋体" w:hint="default"/>
        </w:rPr>
        <w:t>O2O</w:t>
      </w:r>
      <w:r>
        <w:rPr>
          <w:rFonts w:ascii="宋体" w:hAnsi="宋体" w:cs="宋体" w:eastAsia="宋体" w:hint="default"/>
          <w:spacing w:val="-57"/>
        </w:rPr>
        <w:t> </w:t>
      </w:r>
      <w:r>
        <w:rPr/>
        <w:t>解决方案实现了互联网业务与企业传统业务的完整闭环，企业线上线下业务</w:t>
      </w:r>
      <w:r>
        <w:rPr>
          <w:w w:val="100"/>
        </w:rPr>
        <w:t> </w:t>
      </w:r>
      <w:r>
        <w:rPr/>
        <w:t>完美融合；</w:t>
      </w:r>
      <w:r>
        <w:rPr>
          <w:rFonts w:ascii="宋体" w:hAnsi="宋体" w:cs="宋体" w:eastAsia="宋体" w:hint="default"/>
        </w:rPr>
        <w:t>U8</w:t>
      </w:r>
      <w:r>
        <w:rPr>
          <w:rFonts w:ascii="宋体" w:hAnsi="宋体" w:cs="宋体" w:eastAsia="宋体" w:hint="default"/>
          <w:spacing w:val="-52"/>
        </w:rPr>
        <w:t> </w:t>
      </w:r>
      <w:r>
        <w:rPr/>
        <w:t>移动应用基于</w:t>
      </w:r>
      <w:r>
        <w:rPr>
          <w:spacing w:val="-48"/>
        </w:rPr>
        <w:t> </w:t>
      </w:r>
      <w:r>
        <w:rPr>
          <w:rFonts w:ascii="宋体" w:hAnsi="宋体" w:cs="宋体" w:eastAsia="宋体" w:hint="default"/>
        </w:rPr>
        <w:t>U8+V12.1</w:t>
      </w:r>
      <w:r>
        <w:rPr>
          <w:rFonts w:ascii="宋体" w:hAnsi="宋体" w:cs="宋体" w:eastAsia="宋体" w:hint="default"/>
          <w:spacing w:val="-49"/>
        </w:rPr>
        <w:t> </w:t>
      </w:r>
      <w:r>
        <w:rPr/>
        <w:t>产品把</w:t>
      </w:r>
      <w:r>
        <w:rPr>
          <w:spacing w:val="-52"/>
        </w:rPr>
        <w:t> </w:t>
      </w:r>
      <w:r>
        <w:rPr>
          <w:rFonts w:ascii="宋体" w:hAnsi="宋体" w:cs="宋体" w:eastAsia="宋体" w:hint="default"/>
        </w:rPr>
        <w:t>7</w:t>
      </w:r>
      <w:r>
        <w:rPr>
          <w:rFonts w:ascii="宋体" w:hAnsi="宋体" w:cs="宋体" w:eastAsia="宋体" w:hint="default"/>
          <w:spacing w:val="-49"/>
        </w:rPr>
        <w:t> </w:t>
      </w:r>
      <w:r>
        <w:rPr/>
        <w:t>个</w:t>
      </w:r>
      <w:r>
        <w:rPr>
          <w:spacing w:val="-52"/>
        </w:rPr>
        <w:t> </w:t>
      </w:r>
      <w:r>
        <w:rPr>
          <w:rFonts w:ascii="宋体" w:hAnsi="宋体" w:cs="宋体" w:eastAsia="宋体" w:hint="default"/>
        </w:rPr>
        <w:t>APP</w:t>
      </w:r>
      <w:r>
        <w:rPr>
          <w:rFonts w:ascii="宋体" w:hAnsi="宋体" w:cs="宋体" w:eastAsia="宋体" w:hint="default"/>
          <w:spacing w:val="-49"/>
        </w:rPr>
        <w:t> </w:t>
      </w:r>
      <w:r>
        <w:rPr>
          <w:spacing w:val="-4"/>
        </w:rPr>
        <w:t>整合在一起，增加了“工资</w:t>
      </w:r>
      <w:r>
        <w:rPr>
          <w:rFonts w:ascii="宋体" w:hAnsi="宋体" w:cs="宋体" w:eastAsia="宋体" w:hint="default"/>
          <w:spacing w:val="-4"/>
        </w:rPr>
        <w:t>+</w:t>
      </w:r>
      <w:r>
        <w:rPr>
          <w:spacing w:val="-4"/>
        </w:rPr>
        <w:t>”应用，向精</w:t>
      </w:r>
      <w:r>
        <w:rPr>
          <w:spacing w:val="-103"/>
        </w:rPr>
        <w:t> </w:t>
      </w:r>
      <w:r>
        <w:rPr>
          <w:spacing w:val="-103"/>
        </w:rPr>
      </w:r>
      <w:r>
        <w:rPr>
          <w:spacing w:val="-8"/>
        </w:rPr>
        <w:t>细化深入发展，以适应更多水平客户的使用场景。此外，用友优普公司强化服务“中国制造 </w:t>
      </w:r>
      <w:r>
        <w:rPr>
          <w:rFonts w:ascii="宋体" w:hAnsi="宋体" w:cs="宋体" w:eastAsia="宋体" w:hint="default"/>
        </w:rPr>
        <w:t>2025</w:t>
      </w:r>
      <w:r>
        <w:rPr/>
        <w:t>”</w:t>
      </w:r>
      <w:r>
        <w:rPr>
          <w:spacing w:val="-87"/>
        </w:rPr>
        <w:t> </w:t>
      </w:r>
      <w:r>
        <w:rPr/>
        <w:t>战略推进，以智能制造为核心，扩大行业产业链规模，持续完善了</w:t>
      </w:r>
      <w:r>
        <w:rPr>
          <w:spacing w:val="-50"/>
        </w:rPr>
        <w:t> </w:t>
      </w:r>
      <w:r>
        <w:rPr>
          <w:rFonts w:ascii="宋体" w:hAnsi="宋体" w:cs="宋体" w:eastAsia="宋体" w:hint="default"/>
        </w:rPr>
        <w:t>U8+PLM+MES+RFID</w:t>
      </w:r>
      <w:r>
        <w:rPr>
          <w:rFonts w:ascii="宋体" w:hAnsi="宋体" w:cs="宋体" w:eastAsia="宋体" w:hint="default"/>
          <w:spacing w:val="-51"/>
        </w:rPr>
        <w:t> </w:t>
      </w:r>
      <w:r>
        <w:rPr/>
        <w:t>集成的解决</w:t>
      </w:r>
      <w:r>
        <w:rPr>
          <w:w w:val="100"/>
        </w:rPr>
        <w:t> </w:t>
      </w:r>
      <w:r>
        <w:rPr/>
        <w:t>方案。</w:t>
      </w:r>
    </w:p>
    <w:p>
      <w:pPr>
        <w:pStyle w:val="BodyText"/>
        <w:spacing w:line="297" w:lineRule="auto" w:before="133"/>
        <w:ind w:right="148" w:firstLine="419"/>
        <w:jc w:val="both"/>
      </w:pPr>
      <w:r>
        <w:rPr>
          <w:spacing w:val="-2"/>
        </w:rPr>
        <w:t>报告期内，用友优普公司全面进入全分销时代，加强全国伙伴体系的建立，同时建立和加强</w:t>
      </w:r>
      <w:r>
        <w:rPr>
          <w:w w:val="100"/>
        </w:rPr>
        <w:t> </w:t>
      </w:r>
      <w:r>
        <w:rPr>
          <w:spacing w:val="-1"/>
        </w:rPr>
        <w:t>了专业顾问体系、售前支持体系、实施交付体系、样板客户体系，提升了业务运营效率和质量。</w:t>
      </w:r>
      <w:r>
        <w:rPr>
          <w:spacing w:val="-55"/>
        </w:rPr>
        <w:t> </w:t>
      </w:r>
      <w:r>
        <w:rPr>
          <w:spacing w:val="-55"/>
        </w:rPr>
      </w:r>
      <w:r>
        <w:rPr/>
        <w:t>报告期内，用友优普公司发展伙伴</w:t>
      </w:r>
      <w:r>
        <w:rPr>
          <w:spacing w:val="-55"/>
        </w:rPr>
        <w:t> </w:t>
      </w:r>
      <w:r>
        <w:rPr>
          <w:rFonts w:ascii="宋体" w:hAnsi="宋体" w:cs="宋体" w:eastAsia="宋体" w:hint="default"/>
        </w:rPr>
        <w:t>834</w:t>
      </w:r>
      <w:r>
        <w:rPr>
          <w:rFonts w:ascii="宋体" w:hAnsi="宋体" w:cs="宋体" w:eastAsia="宋体" w:hint="default"/>
          <w:spacing w:val="-5"/>
        </w:rPr>
        <w:t> </w:t>
      </w:r>
      <w:r>
        <w:rPr/>
        <w:t>家，比去年同期增长</w:t>
      </w:r>
      <w:r>
        <w:rPr>
          <w:spacing w:val="-55"/>
        </w:rPr>
        <w:t> </w:t>
      </w:r>
      <w:r>
        <w:rPr>
          <w:rFonts w:ascii="宋体" w:hAnsi="宋体" w:cs="宋体" w:eastAsia="宋体" w:hint="default"/>
        </w:rPr>
        <w:t>29.10%</w:t>
      </w:r>
      <w:r>
        <w:rPr/>
        <w:t>。</w:t>
      </w:r>
    </w:p>
    <w:p>
      <w:pPr>
        <w:pStyle w:val="BodyText"/>
        <w:spacing w:line="297" w:lineRule="auto" w:before="135"/>
        <w:ind w:right="148" w:firstLine="419"/>
        <w:jc w:val="both"/>
      </w:pPr>
      <w:r>
        <w:rPr>
          <w:spacing w:val="-5"/>
        </w:rPr>
        <w:t>报告期内，用友优普公司召开了 </w:t>
      </w:r>
      <w:r>
        <w:rPr>
          <w:rFonts w:ascii="宋体" w:hAnsi="宋体" w:cs="宋体" w:eastAsia="宋体" w:hint="default"/>
        </w:rPr>
        <w:t>U8+V12.1</w:t>
      </w:r>
      <w:r>
        <w:rPr>
          <w:rFonts w:ascii="宋体" w:hAnsi="宋体" w:cs="宋体" w:eastAsia="宋体" w:hint="default"/>
          <w:spacing w:val="-58"/>
        </w:rPr>
        <w:t> </w:t>
      </w:r>
      <w:r>
        <w:rPr>
          <w:spacing w:val="-4"/>
        </w:rPr>
        <w:t>及伙伴业务策略发布会，通过企业互联网应用产品</w:t>
      </w:r>
      <w:r>
        <w:rPr>
          <w:w w:val="100"/>
        </w:rPr>
        <w:t> </w:t>
      </w:r>
      <w:r>
        <w:rPr/>
        <w:t>与服务驱动中型客户规模化经营，组织商业伙伴及区域客户规模化开展“触手可及的</w:t>
      </w:r>
      <w:r>
        <w:rPr>
          <w:spacing w:val="7"/>
        </w:rPr>
        <w:t> </w:t>
      </w:r>
      <w:r>
        <w:rPr>
          <w:rFonts w:ascii="宋体" w:hAnsi="宋体" w:cs="宋体" w:eastAsia="宋体" w:hint="default"/>
        </w:rPr>
        <w:t>O2O</w:t>
      </w:r>
      <w:r>
        <w:rPr/>
        <w:t>、智能</w:t>
      </w:r>
      <w:r>
        <w:rPr>
          <w:w w:val="100"/>
        </w:rPr>
        <w:t> </w:t>
      </w:r>
      <w:r>
        <w:rPr/>
        <w:t>制造智能管理、老客户服务年会”</w:t>
      </w:r>
      <w:r>
        <w:rPr>
          <w:rFonts w:ascii="宋体" w:hAnsi="宋体" w:cs="宋体" w:eastAsia="宋体" w:hint="default"/>
        </w:rPr>
        <w:t>300 </w:t>
      </w:r>
      <w:r>
        <w:rPr/>
        <w:t>余场</w:t>
      </w:r>
      <w:r>
        <w:rPr>
          <w:rFonts w:ascii="宋体" w:hAnsi="宋体" w:cs="宋体" w:eastAsia="宋体" w:hint="default"/>
        </w:rPr>
        <w:t>,</w:t>
      </w:r>
      <w:r>
        <w:rPr>
          <w:rFonts w:ascii="宋体" w:hAnsi="宋体" w:cs="宋体" w:eastAsia="宋体" w:hint="default"/>
          <w:spacing w:val="7"/>
        </w:rPr>
        <w:t> </w:t>
      </w:r>
      <w:r>
        <w:rPr>
          <w:rFonts w:ascii="宋体" w:hAnsi="宋体" w:cs="宋体" w:eastAsia="宋体" w:hint="default"/>
        </w:rPr>
        <w:t>U8+</w:t>
      </w:r>
      <w:r>
        <w:rPr/>
        <w:t>魅力七剑专题市场活动百余场，在互联网</w:t>
      </w:r>
      <w:r>
        <w:rPr>
          <w:rFonts w:ascii="宋体" w:hAnsi="宋体" w:cs="宋体" w:eastAsia="宋体" w:hint="default"/>
        </w:rPr>
        <w:t>+</w:t>
      </w:r>
      <w:r>
        <w:rPr/>
        <w:t>应用</w:t>
      </w:r>
      <w:r>
        <w:rPr>
          <w:w w:val="100"/>
        </w:rPr>
        <w:t> </w:t>
      </w:r>
      <w:r>
        <w:rPr>
          <w:spacing w:val="-1"/>
        </w:rPr>
        <w:t>领域取得了突破性的进展，全面助力企业实现互联网化。用友优普公司通过激励员工创业，扩大</w:t>
      </w:r>
      <w:r>
        <w:rPr>
          <w:spacing w:val="-55"/>
        </w:rPr>
        <w:t> </w:t>
      </w:r>
      <w:r>
        <w:rPr>
          <w:spacing w:val="-55"/>
        </w:rPr>
      </w:r>
      <w:r>
        <w:rPr>
          <w:spacing w:val="-1"/>
        </w:rPr>
        <w:t>产业链合作等形式，大力扩展营销渠道；通过“双百支持”等一系列支持措施，显著增强了合作</w:t>
      </w:r>
      <w:r>
        <w:rPr>
          <w:spacing w:val="-55"/>
        </w:rPr>
        <w:t> </w:t>
      </w:r>
      <w:r>
        <w:rPr>
          <w:spacing w:val="-55"/>
        </w:rPr>
      </w:r>
      <w:r>
        <w:rPr>
          <w:spacing w:val="-4"/>
        </w:rPr>
        <w:t>伙伴的经营能力和实施服务能力，</w:t>
      </w:r>
      <w:r>
        <w:rPr>
          <w:rFonts w:ascii="宋体" w:hAnsi="宋体" w:cs="宋体" w:eastAsia="宋体" w:hint="default"/>
          <w:spacing w:val="-4"/>
        </w:rPr>
        <w:t>U8+</w:t>
      </w:r>
      <w:r>
        <w:rPr>
          <w:spacing w:val="-4"/>
        </w:rPr>
        <w:t>与更多伙伴共同实现用友、伙伴、客户多赢的产业链经营体</w:t>
      </w:r>
      <w:r>
        <w:rPr>
          <w:spacing w:val="-31"/>
        </w:rPr>
        <w:t> </w:t>
      </w:r>
      <w:r>
        <w:rPr>
          <w:spacing w:val="-31"/>
        </w:rPr>
      </w:r>
      <w:r>
        <w:rPr/>
        <w:t>系。</w:t>
      </w:r>
    </w:p>
    <w:p>
      <w:pPr>
        <w:pStyle w:val="BodyText"/>
        <w:spacing w:line="297" w:lineRule="auto" w:before="135"/>
        <w:ind w:right="148" w:firstLine="419"/>
        <w:jc w:val="both"/>
      </w:pPr>
      <w:r>
        <w:rPr>
          <w:spacing w:val="-2"/>
        </w:rPr>
        <w:t>报告期内，用友优普公司用先进技术为成长型企业构建出集精细管理、敏捷经营、产业链协</w:t>
      </w:r>
      <w:r>
        <w:rPr>
          <w:w w:val="100"/>
        </w:rPr>
        <w:t> </w:t>
      </w:r>
      <w:r>
        <w:rPr>
          <w:spacing w:val="-1"/>
        </w:rPr>
        <w:t>同、云服务为一体的涉及多个行业及领域插件的企业互联网应用平台，签约湖北菲利华、重庆蓝</w:t>
      </w:r>
      <w:r>
        <w:rPr>
          <w:spacing w:val="-55"/>
        </w:rPr>
        <w:t> </w:t>
      </w:r>
      <w:r>
        <w:rPr>
          <w:spacing w:val="-55"/>
        </w:rPr>
      </w:r>
      <w:r>
        <w:rPr>
          <w:spacing w:val="-6"/>
        </w:rPr>
        <w:t>黛、杭州高丝、上海黄色小鸭等</w:t>
      </w:r>
      <w:r>
        <w:rPr>
          <w:spacing w:val="-23"/>
        </w:rPr>
        <w:t> </w:t>
      </w:r>
      <w:r>
        <w:rPr>
          <w:rFonts w:ascii="宋体" w:hAnsi="宋体" w:cs="宋体" w:eastAsia="宋体" w:hint="default"/>
        </w:rPr>
        <w:t>10</w:t>
      </w:r>
      <w:r>
        <w:rPr>
          <w:rFonts w:ascii="宋体" w:hAnsi="宋体" w:cs="宋体" w:eastAsia="宋体" w:hint="default"/>
          <w:spacing w:val="-28"/>
        </w:rPr>
        <w:t> </w:t>
      </w:r>
      <w:r>
        <w:rPr>
          <w:spacing w:val="-3"/>
        </w:rPr>
        <w:t>余个标杆客户，为成长型企业提升管理与规模升级提供了很好</w:t>
      </w:r>
      <w:r>
        <w:rPr>
          <w:spacing w:val="-95"/>
        </w:rPr>
        <w:t> </w:t>
      </w:r>
      <w:r>
        <w:rPr>
          <w:spacing w:val="-95"/>
        </w:rPr>
      </w:r>
      <w:r>
        <w:rPr/>
        <w:t>的示范效应。</w:t>
      </w:r>
    </w:p>
    <w:p>
      <w:pPr>
        <w:pStyle w:val="BodyText"/>
        <w:spacing w:line="240" w:lineRule="auto" w:before="136"/>
        <w:ind w:left="558" w:right="144"/>
        <w:jc w:val="left"/>
      </w:pPr>
      <w:r>
        <w:rPr/>
        <w:t>报告期内，用友优普公司的</w:t>
      </w:r>
      <w:r>
        <w:rPr>
          <w:spacing w:val="-54"/>
        </w:rPr>
        <w:t> </w:t>
      </w:r>
      <w:r>
        <w:rPr>
          <w:rFonts w:ascii="宋体" w:hAnsi="宋体" w:cs="宋体" w:eastAsia="宋体" w:hint="default"/>
        </w:rPr>
        <w:t>U8+</w:t>
      </w:r>
      <w:r>
        <w:rPr/>
        <w:t>荣获“2015</w:t>
      </w:r>
      <w:r>
        <w:rPr>
          <w:spacing w:val="-55"/>
        </w:rPr>
        <w:t> </w:t>
      </w:r>
      <w:r>
        <w:rPr/>
        <w:t>年度中国企业信息化市场创新产品”。</w:t>
      </w:r>
    </w:p>
    <w:p>
      <w:pPr>
        <w:pStyle w:val="BodyText"/>
        <w:spacing w:line="460" w:lineRule="atLeast"/>
        <w:ind w:left="558" w:right="144"/>
        <w:jc w:val="left"/>
        <w:rPr>
          <w:rFonts w:ascii="宋体" w:hAnsi="宋体" w:cs="宋体" w:eastAsia="宋体" w:hint="default"/>
          <w:sz w:val="11"/>
          <w:szCs w:val="11"/>
        </w:rPr>
      </w:pPr>
      <w:r>
        <w:rPr/>
        <w:t>（</w:t>
      </w:r>
      <w:r>
        <w:rPr>
          <w:rFonts w:ascii="宋体" w:hAnsi="宋体" w:cs="宋体" w:eastAsia="宋体" w:hint="default"/>
        </w:rPr>
        <w:t>3</w:t>
      </w:r>
      <w:r>
        <w:rPr/>
        <w:t>）面向小型微型企业的软件包业务发展情况</w:t>
      </w:r>
      <w:r>
        <w:rPr>
          <w:w w:val="100"/>
        </w:rPr>
        <w:t> </w:t>
      </w:r>
      <w:r>
        <w:rPr>
          <w:spacing w:val="-4"/>
          <w:w w:val="100"/>
        </w:rPr>
        <w:t>报告期内，畅捷通公司在小微企业管理软件市场持续加强推进</w:t>
      </w:r>
      <w:r>
        <w:rPr>
          <w:spacing w:val="-46"/>
          <w:w w:val="100"/>
        </w:rPr>
        <w:t> </w:t>
      </w:r>
      <w:r>
        <w:rPr>
          <w:rFonts w:ascii="宋体" w:hAnsi="宋体" w:cs="宋体" w:eastAsia="宋体" w:hint="default"/>
          <w:spacing w:val="-11"/>
          <w:w w:val="100"/>
        </w:rPr>
        <w:t>T</w:t>
      </w:r>
      <w:r>
        <w:rPr>
          <w:rFonts w:ascii="宋体" w:hAnsi="宋体" w:cs="宋体" w:eastAsia="宋体" w:hint="default"/>
          <w:spacing w:val="-11"/>
          <w:w w:val="100"/>
          <w:position w:val="11"/>
          <w:sz w:val="11"/>
          <w:szCs w:val="11"/>
        </w:rPr>
        <w:t>+</w:t>
      </w:r>
      <w:r>
        <w:rPr>
          <w:spacing w:val="-11"/>
          <w:w w:val="100"/>
        </w:rPr>
        <w:t>系列产品“云</w:t>
      </w:r>
      <w:r>
        <w:rPr>
          <w:rFonts w:ascii="宋体" w:hAnsi="宋体" w:cs="宋体" w:eastAsia="宋体" w:hint="default"/>
          <w:spacing w:val="-11"/>
          <w:w w:val="100"/>
        </w:rPr>
        <w:t>+</w:t>
      </w:r>
      <w:r>
        <w:rPr>
          <w:spacing w:val="-11"/>
          <w:w w:val="100"/>
        </w:rPr>
        <w:t>端”的战略</w:t>
      </w:r>
      <w:r>
        <w:rPr>
          <w:rFonts w:ascii="宋体" w:hAnsi="宋体" w:cs="宋体" w:eastAsia="宋体" w:hint="default"/>
          <w:spacing w:val="-11"/>
          <w:w w:val="100"/>
        </w:rPr>
        <w:t>,</w:t>
      </w:r>
      <w:r>
        <w:rPr>
          <w:rFonts w:ascii="宋体" w:hAnsi="宋体" w:cs="宋体" w:eastAsia="宋体" w:hint="default"/>
          <w:spacing w:val="-46"/>
          <w:w w:val="100"/>
        </w:rPr>
        <w:t> </w:t>
      </w:r>
      <w:r>
        <w:rPr>
          <w:rFonts w:ascii="宋体" w:hAnsi="宋体" w:cs="宋体" w:eastAsia="宋体" w:hint="default"/>
          <w:w w:val="100"/>
        </w:rPr>
        <w:t>T</w:t>
      </w:r>
      <w:r>
        <w:rPr>
          <w:rFonts w:ascii="宋体" w:hAnsi="宋体" w:cs="宋体" w:eastAsia="宋体" w:hint="default"/>
          <w:w w:val="100"/>
          <w:position w:val="11"/>
          <w:sz w:val="11"/>
          <w:szCs w:val="11"/>
        </w:rPr>
        <w:t>+</w:t>
      </w:r>
      <w:r>
        <w:rPr>
          <w:rFonts w:ascii="宋体" w:hAnsi="宋体" w:cs="宋体" w:eastAsia="宋体" w:hint="default"/>
          <w:w w:val="100"/>
          <w:sz w:val="11"/>
          <w:szCs w:val="11"/>
        </w:rPr>
      </w:r>
    </w:p>
    <w:p>
      <w:pPr>
        <w:pStyle w:val="BodyText"/>
        <w:spacing w:line="297" w:lineRule="auto" w:before="66"/>
        <w:ind w:right="147"/>
        <w:jc w:val="both"/>
      </w:pPr>
      <w:r>
        <w:rPr/>
        <w:t>系列产品实现同比增长</w:t>
      </w:r>
      <w:r>
        <w:rPr>
          <w:spacing w:val="-41"/>
        </w:rPr>
        <w:t> </w:t>
      </w:r>
      <w:r>
        <w:rPr>
          <w:rFonts w:ascii="宋体" w:hAnsi="宋体" w:cs="宋体" w:eastAsia="宋体" w:hint="default"/>
          <w:spacing w:val="-3"/>
        </w:rPr>
        <w:t>32%</w:t>
      </w:r>
      <w:r>
        <w:rPr>
          <w:spacing w:val="-3"/>
        </w:rPr>
        <w:t>，占畅捷通公司的收入占比为</w:t>
      </w:r>
      <w:r>
        <w:rPr>
          <w:spacing w:val="-43"/>
        </w:rPr>
        <w:t> </w:t>
      </w:r>
      <w:r>
        <w:rPr>
          <w:rFonts w:ascii="宋体" w:hAnsi="宋体" w:cs="宋体" w:eastAsia="宋体" w:hint="default"/>
          <w:spacing w:val="-3"/>
        </w:rPr>
        <w:t>45%</w:t>
      </w:r>
      <w:r>
        <w:rPr>
          <w:spacing w:val="-3"/>
        </w:rPr>
        <w:t>。</w:t>
      </w:r>
      <w:r>
        <w:rPr>
          <w:rFonts w:ascii="宋体" w:hAnsi="宋体" w:cs="宋体" w:eastAsia="宋体" w:hint="default"/>
          <w:spacing w:val="-3"/>
        </w:rPr>
        <w:t>T</w:t>
      </w:r>
      <w:r>
        <w:rPr>
          <w:rFonts w:ascii="宋体" w:hAnsi="宋体" w:cs="宋体" w:eastAsia="宋体" w:hint="default"/>
          <w:spacing w:val="-3"/>
          <w:position w:val="11"/>
          <w:sz w:val="11"/>
          <w:szCs w:val="11"/>
        </w:rPr>
        <w:t>+</w:t>
      </w:r>
      <w:r>
        <w:rPr>
          <w:spacing w:val="-3"/>
        </w:rPr>
        <w:t>系列产品增长主要原因是</w:t>
      </w:r>
      <w:r>
        <w:rPr>
          <w:spacing w:val="-43"/>
        </w:rPr>
        <w:t> </w:t>
      </w:r>
      <w:r>
        <w:rPr>
          <w:rFonts w:ascii="宋体" w:hAnsi="宋体" w:cs="宋体" w:eastAsia="宋体" w:hint="default"/>
        </w:rPr>
        <w:t>T</w:t>
      </w:r>
      <w:r>
        <w:rPr>
          <w:rFonts w:ascii="宋体" w:hAnsi="宋体" w:cs="宋体" w:eastAsia="宋体" w:hint="default"/>
          <w:position w:val="11"/>
          <w:sz w:val="11"/>
          <w:szCs w:val="11"/>
        </w:rPr>
        <w:t>+</w:t>
      </w:r>
      <w:r>
        <w:rPr/>
        <w:t>实现</w:t>
      </w:r>
      <w:r>
        <w:rPr>
          <w:spacing w:val="-100"/>
        </w:rPr>
        <w:t> </w:t>
      </w:r>
      <w:r>
        <w:rPr>
          <w:spacing w:val="-6"/>
          <w:w w:val="100"/>
        </w:rPr>
        <w:t>集成第三方多方通话的移动通讯能力，集成云应用的工作圈和会计家园，集成企业在线支付功能，</w:t>
      </w:r>
      <w:r>
        <w:rPr>
          <w:w w:val="100"/>
        </w:rPr>
        <w:t> </w:t>
      </w:r>
      <w:r>
        <w:rPr/>
        <w:t>逐步完善</w:t>
      </w:r>
      <w:r>
        <w:rPr>
          <w:spacing w:val="-1"/>
        </w:rPr>
        <w:t> </w:t>
      </w:r>
      <w:r>
        <w:rPr>
          <w:rFonts w:ascii="宋体" w:hAnsi="宋体" w:cs="宋体" w:eastAsia="宋体" w:hint="default"/>
        </w:rPr>
        <w:t>T</w:t>
      </w:r>
      <w:r>
        <w:rPr>
          <w:rFonts w:ascii="宋体" w:hAnsi="宋体" w:cs="宋体" w:eastAsia="宋体" w:hint="default"/>
          <w:position w:val="11"/>
          <w:sz w:val="11"/>
          <w:szCs w:val="11"/>
        </w:rPr>
        <w:t>+</w:t>
      </w:r>
      <w:r>
        <w:rPr/>
        <w:t>系列产品的生态链；</w:t>
      </w:r>
      <w:r>
        <w:rPr>
          <w:rFonts w:ascii="宋体" w:hAnsi="宋体" w:cs="宋体" w:eastAsia="宋体" w:hint="default"/>
        </w:rPr>
        <w:t>T</w:t>
      </w:r>
      <w:r>
        <w:rPr>
          <w:rFonts w:ascii="宋体" w:hAnsi="宋体" w:cs="宋体" w:eastAsia="宋体" w:hint="default"/>
          <w:position w:val="11"/>
          <w:sz w:val="11"/>
          <w:szCs w:val="11"/>
        </w:rPr>
        <w:t>+</w:t>
      </w:r>
      <w:r>
        <w:rPr/>
        <w:t>不仅实现与云应用工作圈等的结合，还同外部的互联网电商、</w:t>
      </w:r>
      <w:r>
        <w:rPr>
          <w:w w:val="100"/>
        </w:rPr>
        <w:t> </w:t>
      </w:r>
      <w:r>
        <w:rPr>
          <w:spacing w:val="-5"/>
        </w:rPr>
        <w:t>移动报销、移动广告牌（</w:t>
      </w:r>
      <w:r>
        <w:rPr>
          <w:rFonts w:ascii="宋体" w:hAnsi="宋体" w:cs="宋体" w:eastAsia="宋体" w:hint="default"/>
          <w:spacing w:val="-5"/>
        </w:rPr>
        <w:t>BI</w:t>
      </w:r>
      <w:r>
        <w:rPr>
          <w:spacing w:val="-5"/>
        </w:rPr>
        <w:t>）等</w:t>
      </w:r>
      <w:r>
        <w:rPr>
          <w:spacing w:val="-34"/>
        </w:rPr>
        <w:t> </w:t>
      </w:r>
      <w:r>
        <w:rPr>
          <w:rFonts w:ascii="宋体" w:hAnsi="宋体" w:cs="宋体" w:eastAsia="宋体" w:hint="default"/>
        </w:rPr>
        <w:t>SaaS</w:t>
      </w:r>
      <w:r>
        <w:rPr>
          <w:rFonts w:ascii="宋体" w:hAnsi="宋体" w:cs="宋体" w:eastAsia="宋体" w:hint="default"/>
          <w:spacing w:val="-37"/>
        </w:rPr>
        <w:t> </w:t>
      </w:r>
      <w:r>
        <w:rPr>
          <w:spacing w:val="-5"/>
        </w:rPr>
        <w:t>应用结合，扩展</w:t>
      </w:r>
      <w:r>
        <w:rPr>
          <w:spacing w:val="-32"/>
        </w:rPr>
        <w:t> </w:t>
      </w:r>
      <w:r>
        <w:rPr>
          <w:rFonts w:ascii="宋体" w:hAnsi="宋体" w:cs="宋体" w:eastAsia="宋体" w:hint="default"/>
          <w:spacing w:val="-3"/>
        </w:rPr>
        <w:t>T</w:t>
      </w:r>
      <w:r>
        <w:rPr>
          <w:rFonts w:ascii="宋体" w:hAnsi="宋体" w:cs="宋体" w:eastAsia="宋体" w:hint="default"/>
          <w:spacing w:val="-3"/>
          <w:position w:val="11"/>
          <w:sz w:val="11"/>
          <w:szCs w:val="11"/>
        </w:rPr>
        <w:t>+</w:t>
      </w:r>
      <w:r>
        <w:rPr>
          <w:spacing w:val="-3"/>
        </w:rPr>
        <w:t>的服务领域更为广泛，最大限度将小微企</w:t>
      </w:r>
      <w:r>
        <w:rPr>
          <w:spacing w:val="-97"/>
        </w:rPr>
        <w:t> </w:t>
      </w:r>
      <w:r>
        <w:rPr>
          <w:spacing w:val="-97"/>
        </w:rPr>
      </w:r>
      <w:r>
        <w:rPr/>
        <w:t>业的后台财务管理与前端运营等实现无缝衔接，更具优势地满足客户需求；</w:t>
      </w:r>
      <w:r>
        <w:rPr>
          <w:rFonts w:ascii="宋体" w:hAnsi="宋体" w:cs="宋体" w:eastAsia="宋体" w:hint="default"/>
        </w:rPr>
        <w:t>T</w:t>
      </w:r>
      <w:r>
        <w:rPr>
          <w:rFonts w:ascii="宋体" w:hAnsi="宋体" w:cs="宋体" w:eastAsia="宋体" w:hint="default"/>
          <w:position w:val="11"/>
          <w:sz w:val="11"/>
          <w:szCs w:val="11"/>
        </w:rPr>
        <w:t>+</w:t>
      </w:r>
      <w:r>
        <w:rPr/>
        <w:t>实现云加密验证模</w:t>
      </w:r>
      <w:r>
        <w:rPr>
          <w:spacing w:val="-40"/>
        </w:rPr>
        <w:t> </w:t>
      </w:r>
      <w:r>
        <w:rPr>
          <w:spacing w:val="-40"/>
        </w:rPr>
      </w:r>
      <w:r>
        <w:rPr>
          <w:spacing w:val="-8"/>
          <w:w w:val="100"/>
        </w:rPr>
        <w:t>式，与畅捷通公司的小微企业云服务平台统一了用户帐户体系，便于</w:t>
      </w:r>
      <w:r>
        <w:rPr>
          <w:spacing w:val="-45"/>
          <w:w w:val="100"/>
        </w:rPr>
        <w:t> </w:t>
      </w:r>
      <w:r>
        <w:rPr>
          <w:rFonts w:ascii="宋体" w:hAnsi="宋体" w:cs="宋体" w:eastAsia="宋体" w:hint="default"/>
          <w:spacing w:val="-2"/>
          <w:w w:val="100"/>
        </w:rPr>
        <w:t>T</w:t>
      </w:r>
      <w:r>
        <w:rPr>
          <w:rFonts w:ascii="宋体" w:hAnsi="宋体" w:cs="宋体" w:eastAsia="宋体" w:hint="default"/>
          <w:spacing w:val="-2"/>
          <w:w w:val="100"/>
          <w:position w:val="11"/>
          <w:sz w:val="11"/>
          <w:szCs w:val="11"/>
        </w:rPr>
        <w:t>+</w:t>
      </w:r>
      <w:r>
        <w:rPr>
          <w:spacing w:val="-2"/>
          <w:w w:val="100"/>
        </w:rPr>
        <w:t>用户使用所有云应用服务；</w:t>
      </w:r>
    </w:p>
    <w:p>
      <w:pPr>
        <w:spacing w:after="0" w:line="297" w:lineRule="auto"/>
        <w:jc w:val="both"/>
        <w:sectPr>
          <w:pgSz w:w="11910" w:h="16840"/>
          <w:pgMar w:header="880" w:footer="1335" w:top="1120" w:bottom="1520" w:left="1660" w:right="1120"/>
        </w:sectPr>
      </w:pPr>
    </w:p>
    <w:p>
      <w:pPr>
        <w:spacing w:line="240" w:lineRule="auto" w:before="6"/>
        <w:rPr>
          <w:rFonts w:ascii="宋体" w:hAnsi="宋体" w:cs="宋体" w:eastAsia="宋体" w:hint="default"/>
          <w:sz w:val="23"/>
          <w:szCs w:val="23"/>
        </w:rPr>
      </w:pPr>
    </w:p>
    <w:p>
      <w:pPr>
        <w:pStyle w:val="BodyText"/>
        <w:spacing w:line="297" w:lineRule="auto" w:before="60"/>
        <w:ind w:right="150"/>
        <w:jc w:val="both"/>
      </w:pPr>
      <w:r>
        <w:rPr>
          <w:spacing w:val="-2"/>
          <w:w w:val="100"/>
        </w:rPr>
        <w:t>拓展了超过</w:t>
      </w:r>
      <w:r>
        <w:rPr>
          <w:spacing w:val="-47"/>
          <w:w w:val="100"/>
        </w:rPr>
        <w:t> </w:t>
      </w:r>
      <w:r>
        <w:rPr>
          <w:rFonts w:ascii="宋体" w:hAnsi="宋体" w:cs="宋体" w:eastAsia="宋体" w:hint="default"/>
          <w:w w:val="100"/>
        </w:rPr>
        <w:t>40</w:t>
      </w:r>
      <w:r>
        <w:rPr>
          <w:rFonts w:ascii="宋体" w:hAnsi="宋体" w:cs="宋体" w:eastAsia="宋体" w:hint="default"/>
          <w:spacing w:val="-49"/>
          <w:w w:val="100"/>
        </w:rPr>
        <w:t> </w:t>
      </w:r>
      <w:r>
        <w:rPr>
          <w:spacing w:val="-6"/>
          <w:w w:val="100"/>
        </w:rPr>
        <w:t>家第三方开发商，开发了基于</w:t>
      </w:r>
      <w:r>
        <w:rPr>
          <w:spacing w:val="-49"/>
          <w:w w:val="100"/>
        </w:rPr>
        <w:t> </w:t>
      </w:r>
      <w:r>
        <w:rPr>
          <w:rFonts w:ascii="宋体" w:hAnsi="宋体" w:cs="宋体" w:eastAsia="宋体" w:hint="default"/>
          <w:spacing w:val="-5"/>
          <w:w w:val="100"/>
        </w:rPr>
        <w:t>T</w:t>
      </w:r>
      <w:r>
        <w:rPr>
          <w:rFonts w:ascii="宋体" w:hAnsi="宋体" w:cs="宋体" w:eastAsia="宋体" w:hint="default"/>
          <w:spacing w:val="-5"/>
          <w:w w:val="100"/>
          <w:position w:val="11"/>
          <w:sz w:val="11"/>
          <w:szCs w:val="11"/>
        </w:rPr>
        <w:t>+</w:t>
      </w:r>
      <w:r>
        <w:rPr>
          <w:spacing w:val="-5"/>
          <w:w w:val="100"/>
        </w:rPr>
        <w:t>的多种云应用，初步建立了</w:t>
      </w:r>
      <w:r>
        <w:rPr>
          <w:spacing w:val="-49"/>
          <w:w w:val="100"/>
        </w:rPr>
        <w:t> </w:t>
      </w:r>
      <w:r>
        <w:rPr>
          <w:rFonts w:ascii="宋体" w:hAnsi="宋体" w:cs="宋体" w:eastAsia="宋体" w:hint="default"/>
          <w:spacing w:val="-2"/>
          <w:w w:val="100"/>
        </w:rPr>
        <w:t>T</w:t>
      </w:r>
      <w:r>
        <w:rPr>
          <w:rFonts w:ascii="宋体" w:hAnsi="宋体" w:cs="宋体" w:eastAsia="宋体" w:hint="default"/>
          <w:spacing w:val="-2"/>
          <w:w w:val="100"/>
          <w:position w:val="11"/>
          <w:sz w:val="11"/>
          <w:szCs w:val="11"/>
        </w:rPr>
        <w:t>+</w:t>
      </w:r>
      <w:r>
        <w:rPr>
          <w:spacing w:val="-2"/>
          <w:w w:val="100"/>
        </w:rPr>
        <w:t>系列软件产品的生态</w:t>
      </w:r>
      <w:r>
        <w:rPr>
          <w:spacing w:val="-103"/>
          <w:w w:val="100"/>
        </w:rPr>
        <w:t> </w:t>
      </w:r>
      <w:r>
        <w:rPr>
          <w:spacing w:val="-103"/>
          <w:w w:val="100"/>
        </w:rPr>
      </w:r>
      <w:r>
        <w:rPr/>
        <w:t>链。</w:t>
      </w:r>
    </w:p>
    <w:p>
      <w:pPr>
        <w:pStyle w:val="BodyText"/>
        <w:spacing w:line="297" w:lineRule="auto" w:before="135"/>
        <w:ind w:right="147" w:firstLine="419"/>
        <w:jc w:val="both"/>
      </w:pPr>
      <w:r>
        <w:rPr>
          <w:spacing w:val="-9"/>
          <w:w w:val="100"/>
        </w:rPr>
        <w:t>报告期内，畅捷通公司加大了</w:t>
      </w:r>
      <w:r>
        <w:rPr>
          <w:spacing w:val="-48"/>
          <w:w w:val="100"/>
        </w:rPr>
        <w:t> </w:t>
      </w:r>
      <w:r>
        <w:rPr>
          <w:rFonts w:ascii="宋体" w:hAnsi="宋体" w:cs="宋体" w:eastAsia="宋体" w:hint="default"/>
          <w:spacing w:val="-5"/>
          <w:w w:val="100"/>
        </w:rPr>
        <w:t>T</w:t>
      </w:r>
      <w:r>
        <w:rPr>
          <w:rFonts w:ascii="宋体" w:hAnsi="宋体" w:cs="宋体" w:eastAsia="宋体" w:hint="default"/>
          <w:spacing w:val="-5"/>
          <w:w w:val="100"/>
          <w:position w:val="11"/>
          <w:sz w:val="11"/>
          <w:szCs w:val="11"/>
        </w:rPr>
        <w:t>+</w:t>
      </w:r>
      <w:r>
        <w:rPr>
          <w:spacing w:val="-5"/>
          <w:w w:val="100"/>
        </w:rPr>
        <w:t>系列软件产品市场活动的投入，改进了产品功能和用户体验，</w:t>
      </w:r>
      <w:r>
        <w:rPr>
          <w:w w:val="100"/>
        </w:rPr>
        <w:t> </w:t>
      </w:r>
      <w:r>
        <w:rPr>
          <w:spacing w:val="-1"/>
        </w:rPr>
        <w:t>加强了产品培训力度，提升了渠道合作伙伴的产品推广及交付能力，从而获得了更多用户；畅捷</w:t>
      </w:r>
      <w:r>
        <w:rPr>
          <w:spacing w:val="-56"/>
        </w:rPr>
        <w:t> </w:t>
      </w:r>
      <w:r>
        <w:rPr>
          <w:spacing w:val="-56"/>
        </w:rPr>
      </w:r>
      <w:r>
        <w:rPr/>
        <w:t>通公司持续推行“财务普及风暴”、“互联网</w:t>
      </w:r>
      <w:r>
        <w:rPr>
          <w:rFonts w:ascii="宋体" w:hAnsi="宋体" w:cs="宋体" w:eastAsia="宋体" w:hint="default"/>
        </w:rPr>
        <w:t>+</w:t>
      </w:r>
      <w:r>
        <w:rPr/>
        <w:t>管理：小微企业发展新机遇”、</w:t>
      </w:r>
      <w:r>
        <w:rPr>
          <w:spacing w:val="7"/>
        </w:rPr>
        <w:t> </w:t>
      </w:r>
      <w:r>
        <w:rPr/>
        <w:t>“第八届会计文</w:t>
      </w:r>
      <w:r>
        <w:rPr>
          <w:w w:val="100"/>
        </w:rPr>
        <w:t> </w:t>
      </w:r>
      <w:r>
        <w:rPr>
          <w:spacing w:val="-4"/>
        </w:rPr>
        <w:t>化节”等多种形式的大型市场活动，为小微企业提供了“互联网</w:t>
      </w:r>
      <w:r>
        <w:rPr>
          <w:rFonts w:ascii="宋体" w:hAnsi="宋体" w:cs="宋体" w:eastAsia="宋体" w:hint="default"/>
          <w:spacing w:val="-4"/>
        </w:rPr>
        <w:t>+</w:t>
      </w:r>
      <w:r>
        <w:rPr>
          <w:spacing w:val="-4"/>
        </w:rPr>
        <w:t>”管理软件，推动小微企业与互</w:t>
      </w:r>
      <w:r>
        <w:rPr>
          <w:spacing w:val="-33"/>
        </w:rPr>
        <w:t> </w:t>
      </w:r>
      <w:r>
        <w:rPr>
          <w:spacing w:val="-33"/>
        </w:rPr>
      </w:r>
      <w:r>
        <w:rPr>
          <w:spacing w:val="-1"/>
        </w:rPr>
        <w:t>联网深度融合、促进小微企业互联网化发展；畅捷通公司针对合作伙伴，举办了销售竞赛活动和</w:t>
      </w:r>
      <w:r>
        <w:rPr>
          <w:spacing w:val="-55"/>
        </w:rPr>
        <w:t> </w:t>
      </w:r>
      <w:r>
        <w:rPr>
          <w:spacing w:val="-55"/>
        </w:rPr>
      </w:r>
      <w:r>
        <w:rPr/>
        <w:t>业务培训会，有效地拉动了合作伙伴销售的积极性，提高了合作伙伴对用户的服务支持能力。</w:t>
      </w:r>
    </w:p>
    <w:p>
      <w:pPr>
        <w:pStyle w:val="BodyText"/>
        <w:spacing w:line="297" w:lineRule="auto" w:before="135"/>
        <w:ind w:right="150" w:firstLine="419"/>
        <w:jc w:val="both"/>
      </w:pPr>
      <w:r>
        <w:rPr>
          <w:spacing w:val="-2"/>
        </w:rPr>
        <w:t>报告期内，畅捷通公司持续推行产品支持服务，优化长期盈利模式，确保业务稳定、持续、</w:t>
      </w:r>
      <w:r>
        <w:rPr>
          <w:w w:val="100"/>
        </w:rPr>
        <w:t> </w:t>
      </w:r>
      <w:r>
        <w:rPr/>
        <w:t>健康发展。截至</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日，畅捷通公司软件产品新增注册企业用户数超过</w:t>
      </w:r>
      <w:r>
        <w:rPr>
          <w:spacing w:val="-52"/>
        </w:rPr>
        <w:t> </w:t>
      </w:r>
      <w:r>
        <w:rPr>
          <w:rFonts w:ascii="宋体" w:hAnsi="宋体" w:cs="宋体" w:eastAsia="宋体" w:hint="default"/>
        </w:rPr>
        <w:t>14</w:t>
      </w:r>
      <w:r>
        <w:rPr>
          <w:rFonts w:ascii="宋体" w:hAnsi="宋体" w:cs="宋体" w:eastAsia="宋体" w:hint="default"/>
          <w:spacing w:val="-52"/>
        </w:rPr>
        <w:t> </w:t>
      </w:r>
      <w:r>
        <w:rPr/>
        <w:t>万，累计</w:t>
      </w:r>
    </w:p>
    <w:p>
      <w:pPr>
        <w:pStyle w:val="BodyText"/>
        <w:spacing w:line="240" w:lineRule="auto" w:before="15"/>
        <w:ind w:right="0"/>
        <w:jc w:val="both"/>
      </w:pPr>
      <w:r>
        <w:rPr/>
        <w:t>注册企业用户数超过</w:t>
      </w:r>
      <w:r>
        <w:rPr>
          <w:spacing w:val="-52"/>
        </w:rPr>
        <w:t> </w:t>
      </w:r>
      <w:r>
        <w:rPr>
          <w:rFonts w:ascii="宋体" w:hAnsi="宋体" w:cs="宋体" w:eastAsia="宋体" w:hint="default"/>
        </w:rPr>
        <w:t>98</w:t>
      </w:r>
      <w:r>
        <w:rPr>
          <w:rFonts w:ascii="宋体" w:hAnsi="宋体" w:cs="宋体" w:eastAsia="宋体" w:hint="default"/>
          <w:spacing w:val="-53"/>
        </w:rPr>
        <w:t> </w:t>
      </w:r>
      <w:r>
        <w:rPr>
          <w:spacing w:val="-3"/>
        </w:rPr>
        <w:t>万。</w:t>
      </w:r>
      <w:r>
        <w:rPr/>
      </w:r>
    </w:p>
    <w:p>
      <w:pPr>
        <w:spacing w:line="240" w:lineRule="auto" w:before="3"/>
        <w:rPr>
          <w:rFonts w:ascii="宋体" w:hAnsi="宋体" w:cs="宋体" w:eastAsia="宋体" w:hint="default"/>
          <w:sz w:val="14"/>
          <w:szCs w:val="14"/>
        </w:rPr>
      </w:pPr>
    </w:p>
    <w:p>
      <w:pPr>
        <w:pStyle w:val="BodyText"/>
        <w:spacing w:line="240" w:lineRule="auto"/>
        <w:ind w:left="558" w:right="144"/>
        <w:jc w:val="left"/>
      </w:pPr>
      <w:r>
        <w:rPr>
          <w:spacing w:val="-1"/>
        </w:rPr>
        <w:t>报告期内，畅捷通公司获得“2014</w:t>
      </w:r>
      <w:r>
        <w:rPr>
          <w:rFonts w:ascii="宋体" w:hAnsi="宋体" w:cs="宋体" w:eastAsia="宋体" w:hint="default"/>
          <w:spacing w:val="-1"/>
        </w:rPr>
        <w:t>-2015</w:t>
      </w:r>
      <w:r>
        <w:rPr>
          <w:rFonts w:ascii="宋体" w:hAnsi="宋体" w:cs="宋体" w:eastAsia="宋体" w:hint="default"/>
          <w:spacing w:val="6"/>
        </w:rPr>
        <w:t> </w:t>
      </w:r>
      <w:r>
        <w:rPr>
          <w:spacing w:val="-2"/>
        </w:rPr>
        <w:t>中国小型管理软件市场年度成功企业”奖项。</w:t>
      </w:r>
    </w:p>
    <w:p>
      <w:pPr>
        <w:spacing w:line="240" w:lineRule="auto" w:before="3"/>
        <w:rPr>
          <w:rFonts w:ascii="宋体" w:hAnsi="宋体" w:cs="宋体" w:eastAsia="宋体" w:hint="default"/>
          <w:sz w:val="14"/>
          <w:szCs w:val="14"/>
        </w:rPr>
      </w:pPr>
    </w:p>
    <w:p>
      <w:pPr>
        <w:pStyle w:val="BodyText"/>
        <w:spacing w:line="400" w:lineRule="auto"/>
        <w:ind w:left="558" w:right="3050"/>
        <w:jc w:val="left"/>
      </w:pPr>
      <w:r>
        <w:rPr>
          <w:spacing w:val="-2"/>
        </w:rPr>
        <w:t>（</w:t>
      </w:r>
      <w:r>
        <w:rPr>
          <w:rFonts w:ascii="宋体" w:hAnsi="宋体" w:cs="宋体" w:eastAsia="宋体" w:hint="default"/>
          <w:spacing w:val="-2"/>
        </w:rPr>
        <w:t>4</w:t>
      </w:r>
      <w:r>
        <w:rPr>
          <w:spacing w:val="-2"/>
        </w:rPr>
        <w:t>）面向行业和领域的解决方案与专业服务业务发展情况</w:t>
      </w:r>
      <w:r>
        <w:rPr>
          <w:spacing w:val="-56"/>
        </w:rPr>
        <w:t> </w:t>
      </w:r>
      <w:r>
        <w:rPr>
          <w:spacing w:val="-56"/>
        </w:rPr>
      </w:r>
      <w:r>
        <w:rPr>
          <w:rFonts w:ascii="宋体" w:hAnsi="宋体" w:cs="宋体" w:eastAsia="宋体" w:hint="default"/>
        </w:rPr>
        <w:t>1</w:t>
      </w:r>
      <w:r>
        <w:rPr/>
        <w:t>）用友政务公司</w:t>
      </w:r>
    </w:p>
    <w:p>
      <w:pPr>
        <w:pStyle w:val="BodyText"/>
        <w:spacing w:line="297" w:lineRule="auto" w:before="45"/>
        <w:ind w:right="147" w:firstLine="419"/>
        <w:jc w:val="both"/>
      </w:pPr>
      <w:r>
        <w:rPr>
          <w:spacing w:val="-2"/>
        </w:rPr>
        <w:t>报告期内，用友政务公司在财政一体化业务在同行业中继续保持领先地位，并在财政行业基</w:t>
      </w:r>
      <w:r>
        <w:rPr>
          <w:w w:val="100"/>
        </w:rPr>
        <w:t> </w:t>
      </w:r>
      <w:r>
        <w:rPr>
          <w:spacing w:val="-1"/>
        </w:rPr>
        <w:t>础上拓展出民政、民生等新业务。报告期内，用友政务公司的核高基项目推进顺利，确定预算业</w:t>
      </w:r>
      <w:r>
        <w:rPr>
          <w:spacing w:val="-55"/>
        </w:rPr>
        <w:t> </w:t>
      </w:r>
      <w:r>
        <w:rPr>
          <w:spacing w:val="-55"/>
        </w:rPr>
      </w:r>
      <w:r>
        <w:rPr/>
        <w:t>务的</w:t>
      </w:r>
      <w:r>
        <w:rPr>
          <w:spacing w:val="-51"/>
        </w:rPr>
        <w:t> </w:t>
      </w:r>
      <w:r>
        <w:rPr>
          <w:rFonts w:ascii="宋体" w:hAnsi="宋体" w:cs="宋体" w:eastAsia="宋体" w:hint="default"/>
        </w:rPr>
        <w:t>7</w:t>
      </w:r>
      <w:r>
        <w:rPr>
          <w:rFonts w:ascii="宋体" w:hAnsi="宋体" w:cs="宋体" w:eastAsia="宋体" w:hint="default"/>
          <w:spacing w:val="-51"/>
        </w:rPr>
        <w:t> </w:t>
      </w:r>
      <w:r>
        <w:rPr/>
        <w:t>个核心产品方案，完成财政产品基于</w:t>
      </w:r>
      <w:r>
        <w:rPr>
          <w:spacing w:val="-51"/>
        </w:rPr>
        <w:t> </w:t>
      </w:r>
      <w:r>
        <w:rPr>
          <w:rFonts w:ascii="宋体" w:hAnsi="宋体" w:cs="宋体" w:eastAsia="宋体" w:hint="default"/>
        </w:rPr>
        <w:t>UAP</w:t>
      </w:r>
      <w:r>
        <w:rPr>
          <w:rFonts w:ascii="宋体" w:hAnsi="宋体" w:cs="宋体" w:eastAsia="宋体" w:hint="default"/>
          <w:spacing w:val="-54"/>
        </w:rPr>
        <w:t> </w:t>
      </w:r>
      <w:r>
        <w:rPr/>
        <w:t>技术架构迁移的研发工作，正式启动基于阿里云</w:t>
      </w:r>
      <w:r>
        <w:rPr>
          <w:w w:val="100"/>
        </w:rPr>
        <w:t> </w:t>
      </w:r>
      <w:r>
        <w:rPr/>
        <w:t>的资产大集中改造；发布《财政一体化套件</w:t>
      </w:r>
      <w:r>
        <w:rPr>
          <w:spacing w:val="-53"/>
        </w:rPr>
        <w:t> </w:t>
      </w:r>
      <w:r>
        <w:rPr>
          <w:rFonts w:ascii="宋体" w:hAnsi="宋体" w:cs="宋体" w:eastAsia="宋体" w:hint="default"/>
        </w:rPr>
        <w:t>V6.2</w:t>
      </w:r>
      <w:r>
        <w:rPr/>
        <w:t>》，《银行代理财政业务系统</w:t>
      </w:r>
      <w:r>
        <w:rPr>
          <w:spacing w:val="-51"/>
        </w:rPr>
        <w:t> </w:t>
      </w:r>
      <w:r>
        <w:rPr>
          <w:rFonts w:ascii="宋体" w:hAnsi="宋体" w:cs="宋体" w:eastAsia="宋体" w:hint="default"/>
        </w:rPr>
        <w:t>V6.1</w:t>
      </w:r>
      <w:r>
        <w:rPr/>
        <w:t>》《</w:t>
      </w:r>
      <w:r>
        <w:rPr>
          <w:rFonts w:ascii="宋体" w:hAnsi="宋体" w:cs="宋体" w:eastAsia="宋体" w:hint="default"/>
        </w:rPr>
        <w:t>A++</w:t>
      </w:r>
      <w:r>
        <w:rPr/>
        <w:t>综合</w:t>
      </w:r>
      <w:r>
        <w:rPr>
          <w:spacing w:val="-3"/>
          <w:w w:val="100"/>
        </w:rPr>
        <w:t> </w:t>
      </w:r>
      <w:r>
        <w:rPr/>
        <w:t>计划财务</w:t>
      </w:r>
      <w:r>
        <w:rPr>
          <w:spacing w:val="-55"/>
        </w:rPr>
        <w:t> </w:t>
      </w:r>
      <w:r>
        <w:rPr>
          <w:rFonts w:ascii="宋体" w:hAnsi="宋体" w:cs="宋体" w:eastAsia="宋体" w:hint="default"/>
        </w:rPr>
        <w:t>V7.0</w:t>
      </w:r>
      <w:r>
        <w:rPr/>
        <w:t>》，《</w:t>
      </w:r>
      <w:r>
        <w:rPr>
          <w:rFonts w:ascii="宋体" w:hAnsi="宋体" w:cs="宋体" w:eastAsia="宋体" w:hint="default"/>
        </w:rPr>
        <w:t>A++</w:t>
      </w:r>
      <w:r>
        <w:rPr/>
        <w:t>综合计划财务</w:t>
      </w:r>
      <w:r>
        <w:rPr>
          <w:spacing w:val="-55"/>
        </w:rPr>
        <w:t> </w:t>
      </w:r>
      <w:r>
        <w:rPr>
          <w:rFonts w:ascii="宋体" w:hAnsi="宋体" w:cs="宋体" w:eastAsia="宋体" w:hint="default"/>
        </w:rPr>
        <w:t>V6.2</w:t>
      </w:r>
      <w:r>
        <w:rPr>
          <w:rFonts w:ascii="宋体" w:hAnsi="宋体" w:cs="宋体" w:eastAsia="宋体" w:hint="default"/>
          <w:spacing w:val="-57"/>
        </w:rPr>
        <w:t> </w:t>
      </w:r>
      <w:r>
        <w:rPr/>
        <w:t>更新版》，《汇总报表</w:t>
      </w:r>
      <w:r>
        <w:rPr>
          <w:spacing w:val="-55"/>
        </w:rPr>
        <w:t> </w:t>
      </w:r>
      <w:r>
        <w:rPr>
          <w:rFonts w:ascii="宋体" w:hAnsi="宋体" w:cs="宋体" w:eastAsia="宋体" w:hint="default"/>
        </w:rPr>
        <w:t>Rmis</w:t>
      </w:r>
      <w:r>
        <w:rPr>
          <w:rFonts w:ascii="宋体" w:hAnsi="宋体" w:cs="宋体" w:eastAsia="宋体" w:hint="default"/>
          <w:spacing w:val="-3"/>
        </w:rPr>
        <w:t> </w:t>
      </w:r>
      <w:r>
        <w:rPr>
          <w:rFonts w:ascii="宋体" w:hAnsi="宋体" w:cs="宋体" w:eastAsia="宋体" w:hint="default"/>
        </w:rPr>
        <w:t>V6.3</w:t>
      </w:r>
      <w:r>
        <w:rPr/>
        <w:t>》等产品。</w:t>
      </w:r>
    </w:p>
    <w:p>
      <w:pPr>
        <w:pStyle w:val="BodyText"/>
        <w:spacing w:line="297" w:lineRule="auto" w:before="133"/>
        <w:ind w:right="147" w:firstLine="419"/>
        <w:jc w:val="both"/>
      </w:pPr>
      <w:r>
        <w:rPr>
          <w:spacing w:val="-4"/>
        </w:rPr>
        <w:t>报告期内，用友政务公司举办“护航新预算法实施</w:t>
      </w:r>
      <w:r>
        <w:rPr>
          <w:spacing w:val="49"/>
        </w:rPr>
        <w:t> </w:t>
      </w:r>
      <w:r>
        <w:rPr>
          <w:spacing w:val="-4"/>
        </w:rPr>
        <w:t>信息化助推花钱问效”研讨会、财政信息</w:t>
      </w:r>
      <w:r>
        <w:rPr>
          <w:w w:val="100"/>
        </w:rPr>
        <w:t> </w:t>
      </w:r>
      <w:r>
        <w:rPr/>
        <w:t>化创新研讨会、</w:t>
      </w:r>
      <w:r>
        <w:rPr>
          <w:spacing w:val="-5"/>
        </w:rPr>
        <w:t> </w:t>
      </w:r>
      <w:r>
        <w:rPr/>
        <w:t>全国福利彩票预算管理培训、教育经费精细化管理研讨会等</w:t>
      </w:r>
      <w:r>
        <w:rPr>
          <w:spacing w:val="-49"/>
        </w:rPr>
        <w:t> </w:t>
      </w:r>
      <w:r>
        <w:rPr>
          <w:rFonts w:ascii="宋体" w:hAnsi="宋体" w:cs="宋体" w:eastAsia="宋体" w:hint="default"/>
        </w:rPr>
        <w:t>14</w:t>
      </w:r>
      <w:r>
        <w:rPr>
          <w:rFonts w:ascii="宋体" w:hAnsi="宋体" w:cs="宋体" w:eastAsia="宋体" w:hint="default"/>
          <w:spacing w:val="-47"/>
        </w:rPr>
        <w:t> </w:t>
      </w:r>
      <w:r>
        <w:rPr/>
        <w:t>场活动，促进业</w:t>
      </w:r>
      <w:r>
        <w:rPr>
          <w:w w:val="100"/>
        </w:rPr>
        <w:t> </w:t>
      </w:r>
      <w:r>
        <w:rPr/>
        <w:t>务开展；参加第十七届金软件金服务颁奖大会、中国</w:t>
      </w:r>
      <w:r>
        <w:rPr>
          <w:spacing w:val="-20"/>
        </w:rPr>
        <w:t> </w:t>
      </w:r>
      <w:r>
        <w:rPr>
          <w:rFonts w:ascii="宋体" w:hAnsi="宋体" w:cs="宋体" w:eastAsia="宋体" w:hint="default"/>
        </w:rPr>
        <w:t>IT</w:t>
      </w:r>
      <w:r>
        <w:rPr>
          <w:rFonts w:ascii="宋体" w:hAnsi="宋体" w:cs="宋体" w:eastAsia="宋体" w:hint="default"/>
          <w:spacing w:val="-20"/>
        </w:rPr>
        <w:t> </w:t>
      </w:r>
      <w:r>
        <w:rPr/>
        <w:t>市场年会、中国</w:t>
      </w:r>
      <w:r>
        <w:rPr>
          <w:spacing w:val="-20"/>
        </w:rPr>
        <w:t> </w:t>
      </w:r>
      <w:r>
        <w:rPr>
          <w:rFonts w:ascii="宋体" w:hAnsi="宋体" w:cs="宋体" w:eastAsia="宋体" w:hint="default"/>
        </w:rPr>
        <w:t>IT</w:t>
      </w:r>
      <w:r>
        <w:rPr>
          <w:rFonts w:ascii="宋体" w:hAnsi="宋体" w:cs="宋体" w:eastAsia="宋体" w:hint="default"/>
          <w:spacing w:val="-22"/>
        </w:rPr>
        <w:t> </w:t>
      </w:r>
      <w:r>
        <w:rPr/>
        <w:t>服务年会、中国</w:t>
      </w:r>
      <w:r>
        <w:rPr>
          <w:spacing w:val="-22"/>
        </w:rPr>
        <w:t> </w:t>
      </w:r>
      <w:r>
        <w:rPr>
          <w:rFonts w:ascii="宋体" w:hAnsi="宋体" w:cs="宋体" w:eastAsia="宋体" w:hint="default"/>
        </w:rPr>
        <w:t>IT</w:t>
      </w:r>
      <w:r>
        <w:rPr>
          <w:rFonts w:ascii="宋体" w:hAnsi="宋体" w:cs="宋体" w:eastAsia="宋体" w:hint="default"/>
          <w:w w:val="100"/>
        </w:rPr>
        <w:t> </w:t>
      </w:r>
      <w:r>
        <w:rPr/>
        <w:t>用户满意度年会、中国政府采购峰会论坛，</w:t>
      </w:r>
      <w:r>
        <w:rPr>
          <w:spacing w:val="-5"/>
        </w:rPr>
        <w:t> </w:t>
      </w:r>
      <w:r>
        <w:rPr/>
        <w:t>扩大公司知名度和行业影响力。</w:t>
      </w:r>
    </w:p>
    <w:p>
      <w:pPr>
        <w:pStyle w:val="BodyText"/>
        <w:spacing w:line="297" w:lineRule="auto" w:before="135"/>
        <w:ind w:right="152" w:firstLine="419"/>
        <w:jc w:val="both"/>
      </w:pPr>
      <w:r>
        <w:rPr/>
        <w:t>报告期内，用友政务公司荣获“</w:t>
      </w:r>
      <w:r>
        <w:rPr>
          <w:rFonts w:ascii="宋体" w:hAnsi="宋体" w:cs="宋体" w:eastAsia="宋体" w:hint="default"/>
        </w:rPr>
        <w:t>2014-2015</w:t>
      </w:r>
      <w:r>
        <w:rPr>
          <w:rFonts w:ascii="宋体" w:hAnsi="宋体" w:cs="宋体" w:eastAsia="宋体" w:hint="default"/>
          <w:spacing w:val="1"/>
        </w:rPr>
        <w:t> </w:t>
      </w:r>
      <w:r>
        <w:rPr/>
        <w:t>中国财政管理软件市场年度成功企业”奖项，并</w:t>
      </w:r>
      <w:r>
        <w:rPr>
          <w:spacing w:val="-3"/>
          <w:w w:val="100"/>
        </w:rPr>
        <w:t> </w:t>
      </w:r>
      <w:r>
        <w:rPr/>
        <w:t>荣获国家系统集成一级资质和信息安全资质认证。</w:t>
      </w:r>
    </w:p>
    <w:p>
      <w:pPr>
        <w:pStyle w:val="BodyText"/>
        <w:spacing w:line="460" w:lineRule="exact" w:before="13"/>
        <w:ind w:left="558" w:right="144"/>
        <w:jc w:val="left"/>
      </w:pPr>
      <w:r>
        <w:rPr>
          <w:rFonts w:ascii="宋体" w:hAnsi="宋体" w:cs="宋体" w:eastAsia="宋体" w:hint="default"/>
        </w:rPr>
        <w:t>2</w:t>
      </w:r>
      <w:r>
        <w:rPr/>
        <w:t>）用友汽车公司</w:t>
      </w:r>
      <w:r>
        <w:rPr>
          <w:w w:val="100"/>
        </w:rPr>
        <w:t> </w:t>
      </w:r>
      <w:r>
        <w:rPr>
          <w:spacing w:val="-7"/>
        </w:rPr>
        <w:t>报告期内，用友汽车公司坚持一切基于创造客户价值的客户经营理念，持续创新，坚实发展，</w:t>
      </w:r>
    </w:p>
    <w:p>
      <w:pPr>
        <w:pStyle w:val="BodyText"/>
        <w:spacing w:line="297" w:lineRule="auto" w:before="3"/>
        <w:ind w:right="148"/>
        <w:jc w:val="both"/>
      </w:pPr>
      <w:r>
        <w:rPr>
          <w:spacing w:val="-1"/>
        </w:rPr>
        <w:t>业务稳定增长。用友汽车公司的新产品研发取得重要进展，基于移动互联的数字化营销产品、工</w:t>
      </w:r>
      <w:r>
        <w:rPr>
          <w:spacing w:val="-55"/>
        </w:rPr>
        <w:t> </w:t>
      </w:r>
      <w:r>
        <w:rPr>
          <w:spacing w:val="-55"/>
        </w:rPr>
      </w:r>
      <w:r>
        <w:rPr>
          <w:spacing w:val="-1"/>
        </w:rPr>
        <w:t>程机械行业产品均已在客户中获得验证；用友汽车公司立足帮助车厂和经销商进行精益管理的行</w:t>
      </w:r>
      <w:r>
        <w:rPr>
          <w:spacing w:val="-55"/>
        </w:rPr>
        <w:t> </w:t>
      </w:r>
      <w:r>
        <w:rPr>
          <w:spacing w:val="-55"/>
        </w:rPr>
      </w:r>
      <w:r>
        <w:rPr/>
        <w:t>业数据分析应用，以及覆盖经销商及经销商集团全面管理需求的</w:t>
      </w:r>
      <w:r>
        <w:rPr>
          <w:spacing w:val="-51"/>
        </w:rPr>
        <w:t> </w:t>
      </w:r>
      <w:r>
        <w:rPr>
          <w:rFonts w:ascii="宋体" w:hAnsi="宋体" w:cs="宋体" w:eastAsia="宋体" w:hint="default"/>
        </w:rPr>
        <w:t>DMS</w:t>
      </w:r>
      <w:r>
        <w:rPr>
          <w:rFonts w:ascii="宋体" w:hAnsi="宋体" w:cs="宋体" w:eastAsia="宋体" w:hint="default"/>
          <w:spacing w:val="-50"/>
        </w:rPr>
        <w:t> </w:t>
      </w:r>
      <w:r>
        <w:rPr/>
        <w:t>系统加速研发中，签约江铃</w:t>
      </w:r>
      <w:r>
        <w:rPr>
          <w:w w:val="100"/>
        </w:rPr>
        <w:t> </w:t>
      </w:r>
      <w:r>
        <w:rPr/>
        <w:t>陆风汽车，广汽丰田等客户。</w:t>
      </w:r>
    </w:p>
    <w:p>
      <w:pPr>
        <w:pStyle w:val="BodyText"/>
        <w:spacing w:line="295" w:lineRule="auto" w:before="135"/>
        <w:ind w:right="150" w:firstLine="419"/>
        <w:jc w:val="both"/>
      </w:pPr>
      <w:r>
        <w:rPr>
          <w:spacing w:val="-2"/>
        </w:rPr>
        <w:t>报告期内，用友汽车公司分区域及战略客户开展主题研讨会议，开展了产业链战略合作伙伴</w:t>
      </w:r>
      <w:r>
        <w:rPr>
          <w:w w:val="100"/>
        </w:rPr>
        <w:t> </w:t>
      </w:r>
      <w:r>
        <w:rPr/>
        <w:t>研讨会议，新发展伙伴</w:t>
      </w:r>
      <w:r>
        <w:rPr>
          <w:spacing w:val="-53"/>
        </w:rPr>
        <w:t> </w:t>
      </w:r>
      <w:r>
        <w:rPr>
          <w:rFonts w:ascii="宋体" w:hAnsi="宋体" w:cs="宋体" w:eastAsia="宋体" w:hint="default"/>
        </w:rPr>
        <w:t>15</w:t>
      </w:r>
      <w:r>
        <w:rPr>
          <w:rFonts w:ascii="宋体" w:hAnsi="宋体" w:cs="宋体" w:eastAsia="宋体" w:hint="default"/>
          <w:spacing w:val="-56"/>
        </w:rPr>
        <w:t> </w:t>
      </w:r>
      <w:r>
        <w:rPr/>
        <w:t>家，同比增长</w:t>
      </w:r>
      <w:r>
        <w:rPr>
          <w:spacing w:val="-54"/>
        </w:rPr>
        <w:t> </w:t>
      </w:r>
      <w:r>
        <w:rPr>
          <w:rFonts w:ascii="宋体" w:hAnsi="宋体" w:cs="宋体" w:eastAsia="宋体" w:hint="default"/>
        </w:rPr>
        <w:t>26%</w:t>
      </w:r>
      <w:r>
        <w:rPr/>
        <w:t>。</w:t>
      </w:r>
    </w:p>
    <w:p>
      <w:pPr>
        <w:pStyle w:val="BodyText"/>
        <w:spacing w:line="462" w:lineRule="exact" w:before="13"/>
        <w:ind w:left="558" w:right="144"/>
        <w:jc w:val="left"/>
      </w:pPr>
      <w:r>
        <w:rPr>
          <w:rFonts w:ascii="宋体" w:hAnsi="宋体" w:cs="宋体" w:eastAsia="宋体" w:hint="default"/>
        </w:rPr>
        <w:t>3</w:t>
      </w:r>
      <w:r>
        <w:rPr/>
        <w:t>）用友金融公司</w:t>
      </w:r>
      <w:r>
        <w:rPr>
          <w:w w:val="100"/>
        </w:rPr>
        <w:t> </w:t>
      </w:r>
      <w:r>
        <w:rPr>
          <w:spacing w:val="-2"/>
        </w:rPr>
        <w:t>报告期内，用友金融公司抓住了中国金融行业快速发展及改革的市场机会，在产品、解决方</w:t>
      </w:r>
    </w:p>
    <w:p>
      <w:pPr>
        <w:pStyle w:val="BodyText"/>
        <w:spacing w:line="240" w:lineRule="auto" w:before="3"/>
        <w:ind w:right="0"/>
        <w:jc w:val="both"/>
      </w:pPr>
      <w:r>
        <w:rPr/>
        <w:t>案以及围绕金融行业客户长期专业服务经营、专业团队等方面进行了有效布局并取得较大进展。</w:t>
      </w:r>
    </w:p>
    <w:p>
      <w:pPr>
        <w:spacing w:after="0" w:line="240" w:lineRule="auto"/>
        <w:jc w:val="both"/>
        <w:sectPr>
          <w:pgSz w:w="11910" w:h="16840"/>
          <w:pgMar w:header="880" w:footer="1335" w:top="1120" w:bottom="1520" w:left="1660" w:right="1120"/>
        </w:sectPr>
      </w:pPr>
    </w:p>
    <w:p>
      <w:pPr>
        <w:spacing w:line="240" w:lineRule="auto" w:before="4"/>
        <w:rPr>
          <w:rFonts w:ascii="宋体" w:hAnsi="宋体" w:cs="宋体" w:eastAsia="宋体" w:hint="default"/>
          <w:sz w:val="25"/>
          <w:szCs w:val="25"/>
        </w:rPr>
      </w:pPr>
    </w:p>
    <w:p>
      <w:pPr>
        <w:pStyle w:val="BodyText"/>
        <w:spacing w:line="297" w:lineRule="auto" w:before="36"/>
        <w:ind w:right="207"/>
        <w:jc w:val="both"/>
      </w:pPr>
      <w:r>
        <w:rPr>
          <w:spacing w:val="-1"/>
        </w:rPr>
        <w:t>报告期内，用友金融公司加大了产品研发投入，国内首发金融行业增值税管理平台，产品国内领</w:t>
      </w:r>
      <w:r>
        <w:rPr>
          <w:spacing w:val="-55"/>
        </w:rPr>
        <w:t> </w:t>
      </w:r>
      <w:r>
        <w:rPr>
          <w:spacing w:val="-55"/>
        </w:rPr>
      </w:r>
      <w:r>
        <w:rPr>
          <w:spacing w:val="-1"/>
        </w:rPr>
        <w:t>先，并通过有效营销以及与国内外会计师事务所合作，中标一批金融行业客户营改增项目；公司</w:t>
      </w:r>
      <w:r>
        <w:rPr>
          <w:spacing w:val="-55"/>
        </w:rPr>
        <w:t> </w:t>
      </w:r>
      <w:r>
        <w:rPr>
          <w:spacing w:val="-55"/>
        </w:rPr>
      </w:r>
      <w:r>
        <w:rPr>
          <w:spacing w:val="-1"/>
        </w:rPr>
        <w:t>推出了领先的交易级总账产品和解决方案，得到客户尤其是商业银行客户认可，是公司未来空间</w:t>
      </w:r>
      <w:r>
        <w:rPr>
          <w:spacing w:val="-55"/>
        </w:rPr>
        <w:t> </w:t>
      </w:r>
      <w:r>
        <w:rPr>
          <w:spacing w:val="-55"/>
        </w:rPr>
      </w:r>
      <w:r>
        <w:rPr>
          <w:spacing w:val="-6"/>
          <w:w w:val="100"/>
        </w:rPr>
        <w:t>的新增长点；公司推出了基于互联网的金融行业共享财务系统解决方案，签约一批大型金融客户；</w:t>
      </w:r>
      <w:r>
        <w:rPr>
          <w:w w:val="100"/>
        </w:rPr>
        <w:t> </w:t>
      </w:r>
      <w:r>
        <w:rPr>
          <w:spacing w:val="-4"/>
        </w:rPr>
        <w:t>金融业务管理系统的管理会计平台、</w:t>
      </w:r>
      <w:r>
        <w:rPr>
          <w:rFonts w:ascii="宋体" w:hAnsi="宋体" w:cs="宋体" w:eastAsia="宋体" w:hint="default"/>
          <w:spacing w:val="-4"/>
        </w:rPr>
        <w:t>FTP</w:t>
      </w:r>
      <w:r>
        <w:rPr>
          <w:spacing w:val="-4"/>
        </w:rPr>
        <w:t>、产品定价、流动性、经济资本、资产负债、经营绩效等</w:t>
      </w:r>
      <w:r>
        <w:rPr>
          <w:spacing w:val="-32"/>
        </w:rPr>
        <w:t> </w:t>
      </w:r>
      <w:r>
        <w:rPr>
          <w:spacing w:val="-32"/>
        </w:rPr>
      </w:r>
      <w:r>
        <w:rPr>
          <w:spacing w:val="-1"/>
        </w:rPr>
        <w:t>产品体系完整，产品成熟度得到进一步提高，同时建立了专业服务模式，项目交付效率及客户满</w:t>
      </w:r>
      <w:r>
        <w:rPr>
          <w:spacing w:val="-55"/>
        </w:rPr>
        <w:t> </w:t>
      </w:r>
      <w:r>
        <w:rPr>
          <w:spacing w:val="-55"/>
        </w:rPr>
      </w:r>
      <w:r>
        <w:rPr>
          <w:spacing w:val="-6"/>
        </w:rPr>
        <w:t>意度大幅度提升，为近</w:t>
      </w:r>
      <w:r>
        <w:rPr>
          <w:spacing w:val="-28"/>
        </w:rPr>
        <w:t> </w:t>
      </w:r>
      <w:r>
        <w:rPr>
          <w:rFonts w:ascii="宋体" w:hAnsi="宋体" w:cs="宋体" w:eastAsia="宋体" w:hint="default"/>
        </w:rPr>
        <w:t>15</w:t>
      </w:r>
      <w:r>
        <w:rPr>
          <w:rFonts w:ascii="宋体" w:hAnsi="宋体" w:cs="宋体" w:eastAsia="宋体" w:hint="default"/>
          <w:spacing w:val="-32"/>
        </w:rPr>
        <w:t> </w:t>
      </w:r>
      <w:r>
        <w:rPr>
          <w:spacing w:val="-3"/>
        </w:rPr>
        <w:t>家大中型证券公司提供证券流动性及资产负债管理系统的服务；战略加</w:t>
      </w:r>
      <w:r>
        <w:rPr>
          <w:spacing w:val="-97"/>
        </w:rPr>
        <w:t> </w:t>
      </w:r>
      <w:r>
        <w:rPr>
          <w:spacing w:val="-97"/>
        </w:rPr>
      </w:r>
      <w:r>
        <w:rPr>
          <w:spacing w:val="-1"/>
        </w:rPr>
        <w:t>强保险信托行业的长期专业经营，保险信托行业取得高速增长；重点投入了租赁业务，打造了租</w:t>
      </w:r>
      <w:r>
        <w:rPr>
          <w:spacing w:val="-55"/>
        </w:rPr>
        <w:t> </w:t>
      </w:r>
      <w:r>
        <w:rPr>
          <w:spacing w:val="-55"/>
        </w:rPr>
      </w:r>
      <w:r>
        <w:rPr>
          <w:spacing w:val="-1"/>
        </w:rPr>
        <w:t>前、租中、租后、并嵌入征信系统和财务系统一体化的产品解决方案，新签了一批金融租赁客户</w:t>
      </w:r>
      <w:r>
        <w:rPr>
          <w:spacing w:val="-55"/>
        </w:rPr>
        <w:t> </w:t>
      </w:r>
      <w:r>
        <w:rPr>
          <w:spacing w:val="-55"/>
        </w:rPr>
      </w:r>
      <w:r>
        <w:rPr>
          <w:spacing w:val="-1"/>
        </w:rPr>
        <w:t>和大型融资租赁客户；养老金业务继续保持国内第一的市场份额并向横向拓展，抓住了公务员和</w:t>
      </w:r>
      <w:r>
        <w:rPr>
          <w:spacing w:val="-55"/>
        </w:rPr>
        <w:t> </w:t>
      </w:r>
      <w:r>
        <w:rPr>
          <w:spacing w:val="-55"/>
        </w:rPr>
      </w:r>
      <w:r>
        <w:rPr>
          <w:spacing w:val="-1"/>
        </w:rPr>
        <w:t>事业单位养老金并轨的机会，推出了基于互联网的职业年金业务平台，中标了中国人寿养老金公</w:t>
      </w:r>
      <w:r>
        <w:rPr>
          <w:spacing w:val="-56"/>
        </w:rPr>
        <w:t> </w:t>
      </w:r>
      <w:r>
        <w:rPr>
          <w:spacing w:val="-56"/>
        </w:rPr>
      </w:r>
      <w:r>
        <w:rPr/>
        <w:t>司项目。报告期内，公司启动金融互联网业务系统平台的调研和研发，平台研发进展顺利。</w:t>
      </w:r>
    </w:p>
    <w:p>
      <w:pPr>
        <w:pStyle w:val="BodyText"/>
        <w:spacing w:line="295" w:lineRule="auto" w:before="135"/>
        <w:ind w:right="208" w:firstLine="419"/>
        <w:jc w:val="both"/>
      </w:pPr>
      <w:r>
        <w:rPr/>
        <w:t>报告期内公司新增了近百家金融行业客户，公司目前累计为</w:t>
      </w:r>
      <w:r>
        <w:rPr>
          <w:spacing w:val="-51"/>
        </w:rPr>
        <w:t> </w:t>
      </w:r>
      <w:r>
        <w:rPr>
          <w:rFonts w:ascii="宋体" w:hAnsi="宋体" w:cs="宋体" w:eastAsia="宋体" w:hint="default"/>
        </w:rPr>
        <w:t>600</w:t>
      </w:r>
      <w:r>
        <w:rPr>
          <w:rFonts w:ascii="宋体" w:hAnsi="宋体" w:cs="宋体" w:eastAsia="宋体" w:hint="default"/>
          <w:spacing w:val="-49"/>
        </w:rPr>
        <w:t> </w:t>
      </w:r>
      <w:r>
        <w:rPr/>
        <w:t>多家金融行业客户提供持续</w:t>
      </w:r>
      <w:r>
        <w:rPr>
          <w:w w:val="100"/>
        </w:rPr>
        <w:t> </w:t>
      </w:r>
      <w:r>
        <w:rPr/>
        <w:t>专业服务。</w:t>
      </w:r>
    </w:p>
    <w:p>
      <w:pPr>
        <w:pStyle w:val="BodyText"/>
        <w:spacing w:line="460" w:lineRule="exact" w:before="15"/>
        <w:ind w:left="558" w:right="103"/>
        <w:jc w:val="left"/>
      </w:pPr>
      <w:r>
        <w:rPr>
          <w:rFonts w:ascii="宋体" w:hAnsi="宋体" w:cs="宋体" w:eastAsia="宋体" w:hint="default"/>
        </w:rPr>
        <w:t>4</w:t>
      </w:r>
      <w:r>
        <w:rPr/>
        <w:t>）用友医疗公司</w:t>
      </w:r>
      <w:r>
        <w:rPr>
          <w:w w:val="100"/>
        </w:rPr>
        <w:t> </w:t>
      </w:r>
      <w:r>
        <w:rPr>
          <w:spacing w:val="-2"/>
        </w:rPr>
        <w:t>报告期内，用友医疗公司加快业务调整，优化人员结构，全面推行利润考核，积极推进发展</w:t>
      </w:r>
    </w:p>
    <w:p>
      <w:pPr>
        <w:pStyle w:val="BodyText"/>
        <w:spacing w:line="297" w:lineRule="auto" w:before="3"/>
        <w:ind w:right="103"/>
        <w:jc w:val="left"/>
      </w:pPr>
      <w:r>
        <w:rPr/>
        <w:t>渠道经营，促进公司业务效益化发展。完成用友数字化医院综合运营管理系统 </w:t>
      </w:r>
      <w:r>
        <w:rPr>
          <w:rFonts w:ascii="宋体" w:hAnsi="宋体" w:cs="宋体" w:eastAsia="宋体" w:hint="default"/>
        </w:rPr>
        <w:t>V6.30</w:t>
      </w:r>
      <w:r>
        <w:rPr/>
        <w:t>，用友医院</w:t>
      </w:r>
      <w:r>
        <w:rPr>
          <w:spacing w:val="-101"/>
        </w:rPr>
        <w:t> </w:t>
      </w:r>
      <w:r>
        <w:rPr>
          <w:spacing w:val="-101"/>
        </w:rPr>
      </w:r>
      <w:r>
        <w:rPr/>
        <w:t>综合运营管理信息系统</w:t>
      </w:r>
      <w:r>
        <w:rPr>
          <w:spacing w:val="-55"/>
        </w:rPr>
        <w:t> </w:t>
      </w:r>
      <w:r>
        <w:rPr>
          <w:rFonts w:ascii="宋体" w:hAnsi="宋体" w:cs="宋体" w:eastAsia="宋体" w:hint="default"/>
        </w:rPr>
        <w:t>HRP-G</w:t>
      </w:r>
      <w:r>
        <w:rPr>
          <w:rFonts w:ascii="宋体" w:hAnsi="宋体" w:cs="宋体" w:eastAsia="宋体" w:hint="default"/>
          <w:spacing w:val="-48"/>
        </w:rPr>
        <w:t> </w:t>
      </w:r>
      <w:r>
        <w:rPr>
          <w:rFonts w:ascii="宋体" w:hAnsi="宋体" w:cs="宋体" w:eastAsia="宋体" w:hint="default"/>
        </w:rPr>
        <w:t>V6.0</w:t>
      </w:r>
      <w:r>
        <w:rPr/>
        <w:t>、用友医院集成平台与临床数据中心系统</w:t>
      </w:r>
      <w:r>
        <w:rPr>
          <w:spacing w:val="-57"/>
        </w:rPr>
        <w:t> </w:t>
      </w:r>
      <w:r>
        <w:rPr>
          <w:rFonts w:ascii="宋体" w:hAnsi="宋体" w:cs="宋体" w:eastAsia="宋体" w:hint="default"/>
        </w:rPr>
        <w:t>MIP</w:t>
      </w:r>
      <w:r>
        <w:rPr>
          <w:rFonts w:ascii="宋体" w:hAnsi="宋体" w:cs="宋体" w:eastAsia="宋体" w:hint="default"/>
          <w:spacing w:val="-48"/>
        </w:rPr>
        <w:t> </w:t>
      </w:r>
      <w:r>
        <w:rPr>
          <w:rFonts w:ascii="宋体" w:hAnsi="宋体" w:cs="宋体" w:eastAsia="宋体" w:hint="default"/>
        </w:rPr>
        <w:t>V2.0</w:t>
      </w:r>
      <w:r>
        <w:rPr/>
        <w:t>、用友新一</w:t>
      </w:r>
      <w:r>
        <w:rPr>
          <w:w w:val="100"/>
        </w:rPr>
        <w:t> </w:t>
      </w:r>
      <w:r>
        <w:rPr>
          <w:spacing w:val="-2"/>
          <w:w w:val="100"/>
        </w:rPr>
        <w:t>代医疗信息系统</w:t>
      </w:r>
      <w:r>
        <w:rPr>
          <w:spacing w:val="-46"/>
          <w:w w:val="100"/>
        </w:rPr>
        <w:t> </w:t>
      </w:r>
      <w:r>
        <w:rPr>
          <w:rFonts w:ascii="宋体" w:hAnsi="宋体" w:cs="宋体" w:eastAsia="宋体" w:hint="default"/>
          <w:spacing w:val="-1"/>
          <w:w w:val="100"/>
        </w:rPr>
        <w:t>NHISV2.0</w:t>
      </w:r>
      <w:r>
        <w:rPr>
          <w:rFonts w:ascii="宋体" w:hAnsi="宋体" w:cs="宋体" w:eastAsia="宋体" w:hint="default"/>
          <w:spacing w:val="-48"/>
          <w:w w:val="100"/>
        </w:rPr>
        <w:t> </w:t>
      </w:r>
      <w:r>
        <w:rPr>
          <w:spacing w:val="-8"/>
          <w:w w:val="100"/>
        </w:rPr>
        <w:t>等多个产品发版、上市工作，体现用友医疗公司先进的人财物管理理念，</w:t>
      </w:r>
      <w:r>
        <w:rPr>
          <w:spacing w:val="-102"/>
          <w:w w:val="100"/>
        </w:rPr>
        <w:t> </w:t>
      </w:r>
      <w:r>
        <w:rPr>
          <w:spacing w:val="-102"/>
          <w:w w:val="100"/>
        </w:rPr>
      </w:r>
      <w:r>
        <w:rPr/>
        <w:t>极大提升医院运营管理水平。</w:t>
      </w:r>
    </w:p>
    <w:p>
      <w:pPr>
        <w:pStyle w:val="BodyText"/>
        <w:spacing w:line="297" w:lineRule="auto" w:before="135"/>
        <w:ind w:right="100" w:firstLine="419"/>
        <w:jc w:val="left"/>
      </w:pPr>
      <w:r>
        <w:rPr/>
        <w:t>报告期内，用友医疗公司与中国医院管理杂志社合作，举办中国院长大会之《中国特色的现</w:t>
      </w:r>
      <w:r>
        <w:rPr>
          <w:w w:val="100"/>
        </w:rPr>
        <w:t> </w:t>
      </w:r>
      <w:r>
        <w:rPr>
          <w:spacing w:val="-3"/>
        </w:rPr>
        <w:t>代医院管理》分会。通过院长大会平台实现 </w:t>
      </w:r>
      <w:r>
        <w:rPr>
          <w:rFonts w:ascii="宋体" w:hAnsi="宋体" w:cs="宋体" w:eastAsia="宋体" w:hint="default"/>
          <w:spacing w:val="-3"/>
        </w:rPr>
        <w:t>H+</w:t>
      </w:r>
      <w:r>
        <w:rPr>
          <w:spacing w:val="-3"/>
        </w:rPr>
        <w:t>的正式对市场发布，后续开展了持续的传播，取得</w:t>
      </w:r>
      <w:r>
        <w:rPr>
          <w:spacing w:val="-82"/>
        </w:rPr>
        <w:t> </w:t>
      </w:r>
      <w:r>
        <w:rPr>
          <w:spacing w:val="-82"/>
        </w:rPr>
      </w:r>
      <w:r>
        <w:rPr/>
        <w:t>了非常显著的效果。与国家卫计委医院管理研究所合作，通过 </w:t>
      </w:r>
      <w:r>
        <w:rPr>
          <w:rFonts w:ascii="宋体" w:hAnsi="宋体" w:cs="宋体" w:eastAsia="宋体" w:hint="default"/>
        </w:rPr>
        <w:t>CHIMA</w:t>
      </w:r>
      <w:r>
        <w:rPr/>
        <w:t>（中国医院协会信息管理专</w:t>
      </w:r>
      <w:r>
        <w:rPr>
          <w:spacing w:val="-99"/>
        </w:rPr>
        <w:t> </w:t>
      </w:r>
      <w:r>
        <w:rPr>
          <w:spacing w:val="-99"/>
        </w:rPr>
      </w:r>
      <w:r>
        <w:rPr>
          <w:spacing w:val="-4"/>
        </w:rPr>
        <w:t>委会）</w:t>
      </w:r>
      <w:r>
        <w:rPr>
          <w:rFonts w:ascii="宋体" w:hAnsi="宋体" w:cs="宋体" w:eastAsia="宋体" w:hint="default"/>
          <w:spacing w:val="-4"/>
        </w:rPr>
        <w:t>2015</w:t>
      </w:r>
      <w:r>
        <w:rPr>
          <w:rFonts w:ascii="宋体" w:hAnsi="宋体" w:cs="宋体" w:eastAsia="宋体" w:hint="default"/>
          <w:spacing w:val="-49"/>
        </w:rPr>
        <w:t> </w:t>
      </w:r>
      <w:r>
        <w:rPr>
          <w:spacing w:val="-5"/>
        </w:rPr>
        <w:t>平台，宣传</w:t>
      </w:r>
      <w:r>
        <w:rPr>
          <w:spacing w:val="-45"/>
        </w:rPr>
        <w:t> </w:t>
      </w:r>
      <w:r>
        <w:rPr>
          <w:rFonts w:ascii="宋体" w:hAnsi="宋体" w:cs="宋体" w:eastAsia="宋体" w:hint="default"/>
          <w:spacing w:val="-4"/>
        </w:rPr>
        <w:t>H+</w:t>
      </w:r>
      <w:r>
        <w:rPr>
          <w:spacing w:val="-4"/>
        </w:rPr>
        <w:t>前后一体化、集团化、平台化的解决方案。发挥</w:t>
      </w:r>
      <w:r>
        <w:rPr>
          <w:spacing w:val="-46"/>
        </w:rPr>
        <w:t> </w:t>
      </w:r>
      <w:r>
        <w:rPr>
          <w:rFonts w:ascii="宋体" w:hAnsi="宋体" w:cs="宋体" w:eastAsia="宋体" w:hint="default"/>
        </w:rPr>
        <w:t>HIT</w:t>
      </w:r>
      <w:r>
        <w:rPr>
          <w:rFonts w:ascii="宋体" w:hAnsi="宋体" w:cs="宋体" w:eastAsia="宋体" w:hint="default"/>
          <w:spacing w:val="-45"/>
        </w:rPr>
        <w:t> </w:t>
      </w:r>
      <w:r>
        <w:rPr/>
        <w:t>专家网在行业中的</w:t>
      </w:r>
      <w:r>
        <w:rPr>
          <w:spacing w:val="-88"/>
        </w:rPr>
        <w:t> </w:t>
      </w:r>
      <w:r>
        <w:rPr>
          <w:spacing w:val="-88"/>
        </w:rPr>
      </w:r>
      <w:r>
        <w:rPr/>
        <w:t>优势，将微信营销与其整体合作，效果显著，通过</w:t>
      </w:r>
      <w:r>
        <w:rPr>
          <w:spacing w:val="-54"/>
        </w:rPr>
        <w:t> </w:t>
      </w:r>
      <w:r>
        <w:rPr>
          <w:rFonts w:ascii="宋体" w:hAnsi="宋体" w:cs="宋体" w:eastAsia="宋体" w:hint="default"/>
        </w:rPr>
        <w:t>4</w:t>
      </w:r>
      <w:r>
        <w:rPr>
          <w:rFonts w:ascii="宋体" w:hAnsi="宋体" w:cs="宋体" w:eastAsia="宋体" w:hint="default"/>
          <w:spacing w:val="-51"/>
        </w:rPr>
        <w:t> </w:t>
      </w:r>
      <w:r>
        <w:rPr/>
        <w:t>个月的运营，微信粉丝从</w:t>
      </w:r>
      <w:r>
        <w:rPr>
          <w:spacing w:val="-51"/>
        </w:rPr>
        <w:t> </w:t>
      </w:r>
      <w:r>
        <w:rPr>
          <w:rFonts w:ascii="宋体" w:hAnsi="宋体" w:cs="宋体" w:eastAsia="宋体" w:hint="default"/>
        </w:rPr>
        <w:t>383</w:t>
      </w:r>
      <w:r>
        <w:rPr>
          <w:rFonts w:ascii="宋体" w:hAnsi="宋体" w:cs="宋体" w:eastAsia="宋体" w:hint="default"/>
          <w:spacing w:val="-51"/>
        </w:rPr>
        <w:t> </w:t>
      </w:r>
      <w:r>
        <w:rPr/>
        <w:t>名到</w:t>
      </w:r>
      <w:r>
        <w:rPr>
          <w:spacing w:val="-51"/>
        </w:rPr>
        <w:t> </w:t>
      </w:r>
      <w:r>
        <w:rPr>
          <w:rFonts w:ascii="宋体" w:hAnsi="宋体" w:cs="宋体" w:eastAsia="宋体" w:hint="default"/>
        </w:rPr>
        <w:t>1008</w:t>
      </w:r>
      <w:r>
        <w:rPr>
          <w:rFonts w:ascii="宋体" w:hAnsi="宋体" w:cs="宋体" w:eastAsia="宋体" w:hint="default"/>
          <w:spacing w:val="-54"/>
        </w:rPr>
        <w:t> </w:t>
      </w:r>
      <w:r>
        <w:rPr/>
        <w:t>名，</w:t>
      </w:r>
      <w:r>
        <w:rPr>
          <w:w w:val="100"/>
        </w:rPr>
        <w:t> </w:t>
      </w:r>
      <w:r>
        <w:rPr/>
        <w:t>多篇文章点击率过千，并在多家媒体转载；与医健联盟、埃森哲等伙伴继续深入合作，打造在社</w:t>
      </w:r>
      <w:r>
        <w:rPr>
          <w:spacing w:val="-97"/>
        </w:rPr>
        <w:t> </w:t>
      </w:r>
      <w:r>
        <w:rPr>
          <w:spacing w:val="-97"/>
        </w:rPr>
      </w:r>
      <w:r>
        <w:rPr/>
        <w:t>会资本投资的医疗机构中的影响力。</w:t>
      </w:r>
    </w:p>
    <w:p>
      <w:pPr>
        <w:pStyle w:val="BodyText"/>
        <w:spacing w:line="297" w:lineRule="auto" w:before="136"/>
        <w:ind w:right="208" w:firstLine="419"/>
        <w:jc w:val="both"/>
      </w:pPr>
      <w:r>
        <w:rPr>
          <w:spacing w:val="-2"/>
        </w:rPr>
        <w:t>报告期内，用友医疗公司深化客户化经营，树立新华医院、北京协和医院等多个样板客户，</w:t>
      </w:r>
      <w:r>
        <w:rPr>
          <w:w w:val="100"/>
        </w:rPr>
        <w:t> </w:t>
      </w:r>
      <w:r>
        <w:rPr>
          <w:spacing w:val="-1"/>
        </w:rPr>
        <w:t>相继签约凤凰医疗集团、泰康医疗集团、东信集团等客户，在民营医疗集团领域取得很大突破，</w:t>
      </w:r>
      <w:r>
        <w:rPr>
          <w:spacing w:val="-55"/>
        </w:rPr>
        <w:t> </w:t>
      </w:r>
      <w:r>
        <w:rPr>
          <w:spacing w:val="-55"/>
        </w:rPr>
      </w:r>
      <w:r>
        <w:rPr/>
        <w:t>项目签约质量大幅度提升，老客户经营也取得良好效果，极大地提升了市场占有率。</w:t>
      </w:r>
    </w:p>
    <w:p>
      <w:pPr>
        <w:pStyle w:val="BodyText"/>
        <w:spacing w:line="403" w:lineRule="auto" w:before="135"/>
        <w:ind w:left="558" w:right="3102"/>
        <w:jc w:val="left"/>
      </w:pPr>
      <w:r>
        <w:rPr/>
        <w:t>报告期内，医疗公司发展伙伴</w:t>
      </w:r>
      <w:r>
        <w:rPr>
          <w:spacing w:val="-54"/>
        </w:rPr>
        <w:t> </w:t>
      </w:r>
      <w:r>
        <w:rPr>
          <w:rFonts w:ascii="宋体" w:hAnsi="宋体" w:cs="宋体" w:eastAsia="宋体" w:hint="default"/>
        </w:rPr>
        <w:t>45</w:t>
      </w:r>
      <w:r>
        <w:rPr>
          <w:rFonts w:ascii="宋体" w:hAnsi="宋体" w:cs="宋体" w:eastAsia="宋体" w:hint="default"/>
          <w:spacing w:val="-55"/>
        </w:rPr>
        <w:t> </w:t>
      </w:r>
      <w:r>
        <w:rPr/>
        <w:t>家，比去年同期增长</w:t>
      </w:r>
      <w:r>
        <w:rPr>
          <w:spacing w:val="-55"/>
        </w:rPr>
        <w:t> </w:t>
      </w:r>
      <w:r>
        <w:rPr>
          <w:rFonts w:ascii="宋体" w:hAnsi="宋体" w:cs="宋体" w:eastAsia="宋体" w:hint="default"/>
        </w:rPr>
        <w:t>60%</w:t>
      </w:r>
      <w:r>
        <w:rPr/>
        <w:t>。</w:t>
      </w:r>
      <w:r>
        <w:rPr>
          <w:w w:val="100"/>
        </w:rPr>
        <w:t> </w:t>
      </w:r>
      <w:r>
        <w:rPr>
          <w:rFonts w:ascii="宋体" w:hAnsi="宋体" w:cs="宋体" w:eastAsia="宋体" w:hint="default"/>
        </w:rPr>
        <w:t>5</w:t>
      </w:r>
      <w:r>
        <w:rPr/>
        <w:t>）新道科技公司</w:t>
      </w:r>
    </w:p>
    <w:p>
      <w:pPr>
        <w:pStyle w:val="BodyText"/>
        <w:spacing w:line="297" w:lineRule="auto" w:before="40"/>
        <w:ind w:right="207" w:firstLine="419"/>
        <w:jc w:val="both"/>
      </w:pPr>
      <w:r>
        <w:rPr>
          <w:spacing w:val="-2"/>
        </w:rPr>
        <w:t>报告期内，新道科技公司以“服务中国教育事业”为使命”，聚焦创新创业教育与商科实践</w:t>
      </w:r>
      <w:r>
        <w:rPr>
          <w:w w:val="100"/>
        </w:rPr>
        <w:t> </w:t>
      </w:r>
      <w:r>
        <w:rPr>
          <w:spacing w:val="-1"/>
        </w:rPr>
        <w:t>教学领域，继续保持公司快速发展，保持了这一领域的市场领先地位；发布了新道虚拟商业社会</w:t>
      </w:r>
      <w:r>
        <w:rPr>
          <w:spacing w:val="-55"/>
        </w:rPr>
        <w:t> </w:t>
      </w:r>
      <w:r>
        <w:rPr>
          <w:spacing w:val="-55"/>
        </w:rPr>
      </w:r>
      <w:r>
        <w:rPr/>
        <w:t>环境</w:t>
      </w:r>
      <w:r>
        <w:rPr>
          <w:spacing w:val="-45"/>
        </w:rPr>
        <w:t> </w:t>
      </w:r>
      <w:r>
        <w:rPr>
          <w:rFonts w:ascii="宋体" w:hAnsi="宋体" w:cs="宋体" w:eastAsia="宋体" w:hint="default"/>
        </w:rPr>
        <w:t>VBSE-</w:t>
      </w:r>
      <w:r>
        <w:rPr/>
        <w:t>财务综合实践信息化竞赛平台软件</w:t>
      </w:r>
      <w:r>
        <w:rPr>
          <w:spacing w:val="-45"/>
        </w:rPr>
        <w:t> </w:t>
      </w:r>
      <w:r>
        <w:rPr>
          <w:rFonts w:ascii="宋体" w:hAnsi="宋体" w:cs="宋体" w:eastAsia="宋体" w:hint="default"/>
          <w:spacing w:val="-3"/>
        </w:rPr>
        <w:t>V1.0</w:t>
      </w:r>
      <w:r>
        <w:rPr>
          <w:spacing w:val="-3"/>
        </w:rPr>
        <w:t>、新道新创业者沙盘系统</w:t>
      </w:r>
      <w:r>
        <w:rPr>
          <w:spacing w:val="-45"/>
        </w:rPr>
        <w:t> </w:t>
      </w:r>
      <w:r>
        <w:rPr>
          <w:rFonts w:ascii="宋体" w:hAnsi="宋体" w:cs="宋体" w:eastAsia="宋体" w:hint="default"/>
          <w:spacing w:val="-3"/>
        </w:rPr>
        <w:t>V3.0</w:t>
      </w:r>
      <w:r>
        <w:rPr>
          <w:spacing w:val="-3"/>
        </w:rPr>
        <w:t>、新道新商战沙</w:t>
      </w:r>
      <w:r>
        <w:rPr>
          <w:spacing w:val="-102"/>
        </w:rPr>
        <w:t> </w:t>
      </w:r>
      <w:r>
        <w:rPr>
          <w:spacing w:val="-102"/>
        </w:rPr>
      </w:r>
      <w:r>
        <w:rPr/>
        <w:t>盘系统</w:t>
      </w:r>
      <w:r>
        <w:rPr>
          <w:spacing w:val="-54"/>
        </w:rPr>
        <w:t> </w:t>
      </w:r>
      <w:r>
        <w:rPr>
          <w:rFonts w:ascii="宋体" w:hAnsi="宋体" w:cs="宋体" w:eastAsia="宋体" w:hint="default"/>
        </w:rPr>
        <w:t>V3.0</w:t>
      </w:r>
      <w:r>
        <w:rPr>
          <w:rFonts w:ascii="宋体" w:hAnsi="宋体" w:cs="宋体" w:eastAsia="宋体" w:hint="default"/>
          <w:spacing w:val="-54"/>
        </w:rPr>
        <w:t> </w:t>
      </w:r>
      <w:r>
        <w:rPr/>
        <w:t>等多款产品。</w:t>
      </w:r>
    </w:p>
    <w:p>
      <w:pPr>
        <w:spacing w:after="0" w:line="297" w:lineRule="auto"/>
        <w:jc w:val="both"/>
        <w:sectPr>
          <w:pgSz w:w="11910" w:h="16840"/>
          <w:pgMar w:header="880" w:footer="1335" w:top="1120" w:bottom="1520" w:left="1660" w:right="1060"/>
        </w:sectPr>
      </w:pPr>
    </w:p>
    <w:p>
      <w:pPr>
        <w:spacing w:line="240" w:lineRule="auto" w:before="4"/>
        <w:rPr>
          <w:rFonts w:ascii="宋体" w:hAnsi="宋体" w:cs="宋体" w:eastAsia="宋体" w:hint="default"/>
          <w:sz w:val="25"/>
          <w:szCs w:val="25"/>
        </w:rPr>
      </w:pPr>
    </w:p>
    <w:p>
      <w:pPr>
        <w:pStyle w:val="BodyText"/>
        <w:spacing w:line="297" w:lineRule="auto" w:before="36"/>
        <w:ind w:right="148" w:firstLine="419"/>
        <w:jc w:val="both"/>
      </w:pPr>
      <w:r>
        <w:rPr/>
        <w:t>报告期内，新道科技公司在全国各地举办</w:t>
      </w:r>
      <w:r>
        <w:rPr>
          <w:spacing w:val="-51"/>
        </w:rPr>
        <w:t> </w:t>
      </w:r>
      <w:r>
        <w:rPr>
          <w:rFonts w:ascii="宋体" w:hAnsi="宋体" w:cs="宋体" w:eastAsia="宋体" w:hint="default"/>
        </w:rPr>
        <w:t>30</w:t>
      </w:r>
      <w:r>
        <w:rPr>
          <w:rFonts w:ascii="宋体" w:hAnsi="宋体" w:cs="宋体" w:eastAsia="宋体" w:hint="default"/>
          <w:spacing w:val="-54"/>
        </w:rPr>
        <w:t> </w:t>
      </w:r>
      <w:r>
        <w:rPr/>
        <w:t>余场市场活动，近</w:t>
      </w:r>
      <w:r>
        <w:rPr>
          <w:spacing w:val="-51"/>
        </w:rPr>
        <w:t> </w:t>
      </w:r>
      <w:r>
        <w:rPr>
          <w:rFonts w:ascii="宋体" w:hAnsi="宋体" w:cs="宋体" w:eastAsia="宋体" w:hint="default"/>
        </w:rPr>
        <w:t>1500</w:t>
      </w:r>
      <w:r>
        <w:rPr>
          <w:rFonts w:ascii="宋体" w:hAnsi="宋体" w:cs="宋体" w:eastAsia="宋体" w:hint="default"/>
          <w:spacing w:val="-51"/>
        </w:rPr>
        <w:t> </w:t>
      </w:r>
      <w:r>
        <w:rPr/>
        <w:t>家院校参与，并在在北</w:t>
      </w:r>
      <w:r>
        <w:rPr>
          <w:w w:val="100"/>
        </w:rPr>
        <w:t> </w:t>
      </w:r>
      <w:r>
        <w:rPr>
          <w:spacing w:val="-3"/>
        </w:rPr>
        <w:t>京举办“</w:t>
      </w:r>
      <w:r>
        <w:rPr>
          <w:rFonts w:ascii="宋体" w:hAnsi="宋体" w:cs="宋体" w:eastAsia="宋体" w:hint="default"/>
          <w:spacing w:val="-3"/>
        </w:rPr>
        <w:t>2015 </w:t>
      </w:r>
      <w:r>
        <w:rPr>
          <w:spacing w:val="-3"/>
        </w:rPr>
        <w:t>第五届教育新道校企对接会”。新道科技加强实施伙伴分销战略，加大伙伴发展力</w:t>
      </w:r>
      <w:r>
        <w:rPr>
          <w:spacing w:val="-76"/>
        </w:rPr>
        <w:t> </w:t>
      </w:r>
      <w:r>
        <w:rPr>
          <w:spacing w:val="-76"/>
        </w:rPr>
      </w:r>
      <w:r>
        <w:rPr/>
        <w:t>度，发展伙伴近百家。</w:t>
      </w:r>
    </w:p>
    <w:p>
      <w:pPr>
        <w:pStyle w:val="BodyText"/>
        <w:spacing w:line="240" w:lineRule="auto" w:before="135"/>
        <w:ind w:left="558" w:right="0"/>
        <w:jc w:val="left"/>
      </w:pPr>
      <w:r>
        <w:rPr>
          <w:spacing w:val="-6"/>
        </w:rPr>
        <w:t>报告期内，新道科技公司于</w:t>
      </w:r>
      <w:r>
        <w:rPr>
          <w:spacing w:val="-34"/>
        </w:rPr>
        <w:t> </w:t>
      </w:r>
      <w:r>
        <w:rPr>
          <w:rFonts w:ascii="宋体" w:hAnsi="宋体" w:cs="宋体" w:eastAsia="宋体" w:hint="default"/>
        </w:rPr>
        <w:t>9</w:t>
      </w:r>
      <w:r>
        <w:rPr>
          <w:rFonts w:ascii="宋体" w:hAnsi="宋体" w:cs="宋体" w:eastAsia="宋体" w:hint="default"/>
          <w:spacing w:val="-37"/>
        </w:rPr>
        <w:t> </w:t>
      </w:r>
      <w:r>
        <w:rPr/>
        <w:t>月</w:t>
      </w:r>
      <w:r>
        <w:rPr>
          <w:spacing w:val="-34"/>
        </w:rPr>
        <w:t> </w:t>
      </w:r>
      <w:r>
        <w:rPr>
          <w:rFonts w:ascii="宋体" w:hAnsi="宋体" w:cs="宋体" w:eastAsia="宋体" w:hint="default"/>
        </w:rPr>
        <w:t>14</w:t>
      </w:r>
      <w:r>
        <w:rPr>
          <w:rFonts w:ascii="宋体" w:hAnsi="宋体" w:cs="宋体" w:eastAsia="宋体" w:hint="default"/>
          <w:spacing w:val="-37"/>
        </w:rPr>
        <w:t> </w:t>
      </w:r>
      <w:r>
        <w:rPr>
          <w:spacing w:val="-4"/>
        </w:rPr>
        <w:t>日收到全国中小企业股份转让系统有限责任公司《关于同</w:t>
      </w:r>
    </w:p>
    <w:p>
      <w:pPr>
        <w:pStyle w:val="BodyText"/>
        <w:spacing w:line="297" w:lineRule="auto" w:before="66"/>
        <w:ind w:right="147"/>
        <w:jc w:val="both"/>
      </w:pPr>
      <w:r>
        <w:rPr/>
        <w:t>意新道科技股份有限公司股票在全国中小企业股份转让系统挂牌的函》，于</w:t>
      </w:r>
      <w:r>
        <w:rPr>
          <w:spacing w:val="-54"/>
        </w:rPr>
        <w:t> </w:t>
      </w:r>
      <w:r>
        <w:rPr>
          <w:rFonts w:ascii="宋体" w:hAnsi="宋体" w:cs="宋体" w:eastAsia="宋体" w:hint="default"/>
        </w:rPr>
        <w:t>10</w:t>
      </w:r>
      <w:r>
        <w:rPr>
          <w:rFonts w:ascii="宋体" w:hAnsi="宋体" w:cs="宋体" w:eastAsia="宋体" w:hint="default"/>
          <w:spacing w:val="-51"/>
        </w:rPr>
        <w:t> </w:t>
      </w:r>
      <w:r>
        <w:rPr/>
        <w:t>月</w:t>
      </w:r>
      <w:r>
        <w:rPr>
          <w:spacing w:val="-51"/>
        </w:rPr>
        <w:t> </w:t>
      </w:r>
      <w:r>
        <w:rPr>
          <w:rFonts w:ascii="宋体" w:hAnsi="宋体" w:cs="宋体" w:eastAsia="宋体" w:hint="default"/>
        </w:rPr>
        <w:t>12</w:t>
      </w:r>
      <w:r>
        <w:rPr>
          <w:rFonts w:ascii="宋体" w:hAnsi="宋体" w:cs="宋体" w:eastAsia="宋体" w:hint="default"/>
          <w:spacing w:val="-51"/>
        </w:rPr>
        <w:t> </w:t>
      </w:r>
      <w:r>
        <w:rPr/>
        <w:t>日在全国中</w:t>
      </w:r>
      <w:r>
        <w:rPr>
          <w:w w:val="100"/>
        </w:rPr>
        <w:t> </w:t>
      </w:r>
      <w:r>
        <w:rPr>
          <w:spacing w:val="-2"/>
        </w:rPr>
        <w:t>小企业股份转让系统正式挂牌做市交易，公司简称新道科技，交易代码</w:t>
      </w:r>
      <w:r>
        <w:rPr>
          <w:spacing w:val="10"/>
        </w:rPr>
        <w:t> </w:t>
      </w:r>
      <w:r>
        <w:rPr>
          <w:rFonts w:ascii="宋体" w:hAnsi="宋体" w:cs="宋体" w:eastAsia="宋体" w:hint="default"/>
          <w:spacing w:val="-1"/>
        </w:rPr>
        <w:t>833694</w:t>
      </w:r>
      <w:r>
        <w:rPr>
          <w:spacing w:val="-1"/>
        </w:rPr>
        <w:t>。</w:t>
      </w:r>
    </w:p>
    <w:p>
      <w:pPr>
        <w:pStyle w:val="BodyText"/>
        <w:spacing w:line="460" w:lineRule="exact" w:before="10"/>
        <w:ind w:left="558" w:right="144"/>
        <w:jc w:val="left"/>
      </w:pPr>
      <w:r>
        <w:rPr>
          <w:rFonts w:ascii="宋体" w:hAnsi="宋体" w:cs="宋体" w:eastAsia="宋体" w:hint="default"/>
        </w:rPr>
        <w:t>6</w:t>
      </w:r>
      <w:r>
        <w:rPr/>
        <w:t>）用友烟草公司</w:t>
      </w:r>
      <w:r>
        <w:rPr>
          <w:w w:val="100"/>
        </w:rPr>
        <w:t> </w:t>
      </w:r>
      <w:r>
        <w:rPr>
          <w:spacing w:val="-2"/>
        </w:rPr>
        <w:t>报告期内，用友烟草公司积极推动行业新会计准则转换、全面预算管理、国有资产管理系统</w:t>
      </w:r>
    </w:p>
    <w:p>
      <w:pPr>
        <w:pStyle w:val="BodyText"/>
        <w:spacing w:line="297" w:lineRule="auto" w:before="3"/>
        <w:ind w:right="147"/>
        <w:jc w:val="both"/>
      </w:pPr>
      <w:r>
        <w:rPr>
          <w:spacing w:val="-1"/>
        </w:rPr>
        <w:t>的商务谈判及产品优化，完成了行业财务集团管控和统一会计核算系统升级两个大项目的中标工</w:t>
      </w:r>
      <w:r>
        <w:rPr>
          <w:spacing w:val="-55"/>
        </w:rPr>
        <w:t> </w:t>
      </w:r>
      <w:r>
        <w:rPr>
          <w:spacing w:val="-55"/>
        </w:rPr>
      </w:r>
      <w:r>
        <w:rPr>
          <w:spacing w:val="-5"/>
        </w:rPr>
        <w:t>作，为明年经营业绩打下了坚实基础；产品研发方面，公司完成了预算管理、资产管理产品的 </w:t>
      </w:r>
      <w:r>
        <w:rPr>
          <w:rFonts w:ascii="宋体" w:hAnsi="宋体" w:cs="宋体" w:eastAsia="宋体" w:hint="default"/>
        </w:rPr>
        <w:t>WEB</w:t>
      </w:r>
      <w:r>
        <w:rPr>
          <w:rFonts w:ascii="宋体" w:hAnsi="宋体" w:cs="宋体" w:eastAsia="宋体" w:hint="default"/>
          <w:spacing w:val="-100"/>
        </w:rPr>
        <w:t> </w:t>
      </w:r>
      <w:r>
        <w:rPr>
          <w:rFonts w:ascii="宋体" w:hAnsi="宋体" w:cs="宋体" w:eastAsia="宋体" w:hint="default"/>
          <w:spacing w:val="-100"/>
        </w:rPr>
      </w:r>
      <w:r>
        <w:rPr/>
        <w:t>化研发工作，并形成完整的</w:t>
      </w:r>
      <w:r>
        <w:rPr>
          <w:spacing w:val="-49"/>
        </w:rPr>
        <w:t> </w:t>
      </w:r>
      <w:r>
        <w:rPr>
          <w:rFonts w:ascii="宋体" w:hAnsi="宋体" w:cs="宋体" w:eastAsia="宋体" w:hint="default"/>
        </w:rPr>
        <w:t>WEB</w:t>
      </w:r>
      <w:r>
        <w:rPr>
          <w:rFonts w:ascii="宋体" w:hAnsi="宋体" w:cs="宋体" w:eastAsia="宋体" w:hint="default"/>
          <w:spacing w:val="-52"/>
        </w:rPr>
        <w:t> </w:t>
      </w:r>
      <w:r>
        <w:rPr/>
        <w:t>化解决方案，促进后期的市场推动，并重点推动了移动应用产品</w:t>
      </w:r>
      <w:r>
        <w:rPr>
          <w:w w:val="100"/>
        </w:rPr>
        <w:t> </w:t>
      </w:r>
      <w:r>
        <w:rPr>
          <w:spacing w:val="-1"/>
        </w:rPr>
        <w:t>的客户体验、需求整理以及研发设计工作；服务方面，公司在保持收入稳定增长的基础上，较好</w:t>
      </w:r>
      <w:r>
        <w:rPr>
          <w:spacing w:val="-55"/>
        </w:rPr>
        <w:t> </w:t>
      </w:r>
      <w:r>
        <w:rPr>
          <w:spacing w:val="-55"/>
        </w:rPr>
      </w:r>
      <w:r>
        <w:rPr/>
        <w:t>推动了变更服务收入业务，</w:t>
      </w:r>
      <w:r>
        <w:rPr>
          <w:rFonts w:ascii="宋体" w:hAnsi="宋体" w:cs="宋体" w:eastAsia="宋体" w:hint="default"/>
        </w:rPr>
        <w:t>SPS</w:t>
      </w:r>
      <w:r>
        <w:rPr>
          <w:rFonts w:ascii="宋体" w:hAnsi="宋体" w:cs="宋体" w:eastAsia="宋体" w:hint="default"/>
          <w:spacing w:val="-53"/>
        </w:rPr>
        <w:t> </w:t>
      </w:r>
      <w:r>
        <w:rPr/>
        <w:t>服务收入有较好的增长。</w:t>
      </w:r>
    </w:p>
    <w:p>
      <w:pPr>
        <w:pStyle w:val="BodyText"/>
        <w:spacing w:line="297" w:lineRule="auto" w:before="133"/>
        <w:ind w:right="147" w:firstLine="419"/>
        <w:jc w:val="both"/>
      </w:pPr>
      <w:r>
        <w:rPr>
          <w:spacing w:val="-3"/>
        </w:rPr>
        <w:t>报告期内，用友烟草公司以福建中烟公司为工业样板客户，在行业进行</w:t>
      </w:r>
      <w:r>
        <w:rPr>
          <w:spacing w:val="2"/>
        </w:rPr>
        <w:t> </w:t>
      </w:r>
      <w:r>
        <w:rPr>
          <w:rFonts w:ascii="宋体" w:hAnsi="宋体" w:cs="宋体" w:eastAsia="宋体" w:hint="default"/>
          <w:spacing w:val="-3"/>
        </w:rPr>
        <w:t>WEB2.0</w:t>
      </w:r>
      <w:r>
        <w:rPr>
          <w:spacing w:val="-3"/>
        </w:rPr>
        <w:t>、移动应用的</w:t>
      </w:r>
      <w:r>
        <w:rPr>
          <w:w w:val="100"/>
        </w:rPr>
        <w:t> </w:t>
      </w:r>
      <w:r>
        <w:rPr>
          <w:spacing w:val="-1"/>
        </w:rPr>
        <w:t>推广，采取样板营销模式，点对点的进行营销工作。开展了微信营销，通过开通订阅号逐步开拓</w:t>
      </w:r>
      <w:r>
        <w:rPr>
          <w:spacing w:val="-55"/>
        </w:rPr>
        <w:t> </w:t>
      </w:r>
      <w:r>
        <w:rPr>
          <w:spacing w:val="-55"/>
        </w:rPr>
      </w:r>
      <w:r>
        <w:rPr/>
        <w:t>终端用户数量，推广产品介绍、典型案例等微营销。</w:t>
      </w:r>
    </w:p>
    <w:p>
      <w:pPr>
        <w:pStyle w:val="BodyText"/>
        <w:spacing w:line="462" w:lineRule="exact" w:before="11"/>
        <w:ind w:left="558" w:right="144"/>
        <w:jc w:val="left"/>
      </w:pPr>
      <w:r>
        <w:rPr>
          <w:rFonts w:ascii="宋体" w:hAnsi="宋体" w:cs="宋体" w:eastAsia="宋体" w:hint="default"/>
        </w:rPr>
        <w:t>7</w:t>
      </w:r>
      <w:r>
        <w:rPr/>
        <w:t>）用友审计公司</w:t>
      </w:r>
      <w:r>
        <w:rPr>
          <w:w w:val="100"/>
        </w:rPr>
        <w:t> </w:t>
      </w:r>
      <w:r>
        <w:rPr>
          <w:spacing w:val="-2"/>
        </w:rPr>
        <w:t>报告期内，用友审计公司继续完善以利润考核为核心的基于阿米巴经营理念的运营体系；在</w:t>
      </w:r>
    </w:p>
    <w:p>
      <w:pPr>
        <w:pStyle w:val="BodyText"/>
        <w:spacing w:line="297" w:lineRule="auto" w:before="3"/>
        <w:ind w:right="149"/>
        <w:jc w:val="both"/>
      </w:pPr>
      <w:r>
        <w:rPr>
          <w:spacing w:val="-1"/>
        </w:rPr>
        <w:t>内部审计领域继续保持领先地位；在税务查账领域用友审计公司的税务查账产品得到了进一步认</w:t>
      </w:r>
      <w:r>
        <w:rPr>
          <w:spacing w:val="-55"/>
        </w:rPr>
        <w:t> </w:t>
      </w:r>
      <w:r>
        <w:rPr>
          <w:spacing w:val="-55"/>
        </w:rPr>
      </w:r>
      <w:r>
        <w:rPr>
          <w:spacing w:val="-3"/>
        </w:rPr>
        <w:t>可，并成功签约多家税务局。报告期内，用友审计公司发版了“用友数字化审计分析平台 </w:t>
      </w:r>
      <w:r>
        <w:rPr>
          <w:rFonts w:ascii="宋体" w:hAnsi="宋体" w:cs="宋体" w:eastAsia="宋体" w:hint="default"/>
          <w:spacing w:val="-6"/>
        </w:rPr>
        <w:t>V6</w:t>
      </w:r>
      <w:r>
        <w:rPr>
          <w:spacing w:val="-6"/>
        </w:rPr>
        <w:t>”以</w:t>
      </w:r>
      <w:r>
        <w:rPr>
          <w:spacing w:val="-75"/>
        </w:rPr>
        <w:t> </w:t>
      </w:r>
      <w:r>
        <w:rPr>
          <w:spacing w:val="-3"/>
        </w:rPr>
        <w:t>及“用友审计作业系统 </w:t>
      </w:r>
      <w:r>
        <w:rPr>
          <w:rFonts w:ascii="宋体" w:hAnsi="宋体" w:cs="宋体" w:eastAsia="宋体" w:hint="default"/>
          <w:spacing w:val="-3"/>
        </w:rPr>
        <w:t>V6</w:t>
      </w:r>
      <w:r>
        <w:rPr>
          <w:spacing w:val="-3"/>
        </w:rPr>
        <w:t>”两大系列产品；面向社会审计领域发版了“中国注册会计师合并系统</w:t>
      </w:r>
      <w:r>
        <w:rPr>
          <w:spacing w:val="-79"/>
        </w:rPr>
        <w:t> </w:t>
      </w:r>
      <w:r>
        <w:rPr>
          <w:spacing w:val="-79"/>
        </w:rPr>
      </w:r>
      <w:r>
        <w:rPr>
          <w:rFonts w:ascii="宋体" w:hAnsi="宋体" w:cs="宋体" w:eastAsia="宋体" w:hint="default"/>
          <w:spacing w:val="-3"/>
        </w:rPr>
        <w:t>V1.0</w:t>
      </w:r>
      <w:r>
        <w:rPr>
          <w:spacing w:val="-3"/>
        </w:rPr>
        <w:t>”、“中国注册会计师审计管理系统</w:t>
      </w:r>
      <w:r>
        <w:rPr>
          <w:spacing w:val="-31"/>
        </w:rPr>
        <w:t> </w:t>
      </w:r>
      <w:r>
        <w:rPr>
          <w:rFonts w:ascii="宋体" w:hAnsi="宋体" w:cs="宋体" w:eastAsia="宋体" w:hint="default"/>
          <w:spacing w:val="-3"/>
        </w:rPr>
        <w:t>V2.0</w:t>
      </w:r>
      <w:r>
        <w:rPr>
          <w:spacing w:val="-3"/>
        </w:rPr>
        <w:t>”、“中国注册会计师审计作业系统</w:t>
      </w:r>
      <w:r>
        <w:rPr>
          <w:spacing w:val="-29"/>
        </w:rPr>
        <w:t> </w:t>
      </w:r>
      <w:r>
        <w:rPr>
          <w:rFonts w:ascii="宋体" w:hAnsi="宋体" w:cs="宋体" w:eastAsia="宋体" w:hint="default"/>
          <w:spacing w:val="-5"/>
        </w:rPr>
        <w:t>V2.0</w:t>
      </w:r>
      <w:r>
        <w:rPr>
          <w:spacing w:val="-5"/>
        </w:rPr>
        <w:t>”、“中</w:t>
      </w:r>
      <w:r>
        <w:rPr>
          <w:spacing w:val="-96"/>
        </w:rPr>
        <w:t> </w:t>
      </w:r>
      <w:r>
        <w:rPr>
          <w:spacing w:val="-96"/>
        </w:rPr>
      </w:r>
      <w:r>
        <w:rPr>
          <w:spacing w:val="-1"/>
        </w:rPr>
        <w:t>国注册会计师审计信息系统（院校实训室版）”、“中国注册会计师审计信息系统</w:t>
      </w:r>
      <w:r>
        <w:rPr>
          <w:rFonts w:ascii="宋体" w:hAnsi="宋体" w:cs="宋体" w:eastAsia="宋体" w:hint="default"/>
          <w:spacing w:val="-1"/>
        </w:rPr>
        <w:t>(</w:t>
      </w:r>
      <w:r>
        <w:rPr>
          <w:spacing w:val="-1"/>
        </w:rPr>
        <w:t>标准版</w:t>
      </w:r>
      <w:r>
        <w:rPr>
          <w:rFonts w:ascii="宋体" w:hAnsi="宋体" w:cs="宋体" w:eastAsia="宋体" w:hint="default"/>
          <w:spacing w:val="-1"/>
        </w:rPr>
        <w:t>)</w:t>
      </w:r>
      <w:r>
        <w:rPr>
          <w:spacing w:val="-1"/>
        </w:rPr>
        <w:t>”；</w:t>
      </w:r>
      <w:r>
        <w:rPr>
          <w:spacing w:val="-54"/>
        </w:rPr>
        <w:t> </w:t>
      </w:r>
      <w:r>
        <w:rPr>
          <w:spacing w:val="-4"/>
        </w:rPr>
        <w:t>面向税务稽查领域发版了“用友税易－－税务查账系统 </w:t>
      </w:r>
      <w:r>
        <w:rPr>
          <w:rFonts w:ascii="宋体" w:hAnsi="宋体" w:cs="宋体" w:eastAsia="宋体" w:hint="default"/>
          <w:spacing w:val="-13"/>
        </w:rPr>
        <w:t>V6</w:t>
      </w:r>
      <w:r>
        <w:rPr>
          <w:spacing w:val="-13"/>
        </w:rPr>
        <w:t>”以及“用友税务稽查系统</w:t>
      </w:r>
      <w:r>
        <w:rPr>
          <w:rFonts w:ascii="宋体" w:hAnsi="宋体" w:cs="宋体" w:eastAsia="宋体" w:hint="default"/>
          <w:spacing w:val="-13"/>
        </w:rPr>
        <w:t>(</w:t>
      </w:r>
      <w:r>
        <w:rPr>
          <w:spacing w:val="-13"/>
        </w:rPr>
        <w:t>税警</w:t>
      </w:r>
      <w:r>
        <w:rPr>
          <w:rFonts w:ascii="宋体" w:hAnsi="宋体" w:cs="宋体" w:eastAsia="宋体" w:hint="default"/>
          <w:spacing w:val="-13"/>
        </w:rPr>
        <w:t>)V6</w:t>
      </w:r>
      <w:r>
        <w:rPr>
          <w:spacing w:val="-13"/>
        </w:rPr>
        <w:t>”。</w:t>
      </w:r>
      <w:r>
        <w:rPr>
          <w:spacing w:val="-92"/>
        </w:rPr>
        <w:t> </w:t>
      </w:r>
      <w:r>
        <w:rPr/>
        <w:t>报告期内，用友审计公司继续推动</w:t>
      </w:r>
      <w:r>
        <w:rPr>
          <w:spacing w:val="-54"/>
        </w:rPr>
        <w:t> </w:t>
      </w:r>
      <w:r>
        <w:rPr>
          <w:rFonts w:ascii="宋体" w:hAnsi="宋体" w:cs="宋体" w:eastAsia="宋体" w:hint="default"/>
        </w:rPr>
        <w:t>SPS</w:t>
      </w:r>
      <w:r>
        <w:rPr>
          <w:rFonts w:ascii="宋体" w:hAnsi="宋体" w:cs="宋体" w:eastAsia="宋体" w:hint="default"/>
          <w:spacing w:val="-54"/>
        </w:rPr>
        <w:t> </w:t>
      </w:r>
      <w:r>
        <w:rPr/>
        <w:t>服务业务的发展，</w:t>
      </w:r>
      <w:r>
        <w:rPr>
          <w:rFonts w:ascii="宋体" w:hAnsi="宋体" w:cs="宋体" w:eastAsia="宋体" w:hint="default"/>
        </w:rPr>
        <w:t>SPS</w:t>
      </w:r>
      <w:r>
        <w:rPr>
          <w:rFonts w:ascii="宋体" w:hAnsi="宋体" w:cs="宋体" w:eastAsia="宋体" w:hint="default"/>
          <w:spacing w:val="-56"/>
        </w:rPr>
        <w:t> </w:t>
      </w:r>
      <w:r>
        <w:rPr/>
        <w:t>服务收入取得了较好的增长。</w:t>
      </w:r>
    </w:p>
    <w:p>
      <w:pPr>
        <w:pStyle w:val="BodyText"/>
        <w:spacing w:line="295" w:lineRule="auto" w:before="135"/>
        <w:ind w:right="150" w:firstLine="419"/>
        <w:jc w:val="both"/>
      </w:pPr>
      <w:r>
        <w:rPr>
          <w:spacing w:val="-6"/>
        </w:rPr>
        <w:t>报告期内，用友审计公司于</w:t>
      </w:r>
      <w:r>
        <w:rPr>
          <w:spacing w:val="-48"/>
        </w:rPr>
        <w:t> </w:t>
      </w:r>
      <w:r>
        <w:rPr>
          <w:rFonts w:ascii="宋体" w:hAnsi="宋体" w:cs="宋体" w:eastAsia="宋体" w:hint="default"/>
        </w:rPr>
        <w:t>11</w:t>
      </w:r>
      <w:r>
        <w:rPr>
          <w:rFonts w:ascii="宋体" w:hAnsi="宋体" w:cs="宋体" w:eastAsia="宋体" w:hint="default"/>
          <w:spacing w:val="-50"/>
        </w:rPr>
        <w:t> </w:t>
      </w:r>
      <w:r>
        <w:rPr/>
        <w:t>月</w:t>
      </w:r>
      <w:r>
        <w:rPr>
          <w:spacing w:val="-48"/>
        </w:rPr>
        <w:t> </w:t>
      </w:r>
      <w:r>
        <w:rPr>
          <w:rFonts w:ascii="宋体" w:hAnsi="宋体" w:cs="宋体" w:eastAsia="宋体" w:hint="default"/>
        </w:rPr>
        <w:t>24</w:t>
      </w:r>
      <w:r>
        <w:rPr>
          <w:rFonts w:ascii="宋体" w:hAnsi="宋体" w:cs="宋体" w:eastAsia="宋体" w:hint="default"/>
          <w:spacing w:val="-50"/>
        </w:rPr>
        <w:t> </w:t>
      </w:r>
      <w:r>
        <w:rPr/>
        <w:t>日召开中注协审计信息系统</w:t>
      </w:r>
      <w:r>
        <w:rPr>
          <w:spacing w:val="-48"/>
        </w:rPr>
        <w:t> </w:t>
      </w:r>
      <w:r>
        <w:rPr>
          <w:rFonts w:ascii="宋体" w:hAnsi="宋体" w:cs="宋体" w:eastAsia="宋体" w:hint="default"/>
        </w:rPr>
        <w:t>V2.0</w:t>
      </w:r>
      <w:r>
        <w:rPr>
          <w:rFonts w:ascii="宋体" w:hAnsi="宋体" w:cs="宋体" w:eastAsia="宋体" w:hint="default"/>
          <w:spacing w:val="-50"/>
        </w:rPr>
        <w:t> </w:t>
      </w:r>
      <w:r>
        <w:rPr>
          <w:spacing w:val="-6"/>
        </w:rPr>
        <w:t>版发布会；创办审计公</w:t>
      </w:r>
      <w:r>
        <w:rPr>
          <w:w w:val="100"/>
        </w:rPr>
        <w:t> </w:t>
      </w:r>
      <w:r>
        <w:rPr/>
        <w:t>司微信公众号，对审计公司的官网进行改版。</w:t>
      </w:r>
    </w:p>
    <w:p>
      <w:pPr>
        <w:pStyle w:val="BodyText"/>
        <w:spacing w:line="460" w:lineRule="exact" w:before="15"/>
        <w:ind w:left="558" w:right="144"/>
        <w:jc w:val="left"/>
      </w:pPr>
      <w:r>
        <w:rPr/>
        <w:t>报告期内，用友审计公司签约中粮集团、天职国际会计师事务所等样板客户。</w:t>
      </w:r>
      <w:r>
        <w:rPr>
          <w:w w:val="100"/>
        </w:rPr>
        <w:t> </w:t>
      </w:r>
      <w:r>
        <w:rPr>
          <w:rFonts w:ascii="宋体" w:hAnsi="宋体" w:cs="宋体" w:eastAsia="宋体" w:hint="default"/>
        </w:rPr>
        <w:t>8</w:t>
      </w:r>
      <w:r>
        <w:rPr/>
        <w:t>）用友广信公司</w:t>
      </w:r>
      <w:r>
        <w:rPr>
          <w:w w:val="100"/>
        </w:rPr>
        <w:t> </w:t>
      </w:r>
      <w:r>
        <w:rPr>
          <w:spacing w:val="-1"/>
        </w:rPr>
        <w:t>报告期内，用友广信公司推进产品研发工作，完成广电营收稽核系统的研发及国家认证；大</w:t>
      </w:r>
    </w:p>
    <w:p>
      <w:pPr>
        <w:pStyle w:val="BodyText"/>
        <w:spacing w:line="297" w:lineRule="auto" w:before="3"/>
        <w:ind w:right="148"/>
        <w:jc w:val="both"/>
      </w:pPr>
      <w:r>
        <w:rPr>
          <w:spacing w:val="-1"/>
        </w:rPr>
        <w:t>力推进老客户运维、需求改善合同的续签工作，实现天翼及各子公司、分公司新项目突破；加强</w:t>
      </w:r>
      <w:r>
        <w:rPr>
          <w:spacing w:val="-55"/>
        </w:rPr>
        <w:t> </w:t>
      </w:r>
      <w:r>
        <w:rPr>
          <w:spacing w:val="-55"/>
        </w:rPr>
      </w:r>
      <w:r>
        <w:rPr/>
        <w:t>电信集团新业务探索，重点包括电商、社交等业务，取得了较好的业绩。</w:t>
      </w:r>
    </w:p>
    <w:p>
      <w:pPr>
        <w:pStyle w:val="BodyText"/>
        <w:spacing w:line="460" w:lineRule="exact" w:before="10"/>
        <w:ind w:left="558" w:right="144"/>
        <w:jc w:val="left"/>
      </w:pPr>
      <w:r>
        <w:rPr>
          <w:rFonts w:ascii="宋体" w:hAnsi="宋体" w:cs="宋体" w:eastAsia="宋体" w:hint="default"/>
        </w:rPr>
        <w:t>9</w:t>
      </w:r>
      <w:r>
        <w:rPr/>
        <w:t>）用友能源公司</w:t>
      </w:r>
      <w:r>
        <w:rPr>
          <w:w w:val="100"/>
        </w:rPr>
        <w:t> </w:t>
      </w:r>
      <w:r>
        <w:rPr>
          <w:spacing w:val="-2"/>
        </w:rPr>
        <w:t>报告期内，用友能源公司在能源行业工程项目管理（含国网输变电、核电站、火电、水电、</w:t>
      </w:r>
    </w:p>
    <w:p>
      <w:pPr>
        <w:pStyle w:val="BodyText"/>
        <w:spacing w:line="240" w:lineRule="auto" w:before="4"/>
        <w:ind w:right="0"/>
        <w:jc w:val="both"/>
      </w:pPr>
      <w:r>
        <w:rPr/>
        <w:t>新能源）等行业产品、移动巡检等解决方案发展上取得较大进展，积极推进国家电网、中海油、</w:t>
      </w:r>
    </w:p>
    <w:p>
      <w:pPr>
        <w:spacing w:after="0" w:line="240" w:lineRule="auto"/>
        <w:jc w:val="both"/>
        <w:sectPr>
          <w:pgSz w:w="11910" w:h="16840"/>
          <w:pgMar w:header="880" w:footer="1335" w:top="1120" w:bottom="1520" w:left="1660" w:right="1120"/>
        </w:sectPr>
      </w:pPr>
    </w:p>
    <w:p>
      <w:pPr>
        <w:spacing w:line="240" w:lineRule="auto" w:before="4"/>
        <w:rPr>
          <w:rFonts w:ascii="宋体" w:hAnsi="宋体" w:cs="宋体" w:eastAsia="宋体" w:hint="default"/>
          <w:sz w:val="25"/>
          <w:szCs w:val="25"/>
        </w:rPr>
      </w:pPr>
    </w:p>
    <w:p>
      <w:pPr>
        <w:pStyle w:val="BodyText"/>
        <w:spacing w:line="297" w:lineRule="auto" w:before="36"/>
        <w:ind w:right="208"/>
        <w:jc w:val="both"/>
      </w:pPr>
      <w:r>
        <w:rPr>
          <w:spacing w:val="-1"/>
        </w:rPr>
        <w:t>国电、中核集团等客户的经营工作，中标中石油集团企业信息门户深化应用项目、中国国电集团</w:t>
      </w:r>
      <w:r>
        <w:rPr>
          <w:spacing w:val="-55"/>
        </w:rPr>
        <w:t> </w:t>
      </w:r>
      <w:r>
        <w:rPr>
          <w:spacing w:val="-55"/>
        </w:rPr>
      </w:r>
      <w:r>
        <w:rPr/>
        <w:t>人力资源项目等多个项目。</w:t>
      </w:r>
    </w:p>
    <w:p>
      <w:pPr>
        <w:pStyle w:val="BodyText"/>
        <w:spacing w:line="460" w:lineRule="exact" w:before="13"/>
        <w:ind w:left="558" w:right="103"/>
        <w:jc w:val="left"/>
      </w:pPr>
      <w:r>
        <w:rPr/>
        <w:t>（</w:t>
      </w:r>
      <w:r>
        <w:rPr>
          <w:rFonts w:ascii="宋体" w:hAnsi="宋体" w:cs="宋体" w:eastAsia="宋体" w:hint="default"/>
        </w:rPr>
        <w:t>5</w:t>
      </w:r>
      <w:r>
        <w:rPr/>
        <w:t>）国际化战略与业务开展情况</w:t>
      </w:r>
      <w:r>
        <w:rPr>
          <w:w w:val="100"/>
        </w:rPr>
        <w:t> </w:t>
      </w:r>
      <w:r>
        <w:rPr>
          <w:spacing w:val="-2"/>
        </w:rPr>
        <w:t>报告期内，公司的海外全年业务有较高增长。软件业务方面，东南亚业务和香港分公司业务</w:t>
      </w:r>
    </w:p>
    <w:p>
      <w:pPr>
        <w:pStyle w:val="BodyText"/>
        <w:spacing w:line="297" w:lineRule="auto" w:before="3"/>
        <w:ind w:right="207"/>
        <w:jc w:val="both"/>
      </w:pPr>
      <w:r>
        <w:rPr/>
        <w:t>增长较快；澳门分公司获取和成功交付了某世界</w:t>
      </w:r>
      <w:r>
        <w:rPr>
          <w:spacing w:val="-51"/>
        </w:rPr>
        <w:t> </w:t>
      </w:r>
      <w:r>
        <w:rPr>
          <w:rFonts w:ascii="宋体" w:hAnsi="宋体" w:cs="宋体" w:eastAsia="宋体" w:hint="default"/>
        </w:rPr>
        <w:t>500</w:t>
      </w:r>
      <w:r>
        <w:rPr>
          <w:rFonts w:ascii="宋体" w:hAnsi="宋体" w:cs="宋体" w:eastAsia="宋体" w:hint="default"/>
          <w:spacing w:val="-49"/>
        </w:rPr>
        <w:t> </w:t>
      </w:r>
      <w:r>
        <w:rPr/>
        <w:t>强的实验室管理系统项目，在亚太实施成功</w:t>
      </w:r>
      <w:r>
        <w:rPr>
          <w:w w:val="100"/>
        </w:rPr>
        <w:t> </w:t>
      </w:r>
      <w:r>
        <w:rPr>
          <w:spacing w:val="-1"/>
        </w:rPr>
        <w:t>的基础上该项目正向欧美地区推广实施应用。在互联网新业务方面，海外各地在互联网新业务上</w:t>
      </w:r>
      <w:r>
        <w:rPr>
          <w:spacing w:val="-55"/>
        </w:rPr>
        <w:t> </w:t>
      </w:r>
      <w:r>
        <w:rPr>
          <w:spacing w:val="-55"/>
        </w:rPr>
      </w:r>
      <w:r>
        <w:rPr>
          <w:spacing w:val="-1"/>
        </w:rPr>
        <w:t>均有突破，其中新加坡分公司已实现电商通业务销售，并实现微信产品的服务销售；台湾分公司</w:t>
      </w:r>
      <w:r>
        <w:rPr>
          <w:spacing w:val="-55"/>
        </w:rPr>
        <w:t> </w:t>
      </w:r>
      <w:r>
        <w:rPr>
          <w:spacing w:val="-55"/>
        </w:rPr>
      </w:r>
      <w:r>
        <w:rPr>
          <w:spacing w:val="-1"/>
        </w:rPr>
        <w:t>也实现了多个电商通业务销售；香港公司在手机应用业务上也实现有多个客户的应用。在伙伴业</w:t>
      </w:r>
      <w:r>
        <w:rPr>
          <w:spacing w:val="-55"/>
        </w:rPr>
        <w:t> </w:t>
      </w:r>
      <w:r>
        <w:rPr>
          <w:spacing w:val="-55"/>
        </w:rPr>
      </w:r>
      <w:r>
        <w:rPr/>
        <w:t>务上，台湾的伙伴业务，亚太日资伙伴业务，港澳</w:t>
      </w:r>
      <w:r>
        <w:rPr>
          <w:spacing w:val="-50"/>
        </w:rPr>
        <w:t> </w:t>
      </w:r>
      <w:r>
        <w:rPr>
          <w:rFonts w:ascii="宋体" w:hAnsi="宋体" w:cs="宋体" w:eastAsia="宋体" w:hint="default"/>
        </w:rPr>
        <w:t>HCM</w:t>
      </w:r>
      <w:r>
        <w:rPr>
          <w:rFonts w:ascii="宋体" w:hAnsi="宋体" w:cs="宋体" w:eastAsia="宋体" w:hint="default"/>
          <w:spacing w:val="-50"/>
        </w:rPr>
        <w:t> </w:t>
      </w:r>
      <w:r>
        <w:rPr/>
        <w:t>伙伴业务都有较稳定的发展。在团队建设</w:t>
      </w:r>
      <w:r>
        <w:rPr>
          <w:w w:val="100"/>
        </w:rPr>
        <w:t> </w:t>
      </w:r>
      <w:r>
        <w:rPr>
          <w:spacing w:val="-4"/>
        </w:rPr>
        <w:t>方面，海外目前已发展到近</w:t>
      </w:r>
      <w:r>
        <w:rPr>
          <w:spacing w:val="-43"/>
        </w:rPr>
        <w:t> </w:t>
      </w:r>
      <w:r>
        <w:rPr>
          <w:rFonts w:ascii="宋体" w:hAnsi="宋体" w:cs="宋体" w:eastAsia="宋体" w:hint="default"/>
        </w:rPr>
        <w:t>200</w:t>
      </w:r>
      <w:r>
        <w:rPr>
          <w:rFonts w:ascii="宋体" w:hAnsi="宋体" w:cs="宋体" w:eastAsia="宋体" w:hint="default"/>
          <w:spacing w:val="-47"/>
        </w:rPr>
        <w:t> </w:t>
      </w:r>
      <w:r>
        <w:rPr>
          <w:spacing w:val="-4"/>
        </w:rPr>
        <w:t>人队伍，其中研发和客开团队有</w:t>
      </w:r>
      <w:r>
        <w:rPr>
          <w:spacing w:val="-44"/>
        </w:rPr>
        <w:t> </w:t>
      </w:r>
      <w:r>
        <w:rPr>
          <w:rFonts w:ascii="宋体" w:hAnsi="宋体" w:cs="宋体" w:eastAsia="宋体" w:hint="default"/>
        </w:rPr>
        <w:t>30</w:t>
      </w:r>
      <w:r>
        <w:rPr>
          <w:rFonts w:ascii="宋体" w:hAnsi="宋体" w:cs="宋体" w:eastAsia="宋体" w:hint="default"/>
          <w:spacing w:val="-44"/>
        </w:rPr>
        <w:t> </w:t>
      </w:r>
      <w:r>
        <w:rPr>
          <w:spacing w:val="-6"/>
        </w:rPr>
        <w:t>多人，成功在用友</w:t>
      </w:r>
      <w:r>
        <w:rPr>
          <w:spacing w:val="-43"/>
        </w:rPr>
        <w:t> </w:t>
      </w:r>
      <w:r>
        <w:rPr>
          <w:rFonts w:ascii="宋体" w:hAnsi="宋体" w:cs="宋体" w:eastAsia="宋体" w:hint="default"/>
        </w:rPr>
        <w:t>UAP</w:t>
      </w:r>
      <w:r>
        <w:rPr>
          <w:rFonts w:ascii="宋体" w:hAnsi="宋体" w:cs="宋体" w:eastAsia="宋体" w:hint="default"/>
          <w:spacing w:val="-44"/>
        </w:rPr>
        <w:t> </w:t>
      </w:r>
      <w:r>
        <w:rPr>
          <w:spacing w:val="-3"/>
        </w:rPr>
        <w:t>平台上</w:t>
      </w:r>
      <w:r>
        <w:rPr>
          <w:spacing w:val="-101"/>
        </w:rPr>
        <w:t> </w:t>
      </w:r>
      <w:r>
        <w:rPr/>
        <w:t>开发交付了多个专业服务项目。</w:t>
      </w:r>
    </w:p>
    <w:p>
      <w:pPr>
        <w:spacing w:line="460" w:lineRule="exact" w:before="13"/>
        <w:ind w:left="558" w:right="103"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、互联网金融服务业务发展情况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报告期内，公司结合公司的企业客户基础优势以及与客户良好的合作关系，积极推进企业互</w:t>
      </w:r>
    </w:p>
    <w:p>
      <w:pPr>
        <w:pStyle w:val="BodyText"/>
        <w:spacing w:line="297" w:lineRule="auto" w:before="1"/>
        <w:ind w:right="208"/>
        <w:jc w:val="both"/>
      </w:pPr>
      <w:r>
        <w:rPr>
          <w:spacing w:val="-1"/>
        </w:rPr>
        <w:t>联网金融服务业务发展。报告期内支付业务中的收单业务增长较好，支付业务中的企业支付呈现</w:t>
      </w:r>
      <w:r>
        <w:rPr>
          <w:spacing w:val="-55"/>
        </w:rPr>
        <w:t> </w:t>
      </w:r>
      <w:r>
        <w:rPr>
          <w:spacing w:val="-55"/>
        </w:rPr>
      </w:r>
      <w:r>
        <w:rPr>
          <w:spacing w:val="-4"/>
        </w:rPr>
        <w:t>旺盛的市场需求，友金所的</w:t>
      </w:r>
      <w:r>
        <w:rPr>
          <w:spacing w:val="-26"/>
        </w:rPr>
        <w:t> </w:t>
      </w:r>
      <w:r>
        <w:rPr>
          <w:rFonts w:ascii="宋体" w:hAnsi="宋体" w:cs="宋体" w:eastAsia="宋体" w:hint="default"/>
        </w:rPr>
        <w:t>P2P</w:t>
      </w:r>
      <w:r>
        <w:rPr>
          <w:rFonts w:ascii="宋体" w:hAnsi="宋体" w:cs="宋体" w:eastAsia="宋体" w:hint="default"/>
          <w:spacing w:val="-31"/>
        </w:rPr>
        <w:t> </w:t>
      </w:r>
      <w:r>
        <w:rPr>
          <w:spacing w:val="-4"/>
        </w:rPr>
        <w:t>平台实现交易服务额的较高增长。公司在整合加强企业支付、</w:t>
      </w:r>
      <w:r>
        <w:rPr>
          <w:rFonts w:ascii="宋体" w:hAnsi="宋体" w:cs="宋体" w:eastAsia="宋体" w:hint="default"/>
          <w:spacing w:val="-4"/>
        </w:rPr>
        <w:t>P2P</w:t>
      </w:r>
      <w:r>
        <w:rPr>
          <w:rFonts w:ascii="宋体" w:hAnsi="宋体" w:cs="宋体" w:eastAsia="宋体" w:hint="default"/>
          <w:spacing w:val="-93"/>
        </w:rPr>
        <w:t> </w:t>
      </w:r>
      <w:r>
        <w:rPr/>
        <w:t>业务的基础上，按互联网金融战略布局，开展了新业务的筹备工作。</w:t>
      </w:r>
    </w:p>
    <w:p>
      <w:pPr>
        <w:pStyle w:val="BodyText"/>
        <w:spacing w:line="462" w:lineRule="exact" w:before="11"/>
        <w:ind w:left="558" w:right="97"/>
        <w:jc w:val="left"/>
      </w:pPr>
      <w:r>
        <w:rPr/>
        <w:t>（</w:t>
      </w:r>
      <w:r>
        <w:rPr>
          <w:rFonts w:ascii="宋体" w:hAnsi="宋体" w:cs="宋体" w:eastAsia="宋体" w:hint="default"/>
        </w:rPr>
        <w:t>1</w:t>
      </w:r>
      <w:r>
        <w:rPr/>
        <w:t>）支付业务</w:t>
      </w:r>
      <w:r>
        <w:rPr>
          <w:w w:val="100"/>
        </w:rPr>
        <w:t> </w:t>
      </w:r>
      <w:r>
        <w:rPr/>
        <w:t>报告期内，畅捷通支付公司加强了支付业务的研发与技术创新</w:t>
      </w:r>
      <w:r>
        <w:rPr>
          <w:rFonts w:ascii="宋体" w:hAnsi="宋体" w:cs="宋体" w:eastAsia="宋体" w:hint="default"/>
        </w:rPr>
        <w:t>,</w:t>
      </w:r>
      <w:r>
        <w:rPr/>
        <w:t>陆续推出和完善了畅捷</w:t>
      </w:r>
      <w:r>
        <w:rPr>
          <w:spacing w:val="6"/>
        </w:rPr>
        <w:t> </w:t>
      </w:r>
      <w:r>
        <w:rPr>
          <w:rFonts w:ascii="宋体" w:hAnsi="宋体" w:cs="宋体" w:eastAsia="宋体" w:hint="default"/>
        </w:rPr>
        <w:t>POS</w:t>
      </w:r>
      <w:r>
        <w:rPr/>
        <w:t>、</w:t>
      </w:r>
    </w:p>
    <w:p>
      <w:pPr>
        <w:pStyle w:val="BodyText"/>
        <w:spacing w:line="297" w:lineRule="auto" w:before="3"/>
        <w:ind w:right="207"/>
        <w:jc w:val="both"/>
      </w:pPr>
      <w:r>
        <w:rPr>
          <w:spacing w:val="-4"/>
        </w:rPr>
        <w:t>畅捷网银、畅捷结算、资金归集等业务，为公司更多的客户提供整体支付解决方案和服务</w:t>
      </w:r>
      <w:r>
        <w:rPr>
          <w:rFonts w:ascii="宋体" w:hAnsi="宋体" w:cs="宋体" w:eastAsia="宋体" w:hint="default"/>
          <w:spacing w:val="-4"/>
        </w:rPr>
        <w:t>,</w:t>
      </w:r>
      <w:r>
        <w:rPr>
          <w:spacing w:val="-4"/>
        </w:rPr>
        <w:t>扩大公</w:t>
      </w:r>
      <w:r>
        <w:rPr>
          <w:spacing w:val="-32"/>
        </w:rPr>
        <w:t> </w:t>
      </w:r>
      <w:r>
        <w:rPr>
          <w:spacing w:val="-32"/>
        </w:rPr>
      </w:r>
      <w:r>
        <w:rPr>
          <w:spacing w:val="-1"/>
        </w:rPr>
        <w:t>司的竞争优势和市场份额，支付业务得到了全面发展。报告期内，畅捷通支付公司的收单业务整</w:t>
      </w:r>
      <w:r>
        <w:rPr>
          <w:spacing w:val="-55"/>
        </w:rPr>
        <w:t> </w:t>
      </w:r>
      <w:r>
        <w:rPr>
          <w:spacing w:val="-55"/>
        </w:rPr>
      </w:r>
      <w:r>
        <w:rPr>
          <w:spacing w:val="-1"/>
        </w:rPr>
        <w:t>体增长较好，重点开拓了企业间支付服务，企业支付获得了市场验证；企业支付基础产品与核心</w:t>
      </w:r>
      <w:r>
        <w:rPr>
          <w:spacing w:val="-55"/>
        </w:rPr>
        <w:t> </w:t>
      </w:r>
      <w:r>
        <w:rPr>
          <w:spacing w:val="-55"/>
        </w:rPr>
      </w:r>
      <w:r>
        <w:rPr/>
        <w:t>运营平台建设也取得了较大进展；初步完成了与</w:t>
      </w:r>
      <w:r>
        <w:rPr>
          <w:spacing w:val="-56"/>
        </w:rPr>
        <w:t> </w:t>
      </w:r>
      <w:r>
        <w:rPr>
          <w:rFonts w:ascii="宋体" w:hAnsi="宋体" w:cs="宋体" w:eastAsia="宋体" w:hint="default"/>
        </w:rPr>
        <w:t>NC</w:t>
      </w:r>
      <w:r>
        <w:rPr/>
        <w:t>、</w:t>
      </w:r>
      <w:r>
        <w:rPr>
          <w:rFonts w:ascii="宋体" w:hAnsi="宋体" w:cs="宋体" w:eastAsia="宋体" w:hint="default"/>
        </w:rPr>
        <w:t>U8</w:t>
      </w:r>
      <w:r>
        <w:rPr/>
        <w:t>、</w:t>
      </w:r>
      <w:r>
        <w:rPr>
          <w:rFonts w:ascii="宋体" w:hAnsi="宋体" w:cs="宋体" w:eastAsia="宋体" w:hint="default"/>
        </w:rPr>
        <w:t>U9</w:t>
      </w:r>
      <w:r>
        <w:rPr>
          <w:rFonts w:ascii="宋体" w:hAnsi="宋体" w:cs="宋体" w:eastAsia="宋体" w:hint="default"/>
          <w:spacing w:val="-58"/>
        </w:rPr>
        <w:t> </w:t>
      </w:r>
      <w:r>
        <w:rPr/>
        <w:t>等产品的对接。</w:t>
      </w:r>
    </w:p>
    <w:p>
      <w:pPr>
        <w:pStyle w:val="BodyText"/>
        <w:spacing w:line="297" w:lineRule="auto" w:before="135"/>
        <w:ind w:right="102" w:firstLine="419"/>
        <w:jc w:val="both"/>
      </w:pPr>
      <w:r>
        <w:rPr/>
        <w:t>报告期内，畅捷通支付公司参加了由公司、用友优普公司主办的</w:t>
      </w:r>
      <w:r>
        <w:rPr>
          <w:spacing w:val="-53"/>
        </w:rPr>
        <w:t> </w:t>
      </w:r>
      <w:r>
        <w:rPr>
          <w:rFonts w:ascii="宋体" w:hAnsi="宋体" w:cs="宋体" w:eastAsia="宋体" w:hint="default"/>
        </w:rPr>
        <w:t>20</w:t>
      </w:r>
      <w:r>
        <w:rPr>
          <w:rFonts w:ascii="宋体" w:hAnsi="宋体" w:cs="宋体" w:eastAsia="宋体" w:hint="default"/>
          <w:spacing w:val="-53"/>
        </w:rPr>
        <w:t> </w:t>
      </w:r>
      <w:r>
        <w:rPr/>
        <w:t>余场品牌市场宣传活动，</w:t>
      </w:r>
      <w:r>
        <w:rPr>
          <w:w w:val="100"/>
        </w:rPr>
        <w:t> </w:t>
      </w:r>
      <w:r>
        <w:rPr>
          <w:spacing w:val="-4"/>
          <w:w w:val="100"/>
        </w:rPr>
        <w:t>拓展了畅捷支付在公司软件客户中的品牌及市场影响力；畅捷通支付强化企业互联网支付的宣传，</w:t>
      </w:r>
      <w:r>
        <w:rPr>
          <w:spacing w:val="-87"/>
          <w:w w:val="100"/>
        </w:rPr>
        <w:t> </w:t>
      </w:r>
      <w:r>
        <w:rPr>
          <w:spacing w:val="-87"/>
          <w:w w:val="100"/>
        </w:rPr>
      </w:r>
      <w:r>
        <w:rPr/>
        <w:t>从而进一步扩大畅捷支付品牌知名度。</w:t>
      </w:r>
    </w:p>
    <w:p>
      <w:pPr>
        <w:pStyle w:val="BodyText"/>
        <w:spacing w:line="295" w:lineRule="auto" w:before="135"/>
        <w:ind w:right="104" w:firstLine="419"/>
        <w:jc w:val="both"/>
      </w:pPr>
      <w:r>
        <w:rPr>
          <w:spacing w:val="-8"/>
          <w:w w:val="100"/>
        </w:rPr>
        <w:t>截止报告期末，畅捷通支付公司新增商户</w:t>
      </w:r>
      <w:r>
        <w:rPr>
          <w:spacing w:val="-57"/>
          <w:w w:val="100"/>
        </w:rPr>
        <w:t> </w:t>
      </w:r>
      <w:r>
        <w:rPr>
          <w:rFonts w:ascii="宋体" w:hAnsi="宋体" w:cs="宋体" w:eastAsia="宋体" w:hint="default"/>
          <w:spacing w:val="-1"/>
          <w:w w:val="100"/>
        </w:rPr>
        <w:t>24,532</w:t>
      </w:r>
      <w:r>
        <w:rPr>
          <w:rFonts w:ascii="宋体" w:hAnsi="宋体" w:cs="宋体" w:eastAsia="宋体" w:hint="default"/>
          <w:spacing w:val="-57"/>
          <w:w w:val="100"/>
        </w:rPr>
        <w:t> </w:t>
      </w:r>
      <w:r>
        <w:rPr>
          <w:spacing w:val="-15"/>
          <w:w w:val="100"/>
        </w:rPr>
        <w:t>家，累计商户超过</w:t>
      </w:r>
      <w:r>
        <w:rPr>
          <w:spacing w:val="-58"/>
          <w:w w:val="100"/>
        </w:rPr>
        <w:t> </w:t>
      </w:r>
      <w:r>
        <w:rPr>
          <w:rFonts w:ascii="宋体" w:hAnsi="宋体" w:cs="宋体" w:eastAsia="宋体" w:hint="default"/>
          <w:spacing w:val="-1"/>
          <w:w w:val="100"/>
        </w:rPr>
        <w:t>27,469</w:t>
      </w:r>
      <w:r>
        <w:rPr>
          <w:rFonts w:ascii="宋体" w:hAnsi="宋体" w:cs="宋体" w:eastAsia="宋体" w:hint="default"/>
          <w:spacing w:val="-57"/>
          <w:w w:val="100"/>
        </w:rPr>
        <w:t> </w:t>
      </w:r>
      <w:r>
        <w:rPr>
          <w:spacing w:val="-19"/>
          <w:w w:val="100"/>
        </w:rPr>
        <w:t>家，同比增长</w:t>
      </w:r>
      <w:r>
        <w:rPr>
          <w:spacing w:val="-57"/>
          <w:w w:val="100"/>
        </w:rPr>
        <w:t> </w:t>
      </w:r>
      <w:r>
        <w:rPr>
          <w:rFonts w:ascii="宋体" w:hAnsi="宋体" w:cs="宋体" w:eastAsia="宋体" w:hint="default"/>
          <w:spacing w:val="-1"/>
          <w:w w:val="100"/>
        </w:rPr>
        <w:t>431%</w:t>
      </w:r>
      <w:r>
        <w:rPr>
          <w:spacing w:val="-1"/>
          <w:w w:val="100"/>
        </w:rPr>
        <w:t>。</w:t>
      </w:r>
      <w:r>
        <w:rPr>
          <w:w w:val="100"/>
        </w:rPr>
        <w:t> </w:t>
      </w:r>
      <w:r>
        <w:rPr/>
        <w:t>支付业务交易金额达到</w:t>
      </w:r>
      <w:r>
        <w:rPr>
          <w:spacing w:val="-54"/>
        </w:rPr>
        <w:t> </w:t>
      </w:r>
      <w:r>
        <w:rPr>
          <w:rFonts w:ascii="宋体" w:hAnsi="宋体" w:cs="宋体" w:eastAsia="宋体" w:hint="default"/>
        </w:rPr>
        <w:t>243</w:t>
      </w:r>
      <w:r>
        <w:rPr>
          <w:rFonts w:ascii="宋体" w:hAnsi="宋体" w:cs="宋体" w:eastAsia="宋体" w:hint="default"/>
          <w:spacing w:val="-55"/>
        </w:rPr>
        <w:t> </w:t>
      </w:r>
      <w:r>
        <w:rPr/>
        <w:t>亿元人民币，同比增长</w:t>
      </w:r>
      <w:r>
        <w:rPr>
          <w:spacing w:val="-57"/>
        </w:rPr>
        <w:t> </w:t>
      </w:r>
      <w:r>
        <w:rPr>
          <w:rFonts w:ascii="宋体" w:hAnsi="宋体" w:cs="宋体" w:eastAsia="宋体" w:hint="default"/>
        </w:rPr>
        <w:t>471%</w:t>
      </w:r>
      <w:r>
        <w:rPr/>
        <w:t>。</w:t>
      </w:r>
    </w:p>
    <w:p>
      <w:pPr>
        <w:pStyle w:val="BodyText"/>
        <w:spacing w:line="460" w:lineRule="exact" w:before="15"/>
        <w:ind w:left="558" w:right="103"/>
        <w:jc w:val="left"/>
      </w:pPr>
      <w:r>
        <w:rPr/>
        <w:t>（</w:t>
      </w:r>
      <w:r>
        <w:rPr>
          <w:rFonts w:ascii="宋体" w:hAnsi="宋体" w:cs="宋体" w:eastAsia="宋体" w:hint="default"/>
        </w:rPr>
        <w:t>2</w:t>
      </w:r>
      <w:r>
        <w:rPr/>
        <w:t>）</w:t>
      </w:r>
      <w:r>
        <w:rPr>
          <w:rFonts w:ascii="宋体" w:hAnsi="宋体" w:cs="宋体" w:eastAsia="宋体" w:hint="default"/>
        </w:rPr>
        <w:t>P2P</w:t>
      </w:r>
      <w:r>
        <w:rPr>
          <w:rFonts w:ascii="宋体" w:hAnsi="宋体" w:cs="宋体" w:eastAsia="宋体" w:hint="default"/>
          <w:spacing w:val="-55"/>
        </w:rPr>
        <w:t> </w:t>
      </w:r>
      <w:r>
        <w:rPr/>
        <w:t>业务</w:t>
      </w:r>
      <w:r>
        <w:rPr>
          <w:spacing w:val="-101"/>
        </w:rPr>
        <w:t> </w:t>
      </w:r>
      <w:r>
        <w:rPr>
          <w:spacing w:val="-2"/>
        </w:rPr>
        <w:t>报告期内，深圳前海用友力合金融服务有限公司（下称“友金所”）开通移动端投资功能、</w:t>
      </w:r>
    </w:p>
    <w:p>
      <w:pPr>
        <w:pStyle w:val="BodyText"/>
        <w:spacing w:line="297" w:lineRule="auto" w:before="3"/>
        <w:ind w:right="217"/>
        <w:jc w:val="both"/>
      </w:pPr>
      <w:r>
        <w:rPr/>
        <w:t>签约平安大华基金、完成银行卡直接投资功能上线、微信端全面升级及</w:t>
      </w:r>
      <w:r>
        <w:rPr>
          <w:spacing w:val="-54"/>
        </w:rPr>
        <w:t> </w:t>
      </w:r>
      <w:r>
        <w:rPr>
          <w:rFonts w:ascii="宋体" w:hAnsi="宋体" w:cs="宋体" w:eastAsia="宋体" w:hint="default"/>
        </w:rPr>
        <w:t>APP</w:t>
      </w:r>
      <w:r>
        <w:rPr>
          <w:rFonts w:ascii="宋体" w:hAnsi="宋体" w:cs="宋体" w:eastAsia="宋体" w:hint="default"/>
          <w:spacing w:val="-56"/>
        </w:rPr>
        <w:t> </w:t>
      </w:r>
      <w:r>
        <w:rPr/>
        <w:t>上线、友金所官网改</w:t>
      </w:r>
      <w:r>
        <w:rPr>
          <w:w w:val="100"/>
        </w:rPr>
        <w:t> </w:t>
      </w:r>
      <w:r>
        <w:rPr>
          <w:spacing w:val="-2"/>
        </w:rPr>
        <w:t>版上线。报告期内，友金所继续强化风险控制，建立了完整严谨的风险管理体系以及全面的信用</w:t>
      </w:r>
      <w:r>
        <w:rPr>
          <w:spacing w:val="-25"/>
        </w:rPr>
        <w:t> </w:t>
      </w:r>
      <w:r>
        <w:rPr>
          <w:spacing w:val="-25"/>
        </w:rPr>
      </w:r>
      <w:r>
        <w:rPr/>
        <w:t>审核流程和标准，对项目渠道进行严格把关，从源头把握项目质量。</w:t>
      </w:r>
    </w:p>
    <w:p>
      <w:pPr>
        <w:pStyle w:val="BodyText"/>
        <w:spacing w:line="297" w:lineRule="auto" w:before="133"/>
        <w:ind w:right="208" w:firstLine="419"/>
        <w:jc w:val="both"/>
      </w:pPr>
      <w:r>
        <w:rPr>
          <w:spacing w:val="-2"/>
        </w:rPr>
        <w:t>报告期内，友金所加入了深圳市互联网金融协会、千人会等权威行业协会组织，围绕“友金</w:t>
      </w:r>
      <w:r>
        <w:rPr>
          <w:w w:val="100"/>
        </w:rPr>
        <w:t> </w:t>
      </w:r>
      <w:r>
        <w:rPr>
          <w:spacing w:val="-6"/>
        </w:rPr>
        <w:t>所体验金”开展品牌营销，参加东方证券互联网高峰论坛，首届中国企业互联网大会，中国</w:t>
      </w:r>
      <w:r>
        <w:rPr>
          <w:rFonts w:ascii="宋体" w:hAnsi="宋体" w:cs="宋体" w:eastAsia="宋体" w:hint="default"/>
          <w:spacing w:val="-6"/>
        </w:rPr>
        <w:t>(</w:t>
      </w:r>
      <w:r>
        <w:rPr>
          <w:spacing w:val="-6"/>
        </w:rPr>
        <w:t>深圳</w:t>
      </w:r>
      <w:r>
        <w:rPr>
          <w:rFonts w:ascii="宋体" w:hAnsi="宋体" w:cs="宋体" w:eastAsia="宋体" w:hint="default"/>
          <w:spacing w:val="-6"/>
        </w:rPr>
        <w:t>)</w:t>
      </w:r>
      <w:r>
        <w:rPr>
          <w:rFonts w:ascii="宋体" w:hAnsi="宋体" w:cs="宋体" w:eastAsia="宋体" w:hint="default"/>
          <w:spacing w:val="-45"/>
        </w:rPr>
        <w:t> </w:t>
      </w:r>
      <w:r>
        <w:rPr>
          <w:spacing w:val="-1"/>
        </w:rPr>
        <w:t>第九届国际金融博览会等各种会议，成为深圳市互联网金融协会首批理事会员单位，开展了“璀</w:t>
      </w:r>
    </w:p>
    <w:p>
      <w:pPr>
        <w:spacing w:after="0" w:line="297" w:lineRule="auto"/>
        <w:jc w:val="both"/>
        <w:sectPr>
          <w:pgSz w:w="11910" w:h="16840"/>
          <w:pgMar w:header="880" w:footer="1335" w:top="1120" w:bottom="1520" w:left="1660" w:right="1060"/>
        </w:sectPr>
      </w:pPr>
    </w:p>
    <w:p>
      <w:pPr>
        <w:spacing w:line="240" w:lineRule="auto" w:before="4"/>
        <w:rPr>
          <w:rFonts w:ascii="宋体" w:hAnsi="宋体" w:cs="宋体" w:eastAsia="宋体" w:hint="default"/>
          <w:sz w:val="25"/>
          <w:szCs w:val="25"/>
        </w:rPr>
      </w:pPr>
    </w:p>
    <w:p>
      <w:pPr>
        <w:pStyle w:val="BodyText"/>
        <w:spacing w:line="297" w:lineRule="auto" w:before="36"/>
        <w:ind w:right="103"/>
        <w:jc w:val="left"/>
      </w:pPr>
      <w:r>
        <w:rPr>
          <w:spacing w:val="-1"/>
        </w:rPr>
        <w:t>璨一周年，友你在一起“三重钜礼大派送、牵手“年度最具良心新农商品牌”维吉达尼打造最有</w:t>
      </w:r>
      <w:r>
        <w:rPr>
          <w:spacing w:val="-55"/>
        </w:rPr>
        <w:t> </w:t>
      </w:r>
      <w:r>
        <w:rPr>
          <w:spacing w:val="-55"/>
        </w:rPr>
      </w:r>
      <w:r>
        <w:rPr>
          <w:spacing w:val="-2"/>
        </w:rPr>
        <w:t>料的圣诞大礼等营销活动，并荣获“2015</w:t>
      </w:r>
      <w:r>
        <w:rPr>
          <w:spacing w:val="21"/>
        </w:rPr>
        <w:t> </w:t>
      </w:r>
      <w:r>
        <w:rPr>
          <w:spacing w:val="-2"/>
        </w:rPr>
        <w:t>年度中国软件行业互联网</w:t>
      </w:r>
      <w:r>
        <w:rPr>
          <w:rFonts w:ascii="宋体" w:hAnsi="宋体" w:cs="宋体" w:eastAsia="宋体" w:hint="default"/>
          <w:spacing w:val="-2"/>
        </w:rPr>
        <w:t>+</w:t>
      </w:r>
      <w:r>
        <w:rPr>
          <w:spacing w:val="-2"/>
        </w:rPr>
        <w:t>金融卓越创新平台”。</w:t>
      </w:r>
    </w:p>
    <w:p>
      <w:pPr>
        <w:pStyle w:val="BodyText"/>
        <w:spacing w:line="240" w:lineRule="auto" w:before="135"/>
        <w:ind w:left="558" w:right="103"/>
        <w:jc w:val="left"/>
        <w:rPr>
          <w:rFonts w:ascii="宋体" w:hAnsi="宋体" w:cs="宋体" w:eastAsia="宋体" w:hint="default"/>
        </w:rPr>
      </w:pPr>
      <w:r>
        <w:rPr>
          <w:spacing w:val="-6"/>
        </w:rPr>
        <w:t>截止报告期末，友金所累计撮合成交金额</w:t>
      </w:r>
      <w:r>
        <w:rPr>
          <w:spacing w:val="-32"/>
        </w:rPr>
        <w:t> </w:t>
      </w:r>
      <w:r>
        <w:rPr>
          <w:rFonts w:ascii="宋体" w:hAnsi="宋体" w:cs="宋体" w:eastAsia="宋体" w:hint="default"/>
        </w:rPr>
        <w:t>30.5</w:t>
      </w:r>
      <w:r>
        <w:rPr>
          <w:rFonts w:ascii="宋体" w:hAnsi="宋体" w:cs="宋体" w:eastAsia="宋体" w:hint="default"/>
          <w:spacing w:val="-35"/>
        </w:rPr>
        <w:t> </w:t>
      </w:r>
      <w:r>
        <w:rPr>
          <w:spacing w:val="-6"/>
        </w:rPr>
        <w:t>亿元人民币，报告期内新增撮合成交金额</w:t>
      </w:r>
      <w:r>
        <w:rPr>
          <w:spacing w:val="-32"/>
        </w:rPr>
        <w:t> </w:t>
      </w:r>
      <w:r>
        <w:rPr>
          <w:rFonts w:ascii="宋体" w:hAnsi="宋体" w:cs="宋体" w:eastAsia="宋体" w:hint="default"/>
        </w:rPr>
        <w:t>29.3</w:t>
      </w:r>
    </w:p>
    <w:p>
      <w:pPr>
        <w:pStyle w:val="BodyText"/>
        <w:spacing w:line="297" w:lineRule="auto" w:before="66"/>
        <w:ind w:right="103"/>
        <w:jc w:val="left"/>
      </w:pPr>
      <w:r>
        <w:rPr>
          <w:spacing w:val="-6"/>
        </w:rPr>
        <w:t>亿元人民币，比</w:t>
      </w:r>
      <w:r>
        <w:rPr>
          <w:spacing w:val="-48"/>
        </w:rPr>
        <w:t> </w:t>
      </w:r>
      <w:r>
        <w:rPr>
          <w:rFonts w:ascii="宋体" w:hAnsi="宋体" w:cs="宋体" w:eastAsia="宋体" w:hint="default"/>
        </w:rPr>
        <w:t>2014</w:t>
      </w:r>
      <w:r>
        <w:rPr>
          <w:rFonts w:ascii="宋体" w:hAnsi="宋体" w:cs="宋体" w:eastAsia="宋体" w:hint="default"/>
          <w:spacing w:val="-48"/>
        </w:rPr>
        <w:t> </w:t>
      </w:r>
      <w:r>
        <w:rPr/>
        <w:t>年年底增长</w:t>
      </w:r>
      <w:r>
        <w:rPr>
          <w:spacing w:val="-45"/>
        </w:rPr>
        <w:t> </w:t>
      </w:r>
      <w:r>
        <w:rPr>
          <w:rFonts w:ascii="宋体" w:hAnsi="宋体" w:cs="宋体" w:eastAsia="宋体" w:hint="default"/>
          <w:spacing w:val="-4"/>
        </w:rPr>
        <w:t>2,353.1%</w:t>
      </w:r>
      <w:r>
        <w:rPr>
          <w:spacing w:val="-4"/>
        </w:rPr>
        <w:t>；累计用户数</w:t>
      </w:r>
      <w:r>
        <w:rPr>
          <w:spacing w:val="-45"/>
        </w:rPr>
        <w:t> </w:t>
      </w:r>
      <w:r>
        <w:rPr>
          <w:rFonts w:ascii="宋体" w:hAnsi="宋体" w:cs="宋体" w:eastAsia="宋体" w:hint="default"/>
        </w:rPr>
        <w:t>342,945</w:t>
      </w:r>
      <w:r>
        <w:rPr>
          <w:rFonts w:ascii="宋体" w:hAnsi="宋体" w:cs="宋体" w:eastAsia="宋体" w:hint="default"/>
          <w:spacing w:val="-46"/>
        </w:rPr>
        <w:t> </w:t>
      </w:r>
      <w:r>
        <w:rPr>
          <w:spacing w:val="-5"/>
        </w:rPr>
        <w:t>人，报告期内新增用户</w:t>
      </w:r>
      <w:r>
        <w:rPr>
          <w:spacing w:val="-45"/>
        </w:rPr>
        <w:t> </w:t>
      </w:r>
      <w:r>
        <w:rPr>
          <w:rFonts w:ascii="宋体" w:hAnsi="宋体" w:cs="宋体" w:eastAsia="宋体" w:hint="default"/>
        </w:rPr>
        <w:t>327,718</w:t>
      </w:r>
      <w:r>
        <w:rPr>
          <w:rFonts w:ascii="宋体" w:hAnsi="宋体" w:cs="宋体" w:eastAsia="宋体" w:hint="default"/>
          <w:spacing w:val="-102"/>
        </w:rPr>
        <w:t> </w:t>
      </w:r>
      <w:r>
        <w:rPr>
          <w:rFonts w:ascii="宋体" w:hAnsi="宋体" w:cs="宋体" w:eastAsia="宋体" w:hint="default"/>
          <w:spacing w:val="-102"/>
        </w:rPr>
      </w:r>
      <w:r>
        <w:rPr/>
        <w:t>人，比</w:t>
      </w:r>
      <w:r>
        <w:rPr>
          <w:spacing w:val="-54"/>
        </w:rPr>
        <w:t> </w:t>
      </w:r>
      <w:r>
        <w:rPr>
          <w:rFonts w:ascii="宋体" w:hAnsi="宋体" w:cs="宋体" w:eastAsia="宋体" w:hint="default"/>
        </w:rPr>
        <w:t>2014</w:t>
      </w:r>
      <w:r>
        <w:rPr>
          <w:rFonts w:ascii="宋体" w:hAnsi="宋体" w:cs="宋体" w:eastAsia="宋体" w:hint="default"/>
          <w:spacing w:val="-54"/>
        </w:rPr>
        <w:t> </w:t>
      </w:r>
      <w:r>
        <w:rPr/>
        <w:t>年年底增长</w:t>
      </w:r>
      <w:r>
        <w:rPr>
          <w:spacing w:val="-56"/>
        </w:rPr>
        <w:t> </w:t>
      </w:r>
      <w:r>
        <w:rPr>
          <w:rFonts w:ascii="宋体" w:hAnsi="宋体" w:cs="宋体" w:eastAsia="宋体" w:hint="default"/>
        </w:rPr>
        <w:t>2,152.2%</w:t>
      </w:r>
      <w:r>
        <w:rPr/>
        <w:t>。</w:t>
      </w:r>
    </w:p>
    <w:p>
      <w:pPr>
        <w:pStyle w:val="Heading2"/>
        <w:spacing w:line="240" w:lineRule="auto" w:before="135"/>
        <w:ind w:left="560" w:right="103"/>
        <w:jc w:val="left"/>
        <w:rPr>
          <w:b w:val="0"/>
          <w:bCs w:val="0"/>
        </w:rPr>
      </w:pPr>
      <w:r>
        <w:rPr>
          <w:rFonts w:ascii="宋体" w:hAnsi="宋体" w:cs="宋体" w:eastAsia="宋体" w:hint="default"/>
        </w:rPr>
        <w:t>4</w:t>
      </w:r>
      <w:r>
        <w:rPr/>
        <w:t>、软件、企业互联网和互联网金融业务融合发展情况</w:t>
      </w:r>
      <w:r>
        <w:rPr>
          <w:b w:val="0"/>
          <w:bCs w:val="0"/>
        </w:rPr>
      </w:r>
    </w:p>
    <w:p>
      <w:pPr>
        <w:spacing w:line="240" w:lineRule="auto" w:before="0"/>
        <w:rPr>
          <w:rFonts w:ascii="宋体" w:hAnsi="宋体" w:cs="宋体" w:eastAsia="宋体" w:hint="default"/>
          <w:b/>
          <w:bCs/>
          <w:sz w:val="14"/>
          <w:szCs w:val="14"/>
        </w:rPr>
      </w:pPr>
    </w:p>
    <w:p>
      <w:pPr>
        <w:pStyle w:val="BodyText"/>
        <w:spacing w:line="297" w:lineRule="auto"/>
        <w:ind w:right="101" w:firstLine="419"/>
        <w:jc w:val="left"/>
      </w:pPr>
      <w:r>
        <w:rPr>
          <w:spacing w:val="-9"/>
        </w:rPr>
        <w:t>（</w:t>
      </w:r>
      <w:r>
        <w:rPr>
          <w:rFonts w:ascii="宋体" w:hAnsi="宋体" w:cs="宋体" w:eastAsia="宋体" w:hint="default"/>
          <w:spacing w:val="-9"/>
        </w:rPr>
        <w:t>1</w:t>
      </w:r>
      <w:r>
        <w:rPr>
          <w:spacing w:val="-9"/>
        </w:rPr>
        <w:t>）报告期内，在软件与企业互联网服务融合方面，公司实现了电商通云服务、企航云平台、</w:t>
      </w:r>
      <w:r>
        <w:rPr>
          <w:w w:val="100"/>
        </w:rPr>
        <w:t> </w:t>
      </w:r>
      <w:r>
        <w:rPr/>
        <w:t>恵商运营平台、</w:t>
      </w:r>
      <w:r>
        <w:rPr>
          <w:rFonts w:ascii="宋体" w:hAnsi="宋体" w:cs="宋体" w:eastAsia="宋体" w:hint="default"/>
        </w:rPr>
        <w:t>uapim </w:t>
      </w:r>
      <w:r>
        <w:rPr/>
        <w:t>云的集成方案；规划和完成了 </w:t>
      </w:r>
      <w:r>
        <w:rPr>
          <w:rFonts w:ascii="宋体" w:hAnsi="宋体" w:cs="宋体" w:eastAsia="宋体" w:hint="default"/>
        </w:rPr>
        <w:t>NC</w:t>
      </w:r>
      <w:r>
        <w:rPr>
          <w:rFonts w:ascii="宋体" w:hAnsi="宋体" w:cs="宋体" w:eastAsia="宋体" w:hint="default"/>
          <w:spacing w:val="-56"/>
        </w:rPr>
        <w:t> </w:t>
      </w:r>
      <w:r>
        <w:rPr/>
        <w:t>私有云与用友通讯嘟嘟、惠商云平台、</w:t>
      </w:r>
      <w:r>
        <w:rPr>
          <w:w w:val="100"/>
        </w:rPr>
        <w:t> </w:t>
      </w:r>
      <w:r>
        <w:rPr>
          <w:spacing w:val="-5"/>
        </w:rPr>
        <w:t>畅捷支付、友金所工资</w:t>
      </w:r>
      <w:r>
        <w:rPr>
          <w:rFonts w:ascii="宋体" w:hAnsi="宋体" w:cs="宋体" w:eastAsia="宋体" w:hint="default"/>
          <w:spacing w:val="-5"/>
        </w:rPr>
        <w:t>+</w:t>
      </w:r>
      <w:r>
        <w:rPr>
          <w:spacing w:val="-5"/>
        </w:rPr>
        <w:t>、友联云、友信等公有云的端化链接；畅捷通公司</w:t>
      </w:r>
      <w:r>
        <w:rPr>
          <w:spacing w:val="-35"/>
        </w:rPr>
        <w:t> </w:t>
      </w:r>
      <w:r>
        <w:rPr>
          <w:rFonts w:ascii="宋体" w:hAnsi="宋体" w:cs="宋体" w:eastAsia="宋体" w:hint="default"/>
        </w:rPr>
        <w:t>T</w:t>
      </w:r>
      <w:r>
        <w:rPr>
          <w:rFonts w:ascii="宋体" w:hAnsi="宋体" w:cs="宋体" w:eastAsia="宋体" w:hint="default"/>
          <w:position w:val="11"/>
          <w:sz w:val="11"/>
          <w:szCs w:val="11"/>
        </w:rPr>
        <w:t>+</w:t>
      </w:r>
      <w:r>
        <w:rPr/>
        <w:t>产品实现集成第三方</w:t>
      </w:r>
      <w:r>
        <w:rPr>
          <w:spacing w:val="-62"/>
        </w:rPr>
        <w:t> </w:t>
      </w:r>
      <w:r>
        <w:rPr>
          <w:spacing w:val="-62"/>
        </w:rPr>
      </w:r>
      <w:r>
        <w:rPr/>
        <w:t>多方通话的移动通讯能力，集成云应用的工作圈和会计家园，集成企业在线支付功能；用友医疗</w:t>
      </w:r>
      <w:r>
        <w:rPr>
          <w:w w:val="100"/>
        </w:rPr>
        <w:t> </w:t>
      </w:r>
      <w:r>
        <w:rPr>
          <w:spacing w:val="-4"/>
          <w:w w:val="100"/>
        </w:rPr>
        <w:t>公司通过交易平台集成嘟嘟产品功能及畅捷支付功能；用友通信公司的嘟嘟平台完成与用友网络、</w:t>
      </w:r>
      <w:r>
        <w:rPr>
          <w:spacing w:val="-85"/>
          <w:w w:val="100"/>
        </w:rPr>
        <w:t> </w:t>
      </w:r>
      <w:r>
        <w:rPr>
          <w:spacing w:val="-85"/>
          <w:w w:val="100"/>
        </w:rPr>
      </w:r>
      <w:r>
        <w:rPr/>
        <w:t>畅捷通公司、用友优普公司、用友超客公司、用友医疗公司的产品对接。</w:t>
      </w:r>
    </w:p>
    <w:p>
      <w:pPr>
        <w:pStyle w:val="BodyText"/>
        <w:spacing w:line="297" w:lineRule="auto" w:before="135"/>
        <w:ind w:right="207" w:firstLine="419"/>
        <w:jc w:val="both"/>
      </w:pPr>
      <w:r>
        <w:rPr/>
        <w:t>（</w:t>
      </w:r>
      <w:r>
        <w:rPr>
          <w:rFonts w:ascii="宋体" w:hAnsi="宋体" w:cs="宋体" w:eastAsia="宋体" w:hint="default"/>
        </w:rPr>
        <w:t>2</w:t>
      </w:r>
      <w:r>
        <w:rPr/>
        <w:t>）报告期内，在软件与互联网金融融合方面，公司完成了软件端与支付业务和 </w:t>
      </w:r>
      <w:r>
        <w:rPr>
          <w:rFonts w:ascii="宋体" w:hAnsi="宋体" w:cs="宋体" w:eastAsia="宋体" w:hint="default"/>
        </w:rPr>
        <w:t>P2P</w:t>
      </w:r>
      <w:r>
        <w:rPr>
          <w:rFonts w:ascii="宋体" w:hAnsi="宋体" w:cs="宋体" w:eastAsia="宋体" w:hint="default"/>
          <w:spacing w:val="-6"/>
        </w:rPr>
        <w:t> </w:t>
      </w:r>
      <w:r>
        <w:rPr/>
        <w:t>等金</w:t>
      </w:r>
      <w:r>
        <w:rPr>
          <w:w w:val="100"/>
        </w:rPr>
        <w:t> </w:t>
      </w:r>
      <w:r>
        <w:rPr>
          <w:spacing w:val="-4"/>
        </w:rPr>
        <w:t>融业务的融合规划和功能对接；推出了畅捷网银、资金托管平台及企业资金归集解决方案</w:t>
      </w:r>
      <w:r>
        <w:rPr>
          <w:rFonts w:ascii="宋体" w:hAnsi="宋体" w:cs="宋体" w:eastAsia="宋体" w:hint="default"/>
          <w:spacing w:val="-4"/>
        </w:rPr>
        <w:t>,</w:t>
      </w:r>
      <w:r>
        <w:rPr>
          <w:spacing w:val="-4"/>
        </w:rPr>
        <w:t>全面实</w:t>
      </w:r>
      <w:r>
        <w:rPr>
          <w:spacing w:val="-37"/>
        </w:rPr>
        <w:t> </w:t>
      </w:r>
      <w:r>
        <w:rPr/>
        <w:t>现与现有软件产品</w:t>
      </w:r>
      <w:r>
        <w:rPr>
          <w:spacing w:val="25"/>
        </w:rPr>
        <w:t> </w:t>
      </w:r>
      <w:r>
        <w:rPr>
          <w:rFonts w:ascii="宋体" w:hAnsi="宋体" w:cs="宋体" w:eastAsia="宋体" w:hint="default"/>
          <w:spacing w:val="-20"/>
        </w:rPr>
        <w:t>NC</w:t>
      </w:r>
      <w:r>
        <w:rPr>
          <w:spacing w:val="-20"/>
        </w:rPr>
        <w:t>、</w:t>
      </w:r>
      <w:r>
        <w:rPr>
          <w:rFonts w:ascii="宋体" w:hAnsi="宋体" w:cs="宋体" w:eastAsia="宋体" w:hint="default"/>
          <w:spacing w:val="-20"/>
        </w:rPr>
        <w:t>U8</w:t>
      </w:r>
      <w:r>
        <w:rPr>
          <w:spacing w:val="-20"/>
        </w:rPr>
        <w:t>、</w:t>
      </w:r>
      <w:r>
        <w:rPr>
          <w:rFonts w:ascii="宋体" w:hAnsi="宋体" w:cs="宋体" w:eastAsia="宋体" w:hint="default"/>
          <w:spacing w:val="-20"/>
        </w:rPr>
        <w:t>U9</w:t>
      </w:r>
      <w:r>
        <w:rPr>
          <w:rFonts w:ascii="宋体" w:hAnsi="宋体" w:cs="宋体" w:eastAsia="宋体" w:hint="default"/>
          <w:spacing w:val="23"/>
        </w:rPr>
        <w:t> </w:t>
      </w:r>
      <w:r>
        <w:rPr>
          <w:spacing w:val="-7"/>
        </w:rPr>
        <w:t>的无缝连接，形成新版软件</w:t>
      </w:r>
      <w:r>
        <w:rPr>
          <w:rFonts w:ascii="宋体" w:hAnsi="宋体" w:cs="宋体" w:eastAsia="宋体" w:hint="default"/>
          <w:spacing w:val="-7"/>
        </w:rPr>
        <w:t>+</w:t>
      </w:r>
      <w:r>
        <w:rPr>
          <w:spacing w:val="-7"/>
        </w:rPr>
        <w:t>支付业务解决方案，为客户提供高效、</w:t>
      </w:r>
      <w:r>
        <w:rPr>
          <w:spacing w:val="-99"/>
        </w:rPr>
        <w:t> </w:t>
      </w:r>
      <w:r>
        <w:rPr>
          <w:spacing w:val="-99"/>
        </w:rPr>
      </w:r>
      <w:r>
        <w:rPr>
          <w:spacing w:val="-3"/>
        </w:rPr>
        <w:t>集成的支付服务；</w:t>
      </w:r>
      <w:r>
        <w:rPr>
          <w:rFonts w:ascii="宋体" w:hAnsi="宋体" w:cs="宋体" w:eastAsia="宋体" w:hint="default"/>
          <w:spacing w:val="-3"/>
        </w:rPr>
        <w:t>NC-HR</w:t>
      </w:r>
      <w:r>
        <w:rPr>
          <w:rFonts w:ascii="宋体" w:hAnsi="宋体" w:cs="宋体" w:eastAsia="宋体" w:hint="default"/>
          <w:spacing w:val="55"/>
        </w:rPr>
        <w:t> </w:t>
      </w:r>
      <w:r>
        <w:rPr>
          <w:spacing w:val="-4"/>
        </w:rPr>
        <w:t>系统与友金所合作，推出企业员工专享薪金理财的“工资</w:t>
      </w:r>
      <w:r>
        <w:rPr>
          <w:rFonts w:ascii="宋体" w:hAnsi="宋体" w:cs="宋体" w:eastAsia="宋体" w:hint="default"/>
          <w:spacing w:val="-4"/>
        </w:rPr>
        <w:t>+</w:t>
      </w:r>
      <w:r>
        <w:rPr>
          <w:spacing w:val="-4"/>
        </w:rPr>
        <w:t>”，为企业员</w:t>
      </w:r>
      <w:r>
        <w:rPr>
          <w:spacing w:val="-94"/>
        </w:rPr>
        <w:t> </w:t>
      </w:r>
      <w:r>
        <w:rPr>
          <w:spacing w:val="-94"/>
        </w:rPr>
      </w:r>
      <w:r>
        <w:rPr/>
        <w:t>工提供基于移动互联网的安全、便捷、可信的创新理财服务。</w:t>
      </w:r>
    </w:p>
    <w:p>
      <w:pPr>
        <w:pStyle w:val="Heading2"/>
        <w:spacing w:line="240" w:lineRule="auto" w:before="135"/>
        <w:ind w:left="560" w:right="103"/>
        <w:jc w:val="left"/>
        <w:rPr>
          <w:b w:val="0"/>
          <w:bCs w:val="0"/>
        </w:rPr>
      </w:pPr>
      <w:r>
        <w:rPr>
          <w:rFonts w:ascii="宋体" w:hAnsi="宋体" w:cs="宋体" w:eastAsia="宋体" w:hint="default"/>
        </w:rPr>
        <w:t>5</w:t>
      </w:r>
      <w:r>
        <w:rPr/>
        <w:t>、品牌</w:t>
      </w:r>
      <w:r>
        <w:rPr>
          <w:b w:val="0"/>
          <w:bCs w:val="0"/>
        </w:rPr>
      </w:r>
    </w:p>
    <w:p>
      <w:pPr>
        <w:spacing w:line="240" w:lineRule="auto" w:before="3"/>
        <w:rPr>
          <w:rFonts w:ascii="宋体" w:hAnsi="宋体" w:cs="宋体" w:eastAsia="宋体" w:hint="default"/>
          <w:b/>
          <w:bCs/>
          <w:sz w:val="14"/>
          <w:szCs w:val="14"/>
        </w:rPr>
      </w:pPr>
    </w:p>
    <w:p>
      <w:pPr>
        <w:pStyle w:val="BodyText"/>
        <w:spacing w:line="297" w:lineRule="auto"/>
        <w:ind w:right="207" w:firstLine="419"/>
        <w:jc w:val="both"/>
      </w:pPr>
      <w:r>
        <w:rPr/>
        <w:t>报告期内，公司举办了首届“中国企业互联网大会暨</w:t>
      </w:r>
      <w:r>
        <w:rPr>
          <w:spacing w:val="-32"/>
        </w:rPr>
        <w:t> </w:t>
      </w:r>
      <w:r>
        <w:rPr>
          <w:rFonts w:ascii="宋体" w:hAnsi="宋体" w:cs="宋体" w:eastAsia="宋体" w:hint="default"/>
        </w:rPr>
        <w:t>2015</w:t>
      </w:r>
      <w:r>
        <w:rPr>
          <w:rFonts w:ascii="宋体" w:hAnsi="宋体" w:cs="宋体" w:eastAsia="宋体" w:hint="default"/>
          <w:spacing w:val="-32"/>
        </w:rPr>
        <w:t> </w:t>
      </w:r>
      <w:r>
        <w:rPr/>
        <w:t>用友伙伴大会”，共计超过</w:t>
      </w:r>
      <w:r>
        <w:rPr>
          <w:spacing w:val="-35"/>
        </w:rPr>
        <w:t> </w:t>
      </w:r>
      <w:r>
        <w:rPr>
          <w:rFonts w:ascii="宋体" w:hAnsi="宋体" w:cs="宋体" w:eastAsia="宋体" w:hint="default"/>
        </w:rPr>
        <w:t>1000</w:t>
      </w:r>
      <w:r>
        <w:rPr>
          <w:rFonts w:ascii="宋体" w:hAnsi="宋体" w:cs="宋体" w:eastAsia="宋体" w:hint="default"/>
          <w:w w:val="100"/>
        </w:rPr>
        <w:t> </w:t>
      </w:r>
      <w:r>
        <w:rPr>
          <w:spacing w:val="-1"/>
        </w:rPr>
        <w:t>家行业伙伴和新型伙伴参加，是公司自成立以来影响力最大的一届伙伴大会。报告期内，公司还</w:t>
      </w:r>
      <w:r>
        <w:rPr>
          <w:spacing w:val="-55"/>
        </w:rPr>
        <w:t> </w:t>
      </w:r>
      <w:r>
        <w:rPr>
          <w:spacing w:val="-55"/>
        </w:rPr>
      </w:r>
      <w:r>
        <w:rPr/>
        <w:t>与湖南省经济和信息化委员会联合举办了“2015</w:t>
      </w:r>
      <w:r>
        <w:rPr>
          <w:spacing w:val="-49"/>
        </w:rPr>
        <w:t> </w:t>
      </w:r>
      <w:r>
        <w:rPr>
          <w:spacing w:val="-5"/>
        </w:rPr>
        <w:t>企业互联网</w:t>
      </w:r>
      <w:r>
        <w:rPr>
          <w:rFonts w:ascii="宋体" w:hAnsi="宋体" w:cs="宋体" w:eastAsia="宋体" w:hint="default"/>
          <w:spacing w:val="-5"/>
        </w:rPr>
        <w:t>+</w:t>
      </w:r>
      <w:r>
        <w:rPr>
          <w:spacing w:val="-5"/>
        </w:rPr>
        <w:t>行动大会”，有近</w:t>
      </w:r>
      <w:r>
        <w:rPr>
          <w:spacing w:val="-45"/>
        </w:rPr>
        <w:t> </w:t>
      </w:r>
      <w:r>
        <w:rPr>
          <w:rFonts w:ascii="宋体" w:hAnsi="宋体" w:cs="宋体" w:eastAsia="宋体" w:hint="default"/>
        </w:rPr>
        <w:t>1000</w:t>
      </w:r>
      <w:r>
        <w:rPr>
          <w:rFonts w:ascii="宋体" w:hAnsi="宋体" w:cs="宋体" w:eastAsia="宋体" w:hint="default"/>
          <w:spacing w:val="-46"/>
        </w:rPr>
        <w:t> </w:t>
      </w:r>
      <w:r>
        <w:rPr/>
        <w:t>位大型企业</w:t>
      </w:r>
      <w:r>
        <w:rPr>
          <w:spacing w:val="-103"/>
        </w:rPr>
        <w:t> </w:t>
      </w:r>
      <w:r>
        <w:rPr>
          <w:spacing w:val="-103"/>
        </w:rPr>
      </w:r>
      <w:r>
        <w:rPr/>
        <w:t>的企业家、高管、</w:t>
      </w:r>
      <w:r>
        <w:rPr>
          <w:rFonts w:ascii="宋体" w:hAnsi="宋体" w:cs="宋体" w:eastAsia="宋体" w:hint="default"/>
        </w:rPr>
        <w:t>CIO</w:t>
      </w:r>
      <w:r>
        <w:rPr>
          <w:rFonts w:ascii="宋体" w:hAnsi="宋体" w:cs="宋体" w:eastAsia="宋体" w:hint="default"/>
          <w:spacing w:val="-53"/>
        </w:rPr>
        <w:t> </w:t>
      </w:r>
      <w:r>
        <w:rPr/>
        <w:t>和专家学者参与。</w:t>
      </w:r>
    </w:p>
    <w:p>
      <w:pPr>
        <w:pStyle w:val="BodyText"/>
        <w:spacing w:line="297" w:lineRule="auto" w:before="135"/>
        <w:ind w:right="101" w:firstLine="419"/>
        <w:jc w:val="left"/>
      </w:pPr>
      <w:r>
        <w:rPr>
          <w:spacing w:val="-14"/>
          <w:w w:val="100"/>
        </w:rPr>
        <w:t>报告期内，公司与</w:t>
      </w:r>
      <w:r>
        <w:rPr>
          <w:spacing w:val="-44"/>
          <w:w w:val="100"/>
        </w:rPr>
        <w:t> </w:t>
      </w:r>
      <w:r>
        <w:rPr>
          <w:rFonts w:ascii="宋体" w:hAnsi="宋体" w:cs="宋体" w:eastAsia="宋体" w:hint="default"/>
          <w:spacing w:val="-2"/>
          <w:w w:val="100"/>
        </w:rPr>
        <w:t>20</w:t>
      </w:r>
      <w:r>
        <w:rPr>
          <w:rFonts w:ascii="宋体" w:hAnsi="宋体" w:cs="宋体" w:eastAsia="宋体" w:hint="default"/>
          <w:spacing w:val="-45"/>
          <w:w w:val="100"/>
        </w:rPr>
        <w:t> </w:t>
      </w:r>
      <w:r>
        <w:rPr>
          <w:spacing w:val="-5"/>
          <w:w w:val="100"/>
        </w:rPr>
        <w:t>多家企业、协会和科研机构联合发起成立了中国企业互联网化推进联盟；</w:t>
      </w:r>
      <w:r>
        <w:rPr>
          <w:w w:val="100"/>
        </w:rPr>
        <w:t> </w:t>
      </w:r>
      <w:r>
        <w:rPr/>
        <w:t>公司被推举为中国产业互联网发展联盟执行理事长单位；公司还与工信部电子一所、中国两化融</w:t>
      </w:r>
      <w:r>
        <w:rPr>
          <w:w w:val="100"/>
        </w:rPr>
        <w:t> </w:t>
      </w:r>
      <w:r>
        <w:rPr/>
        <w:t>合服务联盟对</w:t>
      </w:r>
      <w:r>
        <w:rPr>
          <w:spacing w:val="-54"/>
        </w:rPr>
        <w:t> </w:t>
      </w:r>
      <w:r>
        <w:rPr>
          <w:rFonts w:ascii="宋体" w:hAnsi="宋体" w:cs="宋体" w:eastAsia="宋体" w:hint="default"/>
        </w:rPr>
        <w:t>12</w:t>
      </w:r>
      <w:r>
        <w:rPr>
          <w:rFonts w:ascii="宋体" w:hAnsi="宋体" w:cs="宋体" w:eastAsia="宋体" w:hint="default"/>
          <w:spacing w:val="-54"/>
        </w:rPr>
        <w:t> </w:t>
      </w:r>
      <w:r>
        <w:rPr/>
        <w:t>个行业</w:t>
      </w:r>
      <w:r>
        <w:rPr>
          <w:spacing w:val="-56"/>
        </w:rPr>
        <w:t> </w:t>
      </w:r>
      <w:r>
        <w:rPr>
          <w:rFonts w:ascii="宋体" w:hAnsi="宋体" w:cs="宋体" w:eastAsia="宋体" w:hint="default"/>
        </w:rPr>
        <w:t>30,000</w:t>
      </w:r>
      <w:r>
        <w:rPr>
          <w:rFonts w:ascii="宋体" w:hAnsi="宋体" w:cs="宋体" w:eastAsia="宋体" w:hint="default"/>
          <w:spacing w:val="-56"/>
        </w:rPr>
        <w:t> </w:t>
      </w:r>
      <w:r>
        <w:rPr/>
        <w:t>家企业展开“企业互联网化”深度调研。报告期内，公司出版了</w:t>
      </w:r>
    </w:p>
    <w:p>
      <w:pPr>
        <w:pStyle w:val="BodyText"/>
        <w:spacing w:line="295" w:lineRule="auto" w:before="15"/>
        <w:ind w:right="103"/>
        <w:jc w:val="left"/>
      </w:pPr>
      <w:r>
        <w:rPr>
          <w:spacing w:val="-6"/>
        </w:rPr>
        <w:t>《企业互联网</w:t>
      </w:r>
      <w:r>
        <w:rPr>
          <w:rFonts w:ascii="宋体" w:hAnsi="宋体" w:cs="宋体" w:eastAsia="宋体" w:hint="default"/>
          <w:spacing w:val="-6"/>
        </w:rPr>
        <w:t>+</w:t>
      </w:r>
      <w:r>
        <w:rPr>
          <w:spacing w:val="-6"/>
        </w:rPr>
        <w:t>》白皮书、《飞轮效应——数据驱动的企业》畅销图书以及《企业互联网 </w:t>
      </w:r>
      <w:r>
        <w:rPr>
          <w:rFonts w:ascii="宋体" w:hAnsi="宋体" w:cs="宋体" w:eastAsia="宋体" w:hint="default"/>
        </w:rPr>
        <w:t>TOP100</w:t>
      </w:r>
      <w:r>
        <w:rPr/>
        <w:t>》</w:t>
      </w:r>
      <w:r>
        <w:rPr>
          <w:spacing w:val="-74"/>
        </w:rPr>
        <w:t> </w:t>
      </w:r>
      <w:r>
        <w:rPr/>
        <w:t>企业案例。</w:t>
      </w:r>
    </w:p>
    <w:p>
      <w:pPr>
        <w:pStyle w:val="BodyText"/>
        <w:spacing w:line="297" w:lineRule="auto" w:before="137"/>
        <w:ind w:right="208" w:firstLine="419"/>
        <w:jc w:val="both"/>
      </w:pPr>
      <w:r>
        <w:rPr>
          <w:spacing w:val="-7"/>
        </w:rPr>
        <w:t>报告期内，公司与阿里巴巴签署全面战略合作协议，对接双方生态资源，开启在云计算服务、</w:t>
      </w:r>
      <w:r>
        <w:rPr>
          <w:w w:val="100"/>
        </w:rPr>
        <w:t> </w:t>
      </w:r>
      <w:r>
        <w:rPr>
          <w:spacing w:val="-2"/>
        </w:rPr>
        <w:t>电子商务、大数据、数字营销等领域的全面、紧密合作，共同创新服务万亿规模的企业互联网市</w:t>
      </w:r>
      <w:r>
        <w:rPr>
          <w:spacing w:val="-25"/>
        </w:rPr>
        <w:t> </w:t>
      </w:r>
      <w:r>
        <w:rPr>
          <w:spacing w:val="-25"/>
        </w:rPr>
      </w:r>
      <w:r>
        <w:rPr/>
        <w:t>场，承办</w:t>
      </w:r>
      <w:r>
        <w:rPr>
          <w:spacing w:val="-55"/>
        </w:rPr>
        <w:t> </w:t>
      </w:r>
      <w:r>
        <w:rPr>
          <w:rFonts w:ascii="宋体" w:hAnsi="宋体" w:cs="宋体" w:eastAsia="宋体" w:hint="default"/>
        </w:rPr>
        <w:t>2015</w:t>
      </w:r>
      <w:r>
        <w:rPr>
          <w:rFonts w:ascii="宋体" w:hAnsi="宋体" w:cs="宋体" w:eastAsia="宋体" w:hint="default"/>
          <w:spacing w:val="-57"/>
        </w:rPr>
        <w:t> </w:t>
      </w:r>
      <w:r>
        <w:rPr/>
        <w:t>年云栖大会之企业互联网分会场。</w:t>
      </w:r>
    </w:p>
    <w:p>
      <w:pPr>
        <w:pStyle w:val="BodyText"/>
        <w:spacing w:line="297" w:lineRule="auto" w:before="135"/>
        <w:ind w:right="208" w:firstLine="419"/>
        <w:jc w:val="both"/>
      </w:pPr>
      <w:r>
        <w:rPr>
          <w:spacing w:val="-9"/>
        </w:rPr>
        <w:t>报告期内，公司还推进与华为、腾讯等其他 </w:t>
      </w:r>
      <w:r>
        <w:rPr>
          <w:rFonts w:ascii="宋体" w:hAnsi="宋体" w:cs="宋体" w:eastAsia="宋体" w:hint="default"/>
        </w:rPr>
        <w:t>ICT</w:t>
      </w:r>
      <w:r>
        <w:rPr>
          <w:rFonts w:ascii="宋体" w:hAnsi="宋体" w:cs="宋体" w:eastAsia="宋体" w:hint="default"/>
          <w:spacing w:val="-43"/>
        </w:rPr>
        <w:t> </w:t>
      </w:r>
      <w:r>
        <w:rPr>
          <w:spacing w:val="-5"/>
        </w:rPr>
        <w:t>企业的战略合作；与国家超级计算天津中心、</w:t>
      </w:r>
      <w:r>
        <w:rPr>
          <w:w w:val="100"/>
        </w:rPr>
        <w:t> </w:t>
      </w:r>
      <w:r>
        <w:rPr>
          <w:spacing w:val="-4"/>
        </w:rPr>
        <w:t>中煤建工集团有限公司、湖南湘村电子商务有限公司等超过</w:t>
      </w:r>
      <w:r>
        <w:rPr>
          <w:spacing w:val="-23"/>
        </w:rPr>
        <w:t> </w:t>
      </w:r>
      <w:r>
        <w:rPr>
          <w:rFonts w:ascii="宋体" w:hAnsi="宋体" w:cs="宋体" w:eastAsia="宋体" w:hint="default"/>
        </w:rPr>
        <w:t>10</w:t>
      </w:r>
      <w:r>
        <w:rPr>
          <w:rFonts w:ascii="宋体" w:hAnsi="宋体" w:cs="宋体" w:eastAsia="宋体" w:hint="default"/>
          <w:spacing w:val="-23"/>
        </w:rPr>
        <w:t> </w:t>
      </w:r>
      <w:r>
        <w:rPr>
          <w:spacing w:val="-5"/>
        </w:rPr>
        <w:t>家企业签署战略合作协议，以全面</w:t>
      </w:r>
      <w:r>
        <w:rPr>
          <w:spacing w:val="-92"/>
        </w:rPr>
        <w:t> </w:t>
      </w:r>
      <w:r>
        <w:rPr>
          <w:spacing w:val="-92"/>
        </w:rPr>
      </w:r>
      <w:r>
        <w:rPr/>
        <w:t>推动企业信息化转型升级。</w:t>
      </w:r>
    </w:p>
    <w:p>
      <w:pPr>
        <w:pStyle w:val="BodyText"/>
        <w:spacing w:line="297" w:lineRule="auto" w:before="135"/>
        <w:ind w:right="207" w:firstLine="419"/>
        <w:jc w:val="both"/>
      </w:pPr>
      <w:r>
        <w:rPr>
          <w:spacing w:val="-3"/>
        </w:rPr>
        <w:t>报告期内，公司获得中国产业互联网联盟、计世传媒等多家机构联合授予的“2015</w:t>
      </w:r>
      <w:r>
        <w:rPr>
          <w:spacing w:val="-9"/>
        </w:rPr>
        <w:t> </w:t>
      </w:r>
      <w:r>
        <w:rPr/>
        <w:t>中国产业</w:t>
      </w:r>
      <w:r>
        <w:rPr>
          <w:w w:val="100"/>
        </w:rPr>
        <w:t> </w:t>
      </w:r>
      <w:r>
        <w:rPr>
          <w:spacing w:val="-8"/>
          <w:w w:val="100"/>
        </w:rPr>
        <w:t>互联网领军企业奖”。</w:t>
      </w:r>
      <w:r>
        <w:rPr>
          <w:rFonts w:ascii="宋体" w:hAnsi="宋体" w:cs="宋体" w:eastAsia="宋体" w:hint="default"/>
          <w:spacing w:val="-8"/>
          <w:w w:val="100"/>
        </w:rPr>
        <w:t>iUAP</w:t>
      </w:r>
      <w:r>
        <w:rPr>
          <w:rFonts w:ascii="宋体" w:hAnsi="宋体" w:cs="宋体" w:eastAsia="宋体" w:hint="default"/>
          <w:spacing w:val="-44"/>
          <w:w w:val="100"/>
        </w:rPr>
        <w:t> </w:t>
      </w:r>
      <w:r>
        <w:rPr>
          <w:spacing w:val="-2"/>
          <w:w w:val="100"/>
        </w:rPr>
        <w:t>获得了中国电子信息产业发展研究院授予的“2015</w:t>
      </w:r>
      <w:r>
        <w:rPr>
          <w:spacing w:val="-42"/>
          <w:w w:val="100"/>
        </w:rPr>
        <w:t> </w:t>
      </w:r>
      <w:r>
        <w:rPr>
          <w:spacing w:val="-2"/>
          <w:w w:val="100"/>
        </w:rPr>
        <w:t>年度企业互联网开</w:t>
      </w:r>
      <w:r>
        <w:rPr>
          <w:spacing w:val="-102"/>
          <w:w w:val="100"/>
        </w:rPr>
        <w:t> </w:t>
      </w:r>
      <w:r>
        <w:rPr>
          <w:spacing w:val="-102"/>
          <w:w w:val="100"/>
        </w:rPr>
      </w:r>
      <w:r>
        <w:rPr>
          <w:spacing w:val="-3"/>
        </w:rPr>
        <w:t>放平台最佳产品奖”。在第十九届中国国际软件博览会上，公司获“2015 </w:t>
      </w:r>
      <w:r>
        <w:rPr/>
        <w:t>年度中国软件行业企业</w:t>
      </w:r>
      <w:r>
        <w:rPr>
          <w:spacing w:val="-100"/>
        </w:rPr>
        <w:t> </w:t>
      </w:r>
      <w:r>
        <w:rPr>
          <w:spacing w:val="-100"/>
        </w:rPr>
      </w:r>
      <w:r>
        <w:rPr>
          <w:spacing w:val="-10"/>
        </w:rPr>
        <w:t>互联网服务领军企业”。在“</w:t>
      </w:r>
      <w:r>
        <w:rPr>
          <w:rFonts w:ascii="宋体" w:hAnsi="宋体" w:cs="宋体" w:eastAsia="宋体" w:hint="default"/>
          <w:spacing w:val="-10"/>
        </w:rPr>
        <w:t>2015</w:t>
      </w:r>
      <w:r>
        <w:rPr>
          <w:rFonts w:ascii="宋体" w:hAnsi="宋体" w:cs="宋体" w:eastAsia="宋体" w:hint="default"/>
          <w:spacing w:val="-46"/>
        </w:rPr>
        <w:t> </w:t>
      </w:r>
      <w:r>
        <w:rPr/>
        <w:t>中国</w:t>
      </w:r>
      <w:r>
        <w:rPr>
          <w:spacing w:val="-46"/>
        </w:rPr>
        <w:t> </w:t>
      </w:r>
      <w:r>
        <w:rPr>
          <w:rFonts w:ascii="宋体" w:hAnsi="宋体" w:cs="宋体" w:eastAsia="宋体" w:hint="default"/>
        </w:rPr>
        <w:t>IT</w:t>
      </w:r>
      <w:r>
        <w:rPr>
          <w:rFonts w:ascii="宋体" w:hAnsi="宋体" w:cs="宋体" w:eastAsia="宋体" w:hint="default"/>
          <w:spacing w:val="-46"/>
        </w:rPr>
        <w:t> </w:t>
      </w:r>
      <w:r>
        <w:rPr>
          <w:spacing w:val="-17"/>
        </w:rPr>
        <w:t>服务年会”上，获“</w:t>
      </w:r>
      <w:r>
        <w:rPr>
          <w:rFonts w:ascii="宋体" w:hAnsi="宋体" w:cs="宋体" w:eastAsia="宋体" w:hint="default"/>
          <w:spacing w:val="-17"/>
        </w:rPr>
        <w:t>2015</w:t>
      </w:r>
      <w:r>
        <w:rPr>
          <w:rFonts w:ascii="宋体" w:hAnsi="宋体" w:cs="宋体" w:eastAsia="宋体" w:hint="default"/>
          <w:spacing w:val="-46"/>
        </w:rPr>
        <w:t> </w:t>
      </w:r>
      <w:r>
        <w:rPr/>
        <w:t>年</w:t>
      </w:r>
      <w:r>
        <w:rPr>
          <w:spacing w:val="13"/>
        </w:rPr>
        <w:t> </w:t>
      </w:r>
      <w:r>
        <w:rPr/>
        <w:t>中国</w:t>
      </w:r>
      <w:r>
        <w:rPr>
          <w:spacing w:val="-48"/>
        </w:rPr>
        <w:t> </w:t>
      </w:r>
      <w:r>
        <w:rPr>
          <w:rFonts w:ascii="宋体" w:hAnsi="宋体" w:cs="宋体" w:eastAsia="宋体" w:hint="default"/>
        </w:rPr>
        <w:t>IT</w:t>
      </w:r>
      <w:r>
        <w:rPr>
          <w:rFonts w:ascii="宋体" w:hAnsi="宋体" w:cs="宋体" w:eastAsia="宋体" w:hint="default"/>
          <w:spacing w:val="-48"/>
        </w:rPr>
        <w:t> </w:t>
      </w:r>
      <w:r>
        <w:rPr>
          <w:spacing w:val="-9"/>
        </w:rPr>
        <w:t>服务标杆企业奖”、</w:t>
      </w:r>
    </w:p>
    <w:p>
      <w:pPr>
        <w:spacing w:after="0" w:line="297" w:lineRule="auto"/>
        <w:jc w:val="both"/>
        <w:sectPr>
          <w:pgSz w:w="11910" w:h="16840"/>
          <w:pgMar w:header="880" w:footer="1335" w:top="1120" w:bottom="1520" w:left="1660" w:right="1060"/>
        </w:sectPr>
      </w:pPr>
    </w:p>
    <w:p>
      <w:pPr>
        <w:spacing w:line="240" w:lineRule="auto" w:before="4"/>
        <w:rPr>
          <w:rFonts w:ascii="宋体" w:hAnsi="宋体" w:cs="宋体" w:eastAsia="宋体" w:hint="default"/>
          <w:sz w:val="25"/>
          <w:szCs w:val="25"/>
        </w:rPr>
      </w:pPr>
    </w:p>
    <w:p>
      <w:pPr>
        <w:pStyle w:val="BodyText"/>
        <w:spacing w:line="297" w:lineRule="auto" w:before="36"/>
        <w:ind w:right="307"/>
        <w:jc w:val="both"/>
      </w:pPr>
      <w:r>
        <w:rPr/>
        <w:t>“</w:t>
      </w:r>
      <w:r>
        <w:rPr>
          <w:rFonts w:ascii="宋体" w:hAnsi="宋体" w:cs="宋体" w:eastAsia="宋体" w:hint="default"/>
        </w:rPr>
        <w:t>2015</w:t>
      </w:r>
      <w:r>
        <w:rPr>
          <w:rFonts w:ascii="宋体" w:hAnsi="宋体" w:cs="宋体" w:eastAsia="宋体" w:hint="default"/>
          <w:spacing w:val="-38"/>
        </w:rPr>
        <w:t> </w:t>
      </w:r>
      <w:r>
        <w:rPr>
          <w:spacing w:val="-5"/>
        </w:rPr>
        <w:t>年中国企业互联网应用服务最具影响力提供商奖”、“</w:t>
      </w:r>
      <w:r>
        <w:rPr>
          <w:rFonts w:ascii="宋体" w:hAnsi="宋体" w:cs="宋体" w:eastAsia="宋体" w:hint="default"/>
          <w:spacing w:val="-5"/>
        </w:rPr>
        <w:t>2015</w:t>
      </w:r>
      <w:r>
        <w:rPr>
          <w:rFonts w:ascii="宋体" w:hAnsi="宋体" w:cs="宋体" w:eastAsia="宋体" w:hint="default"/>
          <w:spacing w:val="-38"/>
        </w:rPr>
        <w:t> </w:t>
      </w:r>
      <w:r>
        <w:rPr/>
        <w:t>年中国企业互联网应用服务最</w:t>
      </w:r>
      <w:r>
        <w:rPr>
          <w:spacing w:val="-99"/>
        </w:rPr>
        <w:t> </w:t>
      </w:r>
      <w:r>
        <w:rPr>
          <w:spacing w:val="-99"/>
        </w:rPr>
      </w:r>
      <w:r>
        <w:rPr/>
        <w:t>佳解决方案奖”</w:t>
      </w:r>
      <w:r>
        <w:rPr>
          <w:spacing w:val="-8"/>
        </w:rPr>
        <w:t> </w:t>
      </w:r>
      <w:r>
        <w:rPr>
          <w:spacing w:val="-6"/>
        </w:rPr>
        <w:t>、“</w:t>
      </w:r>
      <w:r>
        <w:rPr>
          <w:rFonts w:ascii="宋体" w:hAnsi="宋体" w:cs="宋体" w:eastAsia="宋体" w:hint="default"/>
          <w:spacing w:val="-6"/>
        </w:rPr>
        <w:t>2015</w:t>
      </w:r>
      <w:r>
        <w:rPr>
          <w:rFonts w:ascii="宋体" w:hAnsi="宋体" w:cs="宋体" w:eastAsia="宋体" w:hint="default"/>
          <w:spacing w:val="-50"/>
        </w:rPr>
        <w:t> </w:t>
      </w:r>
      <w:r>
        <w:rPr>
          <w:spacing w:val="-4"/>
        </w:rPr>
        <w:t>年中国云服务杰出提供商奖”、“</w:t>
      </w:r>
      <w:r>
        <w:rPr>
          <w:rFonts w:ascii="宋体" w:hAnsi="宋体" w:cs="宋体" w:eastAsia="宋体" w:hint="default"/>
          <w:spacing w:val="-4"/>
        </w:rPr>
        <w:t>2015</w:t>
      </w:r>
      <w:r>
        <w:rPr>
          <w:rFonts w:ascii="宋体" w:hAnsi="宋体" w:cs="宋体" w:eastAsia="宋体" w:hint="default"/>
          <w:spacing w:val="-50"/>
        </w:rPr>
        <w:t> </w:t>
      </w:r>
      <w:r>
        <w:rPr/>
        <w:t>年中国集团企业</w:t>
      </w:r>
      <w:r>
        <w:rPr>
          <w:spacing w:val="-47"/>
        </w:rPr>
        <w:t> </w:t>
      </w:r>
      <w:r>
        <w:rPr>
          <w:rFonts w:ascii="宋体" w:hAnsi="宋体" w:cs="宋体" w:eastAsia="宋体" w:hint="default"/>
        </w:rPr>
        <w:t>IT</w:t>
      </w:r>
      <w:r>
        <w:rPr>
          <w:rFonts w:ascii="宋体" w:hAnsi="宋体" w:cs="宋体" w:eastAsia="宋体" w:hint="default"/>
          <w:spacing w:val="-48"/>
        </w:rPr>
        <w:t> </w:t>
      </w:r>
      <w:r>
        <w:rPr/>
        <w:t>服务最佳提</w:t>
      </w:r>
      <w:r>
        <w:rPr>
          <w:spacing w:val="-103"/>
        </w:rPr>
        <w:t> </w:t>
      </w:r>
      <w:r>
        <w:rPr>
          <w:spacing w:val="-103"/>
        </w:rPr>
      </w:r>
      <w:r>
        <w:rPr/>
        <w:t>供商奖”等多项大奖。</w:t>
      </w:r>
    </w:p>
    <w:p>
      <w:pPr>
        <w:pStyle w:val="BodyText"/>
        <w:spacing w:line="297" w:lineRule="auto" w:before="135"/>
        <w:ind w:right="99" w:firstLine="419"/>
        <w:jc w:val="left"/>
      </w:pPr>
      <w:r>
        <w:rPr/>
        <w:t>报告期内，公司在由赛迪顾问股份有限公司主办的“2015 中国 </w:t>
      </w:r>
      <w:r>
        <w:rPr>
          <w:rFonts w:ascii="宋体" w:hAnsi="宋体" w:cs="宋体" w:eastAsia="宋体" w:hint="default"/>
        </w:rPr>
        <w:t>IT</w:t>
      </w:r>
      <w:r>
        <w:rPr>
          <w:rFonts w:ascii="宋体" w:hAnsi="宋体" w:cs="宋体" w:eastAsia="宋体" w:hint="default"/>
          <w:spacing w:val="69"/>
        </w:rPr>
        <w:t> </w:t>
      </w:r>
      <w:r>
        <w:rPr/>
        <w:t>市场年会”上，获得了</w:t>
      </w:r>
      <w:r>
        <w:rPr>
          <w:spacing w:val="2"/>
          <w:w w:val="100"/>
        </w:rPr>
        <w:t> </w:t>
      </w:r>
      <w:r>
        <w:rPr>
          <w:spacing w:val="-1"/>
          <w:w w:val="100"/>
        </w:rPr>
        <w:t>“2014</w:t>
      </w:r>
      <w:r>
        <w:rPr>
          <w:rFonts w:ascii="宋体" w:hAnsi="宋体" w:cs="宋体" w:eastAsia="宋体" w:hint="default"/>
          <w:spacing w:val="-1"/>
          <w:w w:val="100"/>
        </w:rPr>
        <w:t>-2015</w:t>
      </w:r>
      <w:r>
        <w:rPr>
          <w:rFonts w:ascii="宋体" w:hAnsi="宋体" w:cs="宋体" w:eastAsia="宋体" w:hint="default"/>
          <w:spacing w:val="-76"/>
          <w:w w:val="100"/>
        </w:rPr>
        <w:t> </w:t>
      </w:r>
      <w:r>
        <w:rPr>
          <w:spacing w:val="-1"/>
          <w:w w:val="100"/>
        </w:rPr>
        <w:t>年中国</w:t>
      </w:r>
      <w:r>
        <w:rPr>
          <w:spacing w:val="-74"/>
          <w:w w:val="100"/>
        </w:rPr>
        <w:t> </w:t>
      </w:r>
      <w:r>
        <w:rPr>
          <w:rFonts w:ascii="宋体" w:hAnsi="宋体" w:cs="宋体" w:eastAsia="宋体" w:hint="default"/>
          <w:w w:val="100"/>
        </w:rPr>
        <w:t>IT</w:t>
      </w:r>
      <w:r>
        <w:rPr>
          <w:rFonts w:ascii="宋体" w:hAnsi="宋体" w:cs="宋体" w:eastAsia="宋体" w:hint="default"/>
          <w:spacing w:val="-73"/>
          <w:w w:val="100"/>
        </w:rPr>
        <w:t> </w:t>
      </w:r>
      <w:r>
        <w:rPr>
          <w:spacing w:val="-6"/>
          <w:w w:val="100"/>
        </w:rPr>
        <w:t>生态建设突出贡献企业”、“2014</w:t>
      </w:r>
      <w:r>
        <w:rPr>
          <w:rFonts w:ascii="宋体" w:hAnsi="宋体" w:cs="宋体" w:eastAsia="宋体" w:hint="default"/>
          <w:spacing w:val="-6"/>
          <w:w w:val="100"/>
        </w:rPr>
        <w:t>-2015</w:t>
      </w:r>
      <w:r>
        <w:rPr>
          <w:rFonts w:ascii="宋体" w:hAnsi="宋体" w:cs="宋体" w:eastAsia="宋体" w:hint="default"/>
          <w:spacing w:val="-74"/>
          <w:w w:val="100"/>
        </w:rPr>
        <w:t> </w:t>
      </w:r>
      <w:r>
        <w:rPr>
          <w:spacing w:val="-2"/>
          <w:w w:val="100"/>
        </w:rPr>
        <w:t>年战略性新兴产业创新典范企业”、</w:t>
      </w:r>
      <w:r>
        <w:rPr>
          <w:spacing w:val="-103"/>
          <w:w w:val="100"/>
        </w:rPr>
        <w:t> </w:t>
      </w:r>
      <w:r>
        <w:rPr>
          <w:spacing w:val="-103"/>
          <w:w w:val="100"/>
        </w:rPr>
      </w:r>
      <w:r>
        <w:rPr>
          <w:spacing w:val="-1"/>
          <w:w w:val="100"/>
        </w:rPr>
        <w:t>“2014</w:t>
      </w:r>
      <w:r>
        <w:rPr>
          <w:rFonts w:ascii="宋体" w:hAnsi="宋体" w:cs="宋体" w:eastAsia="宋体" w:hint="default"/>
          <w:spacing w:val="-1"/>
          <w:w w:val="100"/>
        </w:rPr>
        <w:t>-2015</w:t>
      </w:r>
      <w:r>
        <w:rPr>
          <w:rFonts w:ascii="宋体" w:hAnsi="宋体" w:cs="宋体" w:eastAsia="宋体" w:hint="default"/>
          <w:spacing w:val="-76"/>
          <w:w w:val="100"/>
        </w:rPr>
        <w:t> </w:t>
      </w:r>
      <w:r>
        <w:rPr>
          <w:spacing w:val="-1"/>
          <w:w w:val="100"/>
        </w:rPr>
        <w:t>年中国</w:t>
      </w:r>
      <w:r>
        <w:rPr>
          <w:spacing w:val="-74"/>
          <w:w w:val="100"/>
        </w:rPr>
        <w:t> </w:t>
      </w:r>
      <w:r>
        <w:rPr>
          <w:rFonts w:ascii="宋体" w:hAnsi="宋体" w:cs="宋体" w:eastAsia="宋体" w:hint="default"/>
          <w:w w:val="100"/>
        </w:rPr>
        <w:t>IT</w:t>
      </w:r>
      <w:r>
        <w:rPr>
          <w:rFonts w:ascii="宋体" w:hAnsi="宋体" w:cs="宋体" w:eastAsia="宋体" w:hint="default"/>
          <w:spacing w:val="-73"/>
          <w:w w:val="100"/>
        </w:rPr>
        <w:t> </w:t>
      </w:r>
      <w:r>
        <w:rPr>
          <w:spacing w:val="-6"/>
          <w:w w:val="100"/>
        </w:rPr>
        <w:t>自主创新突出贡献企业”、“2014</w:t>
      </w:r>
      <w:r>
        <w:rPr>
          <w:rFonts w:ascii="宋体" w:hAnsi="宋体" w:cs="宋体" w:eastAsia="宋体" w:hint="default"/>
          <w:spacing w:val="-6"/>
          <w:w w:val="100"/>
        </w:rPr>
        <w:t>-2015</w:t>
      </w:r>
      <w:r>
        <w:rPr>
          <w:rFonts w:ascii="宋体" w:hAnsi="宋体" w:cs="宋体" w:eastAsia="宋体" w:hint="default"/>
          <w:spacing w:val="-74"/>
          <w:w w:val="100"/>
        </w:rPr>
        <w:t> </w:t>
      </w:r>
      <w:r>
        <w:rPr>
          <w:spacing w:val="-2"/>
          <w:w w:val="100"/>
        </w:rPr>
        <w:t>中国管理软件市场年度成功企业”、</w:t>
      </w:r>
      <w:r>
        <w:rPr>
          <w:spacing w:val="-103"/>
          <w:w w:val="100"/>
        </w:rPr>
        <w:t> </w:t>
      </w:r>
      <w:r>
        <w:rPr>
          <w:spacing w:val="-103"/>
          <w:w w:val="100"/>
        </w:rPr>
      </w:r>
      <w:r>
        <w:rPr/>
        <w:t>“2014</w:t>
      </w:r>
      <w:r>
        <w:rPr>
          <w:rFonts w:ascii="宋体" w:hAnsi="宋体" w:cs="宋体" w:eastAsia="宋体" w:hint="default"/>
        </w:rPr>
        <w:t>-2015</w:t>
      </w:r>
      <w:r>
        <w:rPr>
          <w:rFonts w:ascii="宋体" w:hAnsi="宋体" w:cs="宋体" w:eastAsia="宋体" w:hint="default"/>
          <w:spacing w:val="-53"/>
        </w:rPr>
        <w:t> </w:t>
      </w:r>
      <w:r>
        <w:rPr/>
        <w:t>中国集团财务管理软件市场年度成功企业”、</w:t>
      </w:r>
      <w:r>
        <w:rPr>
          <w:spacing w:val="-3"/>
        </w:rPr>
        <w:t> </w:t>
      </w:r>
      <w:r>
        <w:rPr/>
        <w:t>“2014</w:t>
      </w:r>
      <w:r>
        <w:rPr>
          <w:rFonts w:ascii="宋体" w:hAnsi="宋体" w:cs="宋体" w:eastAsia="宋体" w:hint="default"/>
        </w:rPr>
        <w:t>-2015</w:t>
      </w:r>
      <w:r>
        <w:rPr>
          <w:rFonts w:ascii="宋体" w:hAnsi="宋体" w:cs="宋体" w:eastAsia="宋体" w:hint="default"/>
          <w:spacing w:val="-51"/>
        </w:rPr>
        <w:t> </w:t>
      </w:r>
      <w:r>
        <w:rPr/>
        <w:t>中国</w:t>
      </w:r>
      <w:r>
        <w:rPr>
          <w:spacing w:val="-51"/>
        </w:rPr>
        <w:t> </w:t>
      </w:r>
      <w:r>
        <w:rPr>
          <w:rFonts w:ascii="宋体" w:hAnsi="宋体" w:cs="宋体" w:eastAsia="宋体" w:hint="default"/>
        </w:rPr>
        <w:t>ERP</w:t>
      </w:r>
      <w:r>
        <w:rPr>
          <w:rFonts w:ascii="宋体" w:hAnsi="宋体" w:cs="宋体" w:eastAsia="宋体" w:hint="default"/>
          <w:spacing w:val="-51"/>
        </w:rPr>
        <w:t> </w:t>
      </w:r>
      <w:r>
        <w:rPr/>
        <w:t>软件市场年度</w:t>
      </w:r>
      <w:r>
        <w:rPr>
          <w:w w:val="100"/>
        </w:rPr>
        <w:t> </w:t>
      </w:r>
      <w:r>
        <w:rPr>
          <w:spacing w:val="-4"/>
        </w:rPr>
        <w:t>成功企业”、“2014</w:t>
      </w:r>
      <w:r>
        <w:rPr>
          <w:rFonts w:ascii="宋体" w:hAnsi="宋体" w:cs="宋体" w:eastAsia="宋体" w:hint="default"/>
          <w:spacing w:val="-4"/>
        </w:rPr>
        <w:t>-2015</w:t>
      </w:r>
      <w:r>
        <w:rPr>
          <w:rFonts w:ascii="宋体" w:hAnsi="宋体" w:cs="宋体" w:eastAsia="宋体" w:hint="default"/>
          <w:spacing w:val="-50"/>
        </w:rPr>
        <w:t> </w:t>
      </w:r>
      <w:r>
        <w:rPr/>
        <w:t>中国</w:t>
      </w:r>
      <w:r>
        <w:rPr>
          <w:spacing w:val="-48"/>
        </w:rPr>
        <w:t> </w:t>
      </w:r>
      <w:r>
        <w:rPr>
          <w:rFonts w:ascii="宋体" w:hAnsi="宋体" w:cs="宋体" w:eastAsia="宋体" w:hint="default"/>
        </w:rPr>
        <w:t>CRM</w:t>
      </w:r>
      <w:r>
        <w:rPr>
          <w:rFonts w:ascii="宋体" w:hAnsi="宋体" w:cs="宋体" w:eastAsia="宋体" w:hint="default"/>
          <w:spacing w:val="-48"/>
        </w:rPr>
        <w:t> </w:t>
      </w:r>
      <w:r>
        <w:rPr>
          <w:spacing w:val="-4"/>
        </w:rPr>
        <w:t>软件市场年度成功企业”、“2014</w:t>
      </w:r>
      <w:r>
        <w:rPr>
          <w:rFonts w:ascii="宋体" w:hAnsi="宋体" w:cs="宋体" w:eastAsia="宋体" w:hint="default"/>
          <w:spacing w:val="-4"/>
        </w:rPr>
        <w:t>-2015</w:t>
      </w:r>
      <w:r>
        <w:rPr>
          <w:rFonts w:ascii="宋体" w:hAnsi="宋体" w:cs="宋体" w:eastAsia="宋体" w:hint="default"/>
          <w:spacing w:val="-50"/>
        </w:rPr>
        <w:t> </w:t>
      </w:r>
      <w:r>
        <w:rPr/>
        <w:t>中国</w:t>
      </w:r>
      <w:r>
        <w:rPr>
          <w:spacing w:val="-47"/>
        </w:rPr>
        <w:t> </w:t>
      </w:r>
      <w:r>
        <w:rPr>
          <w:rFonts w:ascii="宋体" w:hAnsi="宋体" w:cs="宋体" w:eastAsia="宋体" w:hint="default"/>
        </w:rPr>
        <w:t>HRM</w:t>
      </w:r>
      <w:r>
        <w:rPr>
          <w:rFonts w:ascii="宋体" w:hAnsi="宋体" w:cs="宋体" w:eastAsia="宋体" w:hint="default"/>
          <w:spacing w:val="-50"/>
        </w:rPr>
        <w:t> </w:t>
      </w:r>
      <w:r>
        <w:rPr/>
        <w:t>软件市场年</w:t>
      </w:r>
      <w:r>
        <w:rPr>
          <w:spacing w:val="-81"/>
        </w:rPr>
        <w:t> </w:t>
      </w:r>
      <w:r>
        <w:rPr>
          <w:spacing w:val="-81"/>
        </w:rPr>
      </w:r>
      <w:r>
        <w:rPr>
          <w:spacing w:val="-4"/>
        </w:rPr>
        <w:t>度成功企业”、“2014</w:t>
      </w:r>
      <w:r>
        <w:rPr>
          <w:rFonts w:ascii="宋体" w:hAnsi="宋体" w:cs="宋体" w:eastAsia="宋体" w:hint="default"/>
          <w:spacing w:val="-4"/>
        </w:rPr>
        <w:t>-2015</w:t>
      </w:r>
      <w:r>
        <w:rPr>
          <w:rFonts w:ascii="宋体" w:hAnsi="宋体" w:cs="宋体" w:eastAsia="宋体" w:hint="default"/>
          <w:spacing w:val="-48"/>
        </w:rPr>
        <w:t> </w:t>
      </w:r>
      <w:r>
        <w:rPr/>
        <w:t>中国</w:t>
      </w:r>
      <w:r>
        <w:rPr>
          <w:spacing w:val="-48"/>
        </w:rPr>
        <w:t> </w:t>
      </w:r>
      <w:r>
        <w:rPr>
          <w:rFonts w:ascii="宋体" w:hAnsi="宋体" w:cs="宋体" w:eastAsia="宋体" w:hint="default"/>
        </w:rPr>
        <w:t>EAM</w:t>
      </w:r>
      <w:r>
        <w:rPr>
          <w:rFonts w:ascii="宋体" w:hAnsi="宋体" w:cs="宋体" w:eastAsia="宋体" w:hint="default"/>
          <w:spacing w:val="-48"/>
        </w:rPr>
        <w:t> </w:t>
      </w:r>
      <w:r>
        <w:rPr>
          <w:spacing w:val="-4"/>
        </w:rPr>
        <w:t>软件市场年度成功企业”、“2014</w:t>
      </w:r>
      <w:r>
        <w:rPr>
          <w:rFonts w:ascii="宋体" w:hAnsi="宋体" w:cs="宋体" w:eastAsia="宋体" w:hint="default"/>
          <w:spacing w:val="-4"/>
        </w:rPr>
        <w:t>-2015</w:t>
      </w:r>
      <w:r>
        <w:rPr>
          <w:rFonts w:ascii="宋体" w:hAnsi="宋体" w:cs="宋体" w:eastAsia="宋体" w:hint="default"/>
          <w:spacing w:val="-51"/>
        </w:rPr>
        <w:t> </w:t>
      </w:r>
      <w:r>
        <w:rPr/>
        <w:t>中国</w:t>
      </w:r>
      <w:r>
        <w:rPr>
          <w:spacing w:val="-48"/>
        </w:rPr>
        <w:t> </w:t>
      </w:r>
      <w:r>
        <w:rPr>
          <w:rFonts w:ascii="宋体" w:hAnsi="宋体" w:cs="宋体" w:eastAsia="宋体" w:hint="default"/>
        </w:rPr>
        <w:t>PLM</w:t>
      </w:r>
      <w:r>
        <w:rPr>
          <w:rFonts w:ascii="宋体" w:hAnsi="宋体" w:cs="宋体" w:eastAsia="宋体" w:hint="default"/>
          <w:spacing w:val="-48"/>
        </w:rPr>
        <w:t> </w:t>
      </w:r>
      <w:r>
        <w:rPr/>
        <w:t>软件市场</w:t>
      </w:r>
      <w:r>
        <w:rPr>
          <w:spacing w:val="-82"/>
        </w:rPr>
        <w:t> </w:t>
      </w:r>
      <w:r>
        <w:rPr>
          <w:spacing w:val="-82"/>
        </w:rPr>
      </w:r>
      <w:r>
        <w:rPr/>
        <w:t>年度成功企业”等多个奖项。</w:t>
      </w:r>
    </w:p>
    <w:p>
      <w:pPr>
        <w:pStyle w:val="Heading2"/>
        <w:spacing w:line="240" w:lineRule="auto" w:before="135"/>
        <w:ind w:left="560" w:right="2465"/>
        <w:jc w:val="left"/>
        <w:rPr>
          <w:b w:val="0"/>
          <w:bCs w:val="0"/>
        </w:rPr>
      </w:pPr>
      <w:r>
        <w:rPr>
          <w:rFonts w:ascii="宋体" w:hAnsi="宋体" w:cs="宋体" w:eastAsia="宋体" w:hint="default"/>
        </w:rPr>
        <w:t>6</w:t>
      </w:r>
      <w:r>
        <w:rPr/>
        <w:t>、员工发展</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558" w:right="225"/>
        <w:jc w:val="left"/>
      </w:pPr>
      <w:r>
        <w:rPr/>
        <w:t>报告期末，公司员工数量为</w:t>
      </w:r>
      <w:r>
        <w:rPr>
          <w:spacing w:val="-52"/>
        </w:rPr>
        <w:t> </w:t>
      </w:r>
      <w:r>
        <w:rPr>
          <w:rFonts w:ascii="宋体" w:hAnsi="宋体" w:cs="宋体" w:eastAsia="宋体" w:hint="default"/>
        </w:rPr>
        <w:t>12,857</w:t>
      </w:r>
      <w:r>
        <w:rPr>
          <w:rFonts w:ascii="宋体" w:hAnsi="宋体" w:cs="宋体" w:eastAsia="宋体" w:hint="default"/>
          <w:spacing w:val="-55"/>
        </w:rPr>
        <w:t> </w:t>
      </w:r>
      <w:r>
        <w:rPr/>
        <w:t>人，同比</w:t>
      </w:r>
      <w:r>
        <w:rPr>
          <w:spacing w:val="-55"/>
        </w:rPr>
        <w:t> </w:t>
      </w:r>
      <w:r>
        <w:rPr>
          <w:rFonts w:ascii="宋体" w:hAnsi="宋体" w:cs="宋体" w:eastAsia="宋体" w:hint="default"/>
        </w:rPr>
        <w:t>2014</w:t>
      </w:r>
      <w:r>
        <w:rPr>
          <w:rFonts w:ascii="宋体" w:hAnsi="宋体" w:cs="宋体" w:eastAsia="宋体" w:hint="default"/>
          <w:spacing w:val="-55"/>
        </w:rPr>
        <w:t> </w:t>
      </w:r>
      <w:r>
        <w:rPr/>
        <w:t>年末增长</w:t>
      </w:r>
      <w:r>
        <w:rPr>
          <w:spacing w:val="-53"/>
        </w:rPr>
        <w:t> </w:t>
      </w:r>
      <w:r>
        <w:rPr>
          <w:rFonts w:ascii="宋体" w:hAnsi="宋体" w:cs="宋体" w:eastAsia="宋体" w:hint="default"/>
        </w:rPr>
        <w:t>6.07%</w:t>
      </w:r>
      <w:r>
        <w:rPr/>
        <w:t>，其中软件业务人员进一</w:t>
      </w:r>
    </w:p>
    <w:p>
      <w:pPr>
        <w:pStyle w:val="BodyText"/>
        <w:spacing w:line="295" w:lineRule="auto" w:before="66"/>
        <w:ind w:right="317"/>
        <w:jc w:val="both"/>
      </w:pPr>
      <w:r>
        <w:rPr/>
        <w:t>步减少，互联网服务人员增加</w:t>
      </w:r>
      <w:r>
        <w:rPr>
          <w:spacing w:val="-53"/>
        </w:rPr>
        <w:t> </w:t>
      </w:r>
      <w:r>
        <w:rPr>
          <w:rFonts w:ascii="宋体" w:hAnsi="宋体" w:cs="宋体" w:eastAsia="宋体" w:hint="default"/>
        </w:rPr>
        <w:t>1,386</w:t>
      </w:r>
      <w:r>
        <w:rPr>
          <w:rFonts w:ascii="宋体" w:hAnsi="宋体" w:cs="宋体" w:eastAsia="宋体" w:hint="default"/>
          <w:spacing w:val="-55"/>
        </w:rPr>
        <w:t> </w:t>
      </w:r>
      <w:r>
        <w:rPr/>
        <w:t>人，互联网金融人员增加</w:t>
      </w:r>
      <w:r>
        <w:rPr>
          <w:spacing w:val="-53"/>
        </w:rPr>
        <w:t> </w:t>
      </w:r>
      <w:r>
        <w:rPr>
          <w:rFonts w:ascii="宋体" w:hAnsi="宋体" w:cs="宋体" w:eastAsia="宋体" w:hint="default"/>
        </w:rPr>
        <w:t>282</w:t>
      </w:r>
      <w:r>
        <w:rPr>
          <w:rFonts w:ascii="宋体" w:hAnsi="宋体" w:cs="宋体" w:eastAsia="宋体" w:hint="default"/>
          <w:spacing w:val="-55"/>
        </w:rPr>
        <w:t> </w:t>
      </w:r>
      <w:r>
        <w:rPr/>
        <w:t>人。人员结构的变化符合公司</w:t>
      </w:r>
      <w:r>
        <w:rPr>
          <w:w w:val="100"/>
        </w:rPr>
        <w:t> </w:t>
      </w:r>
      <w:r>
        <w:rPr/>
        <w:t>年初提出的加强互联网业务的发展策略。</w:t>
      </w:r>
    </w:p>
    <w:p>
      <w:pPr>
        <w:pStyle w:val="BodyText"/>
        <w:spacing w:line="297" w:lineRule="auto" w:before="137"/>
        <w:ind w:right="317" w:firstLine="419"/>
        <w:jc w:val="both"/>
      </w:pPr>
      <w:r>
        <w:rPr>
          <w:spacing w:val="-2"/>
        </w:rPr>
        <w:t>报告期内，为加大互联网人才的吸引力度，公司加大了雇主品牌的宣传，开发了移动社交招</w:t>
      </w:r>
      <w:r>
        <w:rPr>
          <w:w w:val="100"/>
        </w:rPr>
        <w:t> </w:t>
      </w:r>
      <w:r>
        <w:rPr>
          <w:spacing w:val="-2"/>
        </w:rPr>
        <w:t>聘平台，改进了人才招聘方法。此外，公司还优化了现金薪酬的结构，特别是优化了中长期激励</w:t>
      </w:r>
      <w:r>
        <w:rPr>
          <w:spacing w:val="-25"/>
        </w:rPr>
        <w:t> </w:t>
      </w:r>
      <w:r>
        <w:rPr>
          <w:spacing w:val="-25"/>
        </w:rPr>
      </w:r>
      <w:r>
        <w:rPr/>
        <w:t>体系，中长期激励的市场竞争力得到明显提高，保障了人才的稳定性和积极性。</w:t>
      </w:r>
    </w:p>
    <w:p>
      <w:pPr>
        <w:pStyle w:val="BodyText"/>
        <w:spacing w:line="297" w:lineRule="auto" w:before="135"/>
        <w:ind w:right="308" w:firstLine="419"/>
        <w:jc w:val="both"/>
      </w:pPr>
      <w:r>
        <w:rPr>
          <w:spacing w:val="-4"/>
        </w:rPr>
        <w:t>报告期内，公司还组织对 </w:t>
      </w:r>
      <w:r>
        <w:rPr>
          <w:rFonts w:ascii="宋体" w:hAnsi="宋体" w:cs="宋体" w:eastAsia="宋体" w:hint="default"/>
        </w:rPr>
        <w:t>2014</w:t>
      </w:r>
      <w:r>
        <w:rPr>
          <w:rFonts w:ascii="宋体" w:hAnsi="宋体" w:cs="宋体" w:eastAsia="宋体" w:hint="default"/>
          <w:spacing w:val="-58"/>
        </w:rPr>
        <w:t> </w:t>
      </w:r>
      <w:r>
        <w:rPr>
          <w:spacing w:val="-4"/>
        </w:rPr>
        <w:t>年度产品与技术重大创新成果进行了评选，并给予重奖，鼓励</w:t>
      </w:r>
      <w:r>
        <w:rPr>
          <w:w w:val="100"/>
        </w:rPr>
        <w:t> </w:t>
      </w:r>
      <w:r>
        <w:rPr>
          <w:spacing w:val="-2"/>
        </w:rPr>
        <w:t>和激发了员工参与产品创新和申请专利相关工作的积极性。为保证软件业务人才的持续发展，进</w:t>
      </w:r>
      <w:r>
        <w:rPr>
          <w:spacing w:val="-26"/>
        </w:rPr>
        <w:t> </w:t>
      </w:r>
      <w:r>
        <w:rPr>
          <w:spacing w:val="-26"/>
        </w:rPr>
      </w:r>
      <w:r>
        <w:rPr>
          <w:spacing w:val="-2"/>
        </w:rPr>
        <w:t>一步推动创新，公司开发了“创新模式工作坊”标准课程，并在全员中开展行动学习，进一步激</w:t>
      </w:r>
      <w:r>
        <w:rPr>
          <w:spacing w:val="-25"/>
        </w:rPr>
        <w:t> </w:t>
      </w:r>
      <w:r>
        <w:rPr>
          <w:spacing w:val="-25"/>
        </w:rPr>
      </w:r>
      <w:r>
        <w:rPr/>
        <w:t>发了员工互联网创新的思维和热情，创新的互联网产品不断涌现。</w:t>
      </w:r>
    </w:p>
    <w:p>
      <w:pPr>
        <w:pStyle w:val="BodyText"/>
        <w:spacing w:line="297" w:lineRule="auto" w:before="135"/>
        <w:ind w:right="225" w:firstLine="419"/>
        <w:jc w:val="left"/>
      </w:pPr>
      <w:r>
        <w:rPr>
          <w:spacing w:val="-4"/>
        </w:rPr>
        <w:t>报告期内，公司对员工职位族体系进行了全面升级，形成了“1+N”的职位族体系，为公司业</w:t>
      </w:r>
      <w:r>
        <w:rPr>
          <w:w w:val="100"/>
        </w:rPr>
        <w:t> </w:t>
      </w:r>
      <w:r>
        <w:rPr/>
        <w:t>务互联网化进一步夯实了人才管理基础。</w:t>
      </w:r>
    </w:p>
    <w:p>
      <w:pPr>
        <w:pStyle w:val="Heading2"/>
        <w:spacing w:line="240" w:lineRule="auto" w:before="135"/>
        <w:ind w:left="560" w:right="2465"/>
        <w:jc w:val="left"/>
        <w:rPr>
          <w:b w:val="0"/>
          <w:bCs w:val="0"/>
        </w:rPr>
      </w:pPr>
      <w:r>
        <w:rPr>
          <w:rFonts w:ascii="宋体" w:hAnsi="宋体" w:cs="宋体" w:eastAsia="宋体" w:hint="default"/>
        </w:rPr>
        <w:t>7</w:t>
      </w:r>
      <w:r>
        <w:rPr/>
        <w:t>、投资并购</w:t>
      </w:r>
      <w:r>
        <w:rPr>
          <w:b w:val="0"/>
          <w:bCs w:val="0"/>
        </w:rPr>
      </w:r>
    </w:p>
    <w:p>
      <w:pPr>
        <w:spacing w:line="240" w:lineRule="auto" w:before="3"/>
        <w:rPr>
          <w:rFonts w:ascii="宋体" w:hAnsi="宋体" w:cs="宋体" w:eastAsia="宋体" w:hint="default"/>
          <w:b/>
          <w:bCs/>
          <w:sz w:val="14"/>
          <w:szCs w:val="14"/>
        </w:rPr>
      </w:pPr>
    </w:p>
    <w:p>
      <w:pPr>
        <w:pStyle w:val="BodyText"/>
        <w:spacing w:line="297" w:lineRule="auto"/>
        <w:ind w:right="225" w:firstLine="419"/>
        <w:jc w:val="left"/>
      </w:pPr>
      <w:r>
        <w:rPr>
          <w:spacing w:val="-3"/>
        </w:rPr>
        <w:t>报告期内，公司基于公司确定的战略方向，通过收购兼并等手段，</w:t>
      </w:r>
      <w:r>
        <w:rPr>
          <w:spacing w:val="20"/>
        </w:rPr>
        <w:t> </w:t>
      </w:r>
      <w:r>
        <w:rPr>
          <w:spacing w:val="-4"/>
        </w:rPr>
        <w:t>加大对企业互联网、互联</w:t>
      </w:r>
      <w:r>
        <w:rPr>
          <w:w w:val="100"/>
        </w:rPr>
        <w:t> </w:t>
      </w:r>
      <w:r>
        <w:rPr/>
        <w:t>网金融方向的战略投资，支持公司的企业互联网业务和互联网金融业务战略落地。</w:t>
      </w:r>
    </w:p>
    <w:p>
      <w:pPr>
        <w:pStyle w:val="BodyText"/>
        <w:spacing w:line="240" w:lineRule="auto" w:before="133"/>
        <w:ind w:left="558" w:right="2465"/>
        <w:jc w:val="left"/>
      </w:pPr>
      <w:r>
        <w:rPr/>
        <w:t>（</w:t>
      </w:r>
      <w:r>
        <w:rPr>
          <w:rFonts w:ascii="宋体" w:hAnsi="宋体" w:cs="宋体" w:eastAsia="宋体" w:hint="default"/>
        </w:rPr>
        <w:t>1</w:t>
      </w:r>
      <w:r>
        <w:rPr/>
        <w:t>）投资并购情况</w:t>
      </w:r>
    </w:p>
    <w:p>
      <w:pPr>
        <w:spacing w:line="240" w:lineRule="auto" w:before="3"/>
        <w:rPr>
          <w:rFonts w:ascii="宋体" w:hAnsi="宋体" w:cs="宋体" w:eastAsia="宋体" w:hint="default"/>
          <w:sz w:val="14"/>
          <w:szCs w:val="14"/>
        </w:rPr>
      </w:pPr>
    </w:p>
    <w:p>
      <w:pPr>
        <w:pStyle w:val="BodyText"/>
        <w:spacing w:line="240" w:lineRule="auto"/>
        <w:ind w:left="558" w:right="225"/>
        <w:jc w:val="left"/>
      </w:pPr>
      <w:r>
        <w:rPr>
          <w:rFonts w:ascii="宋体" w:hAnsi="宋体" w:cs="宋体" w:eastAsia="宋体" w:hint="default"/>
        </w:rPr>
        <w:t>1</w:t>
      </w:r>
      <w:r>
        <w:rPr/>
        <w:t>）报告期内，公司以人民币</w:t>
      </w:r>
      <w:r>
        <w:rPr>
          <w:spacing w:val="-56"/>
        </w:rPr>
        <w:t> </w:t>
      </w:r>
      <w:r>
        <w:rPr>
          <w:rFonts w:ascii="宋体" w:hAnsi="宋体" w:cs="宋体" w:eastAsia="宋体" w:hint="default"/>
        </w:rPr>
        <w:t>125,000,000</w:t>
      </w:r>
      <w:r>
        <w:rPr>
          <w:rFonts w:ascii="宋体" w:hAnsi="宋体" w:cs="宋体" w:eastAsia="宋体" w:hint="default"/>
          <w:spacing w:val="-58"/>
        </w:rPr>
        <w:t> </w:t>
      </w:r>
      <w:r>
        <w:rPr/>
        <w:t>元收购秉钧网络</w:t>
      </w:r>
      <w:r>
        <w:rPr>
          <w:spacing w:val="-56"/>
        </w:rPr>
        <w:t> </w:t>
      </w:r>
      <w:r>
        <w:rPr>
          <w:rFonts w:ascii="宋体" w:hAnsi="宋体" w:cs="宋体" w:eastAsia="宋体" w:hint="default"/>
        </w:rPr>
        <w:t>62.50%</w:t>
      </w:r>
      <w:r>
        <w:rPr/>
        <w:t>的股权，并以人民币</w:t>
      </w:r>
    </w:p>
    <w:p>
      <w:pPr>
        <w:pStyle w:val="BodyText"/>
        <w:spacing w:line="240" w:lineRule="auto" w:before="66"/>
        <w:ind w:right="0"/>
        <w:jc w:val="both"/>
      </w:pPr>
      <w:r>
        <w:rPr>
          <w:rFonts w:ascii="宋体" w:hAnsi="宋体" w:cs="宋体" w:eastAsia="宋体" w:hint="default"/>
        </w:rPr>
        <w:t>50,000,000</w:t>
      </w:r>
      <w:r>
        <w:rPr>
          <w:rFonts w:ascii="宋体" w:hAnsi="宋体" w:cs="宋体" w:eastAsia="宋体" w:hint="default"/>
          <w:spacing w:val="-58"/>
        </w:rPr>
        <w:t> </w:t>
      </w:r>
      <w:r>
        <w:rPr/>
        <w:t>元向秉钧网络增资。上述股权收购和增资完成后，公司持有秉钧网络</w:t>
      </w:r>
      <w:r>
        <w:rPr>
          <w:spacing w:val="-57"/>
        </w:rPr>
        <w:t> </w:t>
      </w:r>
      <w:r>
        <w:rPr>
          <w:rFonts w:ascii="宋体" w:hAnsi="宋体" w:cs="宋体" w:eastAsia="宋体" w:hint="default"/>
        </w:rPr>
        <w:t>70%</w:t>
      </w:r>
      <w:r>
        <w:rPr/>
        <w:t>的股权。</w:t>
      </w:r>
    </w:p>
    <w:p>
      <w:pPr>
        <w:spacing w:line="240" w:lineRule="auto" w:before="3"/>
        <w:rPr>
          <w:rFonts w:ascii="宋体" w:hAnsi="宋体" w:cs="宋体" w:eastAsia="宋体" w:hint="default"/>
          <w:sz w:val="14"/>
          <w:szCs w:val="14"/>
        </w:rPr>
      </w:pPr>
    </w:p>
    <w:p>
      <w:pPr>
        <w:pStyle w:val="BodyText"/>
        <w:spacing w:line="297" w:lineRule="auto"/>
        <w:ind w:right="374" w:firstLine="419"/>
        <w:jc w:val="left"/>
      </w:pPr>
      <w:r>
        <w:rPr>
          <w:rFonts w:ascii="宋体" w:hAnsi="宋体" w:cs="宋体" w:eastAsia="宋体" w:hint="default"/>
        </w:rPr>
        <w:t>2</w:t>
      </w:r>
      <w:r>
        <w:rPr/>
        <w:t>）公司以人民币</w:t>
      </w:r>
      <w:r>
        <w:rPr>
          <w:spacing w:val="-56"/>
        </w:rPr>
        <w:t> </w:t>
      </w:r>
      <w:r>
        <w:rPr>
          <w:rFonts w:ascii="宋体" w:hAnsi="宋体" w:cs="宋体" w:eastAsia="宋体" w:hint="default"/>
        </w:rPr>
        <w:t>56,025,000</w:t>
      </w:r>
      <w:r>
        <w:rPr>
          <w:rFonts w:ascii="宋体" w:hAnsi="宋体" w:cs="宋体" w:eastAsia="宋体" w:hint="default"/>
          <w:spacing w:val="-57"/>
        </w:rPr>
        <w:t> </w:t>
      </w:r>
      <w:r>
        <w:rPr/>
        <w:t>元收购畅捷通支付</w:t>
      </w:r>
      <w:r>
        <w:rPr>
          <w:spacing w:val="-57"/>
        </w:rPr>
        <w:t> </w:t>
      </w:r>
      <w:r>
        <w:rPr>
          <w:rFonts w:ascii="宋体" w:hAnsi="宋体" w:cs="宋体" w:eastAsia="宋体" w:hint="default"/>
        </w:rPr>
        <w:t>24.9%</w:t>
      </w:r>
      <w:r>
        <w:rPr/>
        <w:t>的股权。上述股权收购后，公司持有</w:t>
      </w:r>
      <w:r>
        <w:rPr>
          <w:w w:val="100"/>
        </w:rPr>
        <w:t> </w:t>
      </w:r>
      <w:r>
        <w:rPr/>
        <w:t>畅捷通支付</w:t>
      </w:r>
      <w:r>
        <w:rPr>
          <w:spacing w:val="-58"/>
        </w:rPr>
        <w:t> </w:t>
      </w:r>
      <w:r>
        <w:rPr>
          <w:rFonts w:ascii="宋体" w:hAnsi="宋体" w:cs="宋体" w:eastAsia="宋体" w:hint="default"/>
        </w:rPr>
        <w:t>24.9%</w:t>
      </w:r>
      <w:r>
        <w:rPr/>
        <w:t>的股权，公司控股子公司畅捷通公司持有畅捷通支付</w:t>
      </w:r>
      <w:r>
        <w:rPr>
          <w:spacing w:val="-58"/>
        </w:rPr>
        <w:t> </w:t>
      </w:r>
      <w:r>
        <w:rPr>
          <w:rFonts w:ascii="宋体" w:hAnsi="宋体" w:cs="宋体" w:eastAsia="宋体" w:hint="default"/>
        </w:rPr>
        <w:t>75.1%</w:t>
      </w:r>
      <w:r>
        <w:rPr/>
        <w:t>的股权。</w:t>
      </w:r>
    </w:p>
    <w:p>
      <w:pPr>
        <w:pStyle w:val="BodyText"/>
        <w:spacing w:line="295" w:lineRule="auto" w:before="135"/>
        <w:ind w:right="315" w:firstLine="419"/>
        <w:jc w:val="left"/>
      </w:pPr>
      <w:r>
        <w:rPr>
          <w:rFonts w:ascii="宋体" w:hAnsi="宋体" w:cs="宋体" w:eastAsia="宋体" w:hint="default"/>
        </w:rPr>
        <w:t>3</w:t>
      </w:r>
      <w:r>
        <w:rPr/>
        <w:t>）公司以人民币</w:t>
      </w:r>
      <w:r>
        <w:rPr>
          <w:spacing w:val="-55"/>
        </w:rPr>
        <w:t> </w:t>
      </w:r>
      <w:r>
        <w:rPr>
          <w:rFonts w:ascii="宋体" w:hAnsi="宋体" w:cs="宋体" w:eastAsia="宋体" w:hint="default"/>
        </w:rPr>
        <w:t>45,165,687</w:t>
      </w:r>
      <w:r>
        <w:rPr>
          <w:rFonts w:ascii="宋体" w:hAnsi="宋体" w:cs="宋体" w:eastAsia="宋体" w:hint="default"/>
          <w:spacing w:val="-56"/>
        </w:rPr>
        <w:t> </w:t>
      </w:r>
      <w:r>
        <w:rPr/>
        <w:t>元参股民太安财产保险公估股份有限公司，占民太安财产保险</w:t>
      </w:r>
      <w:r>
        <w:rPr>
          <w:w w:val="100"/>
        </w:rPr>
        <w:t> </w:t>
      </w:r>
      <w:r>
        <w:rPr/>
        <w:t>公估股份有限公司</w:t>
      </w:r>
      <w:r>
        <w:rPr>
          <w:spacing w:val="-52"/>
        </w:rPr>
        <w:t> </w:t>
      </w:r>
      <w:r>
        <w:rPr>
          <w:rFonts w:ascii="宋体" w:hAnsi="宋体" w:cs="宋体" w:eastAsia="宋体" w:hint="default"/>
        </w:rPr>
        <w:t>15%</w:t>
      </w:r>
      <w:r>
        <w:rPr/>
        <w:t>的股权。</w:t>
      </w:r>
    </w:p>
    <w:p>
      <w:pPr>
        <w:pStyle w:val="BodyText"/>
        <w:spacing w:line="240" w:lineRule="auto" w:before="137"/>
        <w:ind w:left="558" w:right="2465"/>
        <w:jc w:val="left"/>
      </w:pPr>
      <w:r>
        <w:rPr/>
        <w:t>（</w:t>
      </w:r>
      <w:r>
        <w:rPr>
          <w:rFonts w:ascii="宋体" w:hAnsi="宋体" w:cs="宋体" w:eastAsia="宋体" w:hint="default"/>
        </w:rPr>
        <w:t>2</w:t>
      </w:r>
      <w:r>
        <w:rPr/>
        <w:t>）投资退出回报情况</w:t>
      </w:r>
    </w:p>
    <w:p>
      <w:pPr>
        <w:spacing w:line="240" w:lineRule="auto" w:before="3"/>
        <w:rPr>
          <w:rFonts w:ascii="宋体" w:hAnsi="宋体" w:cs="宋体" w:eastAsia="宋体" w:hint="default"/>
          <w:sz w:val="14"/>
          <w:szCs w:val="14"/>
        </w:rPr>
      </w:pPr>
    </w:p>
    <w:p>
      <w:pPr>
        <w:pStyle w:val="BodyText"/>
        <w:spacing w:line="240" w:lineRule="auto"/>
        <w:ind w:left="558" w:right="225"/>
        <w:jc w:val="left"/>
      </w:pPr>
      <w:r>
        <w:rPr>
          <w:w w:val="100"/>
        </w:rPr>
        <w:t>报告</w:t>
      </w:r>
      <w:r>
        <w:rPr>
          <w:spacing w:val="-3"/>
          <w:w w:val="100"/>
        </w:rPr>
        <w:t>期</w:t>
      </w:r>
      <w:r>
        <w:rPr>
          <w:w w:val="100"/>
        </w:rPr>
        <w:t>内</w:t>
      </w:r>
      <w:r>
        <w:rPr>
          <w:spacing w:val="-108"/>
          <w:w w:val="100"/>
        </w:rPr>
        <w:t>，</w:t>
      </w:r>
      <w:r>
        <w:rPr>
          <w:w w:val="100"/>
        </w:rPr>
        <w:t>公</w:t>
      </w:r>
      <w:r>
        <w:rPr>
          <w:spacing w:val="-3"/>
          <w:w w:val="100"/>
        </w:rPr>
        <w:t>司</w:t>
      </w:r>
      <w:r>
        <w:rPr>
          <w:w w:val="100"/>
        </w:rPr>
        <w:t>以</w:t>
      </w:r>
      <w:r>
        <w:rPr>
          <w:spacing w:val="-3"/>
          <w:w w:val="100"/>
        </w:rPr>
        <w:t>人</w:t>
      </w:r>
      <w:r>
        <w:rPr>
          <w:w w:val="100"/>
        </w:rPr>
        <w:t>民币</w:t>
      </w:r>
      <w:r>
        <w:rPr>
          <w:spacing w:val="-55"/>
        </w:rPr>
        <w:t> </w:t>
      </w:r>
      <w:r>
        <w:rPr>
          <w:rFonts w:ascii="Calibri" w:hAnsi="Calibri" w:cs="Calibri" w:eastAsia="Calibri" w:hint="default"/>
          <w:spacing w:val="-2"/>
          <w:w w:val="100"/>
        </w:rPr>
        <w:t>1</w:t>
      </w:r>
      <w:r>
        <w:rPr>
          <w:rFonts w:ascii="Calibri" w:hAnsi="Calibri" w:cs="Calibri" w:eastAsia="Calibri" w:hint="default"/>
          <w:w w:val="100"/>
        </w:rPr>
        <w:t>85</w:t>
      </w:r>
      <w:r>
        <w:rPr>
          <w:rFonts w:ascii="Calibri" w:hAnsi="Calibri" w:cs="Calibri" w:eastAsia="Calibri" w:hint="default"/>
          <w:spacing w:val="-3"/>
          <w:w w:val="100"/>
        </w:rPr>
        <w:t>,</w:t>
      </w:r>
      <w:r>
        <w:rPr>
          <w:rFonts w:ascii="Calibri" w:hAnsi="Calibri" w:cs="Calibri" w:eastAsia="Calibri" w:hint="default"/>
          <w:spacing w:val="-2"/>
          <w:w w:val="100"/>
        </w:rPr>
        <w:t>6</w:t>
      </w:r>
      <w:r>
        <w:rPr>
          <w:rFonts w:ascii="Calibri" w:hAnsi="Calibri" w:cs="Calibri" w:eastAsia="Calibri" w:hint="default"/>
          <w:w w:val="100"/>
        </w:rPr>
        <w:t>4</w:t>
      </w:r>
      <w:r>
        <w:rPr>
          <w:rFonts w:ascii="Calibri" w:hAnsi="Calibri" w:cs="Calibri" w:eastAsia="Calibri" w:hint="default"/>
          <w:spacing w:val="-2"/>
          <w:w w:val="100"/>
        </w:rPr>
        <w:t>0</w:t>
      </w:r>
      <w:r>
        <w:rPr>
          <w:rFonts w:ascii="Calibri" w:hAnsi="Calibri" w:cs="Calibri" w:eastAsia="Calibri" w:hint="default"/>
          <w:w w:val="100"/>
        </w:rPr>
        <w:t>,</w:t>
      </w:r>
      <w:r>
        <w:rPr>
          <w:rFonts w:ascii="Calibri" w:hAnsi="Calibri" w:cs="Calibri" w:eastAsia="Calibri" w:hint="default"/>
          <w:spacing w:val="-2"/>
          <w:w w:val="100"/>
        </w:rPr>
        <w:t>00</w:t>
      </w:r>
      <w:r>
        <w:rPr>
          <w:rFonts w:ascii="Calibri" w:hAnsi="Calibri" w:cs="Calibri" w:eastAsia="Calibri" w:hint="default"/>
          <w:w w:val="100"/>
        </w:rPr>
        <w:t>0</w:t>
      </w:r>
      <w:r>
        <w:rPr>
          <w:rFonts w:ascii="Calibri" w:hAnsi="Calibri" w:cs="Calibri" w:eastAsia="Calibri" w:hint="default"/>
          <w:spacing w:val="7"/>
        </w:rPr>
        <w:t> </w:t>
      </w:r>
      <w:r>
        <w:rPr>
          <w:spacing w:val="-3"/>
          <w:w w:val="100"/>
        </w:rPr>
        <w:t>元</w:t>
      </w:r>
      <w:r>
        <w:rPr>
          <w:w w:val="100"/>
        </w:rPr>
        <w:t>的</w:t>
      </w:r>
      <w:r>
        <w:rPr>
          <w:spacing w:val="-3"/>
          <w:w w:val="100"/>
        </w:rPr>
        <w:t>价</w:t>
      </w:r>
      <w:r>
        <w:rPr>
          <w:w w:val="100"/>
        </w:rPr>
        <w:t>格</w:t>
      </w:r>
      <w:r>
        <w:rPr>
          <w:spacing w:val="-3"/>
          <w:w w:val="100"/>
        </w:rPr>
        <w:t>转让</w:t>
      </w:r>
      <w:r>
        <w:rPr>
          <w:w w:val="100"/>
        </w:rPr>
        <w:t>了公</w:t>
      </w:r>
      <w:r>
        <w:rPr>
          <w:spacing w:val="-3"/>
          <w:w w:val="100"/>
        </w:rPr>
        <w:t>司</w:t>
      </w:r>
      <w:r>
        <w:rPr>
          <w:w w:val="100"/>
        </w:rPr>
        <w:t>持</w:t>
      </w:r>
      <w:r>
        <w:rPr>
          <w:spacing w:val="-3"/>
          <w:w w:val="100"/>
        </w:rPr>
        <w:t>有</w:t>
      </w:r>
      <w:r>
        <w:rPr>
          <w:w w:val="100"/>
        </w:rPr>
        <w:t>的</w:t>
      </w:r>
      <w:r>
        <w:rPr>
          <w:spacing w:val="-3"/>
          <w:w w:val="100"/>
        </w:rPr>
        <w:t>北</w:t>
      </w:r>
      <w:r>
        <w:rPr>
          <w:w w:val="100"/>
        </w:rPr>
        <w:t>京</w:t>
      </w:r>
      <w:r>
        <w:rPr>
          <w:spacing w:val="-3"/>
          <w:w w:val="100"/>
        </w:rPr>
        <w:t>致</w:t>
      </w:r>
      <w:r>
        <w:rPr>
          <w:w w:val="100"/>
        </w:rPr>
        <w:t>远</w:t>
      </w:r>
      <w:r>
        <w:rPr>
          <w:spacing w:val="-3"/>
          <w:w w:val="100"/>
        </w:rPr>
        <w:t>协</w:t>
      </w:r>
      <w:r>
        <w:rPr>
          <w:w w:val="100"/>
        </w:rPr>
        <w:t>创软</w:t>
      </w:r>
      <w:r>
        <w:rPr>
          <w:spacing w:val="-3"/>
          <w:w w:val="100"/>
        </w:rPr>
        <w:t>件</w:t>
      </w:r>
      <w:r>
        <w:rPr>
          <w:w w:val="100"/>
        </w:rPr>
        <w:t>有</w:t>
      </w:r>
      <w:r>
        <w:rPr>
          <w:spacing w:val="-3"/>
          <w:w w:val="100"/>
        </w:rPr>
        <w:t>限</w:t>
      </w:r>
      <w:r>
        <w:rPr>
          <w:w w:val="100"/>
        </w:rPr>
        <w:t>公司</w:t>
      </w:r>
    </w:p>
    <w:p>
      <w:pPr>
        <w:spacing w:after="0" w:line="240" w:lineRule="auto"/>
        <w:jc w:val="left"/>
        <w:sectPr>
          <w:footerReference w:type="default" r:id="rId17"/>
          <w:pgSz w:w="11910" w:h="16840"/>
          <w:pgMar w:footer="1335" w:header="880" w:top="1120" w:bottom="1520" w:left="1660" w:right="960"/>
          <w:pgNumType w:start="33"/>
        </w:sectPr>
      </w:pPr>
    </w:p>
    <w:p>
      <w:pPr>
        <w:spacing w:line="240" w:lineRule="auto" w:before="4"/>
        <w:rPr>
          <w:rFonts w:ascii="宋体" w:hAnsi="宋体" w:cs="宋体" w:eastAsia="宋体" w:hint="default"/>
          <w:sz w:val="25"/>
          <w:szCs w:val="25"/>
        </w:rPr>
      </w:pPr>
    </w:p>
    <w:p>
      <w:pPr>
        <w:pStyle w:val="BodyText"/>
        <w:spacing w:line="240" w:lineRule="auto" w:before="36"/>
        <w:ind w:left="218" w:right="225"/>
        <w:jc w:val="left"/>
      </w:pPr>
      <w:r>
        <w:rPr>
          <w:spacing w:val="-2"/>
        </w:rPr>
        <w:t>（下称“致远公司”）</w:t>
      </w:r>
      <w:r>
        <w:rPr>
          <w:rFonts w:ascii="Calibri" w:hAnsi="Calibri" w:cs="Calibri" w:eastAsia="Calibri" w:hint="default"/>
          <w:spacing w:val="-2"/>
        </w:rPr>
        <w:t>26.52%</w:t>
      </w:r>
      <w:r>
        <w:rPr>
          <w:spacing w:val="-2"/>
        </w:rPr>
        <w:t>的股权。上述股权转让完成后，公司持有致远公司</w:t>
      </w:r>
      <w:r>
        <w:rPr>
          <w:spacing w:val="23"/>
        </w:rPr>
        <w:t> </w:t>
      </w:r>
      <w:r>
        <w:rPr>
          <w:rFonts w:ascii="Calibri" w:hAnsi="Calibri" w:cs="Calibri" w:eastAsia="Calibri" w:hint="default"/>
          <w:spacing w:val="-1"/>
        </w:rPr>
        <w:t>4.98%</w:t>
      </w:r>
      <w:r>
        <w:rPr>
          <w:spacing w:val="-1"/>
        </w:rPr>
        <w:t>的股权。</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5"/>
          <w:szCs w:val="15"/>
        </w:rPr>
      </w:pPr>
    </w:p>
    <w:p>
      <w:pPr>
        <w:spacing w:line="290" w:lineRule="auto" w:before="0"/>
        <w:ind w:left="638" w:right="225" w:hanging="420"/>
        <w:jc w:val="left"/>
        <w:rPr>
          <w:rFonts w:ascii="宋体" w:hAnsi="宋体" w:cs="宋体" w:eastAsia="宋体" w:hint="default"/>
          <w:sz w:val="21"/>
          <w:szCs w:val="21"/>
        </w:rPr>
      </w:pPr>
      <w:r>
        <w:rPr>
          <w:rFonts w:ascii="宋体" w:hAnsi="宋体" w:cs="宋体" w:eastAsia="宋体" w:hint="default"/>
          <w:b/>
          <w:bCs/>
          <w:sz w:val="21"/>
          <w:szCs w:val="21"/>
        </w:rPr>
        <w:t>二、报告期内主要经营情况</w:t>
      </w:r>
      <w:r>
        <w:rPr>
          <w:rFonts w:ascii="宋体" w:hAnsi="宋体" w:cs="宋体" w:eastAsia="宋体" w:hint="default"/>
          <w:b/>
          <w:bCs/>
          <w:w w:val="100"/>
          <w:sz w:val="21"/>
          <w:szCs w:val="21"/>
        </w:rPr>
        <w:t> </w:t>
      </w:r>
      <w:r>
        <w:rPr>
          <w:rFonts w:ascii="宋体" w:hAnsi="宋体" w:cs="宋体" w:eastAsia="宋体" w:hint="default"/>
          <w:spacing w:val="-2"/>
          <w:sz w:val="21"/>
          <w:szCs w:val="21"/>
        </w:rPr>
        <w:t>参见“一、管理层讨论与分析”中“（二）公司各项业务发展情况”。</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335" w:top="1120" w:bottom="1520" w:left="1580" w:right="1040"/>
        </w:sectPr>
      </w:pPr>
    </w:p>
    <w:p>
      <w:pPr>
        <w:pStyle w:val="Heading2"/>
        <w:spacing w:line="240" w:lineRule="auto"/>
        <w:ind w:right="-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2"/>
        <w:spacing w:line="240" w:lineRule="auto" w:before="0"/>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7"/>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520" w:left="1580" w:right="1040"/>
          <w:cols w:num="3" w:equalWidth="0">
            <w:col w:w="1855" w:space="848"/>
            <w:col w:w="4016" w:space="40"/>
            <w:col w:w="253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4,451,272,019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4,374,241,957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w:t>
            </w:r>
          </w:p>
        </w:tc>
      </w:tr>
      <w:tr>
        <w:trPr>
          <w:trHeight w:val="28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1,430,949,268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1,420,692,499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1,185,300,776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1,092,606,648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1,723,260,423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1,357,389,323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27.0</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92,700,207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84,127,509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549,715,458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804,302,209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-31.7</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-956,248,499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-599,669,905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1,313,077,511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648,872,043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102.4</w:t>
            </w:r>
          </w:p>
        </w:tc>
      </w:tr>
      <w:tr>
        <w:trPr>
          <w:trHeight w:val="283"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889,113,742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692,978,881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28.3</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2"/>
        <w:tabs>
          <w:tab w:pos="637" w:val="left" w:leader="none"/>
        </w:tabs>
        <w:spacing w:line="240" w:lineRule="auto"/>
        <w:ind w:right="2465"/>
        <w:jc w:val="left"/>
        <w:rPr>
          <w:b w:val="0"/>
          <w:bCs w:val="0"/>
        </w:rPr>
      </w:pPr>
      <w:r>
        <w:rPr>
          <w:rFonts w:ascii="宋体" w:hAnsi="宋体" w:cs="宋体" w:eastAsia="宋体" w:hint="default"/>
          <w:w w:val="95"/>
        </w:rPr>
        <w:t>1.</w:t>
        <w:tab/>
      </w:r>
      <w:r>
        <w:rPr/>
        <w:t>收入和成本分析</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right="246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99"/>
        <w:gridCol w:w="1693"/>
        <w:gridCol w:w="1706"/>
        <w:gridCol w:w="713"/>
        <w:gridCol w:w="1277"/>
        <w:gridCol w:w="1282"/>
        <w:gridCol w:w="1279"/>
      </w:tblGrid>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毛利</w:t>
            </w:r>
          </w:p>
          <w:p>
            <w:pPr>
              <w:pStyle w:val="TableParagraph"/>
              <w:spacing w:line="272" w:lineRule="exact"/>
              <w:ind w:right="9"/>
              <w:jc w:val="center"/>
              <w:rPr>
                <w:rFonts w:ascii="宋体" w:hAnsi="宋体" w:cs="宋体" w:eastAsia="宋体" w:hint="default"/>
                <w:sz w:val="21"/>
                <w:szCs w:val="21"/>
              </w:rPr>
            </w:pPr>
            <w:r>
              <w:rPr>
                <w:rFonts w:ascii="宋体" w:hAnsi="宋体" w:cs="宋体" w:eastAsia="宋体" w:hint="default"/>
                <w:w w:val="100"/>
                <w:sz w:val="21"/>
                <w:szCs w:val="21"/>
              </w:rPr>
              <w:t>率</w:t>
            </w:r>
          </w:p>
          <w:p>
            <w:pPr>
              <w:pStyle w:val="TableParagraph"/>
              <w:spacing w:line="274" w:lineRule="exact"/>
              <w:ind w:left="1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7" w:firstLine="7"/>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4,338,502,932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1,417,143,853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6" w:right="0" w:firstLine="5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0.2</w:t>
            </w:r>
          </w:p>
          <w:p>
            <w:pPr>
              <w:pStyle w:val="TableParagraph"/>
              <w:spacing w:line="274" w:lineRule="exact"/>
              <w:ind w:left="32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6"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 w:right="0"/>
              <w:jc w:val="center"/>
              <w:rPr>
                <w:rFonts w:ascii="宋体" w:hAnsi="宋体" w:cs="宋体" w:eastAsia="宋体" w:hint="default"/>
                <w:sz w:val="21"/>
                <w:szCs w:val="21"/>
              </w:rPr>
            </w:pPr>
            <w:r>
              <w:rPr>
                <w:rFonts w:ascii="宋体" w:hAnsi="宋体" w:cs="宋体" w:eastAsia="宋体" w:hint="default"/>
                <w:sz w:val="21"/>
                <w:szCs w:val="21"/>
              </w:rPr>
              <w:t>毛利</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率</w:t>
            </w:r>
          </w:p>
          <w:p>
            <w:pPr>
              <w:pStyle w:val="TableParagraph"/>
              <w:spacing w:line="274" w:lineRule="exact"/>
              <w:ind w:left="4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0" w:right="7" w:firstLine="7"/>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7"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2,075,956,002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23,383,863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-76.2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firstLine="5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3.3</w:t>
            </w:r>
          </w:p>
          <w:p>
            <w:pPr>
              <w:pStyle w:val="TableParagraph"/>
              <w:spacing w:line="273" w:lineRule="exact"/>
              <w:ind w:left="32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与培训</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2,152,243,158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1,307,402,671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26" w:right="0" w:firstLine="5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1.3</w:t>
            </w:r>
          </w:p>
          <w:p>
            <w:pPr>
              <w:pStyle w:val="TableParagraph"/>
              <w:spacing w:line="273" w:lineRule="exact"/>
              <w:ind w:left="32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110,303,772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86,357,319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26" w:right="0" w:firstLine="5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3" w:lineRule="exact"/>
              <w:ind w:left="32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毛利</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率</w:t>
            </w:r>
          </w:p>
          <w:p>
            <w:pPr>
              <w:pStyle w:val="TableParagraph"/>
              <w:spacing w:line="274" w:lineRule="exact"/>
              <w:ind w:left="4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7" w:firstLine="7"/>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中国境内</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1"/>
                <w:sz w:val="21"/>
              </w:rPr>
              <w:t>4,278,656,183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1,390,188,426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6" w:right="0" w:firstLine="5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0.3</w:t>
            </w:r>
          </w:p>
          <w:p>
            <w:pPr>
              <w:pStyle w:val="TableParagraph"/>
              <w:spacing w:line="274" w:lineRule="exact"/>
              <w:ind w:left="326"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after="0" w:line="274" w:lineRule="exact"/>
        <w:jc w:val="left"/>
        <w:rPr>
          <w:rFonts w:ascii="宋体" w:hAnsi="宋体" w:cs="宋体" w:eastAsia="宋体" w:hint="default"/>
          <w:sz w:val="21"/>
          <w:szCs w:val="21"/>
        </w:rPr>
        <w:sectPr>
          <w:type w:val="continuous"/>
          <w:pgSz w:w="11910" w:h="16840"/>
          <w:pgMar w:top="1120" w:bottom="152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99"/>
        <w:gridCol w:w="1702"/>
        <w:gridCol w:w="1702"/>
        <w:gridCol w:w="708"/>
        <w:gridCol w:w="1277"/>
        <w:gridCol w:w="1282"/>
        <w:gridCol w:w="1279"/>
      </w:tblGrid>
      <w:tr>
        <w:trPr>
          <w:trHeight w:val="557"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中国境外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37" w:right="0"/>
              <w:jc w:val="left"/>
              <w:rPr>
                <w:rFonts w:ascii="宋体" w:hAnsi="宋体" w:cs="宋体" w:eastAsia="宋体" w:hint="default"/>
                <w:sz w:val="21"/>
                <w:szCs w:val="21"/>
              </w:rPr>
            </w:pPr>
            <w:r>
              <w:rPr>
                <w:rFonts w:ascii="宋体"/>
                <w:sz w:val="21"/>
              </w:rPr>
              <w:t>59,846,749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37" w:right="0"/>
              <w:jc w:val="left"/>
              <w:rPr>
                <w:rFonts w:ascii="宋体" w:hAnsi="宋体" w:cs="宋体" w:eastAsia="宋体" w:hint="default"/>
                <w:sz w:val="21"/>
                <w:szCs w:val="21"/>
              </w:rPr>
            </w:pPr>
            <w:r>
              <w:rPr>
                <w:rFonts w:ascii="宋体"/>
                <w:sz w:val="21"/>
              </w:rPr>
              <w:t>26,955,427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5" w:right="0"/>
              <w:jc w:val="left"/>
              <w:rPr>
                <w:rFonts w:ascii="宋体" w:hAnsi="宋体" w:cs="宋体" w:eastAsia="宋体" w:hint="default"/>
                <w:sz w:val="21"/>
                <w:szCs w:val="21"/>
              </w:rPr>
            </w:pPr>
            <w:r>
              <w:rPr>
                <w:rFonts w:ascii="宋体"/>
                <w:sz w:val="21"/>
              </w:rPr>
              <w:t>55.0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46" w:right="0"/>
              <w:jc w:val="left"/>
              <w:rPr>
                <w:rFonts w:ascii="宋体" w:hAnsi="宋体" w:cs="宋体" w:eastAsia="宋体" w:hint="default"/>
                <w:sz w:val="21"/>
                <w:szCs w:val="21"/>
              </w:rPr>
            </w:pPr>
            <w:r>
              <w:rPr>
                <w:rFonts w:ascii="宋体"/>
                <w:sz w:val="21"/>
              </w:rPr>
              <w:t>17.6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46" w:right="0"/>
              <w:jc w:val="left"/>
              <w:rPr>
                <w:rFonts w:ascii="宋体" w:hAnsi="宋体" w:cs="宋体" w:eastAsia="宋体" w:hint="default"/>
                <w:sz w:val="21"/>
                <w:szCs w:val="21"/>
              </w:rPr>
            </w:pPr>
            <w:r>
              <w:rPr>
                <w:rFonts w:ascii="宋体"/>
                <w:sz w:val="21"/>
              </w:rPr>
              <w:t>38.5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26" w:right="0" w:firstLine="5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6.8</w:t>
            </w:r>
          </w:p>
          <w:p>
            <w:pPr>
              <w:pStyle w:val="TableParagraph"/>
              <w:spacing w:line="273" w:lineRule="exact"/>
              <w:ind w:left="326"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5"/>
        <w:rPr>
          <w:rFonts w:ascii="宋体" w:hAnsi="宋体" w:cs="宋体" w:eastAsia="宋体" w:hint="default"/>
          <w:sz w:val="15"/>
          <w:szCs w:val="15"/>
        </w:rPr>
      </w:pPr>
    </w:p>
    <w:p>
      <w:pPr>
        <w:pStyle w:val="BodyText"/>
        <w:spacing w:line="240" w:lineRule="auto" w:before="36"/>
        <w:ind w:left="218" w:right="2465"/>
        <w:jc w:val="left"/>
      </w:pPr>
      <w:r>
        <w:rPr/>
        <w:t>主营业务分行业、分产品、分地区情况的说明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4"/>
        <w:gridCol w:w="1291"/>
      </w:tblGrid>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4"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生产量比上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销售量比上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firstLine="12"/>
              <w:jc w:val="left"/>
              <w:rPr>
                <w:rFonts w:ascii="宋体" w:hAnsi="宋体" w:cs="宋体" w:eastAsia="宋体" w:hint="default"/>
                <w:sz w:val="21"/>
                <w:szCs w:val="21"/>
              </w:rPr>
            </w:pPr>
            <w:r>
              <w:rPr>
                <w:rFonts w:ascii="宋体" w:hAnsi="宋体" w:cs="宋体" w:eastAsia="宋体" w:hint="default"/>
                <w:sz w:val="21"/>
                <w:szCs w:val="21"/>
              </w:rPr>
              <w:t>库存量比上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15"/>
          <w:szCs w:val="15"/>
        </w:rPr>
      </w:pPr>
    </w:p>
    <w:p>
      <w:pPr>
        <w:pStyle w:val="BodyText"/>
        <w:spacing w:line="274" w:lineRule="exact" w:before="36"/>
        <w:ind w:left="218" w:right="2465"/>
        <w:jc w:val="left"/>
      </w:pPr>
      <w:r>
        <w:rPr/>
        <w:t>产销量情况说明</w:t>
      </w:r>
    </w:p>
    <w:p>
      <w:pPr>
        <w:pStyle w:val="BodyText"/>
        <w:spacing w:line="272" w:lineRule="exact" w:before="27"/>
        <w:ind w:left="218" w:right="293"/>
        <w:jc w:val="left"/>
        <w:rPr>
          <w:rFonts w:ascii="宋体" w:hAnsi="宋体" w:cs="宋体" w:eastAsia="宋体" w:hint="default"/>
        </w:rPr>
      </w:pPr>
      <w:r>
        <w:rPr/>
        <w:t>报告期内，公司向前五名客户销售金额合计</w:t>
      </w:r>
      <w:r>
        <w:rPr>
          <w:spacing w:val="-56"/>
        </w:rPr>
        <w:t> </w:t>
      </w:r>
      <w:r>
        <w:rPr>
          <w:rFonts w:ascii="宋体" w:hAnsi="宋体" w:cs="宋体" w:eastAsia="宋体" w:hint="default"/>
        </w:rPr>
        <w:t>77,142,523</w:t>
      </w:r>
      <w:r>
        <w:rPr>
          <w:rFonts w:ascii="宋体" w:hAnsi="宋体" w:cs="宋体" w:eastAsia="宋体" w:hint="default"/>
          <w:spacing w:val="-58"/>
        </w:rPr>
        <w:t> </w:t>
      </w:r>
      <w:r>
        <w:rPr/>
        <w:t>元，占公司全部营业收入的</w:t>
      </w:r>
      <w:r>
        <w:rPr>
          <w:spacing w:val="-56"/>
        </w:rPr>
        <w:t> </w:t>
      </w:r>
      <w:r>
        <w:rPr>
          <w:rFonts w:ascii="宋体" w:hAnsi="宋体" w:cs="宋体" w:eastAsia="宋体" w:hint="default"/>
        </w:rPr>
        <w:t>1.8%</w:t>
      </w:r>
      <w:r>
        <w:rPr/>
        <w:t>；公司</w:t>
      </w:r>
      <w:r>
        <w:rPr>
          <w:w w:val="100"/>
        </w:rPr>
        <w:t> </w:t>
      </w:r>
      <w:r>
        <w:rPr/>
        <w:t>向前五名供应商采购金额合计</w:t>
      </w:r>
      <w:r>
        <w:rPr>
          <w:spacing w:val="-56"/>
        </w:rPr>
        <w:t> </w:t>
      </w:r>
      <w:r>
        <w:rPr>
          <w:rFonts w:ascii="宋体" w:hAnsi="宋体" w:cs="宋体" w:eastAsia="宋体" w:hint="default"/>
        </w:rPr>
        <w:t>53,745,623</w:t>
      </w:r>
      <w:r>
        <w:rPr>
          <w:rFonts w:ascii="宋体" w:hAnsi="宋体" w:cs="宋体" w:eastAsia="宋体" w:hint="default"/>
          <w:spacing w:val="-56"/>
        </w:rPr>
        <w:t> </w:t>
      </w:r>
      <w:r>
        <w:rPr/>
        <w:t>元，占公司全部营业成本的</w:t>
      </w:r>
      <w:r>
        <w:rPr>
          <w:spacing w:val="-56"/>
        </w:rPr>
        <w:t> </w:t>
      </w:r>
      <w:r>
        <w:rPr>
          <w:rFonts w:ascii="宋体" w:hAnsi="宋体" w:cs="宋体" w:eastAsia="宋体" w:hint="default"/>
        </w:rPr>
        <w:t>3.8%</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23"/>
        <w:gridCol w:w="1042"/>
        <w:gridCol w:w="1582"/>
        <w:gridCol w:w="1016"/>
        <w:gridCol w:w="1582"/>
        <w:gridCol w:w="946"/>
        <w:gridCol w:w="919"/>
        <w:gridCol w:w="840"/>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6" w:right="200"/>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4" w:right="132" w:firstLine="52"/>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149"/>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36" w:right="137"/>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3" w:right="20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04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1,417,143,853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1,409,328,577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6" w:right="200"/>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4" w:right="132" w:firstLine="52"/>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149"/>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36" w:right="137"/>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3" w:right="20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1"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w:t>
            </w:r>
          </w:p>
        </w:tc>
        <w:tc>
          <w:tcPr>
            <w:tcW w:w="104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23,383,863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98,210,138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-76.2</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技术服务</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与培训</w:t>
            </w:r>
          </w:p>
        </w:tc>
        <w:tc>
          <w:tcPr>
            <w:tcW w:w="104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1,307,402,671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1,220,101,422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86.6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4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86,357,319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91,017,017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w:t>
            </w:r>
          </w:p>
        </w:tc>
        <w:tc>
          <w:tcPr>
            <w:tcW w:w="8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218" w:right="2465"/>
        <w:jc w:val="left"/>
      </w:pPr>
      <w:r>
        <w:rPr/>
        <w:t>成本分析其他情况说明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Heading2"/>
        <w:tabs>
          <w:tab w:pos="637" w:val="left" w:leader="none"/>
        </w:tabs>
        <w:spacing w:line="240" w:lineRule="auto" w:before="39"/>
        <w:ind w:right="2465"/>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116"/>
        <w:ind w:left="0" w:right="230"/>
        <w:jc w:val="right"/>
      </w:pPr>
      <w:r>
        <w:rPr/>
        <w:t>单位</w:t>
      </w:r>
      <w:r>
        <w:rPr>
          <w:rFonts w:ascii="宋体" w:hAnsi="宋体" w:cs="宋体" w:eastAsia="宋体" w:hint="default"/>
        </w:rPr>
        <w:t>:</w:t>
      </w:r>
      <w:r>
        <w:rPr/>
        <w:t>元</w:t>
      </w:r>
      <w:r>
        <w:rPr>
          <w:spacing w:val="-2"/>
        </w:rPr>
        <w:t> </w:t>
      </w:r>
      <w:r>
        <w:rPr/>
        <w:t>币种</w:t>
      </w:r>
      <w:r>
        <w:rPr>
          <w:rFonts w:ascii="宋体" w:hAnsi="宋体" w:cs="宋体" w:eastAsia="宋体" w:hint="default"/>
        </w:rPr>
        <w:t>:</w:t>
      </w:r>
      <w:r>
        <w:rPr/>
        <w:t>人民币</w:t>
      </w:r>
    </w:p>
    <w:p>
      <w:pPr>
        <w:spacing w:line="240" w:lineRule="auto" w:before="11"/>
        <w:rPr>
          <w:rFonts w:ascii="宋体" w:hAnsi="宋体" w:cs="宋体" w:eastAsia="宋体" w:hint="default"/>
          <w:sz w:val="16"/>
          <w:szCs w:val="16"/>
        </w:rPr>
      </w:pPr>
    </w:p>
    <w:tbl>
      <w:tblPr>
        <w:tblW w:w="0" w:type="auto"/>
        <w:jc w:val="left"/>
        <w:tblInd w:w="208" w:type="dxa"/>
        <w:tblLayout w:type="fixed"/>
        <w:tblCellMar>
          <w:top w:w="0" w:type="dxa"/>
          <w:left w:w="0" w:type="dxa"/>
          <w:bottom w:w="0" w:type="dxa"/>
          <w:right w:w="0" w:type="dxa"/>
        </w:tblCellMar>
        <w:tblLook w:val="01E0"/>
      </w:tblPr>
      <w:tblGrid>
        <w:gridCol w:w="1918"/>
        <w:gridCol w:w="2852"/>
        <w:gridCol w:w="2470"/>
        <w:gridCol w:w="1697"/>
      </w:tblGrid>
      <w:tr>
        <w:trPr>
          <w:trHeight w:val="295" w:hRule="exact"/>
        </w:trPr>
        <w:tc>
          <w:tcPr>
            <w:tcW w:w="1918" w:type="dxa"/>
            <w:tcBorders>
              <w:top w:val="single" w:sz="4" w:space="0" w:color="000000"/>
              <w:left w:val="single" w:sz="4" w:space="0" w:color="000000"/>
              <w:bottom w:val="single" w:sz="4" w:space="0" w:color="000000"/>
              <w:right w:val="single" w:sz="4" w:space="0" w:color="000000"/>
            </w:tcBorders>
          </w:tcPr>
          <w:p>
            <w:pP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8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4"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1,185,300,776</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1,092,606,648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sz w:val="21"/>
              </w:rPr>
              <w:t>8.5</w:t>
            </w:r>
          </w:p>
        </w:tc>
      </w:tr>
      <w:tr>
        <w:trPr>
          <w:trHeight w:val="326"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1,723,260,423</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1,357,389,323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sz w:val="21"/>
              </w:rPr>
              <w:t>27.0</w:t>
            </w:r>
          </w:p>
        </w:tc>
      </w:tr>
      <w:tr>
        <w:trPr>
          <w:trHeight w:val="324"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92,700,207</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84,127,509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sz w:val="21"/>
              </w:rPr>
              <w:t>10.2</w:t>
            </w:r>
          </w:p>
        </w:tc>
      </w:tr>
      <w:tr>
        <w:trPr>
          <w:trHeight w:val="326"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3,001,261,406</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2,534,123,480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sz w:val="21"/>
              </w:rPr>
              <w:t>18.4</w:t>
            </w:r>
          </w:p>
        </w:tc>
      </w:tr>
    </w:tbl>
    <w:p>
      <w:pPr>
        <w:spacing w:after="0" w:line="240" w:lineRule="auto"/>
        <w:jc w:val="center"/>
        <w:rPr>
          <w:rFonts w:ascii="宋体" w:hAnsi="宋体" w:cs="宋体" w:eastAsia="宋体" w:hint="default"/>
          <w:sz w:val="21"/>
          <w:szCs w:val="21"/>
        </w:rPr>
        <w:sectPr>
          <w:pgSz w:w="11910" w:h="16840"/>
          <w:pgMar w:header="880" w:footer="1335" w:top="1120" w:bottom="152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335" w:top="1120" w:bottom="1520" w:left="1580" w:right="780"/>
        </w:sectPr>
      </w:pPr>
    </w:p>
    <w:p>
      <w:pPr>
        <w:spacing w:line="240" w:lineRule="auto" w:before="4"/>
        <w:rPr>
          <w:rFonts w:ascii="宋体" w:hAnsi="宋体" w:cs="宋体" w:eastAsia="宋体" w:hint="default"/>
          <w:sz w:val="14"/>
          <w:szCs w:val="14"/>
        </w:rPr>
      </w:pPr>
    </w:p>
    <w:p>
      <w:pPr>
        <w:pStyle w:val="Heading2"/>
        <w:tabs>
          <w:tab w:pos="637" w:val="left" w:leader="none"/>
        </w:tabs>
        <w:spacing w:line="290" w:lineRule="auto" w:before="0"/>
        <w:ind w:right="0"/>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pStyle w:val="BodyText"/>
        <w:spacing w:line="240" w:lineRule="auto"/>
        <w:ind w:left="218" w:right="0"/>
        <w:jc w:val="left"/>
      </w:pPr>
      <w:r>
        <w:rPr/>
        <w:t>单位：元</w:t>
      </w:r>
    </w:p>
    <w:p>
      <w:pPr>
        <w:spacing w:after="0" w:line="240" w:lineRule="auto"/>
        <w:jc w:val="left"/>
        <w:sectPr>
          <w:type w:val="continuous"/>
          <w:pgSz w:w="11910" w:h="16840"/>
          <w:pgMar w:top="1120" w:bottom="1520" w:left="1580" w:right="780"/>
          <w:cols w:num="2" w:equalWidth="0">
            <w:col w:w="1697" w:space="6297"/>
            <w:col w:w="1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762,252,028</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126,861,714</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889,113,742</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4,047</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31.5</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14.3</w:t>
            </w:r>
          </w:p>
        </w:tc>
      </w:tr>
    </w:tbl>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r>
        <w:rPr/>
        <w:t>情况说明</w:t>
      </w:r>
      <w:r>
        <w:rPr>
          <w:b w:val="0"/>
          <w:bCs w:val="0"/>
        </w:rPr>
      </w:r>
    </w:p>
    <w:p>
      <w:pPr>
        <w:pStyle w:val="BodyText"/>
        <w:spacing w:line="237" w:lineRule="auto" w:before="59"/>
        <w:ind w:left="218" w:right="497"/>
        <w:jc w:val="both"/>
      </w:pPr>
      <w:r>
        <w:rPr>
          <w:spacing w:val="-3"/>
        </w:rPr>
        <w:t>报告期内，公司继续加大对互联网服务的研发投入，整体研发支出较</w:t>
      </w:r>
      <w:r>
        <w:rPr>
          <w:spacing w:val="-35"/>
        </w:rPr>
        <w:t> </w:t>
      </w:r>
      <w:r>
        <w:rPr>
          <w:rFonts w:ascii="宋体" w:hAnsi="宋体" w:cs="宋体" w:eastAsia="宋体" w:hint="default"/>
        </w:rPr>
        <w:t>2014</w:t>
      </w:r>
      <w:r>
        <w:rPr>
          <w:rFonts w:ascii="宋体" w:hAnsi="宋体" w:cs="宋体" w:eastAsia="宋体" w:hint="default"/>
          <w:spacing w:val="-35"/>
        </w:rPr>
        <w:t> </w:t>
      </w:r>
      <w:r>
        <w:rPr/>
        <w:t>年度增长了</w:t>
      </w:r>
      <w:r>
        <w:rPr>
          <w:spacing w:val="-34"/>
        </w:rPr>
        <w:t> </w:t>
      </w:r>
      <w:r>
        <w:rPr>
          <w:rFonts w:ascii="宋体" w:hAnsi="宋体" w:cs="宋体" w:eastAsia="宋体" w:hint="default"/>
          <w:spacing w:val="-6"/>
        </w:rPr>
        <w:t>28.3%</w:t>
      </w:r>
      <w:r>
        <w:rPr>
          <w:spacing w:val="-6"/>
        </w:rPr>
        <w:t>。公</w:t>
      </w:r>
      <w:r>
        <w:rPr>
          <w:spacing w:val="-95"/>
        </w:rPr>
        <w:t> </w:t>
      </w:r>
      <w:r>
        <w:rPr>
          <w:spacing w:val="-2"/>
        </w:rPr>
        <w:t>司对符合资本化条件在中长期产生效益的全新形态的产品与技术研发项目，包括企业空间、畅捷</w:t>
      </w:r>
      <w:r>
        <w:rPr>
          <w:spacing w:val="-25"/>
        </w:rPr>
        <w:t> </w:t>
      </w:r>
      <w:r>
        <w:rPr>
          <w:spacing w:val="-25"/>
        </w:rPr>
      </w:r>
      <w:r>
        <w:rPr/>
        <w:t>通大数据平台、畅捷通</w:t>
      </w:r>
      <w:r>
        <w:rPr>
          <w:spacing w:val="-54"/>
        </w:rPr>
        <w:t> </w:t>
      </w:r>
      <w:r>
        <w:rPr>
          <w:rFonts w:ascii="宋体" w:hAnsi="宋体" w:cs="宋体" w:eastAsia="宋体" w:hint="default"/>
        </w:rPr>
        <w:t>CSP</w:t>
      </w:r>
      <w:r>
        <w:rPr>
          <w:rFonts w:ascii="宋体" w:hAnsi="宋体" w:cs="宋体" w:eastAsia="宋体" w:hint="default"/>
          <w:spacing w:val="-55"/>
        </w:rPr>
        <w:t> </w:t>
      </w:r>
      <w:r>
        <w:rPr/>
        <w:t>开放平台、新一代商业智能平台</w:t>
      </w:r>
      <w:r>
        <w:rPr>
          <w:spacing w:val="-55"/>
        </w:rPr>
        <w:t> </w:t>
      </w:r>
      <w:r>
        <w:rPr>
          <w:rFonts w:ascii="宋体" w:hAnsi="宋体" w:cs="宋体" w:eastAsia="宋体" w:hint="default"/>
        </w:rPr>
        <w:t>BQ8</w:t>
      </w:r>
      <w:r>
        <w:rPr/>
        <w:t>、用友新一代信息系统等十多个</w:t>
      </w:r>
      <w:r>
        <w:rPr>
          <w:w w:val="100"/>
        </w:rPr>
        <w:t> </w:t>
      </w:r>
      <w:r>
        <w:rPr>
          <w:spacing w:val="-2"/>
        </w:rPr>
        <w:t>研发项目进行了研发支出资本化，资本化研发支出金额占当期研发总支出的</w:t>
      </w:r>
      <w:r>
        <w:rPr>
          <w:spacing w:val="13"/>
        </w:rPr>
        <w:t> </w:t>
      </w:r>
      <w:r>
        <w:rPr>
          <w:rFonts w:ascii="宋体" w:hAnsi="宋体" w:cs="宋体" w:eastAsia="宋体" w:hint="default"/>
          <w:spacing w:val="-1"/>
        </w:rPr>
        <w:t>14.3%</w:t>
      </w:r>
      <w:r>
        <w:rPr>
          <w:spacing w:val="-1"/>
        </w:rPr>
        <w:t>。</w:t>
      </w:r>
    </w:p>
    <w:p>
      <w:pPr>
        <w:spacing w:line="240" w:lineRule="auto" w:before="6"/>
        <w:rPr>
          <w:rFonts w:ascii="宋体" w:hAnsi="宋体" w:cs="宋体" w:eastAsia="宋体" w:hint="default"/>
          <w:sz w:val="22"/>
          <w:szCs w:val="22"/>
        </w:rPr>
      </w:pPr>
    </w:p>
    <w:p>
      <w:pPr>
        <w:pStyle w:val="Heading2"/>
        <w:tabs>
          <w:tab w:pos="637" w:val="left" w:leader="none"/>
        </w:tabs>
        <w:spacing w:line="240" w:lineRule="auto"/>
        <w:ind w:right="0"/>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116"/>
        <w:ind w:left="0" w:right="490"/>
        <w:jc w:val="right"/>
      </w:pPr>
      <w:r>
        <w:rPr/>
        <w:t>单位</w:t>
      </w:r>
      <w:r>
        <w:rPr>
          <w:rFonts w:ascii="宋体" w:hAnsi="宋体" w:cs="宋体" w:eastAsia="宋体" w:hint="default"/>
        </w:rPr>
        <w:t>:</w:t>
      </w:r>
      <w:r>
        <w:rPr/>
        <w:t>元</w:t>
      </w:r>
      <w:r>
        <w:rPr>
          <w:spacing w:val="-2"/>
        </w:rPr>
        <w:t> </w:t>
      </w:r>
      <w:r>
        <w:rPr/>
        <w:t>币种</w:t>
      </w:r>
      <w:r>
        <w:rPr>
          <w:rFonts w:ascii="宋体" w:hAnsi="宋体" w:cs="宋体" w:eastAsia="宋体" w:hint="default"/>
        </w:rPr>
        <w:t>:</w:t>
      </w:r>
      <w:r>
        <w:rPr/>
        <w:t>人民币</w:t>
      </w:r>
    </w:p>
    <w:p>
      <w:pPr>
        <w:spacing w:line="240" w:lineRule="auto" w:before="11"/>
        <w:rPr>
          <w:rFonts w:ascii="宋体" w:hAnsi="宋体" w:cs="宋体" w:eastAsia="宋体" w:hint="default"/>
          <w:sz w:val="16"/>
          <w:szCs w:val="16"/>
        </w:rPr>
      </w:pPr>
    </w:p>
    <w:tbl>
      <w:tblPr>
        <w:tblW w:w="0" w:type="auto"/>
        <w:jc w:val="left"/>
        <w:tblInd w:w="213" w:type="dxa"/>
        <w:tblLayout w:type="fixed"/>
        <w:tblCellMar>
          <w:top w:w="0" w:type="dxa"/>
          <w:left w:w="0" w:type="dxa"/>
          <w:bottom w:w="0" w:type="dxa"/>
          <w:right w:w="0" w:type="dxa"/>
        </w:tblCellMar>
        <w:tblLook w:val="01E0"/>
      </w:tblPr>
      <w:tblGrid>
        <w:gridCol w:w="3262"/>
        <w:gridCol w:w="2304"/>
        <w:gridCol w:w="2127"/>
        <w:gridCol w:w="1522"/>
      </w:tblGrid>
      <w:tr>
        <w:trPr>
          <w:trHeight w:val="52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2"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8"/>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52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549,715,458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804,302,209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Calibri" w:hAnsi="Calibri" w:cs="Calibri" w:eastAsia="Calibri" w:hint="default"/>
                <w:sz w:val="21"/>
                <w:szCs w:val="21"/>
              </w:rPr>
            </w:pPr>
            <w:r>
              <w:rPr>
                <w:rFonts w:ascii="Calibri"/>
                <w:sz w:val="21"/>
              </w:rPr>
              <w:t>-31.7</w:t>
            </w:r>
          </w:p>
        </w:tc>
      </w:tr>
      <w:tr>
        <w:trPr>
          <w:trHeight w:val="29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21"/>
                <w:szCs w:val="21"/>
              </w:rPr>
            </w:pPr>
            <w:r>
              <w:rPr>
                <w:rFonts w:ascii="Calibri"/>
                <w:spacing w:val="-1"/>
                <w:sz w:val="21"/>
              </w:rPr>
              <w:t>-956,248,499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21"/>
                <w:szCs w:val="21"/>
              </w:rPr>
            </w:pPr>
            <w:r>
              <w:rPr>
                <w:rFonts w:ascii="Calibri"/>
                <w:spacing w:val="-1"/>
                <w:sz w:val="21"/>
              </w:rPr>
              <w:t>-599,669,905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不适用</w:t>
            </w:r>
          </w:p>
        </w:tc>
      </w:tr>
      <w:tr>
        <w:trPr>
          <w:trHeight w:val="52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1,313,077,511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648,872,043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Calibri" w:hAnsi="Calibri" w:cs="Calibri" w:eastAsia="Calibri" w:hint="default"/>
                <w:sz w:val="21"/>
                <w:szCs w:val="21"/>
              </w:rPr>
            </w:pPr>
            <w:r>
              <w:rPr>
                <w:rFonts w:ascii="Calibri"/>
                <w:sz w:val="21"/>
              </w:rPr>
              <w:t>102.4</w:t>
            </w:r>
          </w:p>
        </w:tc>
      </w:tr>
    </w:tbl>
    <w:p>
      <w:pPr>
        <w:pStyle w:val="BodyText"/>
        <w:spacing w:line="240" w:lineRule="exact"/>
        <w:ind w:left="218" w:right="0"/>
        <w:jc w:val="both"/>
      </w:pPr>
      <w:r>
        <w:rPr>
          <w:spacing w:val="-3"/>
        </w:rPr>
        <w:t>（</w:t>
      </w:r>
      <w:r>
        <w:rPr>
          <w:rFonts w:ascii="宋体" w:hAnsi="宋体" w:cs="宋体" w:eastAsia="宋体" w:hint="default"/>
          <w:spacing w:val="-3"/>
        </w:rPr>
        <w:t>1</w:t>
      </w:r>
      <w:r>
        <w:rPr>
          <w:spacing w:val="-3"/>
        </w:rPr>
        <w:t>）经营活动产生的现金流量净额同比减少</w:t>
      </w:r>
      <w:r>
        <w:rPr>
          <w:spacing w:val="33"/>
        </w:rPr>
        <w:t> </w:t>
      </w:r>
      <w:r>
        <w:rPr>
          <w:rFonts w:ascii="宋体" w:hAnsi="宋体" w:cs="宋体" w:eastAsia="宋体" w:hint="default"/>
          <w:spacing w:val="-3"/>
        </w:rPr>
        <w:t>31.7%</w:t>
      </w:r>
      <w:r>
        <w:rPr>
          <w:spacing w:val="-3"/>
        </w:rPr>
        <w:t>，主要是由于公司加大对互联网服务和互联网</w:t>
      </w:r>
    </w:p>
    <w:p>
      <w:pPr>
        <w:pStyle w:val="BodyText"/>
        <w:spacing w:line="272" w:lineRule="exact"/>
        <w:ind w:left="218" w:right="0"/>
        <w:jc w:val="both"/>
      </w:pPr>
      <w:r>
        <w:rPr/>
        <w:t>金融方面的投入，支付给职工以及为职工支付的现金增加所致；</w:t>
      </w:r>
    </w:p>
    <w:p>
      <w:pPr>
        <w:pStyle w:val="BodyText"/>
        <w:spacing w:line="240" w:lineRule="auto"/>
        <w:ind w:left="218" w:right="490"/>
        <w:jc w:val="both"/>
      </w:pPr>
      <w:r>
        <w:rPr>
          <w:spacing w:val="-3"/>
        </w:rPr>
        <w:t>（</w:t>
      </w:r>
      <w:r>
        <w:rPr>
          <w:rFonts w:ascii="宋体" w:hAnsi="宋体" w:cs="宋体" w:eastAsia="宋体" w:hint="default"/>
          <w:spacing w:val="-3"/>
        </w:rPr>
        <w:t>2</w:t>
      </w:r>
      <w:r>
        <w:rPr>
          <w:spacing w:val="-3"/>
        </w:rPr>
        <w:t>）投资活动产生的现金流量净额同比减少</w:t>
      </w:r>
      <w:r>
        <w:rPr>
          <w:spacing w:val="-48"/>
        </w:rPr>
        <w:t> </w:t>
      </w:r>
      <w:r>
        <w:rPr>
          <w:rFonts w:ascii="宋体" w:hAnsi="宋体" w:cs="宋体" w:eastAsia="宋体" w:hint="default"/>
        </w:rPr>
        <w:t>356,578,549</w:t>
      </w:r>
      <w:r>
        <w:rPr/>
        <w:t>，主要是由于公司报告期购买的理财产</w:t>
      </w:r>
      <w:r>
        <w:rPr>
          <w:spacing w:val="-103"/>
        </w:rPr>
        <w:t> </w:t>
      </w:r>
      <w:r>
        <w:rPr>
          <w:spacing w:val="-103"/>
        </w:rPr>
      </w:r>
      <w:r>
        <w:rPr/>
        <w:t>品所致；</w:t>
      </w:r>
    </w:p>
    <w:p>
      <w:pPr>
        <w:pStyle w:val="BodyText"/>
        <w:spacing w:line="274" w:lineRule="exact" w:before="22"/>
        <w:ind w:left="218" w:right="555"/>
        <w:jc w:val="both"/>
      </w:pPr>
      <w:r>
        <w:rPr>
          <w:spacing w:val="-2"/>
        </w:rPr>
        <w:t>（</w:t>
      </w:r>
      <w:r>
        <w:rPr>
          <w:rFonts w:ascii="宋体" w:hAnsi="宋体" w:cs="宋体" w:eastAsia="宋体" w:hint="default"/>
          <w:spacing w:val="-2"/>
        </w:rPr>
        <w:t>3</w:t>
      </w:r>
      <w:r>
        <w:rPr>
          <w:spacing w:val="-2"/>
        </w:rPr>
        <w:t>）筹资活动产生的现金流量净额同比增加</w:t>
      </w:r>
      <w:r>
        <w:rPr/>
        <w:t> </w:t>
      </w:r>
      <w:r>
        <w:rPr>
          <w:rFonts w:ascii="宋体" w:hAnsi="宋体" w:cs="宋体" w:eastAsia="宋体" w:hint="default"/>
          <w:spacing w:val="-2"/>
        </w:rPr>
        <w:t>102.4%</w:t>
      </w:r>
      <w:r>
        <w:rPr>
          <w:spacing w:val="-2"/>
        </w:rPr>
        <w:t>，主要是由于公司报告期内非公开发行股票</w:t>
      </w:r>
      <w:r>
        <w:rPr>
          <w:spacing w:val="-79"/>
        </w:rPr>
        <w:t> </w:t>
      </w:r>
      <w:r>
        <w:rPr>
          <w:spacing w:val="-79"/>
        </w:rPr>
      </w:r>
      <w:r>
        <w:rPr/>
        <w:t>募集资金金额</w:t>
      </w:r>
      <w:r>
        <w:rPr>
          <w:spacing w:val="-51"/>
        </w:rPr>
        <w:t> </w:t>
      </w:r>
      <w:r>
        <w:rPr>
          <w:rFonts w:ascii="宋体" w:hAnsi="宋体" w:cs="宋体" w:eastAsia="宋体" w:hint="default"/>
        </w:rPr>
        <w:t>16.16</w:t>
      </w:r>
      <w:r>
        <w:rPr>
          <w:rFonts w:ascii="宋体" w:hAnsi="宋体" w:cs="宋体" w:eastAsia="宋体" w:hint="default"/>
          <w:spacing w:val="-53"/>
        </w:rPr>
        <w:t> </w:t>
      </w:r>
      <w:r>
        <w:rPr/>
        <w:t>亿元所致。</w:t>
      </w:r>
    </w:p>
    <w:p>
      <w:pPr>
        <w:spacing w:line="240" w:lineRule="auto" w:before="4"/>
        <w:rPr>
          <w:rFonts w:ascii="宋体" w:hAnsi="宋体" w:cs="宋体" w:eastAsia="宋体" w:hint="default"/>
          <w:sz w:val="23"/>
          <w:szCs w:val="23"/>
        </w:rPr>
      </w:pPr>
    </w:p>
    <w:p>
      <w:pPr>
        <w:pStyle w:val="Heading2"/>
        <w:spacing w:line="240" w:lineRule="auto" w:before="0"/>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非主营业务导致利润重大变化的说明</w:t>
      </w:r>
      <w:r>
        <w:rPr>
          <w:b w:val="0"/>
          <w:bCs w:val="0"/>
        </w:rPr>
      </w:r>
    </w:p>
    <w:p>
      <w:pPr>
        <w:pStyle w:val="BodyText"/>
        <w:spacing w:line="240" w:lineRule="auto" w:before="29"/>
        <w:ind w:left="218" w:right="0"/>
        <w:jc w:val="both"/>
      </w:pPr>
      <w:r>
        <w:rPr/>
        <w:t>√适用</w:t>
      </w:r>
      <w:r>
        <w:rPr>
          <w:spacing w:val="-1"/>
        </w:rPr>
        <w:t> </w:t>
      </w:r>
      <w:r>
        <w:rPr/>
        <w:t>□不适用</w:t>
      </w:r>
    </w:p>
    <w:p>
      <w:pPr>
        <w:pStyle w:val="BodyText"/>
        <w:spacing w:line="297" w:lineRule="auto" w:before="118"/>
        <w:ind w:left="218" w:right="487" w:firstLine="525"/>
        <w:jc w:val="both"/>
      </w:pPr>
      <w:r>
        <w:rPr>
          <w:spacing w:val="-5"/>
        </w:rPr>
        <w:t>报告期内，投资收益较上年增加 </w:t>
      </w:r>
      <w:r>
        <w:rPr>
          <w:rFonts w:ascii="宋体" w:hAnsi="宋体" w:cs="宋体" w:eastAsia="宋体" w:hint="default"/>
        </w:rPr>
        <w:t>155,216,337 </w:t>
      </w:r>
      <w:r>
        <w:rPr>
          <w:spacing w:val="-5"/>
        </w:rPr>
        <w:t>元，主要是公司转让致远公司</w:t>
      </w:r>
      <w:r>
        <w:rPr>
          <w:spacing w:val="36"/>
        </w:rPr>
        <w:t> </w:t>
      </w:r>
      <w:r>
        <w:rPr>
          <w:rFonts w:ascii="宋体" w:hAnsi="宋体" w:cs="宋体" w:eastAsia="宋体" w:hint="default"/>
        </w:rPr>
        <w:t>26.52%</w:t>
      </w:r>
      <w:r>
        <w:rPr/>
        <w:t>股权所</w:t>
      </w:r>
      <w:r>
        <w:rPr>
          <w:w w:val="100"/>
        </w:rPr>
        <w:t> </w:t>
      </w:r>
      <w:r>
        <w:rPr>
          <w:spacing w:val="-8"/>
        </w:rPr>
        <w:t>致，公司原持有致远公司</w:t>
      </w:r>
      <w:r>
        <w:rPr>
          <w:spacing w:val="-36"/>
        </w:rPr>
        <w:t> </w:t>
      </w:r>
      <w:r>
        <w:rPr>
          <w:rFonts w:ascii="宋体" w:hAnsi="宋体" w:cs="宋体" w:eastAsia="宋体" w:hint="default"/>
          <w:spacing w:val="-7"/>
        </w:rPr>
        <w:t>31.5%</w:t>
      </w:r>
      <w:r>
        <w:rPr>
          <w:spacing w:val="-7"/>
        </w:rPr>
        <w:t>股权，转让致远公司</w:t>
      </w:r>
      <w:r>
        <w:rPr>
          <w:spacing w:val="-36"/>
        </w:rPr>
        <w:t> </w:t>
      </w:r>
      <w:r>
        <w:rPr>
          <w:rFonts w:ascii="宋体" w:hAnsi="宋体" w:cs="宋体" w:eastAsia="宋体" w:hint="default"/>
          <w:spacing w:val="-6"/>
        </w:rPr>
        <w:t>26.52%</w:t>
      </w:r>
      <w:r>
        <w:rPr>
          <w:spacing w:val="-6"/>
        </w:rPr>
        <w:t>股权后，仍持有致远公司</w:t>
      </w:r>
      <w:r>
        <w:rPr>
          <w:spacing w:val="33"/>
        </w:rPr>
        <w:t> </w:t>
      </w:r>
      <w:r>
        <w:rPr>
          <w:rFonts w:ascii="宋体" w:hAnsi="宋体" w:cs="宋体" w:eastAsia="宋体" w:hint="default"/>
        </w:rPr>
        <w:t>4.98%</w:t>
      </w:r>
      <w:r>
        <w:rPr/>
        <w:t>股权，</w:t>
      </w:r>
      <w:r>
        <w:rPr>
          <w:spacing w:val="-97"/>
        </w:rPr>
        <w:t> </w:t>
      </w:r>
      <w:r>
        <w:rPr>
          <w:spacing w:val="-97"/>
        </w:rPr>
      </w:r>
      <w:r>
        <w:rPr>
          <w:spacing w:val="-4"/>
        </w:rPr>
        <w:t>但公司对其不再具有重大影响，根据《企业会计准则第 </w:t>
      </w:r>
      <w:r>
        <w:rPr>
          <w:rFonts w:ascii="宋体" w:hAnsi="宋体" w:cs="宋体" w:eastAsia="宋体" w:hint="default"/>
        </w:rPr>
        <w:t>2</w:t>
      </w:r>
      <w:r>
        <w:rPr>
          <w:rFonts w:ascii="宋体" w:hAnsi="宋体" w:cs="宋体" w:eastAsia="宋体" w:hint="default"/>
          <w:spacing w:val="81"/>
        </w:rPr>
        <w:t> </w:t>
      </w:r>
      <w:r>
        <w:rPr>
          <w:spacing w:val="-5"/>
        </w:rPr>
        <w:t>号－长期股权投资》和《企业会计准则</w:t>
      </w:r>
    </w:p>
    <w:p>
      <w:pPr>
        <w:pStyle w:val="BodyText"/>
        <w:spacing w:line="297" w:lineRule="auto" w:before="15"/>
        <w:ind w:left="218" w:right="488"/>
        <w:jc w:val="both"/>
      </w:pPr>
      <w:r>
        <w:rPr/>
        <w:t>第</w:t>
      </w:r>
      <w:r>
        <w:rPr>
          <w:spacing w:val="-26"/>
        </w:rPr>
        <w:t> </w:t>
      </w:r>
      <w:r>
        <w:rPr>
          <w:rFonts w:ascii="宋体" w:hAnsi="宋体" w:cs="宋体" w:eastAsia="宋体" w:hint="default"/>
        </w:rPr>
        <w:t>22</w:t>
      </w:r>
      <w:r>
        <w:rPr>
          <w:rFonts w:ascii="宋体" w:hAnsi="宋体" w:cs="宋体" w:eastAsia="宋体" w:hint="default"/>
          <w:spacing w:val="-29"/>
        </w:rPr>
        <w:t> </w:t>
      </w:r>
      <w:r>
        <w:rPr>
          <w:spacing w:val="-4"/>
        </w:rPr>
        <w:t>号——金融工具确认和计量》的规定：其在丧失共同控制或重大影响之日的公允价值与账面</w:t>
      </w:r>
      <w:r>
        <w:rPr>
          <w:spacing w:val="-96"/>
        </w:rPr>
        <w:t> </w:t>
      </w:r>
      <w:r>
        <w:rPr>
          <w:spacing w:val="-96"/>
        </w:rPr>
      </w:r>
      <w:r>
        <w:rPr>
          <w:spacing w:val="-1"/>
        </w:rPr>
        <w:t>价值之间的差额计入当期损益。原采用权益法核算的相关其他综合收益应当在终止采用权益法核</w:t>
      </w:r>
      <w:r>
        <w:rPr>
          <w:spacing w:val="-55"/>
        </w:rPr>
        <w:t> </w:t>
      </w:r>
      <w:r>
        <w:rPr>
          <w:spacing w:val="-55"/>
        </w:rPr>
      </w:r>
      <w:r>
        <w:rPr>
          <w:spacing w:val="-1"/>
        </w:rPr>
        <w:t>算时，采用与被投资单位直接处置相关资产或负债相同的基础进行会计处理，因被投资方除净损</w:t>
      </w:r>
      <w:r>
        <w:rPr>
          <w:spacing w:val="-55"/>
        </w:rPr>
        <w:t> </w:t>
      </w:r>
      <w:r>
        <w:rPr>
          <w:spacing w:val="-55"/>
        </w:rPr>
      </w:r>
      <w:r>
        <w:rPr>
          <w:spacing w:val="-1"/>
        </w:rPr>
        <w:t>益、其他综合收益和利润分配以外的其他所有者权益变动而确认的所有者权益，应当在终止采用</w:t>
      </w:r>
      <w:r>
        <w:rPr>
          <w:spacing w:val="-55"/>
        </w:rPr>
        <w:t> </w:t>
      </w:r>
      <w:r>
        <w:rPr>
          <w:spacing w:val="-55"/>
        </w:rPr>
      </w:r>
      <w:r>
        <w:rPr>
          <w:spacing w:val="-1"/>
        </w:rPr>
        <w:t>权益法核算时全部转入当期损益。处置后剩余股权在丧失共同控制或重大影响之日按照公允价值</w:t>
      </w:r>
    </w:p>
    <w:p>
      <w:pPr>
        <w:spacing w:after="0" w:line="297" w:lineRule="auto"/>
        <w:jc w:val="both"/>
        <w:sectPr>
          <w:type w:val="continuous"/>
          <w:pgSz w:w="11910" w:h="16840"/>
          <w:pgMar w:top="1120" w:bottom="1520" w:left="1580" w:right="780"/>
        </w:sectPr>
      </w:pPr>
    </w:p>
    <w:p>
      <w:pPr>
        <w:spacing w:line="240" w:lineRule="auto" w:before="4"/>
        <w:rPr>
          <w:rFonts w:ascii="宋体" w:hAnsi="宋体" w:cs="宋体" w:eastAsia="宋体" w:hint="default"/>
          <w:sz w:val="25"/>
          <w:szCs w:val="25"/>
        </w:rPr>
      </w:pPr>
    </w:p>
    <w:p>
      <w:pPr>
        <w:pStyle w:val="BodyText"/>
        <w:spacing w:line="297" w:lineRule="auto" w:before="36"/>
        <w:ind w:left="1118" w:right="0"/>
        <w:jc w:val="left"/>
      </w:pPr>
      <w:r>
        <w:rPr>
          <w:spacing w:val="-5"/>
        </w:rPr>
        <w:t>进行计量，公允价值与账面价值之间的差额计入当期损益。处置致远公司</w:t>
      </w:r>
      <w:r>
        <w:rPr>
          <w:spacing w:val="50"/>
        </w:rPr>
        <w:t> </w:t>
      </w:r>
      <w:r>
        <w:rPr>
          <w:rFonts w:ascii="宋体" w:hAnsi="宋体" w:cs="宋体" w:eastAsia="宋体" w:hint="default"/>
        </w:rPr>
        <w:t>26.52%</w:t>
      </w:r>
      <w:r>
        <w:rPr/>
        <w:t>股权在公司及合</w:t>
      </w:r>
      <w:r>
        <w:rPr>
          <w:spacing w:val="-96"/>
        </w:rPr>
        <w:t> </w:t>
      </w:r>
      <w:r>
        <w:rPr>
          <w:spacing w:val="-96"/>
        </w:rPr>
      </w:r>
      <w:r>
        <w:rPr/>
        <w:t>并报表上形成收益金额为人民币 </w:t>
      </w:r>
      <w:r>
        <w:rPr>
          <w:rFonts w:ascii="宋体" w:hAnsi="宋体" w:cs="宋体" w:eastAsia="宋体" w:hint="default"/>
        </w:rPr>
        <w:t>1.65</w:t>
      </w:r>
      <w:r>
        <w:rPr>
          <w:rFonts w:ascii="宋体" w:hAnsi="宋体" w:cs="宋体" w:eastAsia="宋体" w:hint="default"/>
          <w:spacing w:val="-54"/>
        </w:rPr>
        <w:t> </w:t>
      </w:r>
      <w:r>
        <w:rPr/>
        <w:t>亿元。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335" w:top="1120" w:bottom="1520" w:left="680" w:right="60"/>
        </w:sectPr>
      </w:pPr>
    </w:p>
    <w:p>
      <w:pPr>
        <w:spacing w:line="240" w:lineRule="auto" w:before="11"/>
        <w:rPr>
          <w:rFonts w:ascii="宋体" w:hAnsi="宋体" w:cs="宋体" w:eastAsia="宋体" w:hint="default"/>
          <w:sz w:val="15"/>
          <w:szCs w:val="15"/>
        </w:rPr>
      </w:pPr>
    </w:p>
    <w:p>
      <w:pPr>
        <w:spacing w:line="264" w:lineRule="auto" w:before="0"/>
        <w:ind w:left="1118" w:right="-1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资产、负债情况分析</w:t>
      </w:r>
      <w:r>
        <w:rPr>
          <w:rFonts w:ascii="宋体" w:hAnsi="宋体" w:cs="宋体" w:eastAsia="宋体" w:hint="default"/>
          <w:b/>
          <w:bCs/>
          <w:w w:val="100"/>
          <w:sz w:val="21"/>
          <w:szCs w:val="21"/>
        </w:rPr>
        <w:t> </w:t>
      </w:r>
      <w:r>
        <w:rPr>
          <w:rFonts w:ascii="宋体" w:hAnsi="宋体" w:cs="宋体" w:eastAsia="宋体" w:hint="default"/>
          <w:sz w:val="21"/>
          <w:szCs w:val="21"/>
        </w:rPr>
        <w:t>资产及负债状况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left="1100" w:right="1192"/>
        <w:jc w:val="center"/>
      </w:pPr>
      <w:r>
        <w:rPr/>
        <w:t>单位：元</w:t>
      </w:r>
    </w:p>
    <w:p>
      <w:pPr>
        <w:spacing w:after="0" w:line="240" w:lineRule="auto"/>
        <w:jc w:val="center"/>
        <w:sectPr>
          <w:type w:val="continuous"/>
          <w:pgSz w:w="11910" w:h="16840"/>
          <w:pgMar w:top="1120" w:bottom="1520" w:left="680" w:right="60"/>
          <w:cols w:num="2" w:equalWidth="0">
            <w:col w:w="3439" w:space="4554"/>
            <w:col w:w="31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63"/>
        <w:gridCol w:w="1582"/>
        <w:gridCol w:w="972"/>
        <w:gridCol w:w="1700"/>
        <w:gridCol w:w="1277"/>
        <w:gridCol w:w="1133"/>
        <w:gridCol w:w="2693"/>
      </w:tblGrid>
      <w:tr>
        <w:trPr>
          <w:trHeight w:val="137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before="2"/>
              <w:ind w:left="165" w:right="161"/>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1" w:lineRule="exact"/>
              <w:ind w:left="21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7" w:right="103"/>
              <w:jc w:val="both"/>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2"/>
              <w:ind w:left="141" w:right="137"/>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82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3,879,048,001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2,963,403,868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主要由于报告期内非公开</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发行募集资金净额</w:t>
            </w:r>
            <w:r>
              <w:rPr>
                <w:rFonts w:ascii="宋体" w:hAnsi="宋体" w:cs="宋体" w:eastAsia="宋体" w:hint="default"/>
                <w:spacing w:val="-75"/>
                <w:sz w:val="21"/>
                <w:szCs w:val="21"/>
              </w:rPr>
              <w:t> </w:t>
            </w:r>
            <w:r>
              <w:rPr>
                <w:rFonts w:ascii="宋体" w:hAnsi="宋体" w:cs="宋体" w:eastAsia="宋体" w:hint="default"/>
                <w:sz w:val="21"/>
                <w:szCs w:val="21"/>
              </w:rPr>
              <w:t>16.16</w:t>
            </w:r>
            <w:r>
              <w:rPr>
                <w:rFonts w:ascii="宋体" w:hAnsi="宋体" w:cs="宋体" w:eastAsia="宋体" w:hint="default"/>
                <w:spacing w:val="-78"/>
                <w:sz w:val="21"/>
                <w:szCs w:val="21"/>
              </w:rPr>
              <w:t> </w:t>
            </w:r>
            <w:r>
              <w:rPr>
                <w:rFonts w:ascii="宋体" w:hAnsi="宋体" w:cs="宋体" w:eastAsia="宋体" w:hint="default"/>
                <w:sz w:val="21"/>
                <w:szCs w:val="21"/>
              </w:rPr>
              <w:t>亿</w:t>
            </w:r>
            <w:r>
              <w:rPr>
                <w:rFonts w:ascii="宋体" w:hAnsi="宋体" w:cs="宋体" w:eastAsia="宋体" w:hint="default"/>
                <w:w w:val="100"/>
                <w:sz w:val="21"/>
                <w:szCs w:val="21"/>
              </w:rPr>
              <w:t> </w:t>
            </w:r>
            <w:r>
              <w:rPr>
                <w:rFonts w:ascii="宋体" w:hAnsi="宋体" w:cs="宋体" w:eastAsia="宋体" w:hint="default"/>
                <w:sz w:val="21"/>
                <w:szCs w:val="21"/>
              </w:rPr>
              <w:t>元所致。</w:t>
            </w:r>
          </w:p>
        </w:tc>
      </w:tr>
      <w:tr>
        <w:trPr>
          <w:trHeight w:val="82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53,649,381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37,513,638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主要由于报告期内经济下</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6"/>
                <w:sz w:val="21"/>
                <w:szCs w:val="21"/>
              </w:rPr>
              <w:t>行，客户采用票据付款方式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的增多所致。</w:t>
            </w:r>
          </w:p>
        </w:tc>
      </w:tr>
      <w:tr>
        <w:trPr>
          <w:trHeight w:val="82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43,357,365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23,307,247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86.0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主要由于报告期内部分支</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pacing w:val="12"/>
                <w:sz w:val="21"/>
                <w:szCs w:val="21"/>
              </w:rPr>
              <w:t>付给供应商的外包款尚未</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达到成本确认时点所致。</w:t>
            </w:r>
          </w:p>
        </w:tc>
      </w:tr>
      <w:tr>
        <w:trPr>
          <w:trHeight w:val="82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2,602,998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1,595,211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63.2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主要由于报告期内尚未到</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12"/>
                <w:sz w:val="21"/>
                <w:szCs w:val="21"/>
              </w:rPr>
              <w:t>期收回的定期存款同比增</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加所致。</w:t>
            </w: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872,617,946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250,477,692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248.4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主要由于报告期内购买理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财产品增加所致。</w:t>
            </w:r>
          </w:p>
        </w:tc>
      </w:tr>
      <w:tr>
        <w:trPr>
          <w:trHeight w:val="82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1,574,752,492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959,182,227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主要由于报告期内北京培</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pacing w:val="12"/>
                <w:sz w:val="21"/>
                <w:szCs w:val="21"/>
              </w:rPr>
              <w:t>训基地和南昌基地一期转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固所致。</w:t>
            </w:r>
          </w:p>
        </w:tc>
      </w:tr>
      <w:tr>
        <w:trPr>
          <w:trHeight w:val="82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414,862,262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850,863,276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主要由于报告期内北京培</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pacing w:val="12"/>
                <w:sz w:val="21"/>
                <w:szCs w:val="21"/>
              </w:rPr>
              <w:t>训基地和南昌基地一期转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固所致。</w:t>
            </w:r>
          </w:p>
        </w:tc>
      </w:tr>
      <w:tr>
        <w:trPr>
          <w:trHeight w:val="82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654,558,568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492,481,340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主要由于报告期内部分研</w:t>
            </w:r>
          </w:p>
          <w:p>
            <w:pPr>
              <w:pStyle w:val="TableParagraph"/>
              <w:spacing w:line="272" w:lineRule="exact" w:before="27"/>
              <w:ind w:left="103" w:right="55"/>
              <w:jc w:val="left"/>
              <w:rPr>
                <w:rFonts w:ascii="宋体" w:hAnsi="宋体" w:cs="宋体" w:eastAsia="宋体" w:hint="default"/>
                <w:sz w:val="21"/>
                <w:szCs w:val="21"/>
              </w:rPr>
            </w:pPr>
            <w:r>
              <w:rPr>
                <w:rFonts w:ascii="宋体" w:hAnsi="宋体" w:cs="宋体" w:eastAsia="宋体" w:hint="default"/>
                <w:spacing w:val="-2"/>
                <w:sz w:val="21"/>
                <w:szCs w:val="21"/>
              </w:rPr>
              <w:t>发资本化项目已结束研发，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转入无形资产所致。</w:t>
            </w:r>
          </w:p>
        </w:tc>
      </w:tr>
      <w:tr>
        <w:trPr>
          <w:trHeight w:val="82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26,025,570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88,314,569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主要由于报告期内部分研</w:t>
            </w:r>
          </w:p>
          <w:p>
            <w:pPr>
              <w:pStyle w:val="TableParagraph"/>
              <w:spacing w:line="272" w:lineRule="exact" w:before="27"/>
              <w:ind w:left="103" w:right="55"/>
              <w:jc w:val="left"/>
              <w:rPr>
                <w:rFonts w:ascii="宋体" w:hAnsi="宋体" w:cs="宋体" w:eastAsia="宋体" w:hint="default"/>
                <w:sz w:val="21"/>
                <w:szCs w:val="21"/>
              </w:rPr>
            </w:pPr>
            <w:r>
              <w:rPr>
                <w:rFonts w:ascii="宋体" w:hAnsi="宋体" w:cs="宋体" w:eastAsia="宋体" w:hint="default"/>
                <w:spacing w:val="-2"/>
                <w:sz w:val="21"/>
                <w:szCs w:val="21"/>
              </w:rPr>
              <w:t>发资本化项目已结束研发，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转入无形资产所致。</w:t>
            </w:r>
          </w:p>
        </w:tc>
      </w:tr>
      <w:tr>
        <w:trPr>
          <w:trHeight w:val="557"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1,823,984,362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1,268,000,000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43.8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主要由于报告期内增加借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款所致。</w:t>
            </w:r>
          </w:p>
        </w:tc>
      </w:tr>
      <w:tr>
        <w:trPr>
          <w:trHeight w:val="826"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一年内到期的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602,590,400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184,420,991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226.7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主要由于公司应付债券将</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38"/>
                <w:sz w:val="21"/>
                <w:szCs w:val="21"/>
              </w:rPr>
              <w:t> </w:t>
            </w:r>
            <w:r>
              <w:rPr>
                <w:rFonts w:ascii="宋体" w:hAnsi="宋体" w:cs="宋体" w:eastAsia="宋体" w:hint="default"/>
                <w:sz w:val="21"/>
                <w:szCs w:val="21"/>
              </w:rPr>
              <w:t>2016</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3</w:t>
            </w:r>
            <w:r>
              <w:rPr>
                <w:rFonts w:ascii="宋体" w:hAnsi="宋体" w:cs="宋体" w:eastAsia="宋体" w:hint="default"/>
                <w:spacing w:val="-41"/>
                <w:sz w:val="21"/>
                <w:szCs w:val="21"/>
              </w:rPr>
              <w:t> </w:t>
            </w:r>
            <w:r>
              <w:rPr>
                <w:rFonts w:ascii="宋体" w:hAnsi="宋体" w:cs="宋体" w:eastAsia="宋体" w:hint="default"/>
                <w:sz w:val="21"/>
                <w:szCs w:val="21"/>
              </w:rPr>
              <w:t>月到期，重分</w:t>
            </w:r>
            <w:r>
              <w:rPr>
                <w:rFonts w:ascii="宋体" w:hAnsi="宋体" w:cs="宋体" w:eastAsia="宋体" w:hint="default"/>
                <w:w w:val="100"/>
                <w:sz w:val="21"/>
                <w:szCs w:val="21"/>
              </w:rPr>
              <w:t> </w:t>
            </w:r>
            <w:r>
              <w:rPr>
                <w:rFonts w:ascii="宋体" w:hAnsi="宋体" w:cs="宋体" w:eastAsia="宋体" w:hint="default"/>
                <w:sz w:val="21"/>
                <w:szCs w:val="21"/>
              </w:rPr>
              <w:t>类至此科目所致。</w:t>
            </w: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131,598,294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326,332,464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主要由于报告期内偿还长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期借款所致。</w:t>
            </w:r>
          </w:p>
        </w:tc>
      </w:tr>
      <w:tr>
        <w:trPr>
          <w:trHeight w:val="1102"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498,082,310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2"/>
                <w:sz w:val="21"/>
                <w:szCs w:val="21"/>
              </w:rPr>
              <w:t>主要由于公司应付债券将</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38"/>
                <w:sz w:val="21"/>
                <w:szCs w:val="21"/>
              </w:rPr>
              <w:t> </w:t>
            </w:r>
            <w:r>
              <w:rPr>
                <w:rFonts w:ascii="宋体" w:hAnsi="宋体" w:cs="宋体" w:eastAsia="宋体" w:hint="default"/>
                <w:sz w:val="21"/>
                <w:szCs w:val="21"/>
              </w:rPr>
              <w:t>2016</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3</w:t>
            </w:r>
            <w:r>
              <w:rPr>
                <w:rFonts w:ascii="宋体" w:hAnsi="宋体" w:cs="宋体" w:eastAsia="宋体" w:hint="default"/>
                <w:spacing w:val="-41"/>
                <w:sz w:val="21"/>
                <w:szCs w:val="21"/>
              </w:rPr>
              <w:t> </w:t>
            </w:r>
            <w:r>
              <w:rPr>
                <w:rFonts w:ascii="宋体" w:hAnsi="宋体" w:cs="宋体" w:eastAsia="宋体" w:hint="default"/>
                <w:sz w:val="21"/>
                <w:szCs w:val="21"/>
              </w:rPr>
              <w:t>月到期，重分</w:t>
            </w:r>
            <w:r>
              <w:rPr>
                <w:rFonts w:ascii="宋体" w:hAnsi="宋体" w:cs="宋体" w:eastAsia="宋体" w:hint="default"/>
                <w:w w:val="100"/>
                <w:sz w:val="21"/>
                <w:szCs w:val="21"/>
              </w:rPr>
              <w:t> </w:t>
            </w:r>
            <w:r>
              <w:rPr>
                <w:rFonts w:ascii="宋体" w:hAnsi="宋体" w:cs="宋体" w:eastAsia="宋体" w:hint="default"/>
                <w:spacing w:val="12"/>
                <w:sz w:val="21"/>
                <w:szCs w:val="21"/>
              </w:rPr>
              <w:t>类至一年内到期的非流动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负债项目所致。</w:t>
            </w:r>
          </w:p>
        </w:tc>
      </w:tr>
    </w:tbl>
    <w:p>
      <w:pPr>
        <w:spacing w:after="0" w:line="237" w:lineRule="auto"/>
        <w:jc w:val="both"/>
        <w:rPr>
          <w:rFonts w:ascii="宋体" w:hAnsi="宋体" w:cs="宋体" w:eastAsia="宋体" w:hint="default"/>
          <w:sz w:val="21"/>
          <w:szCs w:val="21"/>
        </w:rPr>
        <w:sectPr>
          <w:type w:val="continuous"/>
          <w:pgSz w:w="11910" w:h="16840"/>
          <w:pgMar w:top="1120" w:bottom="1520" w:left="680" w:right="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563"/>
        <w:gridCol w:w="1582"/>
        <w:gridCol w:w="972"/>
        <w:gridCol w:w="1700"/>
        <w:gridCol w:w="1277"/>
        <w:gridCol w:w="1133"/>
        <w:gridCol w:w="2693"/>
      </w:tblGrid>
      <w:tr>
        <w:trPr>
          <w:trHeight w:val="82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6,796,895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10,006,637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-32.1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主要由于报告期内政府补</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pacing w:val="12"/>
                <w:sz w:val="21"/>
                <w:szCs w:val="21"/>
              </w:rPr>
              <w:t>助项目结转至营业外收入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所致。</w:t>
            </w:r>
          </w:p>
        </w:tc>
      </w:tr>
      <w:tr>
        <w:trPr>
          <w:trHeight w:val="828"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递延所得税负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12,397,239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3,686,778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236.3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主要由于非同一控制下企</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pacing w:val="12"/>
                <w:sz w:val="21"/>
                <w:szCs w:val="21"/>
              </w:rPr>
              <w:t>业合并公允价值评估增值</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所致。</w:t>
            </w:r>
          </w:p>
        </w:tc>
      </w:tr>
      <w:tr>
        <w:trPr>
          <w:trHeight w:val="1370"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2,252,417,040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744,991,795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202.3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2"/>
                <w:sz w:val="21"/>
                <w:szCs w:val="21"/>
              </w:rPr>
              <w:t>主要由于报告期内非公开</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发行募集资金净额</w:t>
            </w:r>
            <w:r>
              <w:rPr>
                <w:rFonts w:ascii="宋体" w:hAnsi="宋体" w:cs="宋体" w:eastAsia="宋体" w:hint="default"/>
                <w:spacing w:val="-76"/>
                <w:sz w:val="21"/>
                <w:szCs w:val="21"/>
              </w:rPr>
              <w:t> </w:t>
            </w:r>
            <w:r>
              <w:rPr>
                <w:rFonts w:ascii="宋体" w:hAnsi="宋体" w:cs="宋体" w:eastAsia="宋体" w:hint="default"/>
                <w:sz w:val="21"/>
                <w:szCs w:val="21"/>
              </w:rPr>
              <w:t>16.16</w:t>
            </w:r>
            <w:r>
              <w:rPr>
                <w:rFonts w:ascii="宋体" w:hAnsi="宋体" w:cs="宋体" w:eastAsia="宋体" w:hint="default"/>
                <w:spacing w:val="-78"/>
                <w:sz w:val="21"/>
                <w:szCs w:val="21"/>
              </w:rPr>
              <w:t> </w:t>
            </w:r>
            <w:r>
              <w:rPr>
                <w:rFonts w:ascii="宋体" w:hAnsi="宋体" w:cs="宋体" w:eastAsia="宋体" w:hint="default"/>
                <w:sz w:val="21"/>
                <w:szCs w:val="21"/>
              </w:rPr>
              <w:t>亿</w:t>
            </w:r>
            <w:r>
              <w:rPr>
                <w:rFonts w:ascii="宋体" w:hAnsi="宋体" w:cs="宋体" w:eastAsia="宋体" w:hint="default"/>
                <w:w w:val="100"/>
                <w:sz w:val="21"/>
                <w:szCs w:val="21"/>
              </w:rPr>
              <w:t> </w:t>
            </w:r>
            <w:r>
              <w:rPr>
                <w:rFonts w:ascii="宋体" w:hAnsi="宋体" w:cs="宋体" w:eastAsia="宋体" w:hint="default"/>
                <w:spacing w:val="12"/>
                <w:sz w:val="21"/>
                <w:szCs w:val="21"/>
              </w:rPr>
              <w:t>元以及子公司股权激励计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2"/>
                <w:sz w:val="21"/>
                <w:szCs w:val="21"/>
              </w:rPr>
              <w:t>划产生股权激励费用综合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所致。</w:t>
            </w:r>
          </w:p>
        </w:tc>
      </w:tr>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720,336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-957,408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主要由于汇率变动所致。</w:t>
            </w:r>
          </w:p>
        </w:tc>
      </w:tr>
    </w:tbl>
    <w:p>
      <w:pPr>
        <w:spacing w:line="240" w:lineRule="auto" w:before="5"/>
        <w:rPr>
          <w:rFonts w:ascii="宋体" w:hAnsi="宋体" w:cs="宋体" w:eastAsia="宋体" w:hint="default"/>
          <w:sz w:val="15"/>
          <w:szCs w:val="15"/>
        </w:rPr>
      </w:pPr>
    </w:p>
    <w:p>
      <w:pPr>
        <w:pStyle w:val="BodyText"/>
        <w:spacing w:line="240" w:lineRule="auto" w:before="36"/>
        <w:ind w:left="1118" w:right="0"/>
        <w:jc w:val="left"/>
      </w:pPr>
      <w:r>
        <w:rPr/>
        <w:t>其他说明</w:t>
      </w:r>
    </w:p>
    <w:p>
      <w:pPr>
        <w:spacing w:line="240" w:lineRule="auto" w:before="11"/>
        <w:rPr>
          <w:rFonts w:ascii="宋体" w:hAnsi="宋体" w:cs="宋体" w:eastAsia="宋体" w:hint="default"/>
          <w:sz w:val="20"/>
          <w:szCs w:val="20"/>
        </w:rPr>
      </w:pPr>
    </w:p>
    <w:p>
      <w:pPr>
        <w:spacing w:line="20" w:lineRule="exact"/>
        <w:ind w:left="11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left="111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3"/>
        </w:rPr>
        <w:t> </w:t>
      </w:r>
      <w:r>
        <w:rPr/>
        <w:t>行业经营性信息分析</w:t>
      </w:r>
      <w:r>
        <w:rPr>
          <w:b w:val="0"/>
          <w:bCs w:val="0"/>
        </w:rPr>
      </w:r>
    </w:p>
    <w:p>
      <w:pPr>
        <w:pStyle w:val="BodyText"/>
        <w:spacing w:line="240" w:lineRule="auto" w:before="29"/>
        <w:ind w:left="1118" w:right="0" w:firstLine="419"/>
        <w:jc w:val="left"/>
      </w:pPr>
      <w:r>
        <w:rPr>
          <w:spacing w:val="-5"/>
        </w:rPr>
        <w:t>参见“第三节</w:t>
      </w:r>
      <w:r>
        <w:rPr>
          <w:spacing w:val="51"/>
        </w:rPr>
        <w:t> </w:t>
      </w:r>
      <w:r>
        <w:rPr>
          <w:spacing w:val="-4"/>
        </w:rPr>
        <w:t>公司业务概要”中“一、报告期内公司所从事的主要业务、经营模式及行业情</w:t>
      </w:r>
      <w:r>
        <w:rPr>
          <w:w w:val="100"/>
        </w:rPr>
        <w:t> </w:t>
      </w:r>
      <w:r>
        <w:rPr/>
        <w:t>况说明”中“（二）行业情况说明”。</w:t>
      </w:r>
    </w:p>
    <w:p>
      <w:pPr>
        <w:spacing w:after="0" w:line="240" w:lineRule="auto"/>
        <w:jc w:val="left"/>
        <w:sectPr>
          <w:pgSz w:w="11910" w:h="16840"/>
          <w:pgMar w:header="880" w:footer="1335" w:top="1120" w:bottom="1520" w:left="680" w:right="60"/>
        </w:sectPr>
      </w:pPr>
    </w:p>
    <w:p>
      <w:pPr>
        <w:spacing w:line="240" w:lineRule="auto" w:before="11"/>
        <w:rPr>
          <w:rFonts w:ascii="宋体" w:hAnsi="宋体" w:cs="宋体" w:eastAsia="宋体" w:hint="default"/>
          <w:sz w:val="29"/>
          <w:szCs w:val="29"/>
        </w:rPr>
      </w:pPr>
    </w:p>
    <w:p>
      <w:pPr>
        <w:pStyle w:val="Heading2"/>
        <w:spacing w:line="240" w:lineRule="auto"/>
        <w:ind w:left="1398" w:right="67"/>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spacing w:line="340" w:lineRule="auto" w:before="32"/>
        <w:ind w:left="1818" w:right="67"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对外股权投资总体分析</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报告期内公司投资状况分析详见本节“一、管理层讨论与分析”中“（二）公司各项业务发</w:t>
      </w:r>
    </w:p>
    <w:p>
      <w:pPr>
        <w:pStyle w:val="BodyText"/>
        <w:spacing w:line="253" w:lineRule="exact"/>
        <w:ind w:left="1398" w:right="67"/>
        <w:jc w:val="left"/>
      </w:pPr>
      <w:r>
        <w:rPr/>
        <w:t>展情况”中“</w:t>
      </w:r>
      <w:r>
        <w:rPr>
          <w:rFonts w:ascii="宋体" w:hAnsi="宋体" w:cs="宋体" w:eastAsia="宋体" w:hint="default"/>
        </w:rPr>
        <w:t>7</w:t>
      </w:r>
      <w:r>
        <w:rPr/>
        <w:t>、投资并购”的具体内容。</w:t>
      </w:r>
    </w:p>
    <w:p>
      <w:pPr>
        <w:spacing w:line="240" w:lineRule="auto" w:before="3"/>
        <w:rPr>
          <w:rFonts w:ascii="宋体" w:hAnsi="宋体" w:cs="宋体" w:eastAsia="宋体" w:hint="default"/>
          <w:sz w:val="14"/>
          <w:szCs w:val="14"/>
        </w:rPr>
      </w:pPr>
    </w:p>
    <w:p>
      <w:pPr>
        <w:pStyle w:val="Heading2"/>
        <w:spacing w:line="240" w:lineRule="auto" w:before="0"/>
        <w:ind w:left="1398" w:right="67"/>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spacing w:line="240" w:lineRule="auto" w:before="6"/>
        <w:rPr>
          <w:rFonts w:ascii="宋体" w:hAnsi="宋体" w:cs="宋体" w:eastAsia="宋体" w:hint="default"/>
          <w:b/>
          <w:bCs/>
          <w:sz w:val="25"/>
          <w:szCs w:val="25"/>
        </w:rPr>
      </w:pPr>
    </w:p>
    <w:p>
      <w:pPr>
        <w:spacing w:line="20" w:lineRule="exact"/>
        <w:ind w:left="139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0"/>
          <w:szCs w:val="20"/>
        </w:rPr>
      </w:pPr>
    </w:p>
    <w:p>
      <w:pPr>
        <w:pStyle w:val="Heading2"/>
        <w:spacing w:line="240" w:lineRule="auto"/>
        <w:ind w:left="1398" w:right="67"/>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spacing w:line="240" w:lineRule="auto" w:before="6"/>
        <w:rPr>
          <w:rFonts w:ascii="宋体" w:hAnsi="宋体" w:cs="宋体" w:eastAsia="宋体" w:hint="default"/>
          <w:b/>
          <w:bCs/>
          <w:sz w:val="25"/>
          <w:szCs w:val="25"/>
        </w:rPr>
      </w:pPr>
    </w:p>
    <w:p>
      <w:pPr>
        <w:spacing w:line="20" w:lineRule="exact"/>
        <w:ind w:left="139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2"/>
        <w:spacing w:line="240" w:lineRule="auto"/>
        <w:ind w:left="1398" w:right="67"/>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spacing w:line="240" w:lineRule="auto" w:before="3"/>
        <w:rPr>
          <w:rFonts w:ascii="宋体" w:hAnsi="宋体" w:cs="宋体" w:eastAsia="宋体" w:hint="default"/>
          <w:b/>
          <w:bCs/>
          <w:sz w:val="25"/>
          <w:szCs w:val="25"/>
        </w:rPr>
      </w:pPr>
    </w:p>
    <w:p>
      <w:pPr>
        <w:spacing w:line="20" w:lineRule="exact"/>
        <w:ind w:left="139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1398" w:right="0"/>
        <w:jc w:val="both"/>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3"/>
        </w:rPr>
        <w:t> </w:t>
      </w:r>
      <w:r>
        <w:rPr/>
        <w:t>重大资产和股权出售</w:t>
      </w:r>
      <w:r>
        <w:rPr>
          <w:b w:val="0"/>
          <w:bCs w:val="0"/>
        </w:rPr>
      </w:r>
    </w:p>
    <w:p>
      <w:pPr>
        <w:pStyle w:val="BodyText"/>
        <w:spacing w:line="240" w:lineRule="auto" w:before="92"/>
        <w:ind w:left="1890" w:right="67"/>
        <w:jc w:val="left"/>
      </w:pPr>
      <w:r>
        <w:rPr>
          <w:w w:val="100"/>
        </w:rPr>
        <w:t>报告</w:t>
      </w:r>
      <w:r>
        <w:rPr>
          <w:spacing w:val="-3"/>
          <w:w w:val="100"/>
        </w:rPr>
        <w:t>期内</w:t>
      </w:r>
      <w:r>
        <w:rPr>
          <w:spacing w:val="-82"/>
          <w:w w:val="100"/>
        </w:rPr>
        <w:t>，</w:t>
      </w:r>
      <w:r>
        <w:rPr>
          <w:spacing w:val="-3"/>
          <w:w w:val="100"/>
        </w:rPr>
        <w:t>公</w:t>
      </w:r>
      <w:r>
        <w:rPr>
          <w:w w:val="100"/>
        </w:rPr>
        <w:t>司</w:t>
      </w:r>
      <w:r>
        <w:rPr>
          <w:spacing w:val="-3"/>
          <w:w w:val="100"/>
        </w:rPr>
        <w:t>以</w:t>
      </w:r>
      <w:r>
        <w:rPr>
          <w:w w:val="100"/>
        </w:rPr>
        <w:t>人</w:t>
      </w:r>
      <w:r>
        <w:rPr>
          <w:spacing w:val="-3"/>
          <w:w w:val="100"/>
        </w:rPr>
        <w:t>民</w:t>
      </w:r>
      <w:r>
        <w:rPr>
          <w:w w:val="100"/>
        </w:rPr>
        <w:t>币</w:t>
      </w:r>
      <w:r>
        <w:rPr>
          <w:spacing w:val="-53"/>
        </w:rPr>
        <w:t> </w:t>
      </w:r>
      <w:r>
        <w:rPr>
          <w:rFonts w:ascii="宋体" w:hAnsi="宋体" w:cs="宋体" w:eastAsia="宋体" w:hint="default"/>
          <w:spacing w:val="-3"/>
          <w:w w:val="100"/>
        </w:rPr>
        <w:t>8</w:t>
      </w:r>
      <w:r>
        <w:rPr>
          <w:rFonts w:ascii="宋体" w:hAnsi="宋体" w:cs="宋体" w:eastAsia="宋体" w:hint="default"/>
          <w:w w:val="100"/>
        </w:rPr>
        <w:t>3,020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55"/>
        </w:rPr>
        <w:t> </w:t>
      </w:r>
      <w:r>
        <w:rPr>
          <w:w w:val="100"/>
        </w:rPr>
        <w:t>元</w:t>
      </w:r>
      <w:r>
        <w:rPr>
          <w:spacing w:val="-3"/>
          <w:w w:val="100"/>
        </w:rPr>
        <w:t>的</w:t>
      </w:r>
      <w:r>
        <w:rPr>
          <w:w w:val="100"/>
        </w:rPr>
        <w:t>价</w:t>
      </w:r>
      <w:r>
        <w:rPr>
          <w:spacing w:val="-3"/>
          <w:w w:val="100"/>
        </w:rPr>
        <w:t>格</w:t>
      </w:r>
      <w:r>
        <w:rPr>
          <w:w w:val="100"/>
        </w:rPr>
        <w:t>将</w:t>
      </w:r>
      <w:r>
        <w:rPr>
          <w:spacing w:val="-3"/>
          <w:w w:val="100"/>
        </w:rPr>
        <w:t>公</w:t>
      </w:r>
      <w:r>
        <w:rPr>
          <w:w w:val="100"/>
        </w:rPr>
        <w:t>司持</w:t>
      </w:r>
      <w:r>
        <w:rPr>
          <w:spacing w:val="-3"/>
          <w:w w:val="100"/>
        </w:rPr>
        <w:t>有</w:t>
      </w:r>
      <w:r>
        <w:rPr>
          <w:w w:val="100"/>
        </w:rPr>
        <w:t>的</w:t>
      </w:r>
      <w:r>
        <w:rPr>
          <w:spacing w:val="-3"/>
          <w:w w:val="100"/>
        </w:rPr>
        <w:t>北</w:t>
      </w:r>
      <w:r>
        <w:rPr>
          <w:w w:val="100"/>
        </w:rPr>
        <w:t>京</w:t>
      </w:r>
      <w:r>
        <w:rPr>
          <w:spacing w:val="-3"/>
          <w:w w:val="100"/>
        </w:rPr>
        <w:t>致</w:t>
      </w:r>
      <w:r>
        <w:rPr>
          <w:w w:val="100"/>
        </w:rPr>
        <w:t>远</w:t>
      </w:r>
      <w:r>
        <w:rPr>
          <w:spacing w:val="-3"/>
          <w:w w:val="100"/>
        </w:rPr>
        <w:t>协</w:t>
      </w:r>
      <w:r>
        <w:rPr>
          <w:w w:val="100"/>
        </w:rPr>
        <w:t>创</w:t>
      </w:r>
      <w:r>
        <w:rPr>
          <w:spacing w:val="-3"/>
          <w:w w:val="100"/>
        </w:rPr>
        <w:t>软</w:t>
      </w:r>
      <w:r>
        <w:rPr>
          <w:w w:val="100"/>
        </w:rPr>
        <w:t>件有</w:t>
      </w:r>
      <w:r>
        <w:rPr>
          <w:spacing w:val="-3"/>
          <w:w w:val="100"/>
        </w:rPr>
        <w:t>限</w:t>
      </w:r>
      <w:r>
        <w:rPr>
          <w:w w:val="100"/>
        </w:rPr>
        <w:t>公</w:t>
      </w:r>
      <w:r>
        <w:rPr>
          <w:spacing w:val="-85"/>
          <w:w w:val="100"/>
        </w:rPr>
        <w:t>司</w:t>
      </w:r>
      <w:r>
        <w:rPr>
          <w:spacing w:val="-3"/>
          <w:w w:val="100"/>
        </w:rPr>
        <w:t>（</w:t>
      </w:r>
      <w:r>
        <w:rPr>
          <w:w w:val="100"/>
        </w:rPr>
        <w:t>下</w:t>
      </w:r>
    </w:p>
    <w:p>
      <w:pPr>
        <w:pStyle w:val="BodyText"/>
        <w:spacing w:line="297" w:lineRule="auto" w:before="66"/>
        <w:ind w:left="1398" w:right="1207"/>
        <w:jc w:val="both"/>
      </w:pPr>
      <w:r>
        <w:rPr>
          <w:spacing w:val="-5"/>
        </w:rPr>
        <w:t>称“致远公司”）</w:t>
      </w:r>
      <w:r>
        <w:rPr>
          <w:rFonts w:ascii="宋体" w:hAnsi="宋体" w:cs="宋体" w:eastAsia="宋体" w:hint="default"/>
          <w:spacing w:val="-5"/>
        </w:rPr>
        <w:t>11.86%</w:t>
      </w:r>
      <w:r>
        <w:rPr>
          <w:spacing w:val="-5"/>
        </w:rPr>
        <w:t>的股权转让给信智一号有限合伙，以人民币</w:t>
      </w:r>
      <w:r>
        <w:rPr>
          <w:spacing w:val="-27"/>
        </w:rPr>
        <w:t> </w:t>
      </w:r>
      <w:r>
        <w:rPr>
          <w:rFonts w:ascii="宋体" w:hAnsi="宋体" w:cs="宋体" w:eastAsia="宋体" w:hint="default"/>
        </w:rPr>
        <w:t>52,500,000</w:t>
      </w:r>
      <w:r>
        <w:rPr>
          <w:rFonts w:ascii="宋体" w:hAnsi="宋体" w:cs="宋体" w:eastAsia="宋体" w:hint="default"/>
          <w:spacing w:val="-26"/>
        </w:rPr>
        <w:t> </w:t>
      </w:r>
      <w:r>
        <w:rPr/>
        <w:t>元的价格将公司</w:t>
      </w:r>
      <w:r>
        <w:rPr>
          <w:spacing w:val="-95"/>
        </w:rPr>
        <w:t> </w:t>
      </w:r>
      <w:r>
        <w:rPr>
          <w:spacing w:val="-95"/>
        </w:rPr>
      </w:r>
      <w:r>
        <w:rPr/>
        <w:t>持有的致远公司</w:t>
      </w:r>
      <w:r>
        <w:rPr>
          <w:spacing w:val="-36"/>
        </w:rPr>
        <w:t> </w:t>
      </w:r>
      <w:r>
        <w:rPr>
          <w:rFonts w:ascii="宋体" w:hAnsi="宋体" w:cs="宋体" w:eastAsia="宋体" w:hint="default"/>
        </w:rPr>
        <w:t>7.5%</w:t>
      </w:r>
      <w:r>
        <w:rPr/>
        <w:t>的股权转让给二六三公司，以人民币</w:t>
      </w:r>
      <w:r>
        <w:rPr>
          <w:spacing w:val="-33"/>
        </w:rPr>
        <w:t> </w:t>
      </w:r>
      <w:r>
        <w:rPr>
          <w:rFonts w:ascii="宋体" w:hAnsi="宋体" w:cs="宋体" w:eastAsia="宋体" w:hint="default"/>
        </w:rPr>
        <w:t>50,120,000</w:t>
      </w:r>
      <w:r>
        <w:rPr>
          <w:rFonts w:ascii="宋体" w:hAnsi="宋体" w:cs="宋体" w:eastAsia="宋体" w:hint="default"/>
          <w:spacing w:val="-33"/>
        </w:rPr>
        <w:t> </w:t>
      </w:r>
      <w:r>
        <w:rPr/>
        <w:t>元的价格将公司持有的致</w:t>
      </w:r>
      <w:r>
        <w:rPr>
          <w:w w:val="100"/>
        </w:rPr>
        <w:t> </w:t>
      </w:r>
      <w:r>
        <w:rPr/>
        <w:t>远公司</w:t>
      </w:r>
      <w:r>
        <w:rPr>
          <w:spacing w:val="-32"/>
        </w:rPr>
        <w:t> </w:t>
      </w:r>
      <w:r>
        <w:rPr>
          <w:rFonts w:ascii="宋体" w:hAnsi="宋体" w:cs="宋体" w:eastAsia="宋体" w:hint="default"/>
        </w:rPr>
        <w:t>7.16%</w:t>
      </w:r>
      <w:r>
        <w:rPr/>
        <w:t>的股权转让给随锐融通有限合伙，上述股权转让价格共计人民币</w:t>
      </w:r>
      <w:r>
        <w:rPr>
          <w:spacing w:val="-31"/>
        </w:rPr>
        <w:t> </w:t>
      </w:r>
      <w:r>
        <w:rPr>
          <w:rFonts w:ascii="宋体" w:hAnsi="宋体" w:cs="宋体" w:eastAsia="宋体" w:hint="default"/>
        </w:rPr>
        <w:t>185,640,000</w:t>
      </w:r>
      <w:r>
        <w:rPr>
          <w:rFonts w:ascii="宋体" w:hAnsi="宋体" w:cs="宋体" w:eastAsia="宋体" w:hint="default"/>
          <w:spacing w:val="-35"/>
        </w:rPr>
        <w:t> </w:t>
      </w:r>
      <w:r>
        <w:rPr>
          <w:spacing w:val="-3"/>
        </w:rPr>
        <w:t>元，</w:t>
      </w:r>
      <w:r>
        <w:rPr>
          <w:spacing w:val="-3"/>
          <w:w w:val="100"/>
        </w:rPr>
        <w:t> </w:t>
      </w:r>
      <w:r>
        <w:rPr/>
        <w:t>共计转让</w:t>
      </w:r>
      <w:r>
        <w:rPr>
          <w:spacing w:val="-57"/>
        </w:rPr>
        <w:t> </w:t>
      </w:r>
      <w:r>
        <w:rPr>
          <w:rFonts w:ascii="宋体" w:hAnsi="宋体" w:cs="宋体" w:eastAsia="宋体" w:hint="default"/>
        </w:rPr>
        <w:t>26.52%</w:t>
      </w:r>
      <w:r>
        <w:rPr/>
        <w:t>的致远公司股权。上述股权转让完成后，公司持有致远公司</w:t>
      </w:r>
      <w:r>
        <w:rPr>
          <w:spacing w:val="-59"/>
        </w:rPr>
        <w:t> </w:t>
      </w:r>
      <w:r>
        <w:rPr>
          <w:rFonts w:ascii="宋体" w:hAnsi="宋体" w:cs="宋体" w:eastAsia="宋体" w:hint="default"/>
        </w:rPr>
        <w:t>4.98%</w:t>
      </w:r>
      <w:r>
        <w:rPr/>
        <w:t>的股权。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240" w:lineRule="auto" w:before="0"/>
        <w:ind w:left="1398" w:right="0"/>
        <w:jc w:val="both"/>
        <w:rPr>
          <w:b w:val="0"/>
          <w:bCs w:val="0"/>
        </w:rPr>
      </w:pP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30"/>
        </w:rPr>
        <w:t> </w:t>
      </w:r>
      <w:r>
        <w:rPr/>
        <w:t>主要控股参股公司分析</w:t>
      </w:r>
      <w:r>
        <w:rPr>
          <w:b w:val="0"/>
          <w:bCs w:val="0"/>
        </w:rPr>
      </w:r>
    </w:p>
    <w:p>
      <w:pPr>
        <w:spacing w:line="240" w:lineRule="auto" w:before="8"/>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1277"/>
        <w:gridCol w:w="1418"/>
        <w:gridCol w:w="992"/>
        <w:gridCol w:w="2126"/>
        <w:gridCol w:w="1136"/>
        <w:gridCol w:w="1561"/>
        <w:gridCol w:w="1416"/>
        <w:gridCol w:w="1277"/>
      </w:tblGrid>
      <w:tr>
        <w:trPr>
          <w:trHeight w:val="109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b/>
                <w:bCs/>
                <w:spacing w:val="13"/>
                <w:sz w:val="18"/>
                <w:szCs w:val="18"/>
              </w:rPr>
              <w:t>主要产品</w:t>
            </w:r>
            <w:r>
              <w:rPr>
                <w:rFonts w:ascii="宋体" w:hAnsi="宋体" w:cs="宋体" w:eastAsia="宋体" w:hint="default"/>
                <w:b/>
                <w:bCs/>
                <w:w w:val="99"/>
                <w:sz w:val="18"/>
                <w:szCs w:val="18"/>
              </w:rPr>
              <w:t> </w:t>
            </w:r>
            <w:r>
              <w:rPr>
                <w:rFonts w:ascii="宋体" w:hAnsi="宋体" w:cs="宋体" w:eastAsia="宋体" w:hint="default"/>
                <w:b/>
                <w:bCs/>
                <w:sz w:val="18"/>
                <w:szCs w:val="18"/>
              </w:rPr>
              <w:t>或服务</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26"/>
              <w:jc w:val="left"/>
              <w:rPr>
                <w:rFonts w:ascii="宋体" w:hAnsi="宋体" w:cs="宋体" w:eastAsia="宋体" w:hint="default"/>
                <w:sz w:val="18"/>
                <w:szCs w:val="18"/>
              </w:rPr>
            </w:pPr>
            <w:r>
              <w:rPr>
                <w:rFonts w:ascii="宋体" w:hAnsi="宋体" w:cs="宋体" w:eastAsia="宋体" w:hint="default"/>
                <w:b/>
                <w:bCs/>
                <w:spacing w:val="4"/>
                <w:sz w:val="18"/>
                <w:szCs w:val="18"/>
              </w:rPr>
              <w:t>公司直接持</w:t>
            </w:r>
            <w:r>
              <w:rPr>
                <w:rFonts w:ascii="宋体" w:hAnsi="宋体" w:cs="宋体" w:eastAsia="宋体" w:hint="default"/>
                <w:b/>
                <w:bCs/>
                <w:spacing w:val="4"/>
                <w:w w:val="99"/>
                <w:sz w:val="18"/>
                <w:szCs w:val="18"/>
              </w:rPr>
              <w:t> </w:t>
            </w:r>
            <w:r>
              <w:rPr>
                <w:rFonts w:ascii="宋体" w:hAnsi="宋体" w:cs="宋体" w:eastAsia="宋体" w:hint="default"/>
                <w:b/>
                <w:bCs/>
                <w:sz w:val="18"/>
                <w:szCs w:val="18"/>
              </w:rPr>
              <w:t>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z w:val="18"/>
                <w:szCs w:val="18"/>
              </w:rPr>
              <w:t>总资产</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32" w:lineRule="exact"/>
              <w:ind w:left="103" w:right="102"/>
              <w:jc w:val="left"/>
              <w:rPr>
                <w:rFonts w:ascii="宋体" w:hAnsi="宋体" w:cs="宋体" w:eastAsia="宋体" w:hint="default"/>
                <w:sz w:val="18"/>
                <w:szCs w:val="18"/>
              </w:rPr>
            </w:pPr>
            <w:r>
              <w:rPr>
                <w:rFonts w:ascii="宋体" w:hAnsi="宋体" w:cs="宋体" w:eastAsia="宋体" w:hint="default"/>
                <w:b/>
                <w:bCs/>
                <w:spacing w:val="-4"/>
                <w:sz w:val="18"/>
                <w:szCs w:val="18"/>
              </w:rPr>
              <w:t>净利润（净损</w:t>
            </w:r>
            <w:r>
              <w:rPr>
                <w:rFonts w:ascii="宋体" w:hAnsi="宋体" w:cs="宋体" w:eastAsia="宋体" w:hint="default"/>
                <w:b/>
                <w:bCs/>
                <w:w w:val="99"/>
                <w:sz w:val="18"/>
                <w:szCs w:val="18"/>
              </w:rPr>
              <w:t> </w:t>
            </w:r>
            <w:r>
              <w:rPr>
                <w:rFonts w:ascii="宋体" w:hAnsi="宋体" w:cs="宋体" w:eastAsia="宋体" w:hint="default"/>
                <w:b/>
                <w:bCs/>
                <w:sz w:val="18"/>
                <w:szCs w:val="18"/>
              </w:rPr>
              <w:t>失）</w:t>
            </w:r>
            <w:r>
              <w:rPr>
                <w:rFonts w:ascii="宋体" w:hAnsi="宋体" w:cs="宋体" w:eastAsia="宋体" w:hint="default"/>
                <w:sz w:val="18"/>
                <w:szCs w:val="18"/>
              </w:rPr>
            </w:r>
          </w:p>
        </w:tc>
      </w:tr>
      <w:tr>
        <w:trPr>
          <w:trHeight w:val="71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北京用友政</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103" w:right="58"/>
              <w:jc w:val="left"/>
              <w:rPr>
                <w:rFonts w:ascii="宋体" w:hAnsi="宋体" w:cs="宋体" w:eastAsia="宋体" w:hint="default"/>
                <w:sz w:val="18"/>
                <w:szCs w:val="18"/>
              </w:rPr>
            </w:pPr>
            <w:r>
              <w:rPr>
                <w:rFonts w:ascii="宋体" w:hAnsi="宋体" w:cs="宋体" w:eastAsia="宋体" w:hint="default"/>
                <w:spacing w:val="32"/>
                <w:sz w:val="18"/>
                <w:szCs w:val="18"/>
              </w:rPr>
              <w:t>务软件有限</w:t>
            </w:r>
            <w:r>
              <w:rPr>
                <w:rFonts w:ascii="宋体" w:hAnsi="宋体" w:cs="宋体" w:eastAsia="宋体" w:hint="default"/>
                <w:spacing w:val="-50"/>
                <w:sz w:val="18"/>
                <w:szCs w:val="18"/>
              </w:rPr>
              <w:t> </w:t>
            </w: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129,775,735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计算机软</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宋体" w:hAnsi="宋体" w:cs="宋体" w:eastAsia="宋体" w:hint="default"/>
                <w:spacing w:val="-7"/>
                <w:sz w:val="18"/>
                <w:szCs w:val="18"/>
              </w:rPr>
              <w:t>硬件、技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术咨询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1"/>
              <w:jc w:val="left"/>
              <w:rPr>
                <w:rFonts w:ascii="宋体" w:hAnsi="宋体" w:cs="宋体" w:eastAsia="宋体" w:hint="default"/>
                <w:sz w:val="18"/>
                <w:szCs w:val="18"/>
              </w:rPr>
            </w:pPr>
            <w:r>
              <w:rPr>
                <w:rFonts w:ascii="宋体" w:hAnsi="宋体" w:cs="宋体" w:eastAsia="宋体" w:hint="default"/>
                <w:spacing w:val="-7"/>
                <w:sz w:val="18"/>
                <w:szCs w:val="18"/>
              </w:rPr>
              <w:t>应用软件服务；销售计算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机、软件及辅助设备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84.19%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568,319,382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654,854,117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73,226,223</w:t>
            </w:r>
          </w:p>
        </w:tc>
      </w:tr>
      <w:tr>
        <w:trPr>
          <w:trHeight w:val="164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37" w:lineRule="auto"/>
              <w:ind w:left="103" w:right="58"/>
              <w:jc w:val="both"/>
              <w:rPr>
                <w:rFonts w:ascii="宋体" w:hAnsi="宋体" w:cs="宋体" w:eastAsia="宋体" w:hint="default"/>
                <w:sz w:val="18"/>
                <w:szCs w:val="18"/>
              </w:rPr>
            </w:pPr>
            <w:r>
              <w:rPr>
                <w:rFonts w:ascii="宋体" w:hAnsi="宋体" w:cs="宋体" w:eastAsia="宋体" w:hint="default"/>
                <w:spacing w:val="32"/>
                <w:sz w:val="18"/>
                <w:szCs w:val="18"/>
              </w:rPr>
              <w:t>用友汽车信</w:t>
            </w:r>
            <w:r>
              <w:rPr>
                <w:rFonts w:ascii="宋体" w:hAnsi="宋体" w:cs="宋体" w:eastAsia="宋体" w:hint="default"/>
                <w:spacing w:val="-50"/>
                <w:sz w:val="18"/>
                <w:szCs w:val="18"/>
              </w:rPr>
              <w:t> </w:t>
            </w:r>
            <w:r>
              <w:rPr>
                <w:rFonts w:ascii="宋体" w:hAnsi="宋体" w:cs="宋体" w:eastAsia="宋体" w:hint="default"/>
                <w:spacing w:val="32"/>
                <w:sz w:val="18"/>
                <w:szCs w:val="18"/>
              </w:rPr>
              <w:t>息科技（上</w:t>
            </w:r>
            <w:r>
              <w:rPr>
                <w:rFonts w:ascii="宋体" w:hAnsi="宋体" w:cs="宋体" w:eastAsia="宋体" w:hint="default"/>
                <w:spacing w:val="-50"/>
                <w:sz w:val="18"/>
                <w:szCs w:val="18"/>
              </w:rPr>
              <w:t> </w:t>
            </w:r>
            <w:r>
              <w:rPr>
                <w:rFonts w:ascii="宋体" w:hAnsi="宋体" w:cs="宋体" w:eastAsia="宋体" w:hint="default"/>
                <w:spacing w:val="-4"/>
                <w:sz w:val="18"/>
                <w:szCs w:val="18"/>
              </w:rPr>
              <w:t>海）股份有限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37" w:lineRule="auto"/>
              <w:ind w:left="103" w:right="53"/>
              <w:jc w:val="both"/>
              <w:rPr>
                <w:rFonts w:ascii="宋体" w:hAnsi="宋体" w:cs="宋体" w:eastAsia="宋体" w:hint="default"/>
                <w:sz w:val="18"/>
                <w:szCs w:val="18"/>
              </w:rPr>
            </w:pPr>
            <w:r>
              <w:rPr>
                <w:rFonts w:ascii="宋体" w:hAnsi="宋体" w:cs="宋体" w:eastAsia="宋体" w:hint="default"/>
                <w:spacing w:val="14"/>
                <w:sz w:val="18"/>
                <w:szCs w:val="18"/>
              </w:rPr>
              <w:t>计算机软</w:t>
            </w:r>
            <w:r>
              <w:rPr>
                <w:rFonts w:ascii="宋体" w:hAnsi="宋体" w:cs="宋体" w:eastAsia="宋体" w:hint="default"/>
                <w:spacing w:val="-71"/>
                <w:sz w:val="18"/>
                <w:szCs w:val="18"/>
              </w:rPr>
              <w:t> </w:t>
            </w:r>
            <w:r>
              <w:rPr>
                <w:rFonts w:ascii="宋体" w:hAnsi="宋体" w:cs="宋体" w:eastAsia="宋体" w:hint="default"/>
                <w:sz w:val="18"/>
                <w:szCs w:val="18"/>
              </w:rPr>
              <w:t>件</w:t>
            </w:r>
            <w:r>
              <w:rPr>
                <w:rFonts w:ascii="宋体" w:hAnsi="宋体" w:cs="宋体" w:eastAsia="宋体" w:hint="default"/>
                <w:spacing w:val="-42"/>
                <w:sz w:val="18"/>
                <w:szCs w:val="18"/>
              </w:rPr>
              <w:t> </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pacing w:val="24"/>
                <w:sz w:val="18"/>
                <w:szCs w:val="18"/>
              </w:rPr>
              <w:t>系统</w:t>
            </w:r>
            <w:r>
              <w:rPr>
                <w:rFonts w:ascii="宋体" w:hAnsi="宋体" w:cs="宋体" w:eastAsia="宋体" w:hint="default"/>
                <w:spacing w:val="-42"/>
                <w:sz w:val="18"/>
                <w:szCs w:val="18"/>
              </w:rPr>
              <w:t> </w:t>
            </w:r>
            <w:r>
              <w:rPr>
                <w:rFonts w:ascii="宋体" w:hAnsi="宋体" w:cs="宋体" w:eastAsia="宋体" w:hint="default"/>
                <w:spacing w:val="24"/>
                <w:sz w:val="18"/>
                <w:szCs w:val="18"/>
              </w:rPr>
              <w:t>集成</w:t>
            </w:r>
            <w:r>
              <w:rPr>
                <w:rFonts w:ascii="宋体" w:hAnsi="宋体" w:cs="宋体" w:eastAsia="宋体" w:hint="default"/>
                <w:spacing w:val="-42"/>
                <w:sz w:val="18"/>
                <w:szCs w:val="18"/>
              </w:rPr>
              <w:t> </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z w:val="18"/>
                <w:szCs w:val="18"/>
              </w:rPr>
              <w:t>咨 询行业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2"/>
                <w:sz w:val="18"/>
                <w:szCs w:val="18"/>
              </w:rPr>
              <w:t>计算机软硬件及网络设</w:t>
            </w:r>
            <w:r>
              <w:rPr>
                <w:rFonts w:ascii="宋体" w:hAnsi="宋体" w:cs="宋体" w:eastAsia="宋体" w:hint="default"/>
                <w:sz w:val="18"/>
                <w:szCs w:val="18"/>
              </w:rPr>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7"/>
                <w:sz w:val="18"/>
                <w:szCs w:val="18"/>
              </w:rPr>
              <w:t>备、产品及系统集成的技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术开发、转让、服务、咨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询、网络布线、办公自动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化产品、电子产品、通讯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设备的销售，企业管理咨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77.94%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264,075,027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382,370,767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62,532,680</w:t>
            </w:r>
          </w:p>
        </w:tc>
      </w:tr>
      <w:tr>
        <w:trPr>
          <w:trHeight w:val="11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30"/>
                <w:sz w:val="18"/>
                <w:szCs w:val="18"/>
              </w:rPr>
              <w:t>用友金融</w:t>
            </w:r>
            <w:r>
              <w:rPr>
                <w:rFonts w:ascii="宋体" w:hAnsi="宋体" w:cs="宋体" w:eastAsia="宋体" w:hint="default"/>
                <w:spacing w:val="-49"/>
                <w:sz w:val="18"/>
                <w:szCs w:val="18"/>
              </w:rPr>
              <w:t> </w:t>
            </w:r>
            <w:r>
              <w:rPr>
                <w:rFonts w:ascii="宋体" w:hAnsi="宋体" w:cs="宋体" w:eastAsia="宋体" w:hint="default"/>
                <w:sz w:val="18"/>
                <w:szCs w:val="18"/>
              </w:rPr>
              <w:t>信</w:t>
            </w:r>
          </w:p>
          <w:p>
            <w:pPr>
              <w:pStyle w:val="TableParagraph"/>
              <w:spacing w:line="232" w:lineRule="exact" w:before="23"/>
              <w:ind w:left="103" w:right="58"/>
              <w:jc w:val="left"/>
              <w:rPr>
                <w:rFonts w:ascii="宋体" w:hAnsi="宋体" w:cs="宋体" w:eastAsia="宋体" w:hint="default"/>
                <w:sz w:val="18"/>
                <w:szCs w:val="18"/>
              </w:rPr>
            </w:pPr>
            <w:r>
              <w:rPr>
                <w:rFonts w:ascii="宋体" w:hAnsi="宋体" w:cs="宋体" w:eastAsia="宋体" w:hint="default"/>
                <w:spacing w:val="32"/>
                <w:sz w:val="18"/>
                <w:szCs w:val="18"/>
              </w:rPr>
              <w:t>息技术有限</w:t>
            </w:r>
            <w:r>
              <w:rPr>
                <w:rFonts w:ascii="宋体" w:hAnsi="宋体" w:cs="宋体" w:eastAsia="宋体" w:hint="default"/>
                <w:spacing w:val="-50"/>
                <w:sz w:val="18"/>
                <w:szCs w:val="18"/>
              </w:rPr>
              <w:t> </w:t>
            </w: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62,500,000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计算机软</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5"/>
                <w:sz w:val="18"/>
                <w:szCs w:val="18"/>
              </w:rPr>
              <w:t> </w:t>
            </w:r>
            <w:r>
              <w:rPr>
                <w:rFonts w:ascii="宋体" w:hAnsi="宋体" w:cs="宋体" w:eastAsia="宋体" w:hint="default"/>
                <w:spacing w:val="8"/>
                <w:sz w:val="18"/>
                <w:szCs w:val="18"/>
              </w:rPr>
              <w:t>硬件</w:t>
            </w:r>
            <w:r>
              <w:rPr>
                <w:rFonts w:ascii="宋体" w:hAnsi="宋体" w:cs="宋体" w:eastAsia="宋体" w:hint="default"/>
                <w:spacing w:val="8"/>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网 </w:t>
            </w:r>
            <w:r>
              <w:rPr>
                <w:rFonts w:ascii="宋体" w:hAnsi="宋体" w:cs="宋体" w:eastAsia="宋体" w:hint="default"/>
                <w:spacing w:val="14"/>
                <w:sz w:val="18"/>
                <w:szCs w:val="18"/>
              </w:rPr>
              <w:t>络、技术</w:t>
            </w:r>
            <w:r>
              <w:rPr>
                <w:rFonts w:ascii="宋体" w:hAnsi="宋体" w:cs="宋体" w:eastAsia="宋体" w:hint="default"/>
                <w:spacing w:val="-71"/>
                <w:sz w:val="18"/>
                <w:szCs w:val="18"/>
              </w:rPr>
              <w:t> </w:t>
            </w:r>
            <w:r>
              <w:rPr>
                <w:rFonts w:ascii="宋体" w:hAnsi="宋体" w:cs="宋体" w:eastAsia="宋体" w:hint="default"/>
                <w:spacing w:val="14"/>
                <w:sz w:val="18"/>
                <w:szCs w:val="18"/>
              </w:rPr>
              <w:t>咨询及电</w:t>
            </w:r>
            <w:r>
              <w:rPr>
                <w:rFonts w:ascii="宋体" w:hAnsi="宋体" w:cs="宋体" w:eastAsia="宋体" w:hint="default"/>
                <w:spacing w:val="-71"/>
                <w:sz w:val="18"/>
                <w:szCs w:val="18"/>
              </w:rPr>
              <w:t> </w:t>
            </w:r>
            <w:r>
              <w:rPr>
                <w:rFonts w:ascii="宋体" w:hAnsi="宋体" w:cs="宋体" w:eastAsia="宋体" w:hint="default"/>
                <w:sz w:val="18"/>
                <w:szCs w:val="18"/>
              </w:rPr>
              <w:t>子行业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金融软件及计算机网络</w:t>
            </w:r>
            <w:r>
              <w:rPr>
                <w:rFonts w:ascii="宋体" w:hAnsi="宋体" w:cs="宋体" w:eastAsia="宋体" w:hint="default"/>
                <w:sz w:val="18"/>
                <w:szCs w:val="18"/>
              </w:rPr>
            </w: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pacing w:val="12"/>
                <w:sz w:val="18"/>
                <w:szCs w:val="18"/>
              </w:rPr>
              <w:t>技术开发；销售计算机 </w:t>
            </w:r>
            <w:r>
              <w:rPr>
                <w:rFonts w:ascii="宋体" w:hAnsi="宋体" w:cs="宋体" w:eastAsia="宋体" w:hint="default"/>
                <w:spacing w:val="-7"/>
                <w:sz w:val="18"/>
                <w:szCs w:val="18"/>
              </w:rPr>
              <w:t>软、硬件；计算机系统集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4"/>
                <w:sz w:val="18"/>
                <w:szCs w:val="18"/>
              </w:rPr>
              <w:t>成；技术咨询、技术服务、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技术培训。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81.63%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205,192,505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159,554,272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35,025,152</w:t>
            </w:r>
          </w:p>
        </w:tc>
      </w:tr>
      <w:tr>
        <w:trPr>
          <w:trHeight w:val="73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
              <w:ind w:left="103" w:right="58"/>
              <w:jc w:val="left"/>
              <w:rPr>
                <w:rFonts w:ascii="宋体" w:hAnsi="宋体" w:cs="宋体" w:eastAsia="宋体" w:hint="default"/>
                <w:sz w:val="18"/>
                <w:szCs w:val="18"/>
              </w:rPr>
            </w:pPr>
            <w:r>
              <w:rPr>
                <w:rFonts w:ascii="宋体" w:hAnsi="宋体" w:cs="宋体" w:eastAsia="宋体" w:hint="default"/>
                <w:spacing w:val="32"/>
                <w:sz w:val="18"/>
                <w:szCs w:val="18"/>
              </w:rPr>
              <w:t>用友新道科</w:t>
            </w:r>
            <w:r>
              <w:rPr>
                <w:rFonts w:ascii="宋体" w:hAnsi="宋体" w:cs="宋体" w:eastAsia="宋体" w:hint="default"/>
                <w:spacing w:val="-50"/>
                <w:sz w:val="18"/>
                <w:szCs w:val="18"/>
              </w:rPr>
              <w:t> </w:t>
            </w:r>
            <w:r>
              <w:rPr>
                <w:rFonts w:ascii="宋体" w:hAnsi="宋体" w:cs="宋体" w:eastAsia="宋体" w:hint="default"/>
                <w:spacing w:val="32"/>
                <w:sz w:val="18"/>
                <w:szCs w:val="18"/>
              </w:rPr>
              <w:t>技股份有限</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103,000,000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
              <w:ind w:left="103" w:right="53"/>
              <w:jc w:val="left"/>
              <w:rPr>
                <w:rFonts w:ascii="宋体" w:hAnsi="宋体" w:cs="宋体" w:eastAsia="宋体" w:hint="default"/>
                <w:sz w:val="18"/>
                <w:szCs w:val="18"/>
              </w:rPr>
            </w:pPr>
            <w:r>
              <w:rPr>
                <w:rFonts w:ascii="宋体" w:hAnsi="宋体" w:cs="宋体" w:eastAsia="宋体" w:hint="default"/>
                <w:spacing w:val="14"/>
                <w:sz w:val="18"/>
                <w:szCs w:val="18"/>
              </w:rPr>
              <w:t>计算机软</w:t>
            </w:r>
            <w:r>
              <w:rPr>
                <w:rFonts w:ascii="宋体" w:hAnsi="宋体" w:cs="宋体" w:eastAsia="宋体" w:hint="default"/>
                <w:spacing w:val="-71"/>
                <w:sz w:val="18"/>
                <w:szCs w:val="18"/>
              </w:rPr>
              <w:t> </w:t>
            </w:r>
            <w:r>
              <w:rPr>
                <w:rFonts w:ascii="宋体" w:hAnsi="宋体" w:cs="宋体" w:eastAsia="宋体" w:hint="default"/>
                <w:sz w:val="18"/>
                <w:szCs w:val="18"/>
              </w:rPr>
              <w:t>件</w:t>
            </w:r>
            <w:r>
              <w:rPr>
                <w:rFonts w:ascii="宋体" w:hAnsi="宋体" w:cs="宋体" w:eastAsia="宋体" w:hint="default"/>
                <w:spacing w:val="-42"/>
                <w:sz w:val="18"/>
                <w:szCs w:val="18"/>
              </w:rPr>
              <w:t> </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pacing w:val="24"/>
                <w:sz w:val="18"/>
                <w:szCs w:val="18"/>
              </w:rPr>
              <w:t>管理</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培训</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
              <w:ind w:left="103" w:right="31"/>
              <w:jc w:val="left"/>
              <w:rPr>
                <w:rFonts w:ascii="宋体" w:hAnsi="宋体" w:cs="宋体" w:eastAsia="宋体" w:hint="default"/>
                <w:sz w:val="18"/>
                <w:szCs w:val="18"/>
              </w:rPr>
            </w:pPr>
            <w:r>
              <w:rPr>
                <w:rFonts w:ascii="宋体" w:hAnsi="宋体" w:cs="宋体" w:eastAsia="宋体" w:hint="default"/>
                <w:spacing w:val="-7"/>
                <w:sz w:val="18"/>
                <w:szCs w:val="18"/>
              </w:rPr>
              <w:t>管理课程开发与培训，软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件开发销售、咨询服务，</w:t>
            </w:r>
          </w:p>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在线学习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67.64%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228,681,753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339,995,376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50,893,352</w:t>
            </w:r>
          </w:p>
        </w:tc>
      </w:tr>
      <w:tr>
        <w:trPr>
          <w:trHeight w:val="73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厦门用友烟</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4"/>
              <w:ind w:left="103" w:right="58"/>
              <w:jc w:val="left"/>
              <w:rPr>
                <w:rFonts w:ascii="宋体" w:hAnsi="宋体" w:cs="宋体" w:eastAsia="宋体" w:hint="default"/>
                <w:sz w:val="18"/>
                <w:szCs w:val="18"/>
              </w:rPr>
            </w:pPr>
            <w:r>
              <w:rPr>
                <w:rFonts w:ascii="宋体" w:hAnsi="宋体" w:cs="宋体" w:eastAsia="宋体" w:hint="default"/>
                <w:spacing w:val="32"/>
                <w:sz w:val="18"/>
                <w:szCs w:val="18"/>
              </w:rPr>
              <w:t>草软件有限</w:t>
            </w:r>
            <w:r>
              <w:rPr>
                <w:rFonts w:ascii="宋体" w:hAnsi="宋体" w:cs="宋体" w:eastAsia="宋体" w:hint="default"/>
                <w:spacing w:val="-50"/>
                <w:sz w:val="18"/>
                <w:szCs w:val="18"/>
              </w:rPr>
              <w:t> </w:t>
            </w:r>
            <w:r>
              <w:rPr>
                <w:rFonts w:ascii="宋体" w:hAnsi="宋体" w:cs="宋体" w:eastAsia="宋体" w:hint="default"/>
                <w:sz w:val="18"/>
                <w:szCs w:val="18"/>
              </w:rPr>
              <w:t>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计算机软</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2" w:lineRule="exact" w:before="24"/>
              <w:ind w:left="103" w:right="9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5"/>
                <w:sz w:val="18"/>
                <w:szCs w:val="18"/>
              </w:rPr>
              <w:t> </w:t>
            </w:r>
            <w:r>
              <w:rPr>
                <w:rFonts w:ascii="宋体" w:hAnsi="宋体" w:cs="宋体" w:eastAsia="宋体" w:hint="default"/>
                <w:spacing w:val="8"/>
                <w:sz w:val="18"/>
                <w:szCs w:val="18"/>
              </w:rPr>
              <w:t>硬件</w:t>
            </w:r>
            <w:r>
              <w:rPr>
                <w:rFonts w:ascii="宋体" w:hAnsi="宋体" w:cs="宋体" w:eastAsia="宋体" w:hint="default"/>
                <w:spacing w:val="8"/>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电 子行业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烟草软件及其它相关软</w:t>
            </w:r>
            <w:r>
              <w:rPr>
                <w:rFonts w:ascii="宋体" w:hAnsi="宋体" w:cs="宋体" w:eastAsia="宋体" w:hint="default"/>
                <w:sz w:val="18"/>
                <w:szCs w:val="18"/>
              </w:rPr>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9"/>
                <w:sz w:val="18"/>
                <w:szCs w:val="18"/>
              </w:rPr>
              <w:t>件开发设计</w:t>
            </w:r>
            <w:r>
              <w:rPr>
                <w:rFonts w:ascii="宋体" w:hAnsi="宋体" w:cs="宋体" w:eastAsia="宋体" w:hint="default"/>
                <w:spacing w:val="9"/>
                <w:sz w:val="18"/>
                <w:szCs w:val="18"/>
              </w:rPr>
              <w:t>,</w:t>
            </w:r>
            <w:r>
              <w:rPr>
                <w:rFonts w:ascii="宋体" w:hAnsi="宋体" w:cs="宋体" w:eastAsia="宋体" w:hint="default"/>
                <w:spacing w:val="9"/>
                <w:sz w:val="18"/>
                <w:szCs w:val="18"/>
              </w:rPr>
              <w:t>硬件制造</w:t>
            </w:r>
            <w:r>
              <w:rPr>
                <w:rFonts w:ascii="宋体" w:hAnsi="宋体" w:cs="宋体" w:eastAsia="宋体" w:hint="default"/>
                <w:spacing w:val="9"/>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销售</w:t>
            </w:r>
            <w:r>
              <w:rPr>
                <w:rFonts w:ascii="宋体" w:hAnsi="宋体" w:cs="宋体" w:eastAsia="宋体" w:hint="default"/>
                <w:sz w:val="18"/>
                <w:szCs w:val="18"/>
              </w:rPr>
              <w:t>,</w:t>
            </w:r>
            <w:r>
              <w:rPr>
                <w:rFonts w:ascii="宋体" w:hAnsi="宋体" w:cs="宋体" w:eastAsia="宋体" w:hint="default"/>
                <w:sz w:val="18"/>
                <w:szCs w:val="18"/>
              </w:rPr>
              <w:t>并提供烟草行业信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73.00%</w:t>
            </w:r>
            <w:r>
              <w:rPr>
                <w:rFonts w:ascii="宋体"/>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134,320,818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137,523,729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49,624,656</w:t>
            </w:r>
          </w:p>
        </w:tc>
      </w:tr>
    </w:tbl>
    <w:p>
      <w:pPr>
        <w:spacing w:after="0" w:line="240" w:lineRule="auto"/>
        <w:jc w:val="right"/>
        <w:rPr>
          <w:rFonts w:ascii="宋体" w:hAnsi="宋体" w:cs="宋体" w:eastAsia="宋体" w:hint="default"/>
          <w:sz w:val="18"/>
          <w:szCs w:val="18"/>
        </w:rPr>
        <w:sectPr>
          <w:pgSz w:w="11910" w:h="16840"/>
          <w:pgMar w:header="880" w:footer="1335" w:top="1120" w:bottom="1520" w:left="400" w:right="6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tbl>
      <w:tblPr>
        <w:tblW w:w="0" w:type="auto"/>
        <w:jc w:val="left"/>
        <w:tblInd w:w="116" w:type="dxa"/>
        <w:tblLayout w:type="fixed"/>
        <w:tblCellMar>
          <w:top w:w="0" w:type="dxa"/>
          <w:left w:w="0" w:type="dxa"/>
          <w:bottom w:w="0" w:type="dxa"/>
          <w:right w:w="0" w:type="dxa"/>
        </w:tblCellMar>
        <w:tblLook w:val="01E0"/>
      </w:tblPr>
      <w:tblGrid>
        <w:gridCol w:w="1277"/>
        <w:gridCol w:w="1418"/>
        <w:gridCol w:w="992"/>
        <w:gridCol w:w="2126"/>
        <w:gridCol w:w="1136"/>
        <w:gridCol w:w="1561"/>
        <w:gridCol w:w="1416"/>
        <w:gridCol w:w="1277"/>
      </w:tblGrid>
      <w:tr>
        <w:trPr>
          <w:trHeight w:val="725" w:hRule="exact"/>
        </w:trPr>
        <w:tc>
          <w:tcPr>
            <w:tcW w:w="1277"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息化咨询服务。</w:t>
            </w:r>
          </w:p>
        </w:tc>
        <w:tc>
          <w:tcPr>
            <w:tcW w:w="1136" w:type="dxa"/>
            <w:tcBorders>
              <w:top w:val="nil" w:sz="6" w:space="0" w:color="auto"/>
              <w:left w:val="single" w:sz="4" w:space="0" w:color="000000"/>
              <w:bottom w:val="single" w:sz="4" w:space="0" w:color="000000"/>
              <w:right w:val="single" w:sz="4" w:space="0" w:color="000000"/>
            </w:tcBorders>
          </w:tcPr>
          <w:p>
            <w:pPr/>
          </w:p>
        </w:tc>
        <w:tc>
          <w:tcPr>
            <w:tcW w:w="1561"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r>
      <w:tr>
        <w:trPr>
          <w:trHeight w:val="211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37" w:lineRule="auto"/>
              <w:ind w:left="103" w:right="58"/>
              <w:jc w:val="both"/>
              <w:rPr>
                <w:rFonts w:ascii="宋体" w:hAnsi="宋体" w:cs="宋体" w:eastAsia="宋体" w:hint="default"/>
                <w:sz w:val="18"/>
                <w:szCs w:val="18"/>
              </w:rPr>
            </w:pPr>
            <w:r>
              <w:rPr>
                <w:rFonts w:ascii="宋体" w:hAnsi="宋体" w:cs="宋体" w:eastAsia="宋体" w:hint="default"/>
                <w:spacing w:val="32"/>
                <w:sz w:val="18"/>
                <w:szCs w:val="18"/>
              </w:rPr>
              <w:t>用友优普信</w:t>
            </w:r>
            <w:r>
              <w:rPr>
                <w:rFonts w:ascii="宋体" w:hAnsi="宋体" w:cs="宋体" w:eastAsia="宋体" w:hint="default"/>
                <w:spacing w:val="-50"/>
                <w:sz w:val="18"/>
                <w:szCs w:val="18"/>
              </w:rPr>
              <w:t> </w:t>
            </w:r>
            <w:r>
              <w:rPr>
                <w:rFonts w:ascii="宋体" w:hAnsi="宋体" w:cs="宋体" w:eastAsia="宋体" w:hint="default"/>
                <w:spacing w:val="32"/>
                <w:sz w:val="18"/>
                <w:szCs w:val="18"/>
              </w:rPr>
              <w:t>息技术有限</w:t>
            </w:r>
            <w:r>
              <w:rPr>
                <w:rFonts w:ascii="宋体" w:hAnsi="宋体" w:cs="宋体" w:eastAsia="宋体" w:hint="default"/>
                <w:spacing w:val="-50"/>
                <w:sz w:val="18"/>
                <w:szCs w:val="18"/>
              </w:rPr>
              <w:t> </w:t>
            </w: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计算软件</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53"/>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pacing w:val="32"/>
                <w:sz w:val="18"/>
                <w:szCs w:val="18"/>
              </w:rPr>
              <w:t>系统集</w:t>
            </w:r>
            <w:r>
              <w:rPr>
                <w:rFonts w:ascii="宋体" w:hAnsi="宋体" w:cs="宋体" w:eastAsia="宋体" w:hint="default"/>
                <w:spacing w:val="-42"/>
                <w:sz w:val="18"/>
                <w:szCs w:val="18"/>
              </w:rPr>
              <w:t> </w:t>
            </w:r>
            <w:r>
              <w:rPr>
                <w:rFonts w:ascii="宋体" w:hAnsi="宋体" w:cs="宋体" w:eastAsia="宋体" w:hint="default"/>
                <w:sz w:val="18"/>
                <w:szCs w:val="18"/>
              </w:rPr>
              <w:t>成</w:t>
            </w:r>
            <w:r>
              <w:rPr>
                <w:rFonts w:ascii="宋体" w:hAnsi="宋体" w:cs="宋体" w:eastAsia="宋体" w:hint="default"/>
                <w:spacing w:val="-42"/>
                <w:sz w:val="18"/>
                <w:szCs w:val="18"/>
              </w:rPr>
              <w:t> </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pacing w:val="24"/>
                <w:sz w:val="18"/>
                <w:szCs w:val="18"/>
              </w:rPr>
              <w:t>咨询</w:t>
            </w:r>
            <w:r>
              <w:rPr>
                <w:rFonts w:ascii="宋体" w:hAnsi="宋体" w:cs="宋体" w:eastAsia="宋体" w:hint="default"/>
                <w:spacing w:val="-42"/>
                <w:sz w:val="18"/>
                <w:szCs w:val="18"/>
              </w:rPr>
              <w:t> </w:t>
            </w:r>
            <w:r>
              <w:rPr>
                <w:rFonts w:ascii="宋体" w:hAnsi="宋体" w:cs="宋体" w:eastAsia="宋体" w:hint="default"/>
                <w:sz w:val="18"/>
                <w:szCs w:val="18"/>
              </w:rPr>
              <w:t>行业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电子计算机软件、硬件及</w:t>
            </w:r>
          </w:p>
          <w:p>
            <w:pPr>
              <w:pStyle w:val="TableParagraph"/>
              <w:spacing w:line="237" w:lineRule="auto"/>
              <w:ind w:left="103" w:right="31"/>
              <w:jc w:val="left"/>
              <w:rPr>
                <w:rFonts w:ascii="宋体" w:hAnsi="宋体" w:cs="宋体" w:eastAsia="宋体" w:hint="default"/>
                <w:sz w:val="18"/>
                <w:szCs w:val="18"/>
              </w:rPr>
            </w:pPr>
            <w:r>
              <w:rPr>
                <w:rFonts w:ascii="宋体" w:hAnsi="宋体" w:cs="宋体" w:eastAsia="宋体" w:hint="default"/>
                <w:spacing w:val="-7"/>
                <w:sz w:val="18"/>
                <w:szCs w:val="18"/>
              </w:rPr>
              <w:t>辅助设备的技术开发、技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术咨询、技术转让、技术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服务、技术培训；企业管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理咨询；数据库服务；销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售计算机、软件及辅助设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备；设计、制作、代理、 发布广告；技术进出口、 </w:t>
            </w:r>
            <w:r>
              <w:rPr>
                <w:rFonts w:ascii="宋体" w:hAnsi="宋体" w:cs="宋体" w:eastAsia="宋体" w:hint="default"/>
                <w:spacing w:val="-7"/>
                <w:sz w:val="18"/>
                <w:szCs w:val="18"/>
              </w:rPr>
              <w:t>货物进出口、代理进出口</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541,719,441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449,325,914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69" w:right="0"/>
              <w:jc w:val="center"/>
              <w:rPr>
                <w:rFonts w:ascii="宋体" w:hAnsi="宋体" w:cs="宋体" w:eastAsia="宋体" w:hint="default"/>
                <w:sz w:val="18"/>
                <w:szCs w:val="18"/>
              </w:rPr>
            </w:pPr>
            <w:r>
              <w:rPr>
                <w:rFonts w:ascii="宋体"/>
                <w:sz w:val="18"/>
              </w:rPr>
              <w:t>113,821,916</w:t>
            </w:r>
          </w:p>
        </w:tc>
      </w:tr>
      <w:tr>
        <w:trPr>
          <w:trHeight w:val="164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32" w:lineRule="exact"/>
              <w:ind w:left="103" w:right="58"/>
              <w:jc w:val="both"/>
              <w:rPr>
                <w:rFonts w:ascii="宋体" w:hAnsi="宋体" w:cs="宋体" w:eastAsia="宋体" w:hint="default"/>
                <w:sz w:val="18"/>
                <w:szCs w:val="18"/>
              </w:rPr>
            </w:pPr>
            <w:r>
              <w:rPr>
                <w:rFonts w:ascii="宋体" w:hAnsi="宋体" w:cs="宋体" w:eastAsia="宋体" w:hint="default"/>
                <w:spacing w:val="32"/>
                <w:sz w:val="18"/>
                <w:szCs w:val="18"/>
              </w:rPr>
              <w:t>畅捷通信息</w:t>
            </w:r>
            <w:r>
              <w:rPr>
                <w:rFonts w:ascii="宋体" w:hAnsi="宋体" w:cs="宋体" w:eastAsia="宋体" w:hint="default"/>
                <w:spacing w:val="-50"/>
                <w:sz w:val="18"/>
                <w:szCs w:val="18"/>
              </w:rPr>
              <w:t> </w:t>
            </w:r>
            <w:r>
              <w:rPr>
                <w:rFonts w:ascii="宋体" w:hAnsi="宋体" w:cs="宋体" w:eastAsia="宋体" w:hint="default"/>
                <w:spacing w:val="32"/>
                <w:sz w:val="18"/>
                <w:szCs w:val="18"/>
              </w:rPr>
              <w:t>技术股份有</w:t>
            </w:r>
            <w:r>
              <w:rPr>
                <w:rFonts w:ascii="宋体" w:hAnsi="宋体" w:cs="宋体" w:eastAsia="宋体" w:hint="default"/>
                <w:spacing w:val="-50"/>
                <w:sz w:val="18"/>
                <w:szCs w:val="18"/>
              </w:rPr>
              <w:t> </w:t>
            </w: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217,181,666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计算机软</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5"/>
                <w:sz w:val="18"/>
                <w:szCs w:val="18"/>
              </w:rPr>
              <w:t> </w:t>
            </w:r>
            <w:r>
              <w:rPr>
                <w:rFonts w:ascii="宋体" w:hAnsi="宋体" w:cs="宋体" w:eastAsia="宋体" w:hint="default"/>
                <w:spacing w:val="8"/>
                <w:sz w:val="18"/>
                <w:szCs w:val="18"/>
              </w:rPr>
              <w:t>硬件</w:t>
            </w:r>
            <w:r>
              <w:rPr>
                <w:rFonts w:ascii="宋体" w:hAnsi="宋体" w:cs="宋体" w:eastAsia="宋体" w:hint="default"/>
                <w:spacing w:val="8"/>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耗 </w:t>
            </w:r>
            <w:r>
              <w:rPr>
                <w:rFonts w:ascii="宋体" w:hAnsi="宋体" w:cs="宋体" w:eastAsia="宋体" w:hint="default"/>
                <w:spacing w:val="14"/>
                <w:sz w:val="18"/>
                <w:szCs w:val="18"/>
              </w:rPr>
              <w:t>材、电子</w:t>
            </w:r>
            <w:r>
              <w:rPr>
                <w:rFonts w:ascii="宋体" w:hAnsi="宋体" w:cs="宋体" w:eastAsia="宋体" w:hint="default"/>
                <w:spacing w:val="-71"/>
                <w:sz w:val="18"/>
                <w:szCs w:val="18"/>
              </w:rPr>
              <w:t> </w:t>
            </w:r>
            <w:r>
              <w:rPr>
                <w:rFonts w:ascii="宋体" w:hAnsi="宋体" w:cs="宋体" w:eastAsia="宋体" w:hint="default"/>
                <w:sz w:val="18"/>
                <w:szCs w:val="18"/>
              </w:rPr>
              <w:t>行业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电子计算机软件、硬件及</w:t>
            </w:r>
          </w:p>
          <w:p>
            <w:pPr>
              <w:pStyle w:val="TableParagraph"/>
              <w:spacing w:line="237" w:lineRule="auto"/>
              <w:ind w:left="103" w:right="91"/>
              <w:jc w:val="both"/>
              <w:rPr>
                <w:rFonts w:ascii="宋体" w:hAnsi="宋体" w:cs="宋体" w:eastAsia="宋体" w:hint="default"/>
                <w:sz w:val="18"/>
                <w:szCs w:val="18"/>
              </w:rPr>
            </w:pPr>
            <w:r>
              <w:rPr>
                <w:rFonts w:ascii="宋体" w:hAnsi="宋体" w:cs="宋体" w:eastAsia="宋体" w:hint="default"/>
                <w:spacing w:val="-7"/>
                <w:sz w:val="18"/>
                <w:szCs w:val="18"/>
              </w:rPr>
              <w:t>外部设备的技术开发、技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术咨询、技术转让、技术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服务、技术培训；销售打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印纸和计算机耗材、电子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计算机软硬件及外部设</w:t>
            </w:r>
            <w:r>
              <w:rPr>
                <w:rFonts w:ascii="宋体" w:hAnsi="宋体" w:cs="宋体" w:eastAsia="宋体" w:hint="default"/>
                <w:spacing w:val="12"/>
                <w:sz w:val="18"/>
                <w:szCs w:val="18"/>
              </w:rPr>
              <w:t> </w:t>
            </w:r>
            <w:r>
              <w:rPr>
                <w:rFonts w:ascii="宋体" w:hAnsi="宋体" w:cs="宋体" w:eastAsia="宋体" w:hint="default"/>
                <w:sz w:val="18"/>
                <w:szCs w:val="18"/>
              </w:rPr>
              <w:t>备；数据库服务。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68.94%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350,683,267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1,028,877,981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69" w:right="0"/>
              <w:jc w:val="center"/>
              <w:rPr>
                <w:rFonts w:ascii="宋体" w:hAnsi="宋体" w:cs="宋体" w:eastAsia="宋体" w:hint="default"/>
                <w:sz w:val="18"/>
                <w:szCs w:val="18"/>
              </w:rPr>
            </w:pPr>
            <w:r>
              <w:rPr>
                <w:rFonts w:ascii="宋体"/>
                <w:sz w:val="18"/>
              </w:rPr>
              <w:t>-80,202,335</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66" w:lineRule="auto"/>
        <w:ind w:left="1398" w:right="7081"/>
        <w:jc w:val="left"/>
        <w:rPr>
          <w:rFonts w:ascii="宋体" w:hAnsi="宋体" w:cs="宋体" w:eastAsia="宋体" w:hint="default"/>
          <w:b w:val="0"/>
          <w:bCs w:val="0"/>
        </w:rPr>
      </w:pPr>
      <w:r>
        <w:rPr>
          <w:rFonts w:ascii="Calibri" w:hAnsi="Calibri" w:cs="Calibri" w:eastAsia="Calibri" w:hint="default"/>
        </w:rPr>
        <w:t>(</w:t>
      </w:r>
      <w:r>
        <w:rPr/>
        <w:t>八</w:t>
      </w:r>
      <w:r>
        <w:rPr>
          <w:rFonts w:ascii="Calibri" w:hAnsi="Calibri" w:cs="Calibri" w:eastAsia="Calibri" w:hint="default"/>
        </w:rPr>
        <w:t>)</w:t>
      </w:r>
      <w:r>
        <w:rPr>
          <w:rFonts w:ascii="Calibri" w:hAnsi="Calibri" w:cs="Calibri" w:eastAsia="Calibri" w:hint="default"/>
          <w:spacing w:val="28"/>
        </w:rPr>
        <w:t> </w:t>
      </w:r>
      <w:r>
        <w:rPr/>
        <w:t>公司控制的结构化主体情况</w:t>
      </w:r>
      <w:r>
        <w:rPr>
          <w:w w:val="100"/>
        </w:rPr>
        <w:t> </w:t>
      </w:r>
      <w:r>
        <w:rPr>
          <w:rFonts w:ascii="宋体" w:hAnsi="宋体" w:cs="宋体" w:eastAsia="宋体" w:hint="default"/>
          <w:b w:val="0"/>
          <w:bCs w:val="0"/>
        </w:rPr>
        <w:t>无。</w:t>
      </w:r>
    </w:p>
    <w:p>
      <w:pPr>
        <w:spacing w:line="240" w:lineRule="auto" w:before="6"/>
        <w:rPr>
          <w:rFonts w:ascii="宋体" w:hAnsi="宋体" w:cs="宋体" w:eastAsia="宋体" w:hint="default"/>
          <w:sz w:val="23"/>
          <w:szCs w:val="23"/>
        </w:rPr>
      </w:pPr>
    </w:p>
    <w:p>
      <w:pPr>
        <w:pStyle w:val="Heading2"/>
        <w:spacing w:line="240" w:lineRule="auto" w:before="0"/>
        <w:ind w:left="1398" w:right="0"/>
        <w:jc w:val="both"/>
        <w:rPr>
          <w:b w:val="0"/>
          <w:bCs w:val="0"/>
        </w:rPr>
      </w:pPr>
      <w:r>
        <w:rPr/>
        <w:t>三、公司关于公司未来发展的讨论与分析</w:t>
      </w:r>
      <w:r>
        <w:rPr>
          <w:b w:val="0"/>
          <w:bCs w:val="0"/>
        </w:rPr>
      </w:r>
    </w:p>
    <w:p>
      <w:pPr>
        <w:pStyle w:val="Heading2"/>
        <w:spacing w:line="240" w:lineRule="auto" w:before="56"/>
        <w:ind w:left="139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行业竞争格局和发展趋势</w:t>
      </w:r>
      <w:r>
        <w:rPr>
          <w:b w:val="0"/>
          <w:bCs w:val="0"/>
        </w:rPr>
      </w:r>
    </w:p>
    <w:p>
      <w:pPr>
        <w:pStyle w:val="BodyText"/>
        <w:spacing w:line="295" w:lineRule="auto" w:before="92"/>
        <w:ind w:left="1398" w:right="67" w:firstLine="419"/>
        <w:jc w:val="left"/>
      </w:pPr>
      <w:r>
        <w:rPr>
          <w:spacing w:val="-5"/>
        </w:rPr>
        <w:t>公司所处行业的竞争格局和发展趋势，详见“第三节</w:t>
      </w:r>
      <w:r>
        <w:rPr>
          <w:spacing w:val="66"/>
        </w:rPr>
        <w:t> </w:t>
      </w:r>
      <w:r>
        <w:rPr>
          <w:spacing w:val="-4"/>
        </w:rPr>
        <w:t>公司业务概要”中“一、报告期内公司</w:t>
      </w:r>
      <w:r>
        <w:rPr>
          <w:w w:val="100"/>
        </w:rPr>
        <w:t> </w:t>
      </w:r>
      <w:r>
        <w:rPr/>
        <w:t>所从事的主要业务、经营模式及行业情况说明”中“（二）行业情况说明”。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line="312" w:lineRule="auto" w:before="0"/>
        <w:ind w:left="1818" w:right="67"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公司发展战略</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公司通过对国家政策、市场环境、产业趋势及公司自身经营管理的认真分析与研究，对企业</w:t>
      </w:r>
    </w:p>
    <w:p>
      <w:pPr>
        <w:pStyle w:val="BodyText"/>
        <w:spacing w:line="297" w:lineRule="auto" w:before="3"/>
        <w:ind w:left="1398" w:right="1208"/>
        <w:jc w:val="both"/>
      </w:pPr>
      <w:r>
        <w:rPr>
          <w:spacing w:val="-1"/>
        </w:rPr>
        <w:t>信息化趋势和新阶段进行了洞察。公司洞察到公司所处的软件、互联网服务和互联网金融产业领</w:t>
      </w:r>
      <w:r>
        <w:rPr>
          <w:spacing w:val="-55"/>
        </w:rPr>
        <w:t> </w:t>
      </w:r>
      <w:r>
        <w:rPr>
          <w:spacing w:val="-55"/>
        </w:rPr>
      </w:r>
      <w:r>
        <w:rPr>
          <w:spacing w:val="-6"/>
        </w:rPr>
        <w:t>域呈现出新的趋势：基于新一代互联网技术的架构和平台，以数据驱动业务与流程，数据资产化、</w:t>
      </w:r>
      <w:r>
        <w:rPr>
          <w:spacing w:val="-54"/>
        </w:rPr>
        <w:t> </w:t>
      </w:r>
      <w:r>
        <w:rPr>
          <w:spacing w:val="-54"/>
        </w:rPr>
      </w:r>
      <w:r>
        <w:rPr>
          <w:spacing w:val="-1"/>
        </w:rPr>
        <w:t>价值化；应用服务化、微型化、社交化、智能化；业务模式走向“运营服务”，客户按需使用和</w:t>
      </w:r>
      <w:r>
        <w:rPr>
          <w:spacing w:val="-55"/>
        </w:rPr>
        <w:t> </w:t>
      </w:r>
      <w:r>
        <w:rPr>
          <w:spacing w:val="-55"/>
        </w:rPr>
      </w:r>
      <w:r>
        <w:rPr>
          <w:spacing w:val="-1"/>
        </w:rPr>
        <w:t>付费或收益分成；企业云服务的企业互联网市场产业竞争显著加剧，包括大型互联网公司、风险</w:t>
      </w:r>
      <w:r>
        <w:rPr>
          <w:spacing w:val="-55"/>
        </w:rPr>
        <w:t> </w:t>
      </w:r>
      <w:r>
        <w:rPr>
          <w:spacing w:val="-55"/>
        </w:rPr>
      </w:r>
      <w:r>
        <w:rPr>
          <w:spacing w:val="-1"/>
        </w:rPr>
        <w:t>投资支持的新创公司加入和角逐。人才竞争剧烈，人力成本继续上涨（特别是中心城市）。在客</w:t>
      </w:r>
      <w:r>
        <w:rPr>
          <w:spacing w:val="-55"/>
        </w:rPr>
        <w:t> </w:t>
      </w:r>
      <w:r>
        <w:rPr>
          <w:spacing w:val="-55"/>
        </w:rPr>
      </w:r>
      <w:r>
        <w:rPr>
          <w:spacing w:val="-1"/>
        </w:rPr>
        <w:t>户需求、产业升级、经济转型的有利驱动下，公司所处产业领域仍具有巨大发展机遇和空间，企</w:t>
      </w:r>
      <w:r>
        <w:rPr>
          <w:spacing w:val="-55"/>
        </w:rPr>
        <w:t> </w:t>
      </w:r>
      <w:r>
        <w:rPr>
          <w:spacing w:val="-55"/>
        </w:rPr>
      </w:r>
      <w:r>
        <w:rPr>
          <w:spacing w:val="-1"/>
        </w:rPr>
        <w:t>业及公共组织的互联网化和互联网产业的发展为用友在企业互联网业务和互联网金融业务的发展</w:t>
      </w:r>
      <w:r>
        <w:rPr>
          <w:spacing w:val="-55"/>
        </w:rPr>
        <w:t> </w:t>
      </w:r>
      <w:r>
        <w:rPr>
          <w:spacing w:val="-55"/>
        </w:rPr>
      </w:r>
      <w:r>
        <w:rPr/>
        <w:t>带来了历史机遇。</w:t>
      </w:r>
    </w:p>
    <w:p>
      <w:pPr>
        <w:pStyle w:val="BodyText"/>
        <w:spacing w:line="240" w:lineRule="auto" w:before="135"/>
        <w:ind w:left="1818" w:right="67"/>
        <w:jc w:val="left"/>
      </w:pPr>
      <w:r>
        <w:rPr/>
        <w:t>在 </w:t>
      </w:r>
      <w:r>
        <w:rPr>
          <w:rFonts w:ascii="宋体" w:hAnsi="宋体" w:cs="宋体" w:eastAsia="宋体" w:hint="default"/>
        </w:rPr>
        <w:t>2015</w:t>
      </w:r>
      <w:r>
        <w:rPr>
          <w:rFonts w:ascii="宋体" w:hAnsi="宋体" w:cs="宋体" w:eastAsia="宋体" w:hint="default"/>
          <w:spacing w:val="-59"/>
        </w:rPr>
        <w:t> </w:t>
      </w:r>
      <w:r>
        <w:rPr>
          <w:spacing w:val="-4"/>
        </w:rPr>
        <w:t>年，公司为“软件、互联网服务、互联网金融融合发展，服务企业互联网化”的新战</w:t>
      </w:r>
    </w:p>
    <w:p>
      <w:pPr>
        <w:pStyle w:val="BodyText"/>
        <w:spacing w:line="297" w:lineRule="auto" w:before="66"/>
        <w:ind w:left="1398" w:right="1208"/>
        <w:jc w:val="both"/>
      </w:pPr>
      <w:r>
        <w:rPr>
          <w:spacing w:val="-3"/>
        </w:rPr>
        <w:t>略实施建立了初步基础。在</w:t>
      </w:r>
      <w:r>
        <w:rPr>
          <w:spacing w:val="-22"/>
        </w:rPr>
        <w:t> </w:t>
      </w:r>
      <w:r>
        <w:rPr>
          <w:rFonts w:ascii="宋体" w:hAnsi="宋体" w:cs="宋体" w:eastAsia="宋体" w:hint="default"/>
        </w:rPr>
        <w:t>2016</w:t>
      </w:r>
      <w:r>
        <w:rPr>
          <w:rFonts w:ascii="宋体" w:hAnsi="宋体" w:cs="宋体" w:eastAsia="宋体" w:hint="default"/>
          <w:spacing w:val="-22"/>
        </w:rPr>
        <w:t> </w:t>
      </w:r>
      <w:r>
        <w:rPr>
          <w:spacing w:val="-5"/>
        </w:rPr>
        <w:t>年，公司将继续坚持、加力、加速推进上述战略，构建以客户为</w:t>
      </w:r>
      <w:r>
        <w:rPr>
          <w:spacing w:val="-93"/>
        </w:rPr>
        <w:t> </w:t>
      </w:r>
      <w:r>
        <w:rPr>
          <w:spacing w:val="-93"/>
        </w:rPr>
      </w:r>
      <w:r>
        <w:rPr>
          <w:spacing w:val="-1"/>
        </w:rPr>
        <w:t>中心的综合服务效应，形成公司新的竞争优势；积极开展基于客户资源的增值服务，继续推进战</w:t>
      </w:r>
      <w:r>
        <w:rPr>
          <w:spacing w:val="-55"/>
        </w:rPr>
        <w:t> </w:t>
      </w:r>
      <w:r>
        <w:rPr>
          <w:spacing w:val="-55"/>
        </w:rPr>
      </w:r>
      <w:r>
        <w:rPr/>
        <w:t>略合作，加强品牌推广和市场营销攻势。</w:t>
      </w:r>
    </w:p>
    <w:p>
      <w:pPr>
        <w:spacing w:after="0" w:line="297" w:lineRule="auto"/>
        <w:jc w:val="both"/>
        <w:sectPr>
          <w:pgSz w:w="11910" w:h="16840"/>
          <w:pgMar w:header="880" w:footer="1335" w:top="1120" w:bottom="1520" w:left="400" w:right="60"/>
        </w:sectPr>
      </w:pPr>
    </w:p>
    <w:p>
      <w:pPr>
        <w:spacing w:line="240" w:lineRule="auto" w:before="4"/>
        <w:rPr>
          <w:rFonts w:ascii="宋体" w:hAnsi="宋体" w:cs="宋体" w:eastAsia="宋体" w:hint="default"/>
          <w:sz w:val="25"/>
          <w:szCs w:val="25"/>
        </w:rPr>
      </w:pPr>
    </w:p>
    <w:p>
      <w:pPr>
        <w:pStyle w:val="BodyText"/>
        <w:spacing w:line="297" w:lineRule="auto" w:before="36"/>
        <w:ind w:right="147" w:firstLine="419"/>
        <w:jc w:val="both"/>
      </w:pPr>
      <w:r>
        <w:rPr/>
        <w:t>在软件业务方面，公司的发展策略是适应市场和产业互联网化发展，业务聚焦，加速</w:t>
      </w:r>
      <w:r>
        <w:rPr>
          <w:spacing w:val="89"/>
        </w:rPr>
        <w:t> </w:t>
      </w:r>
      <w:r>
        <w:rPr>
          <w:rFonts w:ascii="宋体" w:hAnsi="宋体" w:cs="宋体" w:eastAsia="宋体" w:hint="default"/>
        </w:rPr>
        <w:t>iUAP</w:t>
      </w:r>
      <w:r>
        <w:rPr>
          <w:rFonts w:ascii="宋体" w:hAnsi="宋体" w:cs="宋体" w:eastAsia="宋体" w:hint="default"/>
          <w:w w:val="100"/>
        </w:rPr>
        <w:t> </w:t>
      </w:r>
      <w:r>
        <w:rPr>
          <w:spacing w:val="-1"/>
        </w:rPr>
        <w:t>平台发展，加强产品竞争力、业务创新，继续优化模式，推进运营服务模式，改进管理，提高客</w:t>
      </w:r>
      <w:r>
        <w:rPr>
          <w:spacing w:val="-55"/>
        </w:rPr>
        <w:t> </w:t>
      </w:r>
      <w:r>
        <w:rPr>
          <w:spacing w:val="-55"/>
        </w:rPr>
      </w:r>
      <w:r>
        <w:rPr/>
        <w:t>户满意度，实现利润和收入双增长。</w:t>
      </w:r>
    </w:p>
    <w:p>
      <w:pPr>
        <w:pStyle w:val="BodyText"/>
        <w:spacing w:line="297" w:lineRule="auto" w:before="135"/>
        <w:ind w:right="150" w:firstLine="419"/>
        <w:jc w:val="both"/>
      </w:pPr>
      <w:r>
        <w:rPr>
          <w:spacing w:val="-2"/>
        </w:rPr>
        <w:t>在互联网服务业务方面，公司的发展策略是按照“聚焦、做对、跑快”的方针，聚焦已布局</w:t>
      </w:r>
      <w:r>
        <w:rPr>
          <w:w w:val="100"/>
        </w:rPr>
        <w:t> </w:t>
      </w:r>
      <w:r>
        <w:rPr/>
        <w:t>业务，加大力度，加快速度，实现收入和客户规模的突破性增长。</w:t>
      </w:r>
    </w:p>
    <w:p>
      <w:pPr>
        <w:pStyle w:val="BodyText"/>
        <w:spacing w:line="295" w:lineRule="auto" w:before="135"/>
        <w:ind w:right="150" w:firstLine="419"/>
        <w:jc w:val="both"/>
      </w:pPr>
      <w:r>
        <w:rPr>
          <w:spacing w:val="-2"/>
        </w:rPr>
        <w:t>在互联网金融业务方面，公司的发展策略是基本完成战略布局，实现已布局业务交易额和收</w:t>
      </w:r>
      <w:r>
        <w:rPr>
          <w:w w:val="100"/>
        </w:rPr>
        <w:t> </w:t>
      </w:r>
      <w:r>
        <w:rPr/>
        <w:t>入的高增长，同时进一步强化风险控制。</w:t>
      </w:r>
    </w:p>
    <w:p>
      <w:pPr>
        <w:pStyle w:val="BodyText"/>
        <w:spacing w:line="297" w:lineRule="auto" w:before="137"/>
        <w:ind w:right="148" w:firstLine="419"/>
        <w:jc w:val="both"/>
      </w:pPr>
      <w:r>
        <w:rPr>
          <w:spacing w:val="-2"/>
        </w:rPr>
        <w:t>为加力、加速推进公司上述的发展战略，公司将积极对接资本市场，加快产业发展，促进新</w:t>
      </w:r>
      <w:r>
        <w:rPr>
          <w:w w:val="100"/>
        </w:rPr>
        <w:t> </w:t>
      </w:r>
      <w:r>
        <w:rPr>
          <w:spacing w:val="-1"/>
        </w:rPr>
        <w:t>战略实施。继续开展战略并购与投资；完成专项融资计划，支持新战略推进；结合新战略实施，</w:t>
      </w:r>
      <w:r>
        <w:rPr>
          <w:spacing w:val="-55"/>
        </w:rPr>
        <w:t> </w:t>
      </w:r>
      <w:r>
        <w:rPr>
          <w:spacing w:val="-55"/>
        </w:rPr>
      </w:r>
      <w:r>
        <w:rPr/>
        <w:t>继续分类报告业务发展，做好市值管理。</w:t>
      </w:r>
    </w:p>
    <w:p>
      <w:pPr>
        <w:pStyle w:val="BodyText"/>
        <w:spacing w:line="297" w:lineRule="auto" w:before="135"/>
        <w:ind w:right="148" w:firstLine="419"/>
        <w:jc w:val="both"/>
      </w:pPr>
      <w:r>
        <w:rPr>
          <w:spacing w:val="-2"/>
        </w:rPr>
        <w:t>公司将实施推进企业互联网战略的人才工程，加强员工发展，激发和吸引优秀人才，在用友</w:t>
      </w:r>
      <w:r>
        <w:rPr>
          <w:w w:val="100"/>
        </w:rPr>
        <w:t> </w:t>
      </w:r>
      <w:r>
        <w:rPr>
          <w:spacing w:val="-1"/>
        </w:rPr>
        <w:t>实现企业互联网梦想；加快推进干部年轻化，让更多的年轻优秀人才走向重要岗位；加强人才供</w:t>
      </w:r>
      <w:r>
        <w:rPr>
          <w:spacing w:val="-55"/>
        </w:rPr>
        <w:t> </w:t>
      </w:r>
      <w:r>
        <w:rPr>
          <w:spacing w:val="-55"/>
        </w:rPr>
      </w:r>
      <w:r>
        <w:rPr>
          <w:spacing w:val="-1"/>
        </w:rPr>
        <w:t>应链和人才梯队建设；突破人才招聘工作，加强外部人才引进；升级改造薪酬体系与水平，增强</w:t>
      </w:r>
      <w:r>
        <w:rPr>
          <w:spacing w:val="-55"/>
        </w:rPr>
        <w:t> </w:t>
      </w:r>
      <w:r>
        <w:rPr>
          <w:spacing w:val="-55"/>
        </w:rPr>
      </w:r>
      <w:r>
        <w:rPr/>
        <w:t>薪酬竞争力；优化升级公司文化，促进公司新时期发展。</w:t>
      </w:r>
    </w:p>
    <w:p>
      <w:pPr>
        <w:pStyle w:val="BodyText"/>
        <w:spacing w:line="297" w:lineRule="auto" w:before="135"/>
        <w:ind w:right="148" w:firstLine="419"/>
        <w:jc w:val="both"/>
      </w:pPr>
      <w:r>
        <w:rPr>
          <w:spacing w:val="-2"/>
        </w:rPr>
        <w:t>公司将采取多种措施，应对人力成本上涨，将实施专项计划，控制中心城市人员部署规模，</w:t>
      </w:r>
      <w:r>
        <w:rPr>
          <w:w w:val="100"/>
        </w:rPr>
        <w:t> </w:t>
      </w:r>
      <w:r>
        <w:rPr>
          <w:spacing w:val="-1"/>
        </w:rPr>
        <w:t>降低人力成本。公司将改进集团管控，加强共享服务。公司将加强产业基地的资产经营，提高基</w:t>
      </w:r>
      <w:r>
        <w:rPr>
          <w:spacing w:val="-55"/>
        </w:rPr>
        <w:t> </w:t>
      </w:r>
      <w:r>
        <w:rPr>
          <w:spacing w:val="-55"/>
        </w:rPr>
      </w:r>
      <w:r>
        <w:rPr/>
        <w:t>地资产经营效益与水平，确保资产收益。公司将优化考核制度，增大客户和伙伴满意度考核。</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before="0"/>
        <w:ind w:left="138" w:right="144"/>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经营计划</w:t>
      </w:r>
      <w:r>
        <w:rPr>
          <w:b w:val="0"/>
          <w:bCs w:val="0"/>
        </w:rPr>
      </w:r>
    </w:p>
    <w:p>
      <w:pPr>
        <w:pStyle w:val="BodyText"/>
        <w:spacing w:line="240" w:lineRule="auto" w:before="92"/>
        <w:ind w:left="558" w:right="0"/>
        <w:jc w:val="left"/>
      </w:pPr>
      <w:r>
        <w:rPr/>
        <w:t>在 </w:t>
      </w:r>
      <w:r>
        <w:rPr>
          <w:rFonts w:ascii="宋体" w:hAnsi="宋体" w:cs="宋体" w:eastAsia="宋体" w:hint="default"/>
        </w:rPr>
        <w:t>2016</w:t>
      </w:r>
      <w:r>
        <w:rPr>
          <w:rFonts w:ascii="宋体" w:hAnsi="宋体" w:cs="宋体" w:eastAsia="宋体" w:hint="default"/>
          <w:spacing w:val="-58"/>
        </w:rPr>
        <w:t> </w:t>
      </w:r>
      <w:r>
        <w:rPr>
          <w:spacing w:val="-4"/>
        </w:rPr>
        <w:t>年，公司将坚持“软件、互联网服务、互联网金融融合发展，服务企业互联网化”的</w:t>
      </w:r>
    </w:p>
    <w:p>
      <w:pPr>
        <w:pStyle w:val="BodyText"/>
        <w:spacing w:line="295" w:lineRule="auto" w:before="66"/>
        <w:ind w:right="144"/>
        <w:jc w:val="left"/>
      </w:pPr>
      <w:r>
        <w:rPr>
          <w:spacing w:val="-4"/>
        </w:rPr>
        <w:t>战略，加力、加速推进落实</w:t>
      </w:r>
      <w:r>
        <w:rPr>
          <w:spacing w:val="-30"/>
        </w:rPr>
        <w:t> </w:t>
      </w:r>
      <w:r>
        <w:rPr>
          <w:rFonts w:ascii="宋体" w:hAnsi="宋体" w:cs="宋体" w:eastAsia="宋体" w:hint="default"/>
        </w:rPr>
        <w:t>2016</w:t>
      </w:r>
      <w:r>
        <w:rPr>
          <w:rFonts w:ascii="宋体" w:hAnsi="宋体" w:cs="宋体" w:eastAsia="宋体" w:hint="default"/>
          <w:spacing w:val="-30"/>
        </w:rPr>
        <w:t> </w:t>
      </w:r>
      <w:r>
        <w:rPr>
          <w:spacing w:val="-4"/>
        </w:rPr>
        <w:t>年度总计划，积极行动，实现突破，全面达成软件业务、互联网</w:t>
      </w:r>
      <w:r>
        <w:rPr>
          <w:spacing w:val="-95"/>
        </w:rPr>
        <w:t> </w:t>
      </w:r>
      <w:r>
        <w:rPr>
          <w:spacing w:val="-95"/>
        </w:rPr>
      </w:r>
      <w:r>
        <w:rPr/>
        <w:t>服务业务和互联网金融业务的各项业务业绩目标。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line="312" w:lineRule="auto" w:before="0"/>
        <w:ind w:left="603" w:right="5863" w:hanging="466"/>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可能面对的风险</w:t>
      </w:r>
      <w:r>
        <w:rPr>
          <w:rFonts w:ascii="宋体" w:hAnsi="宋体" w:cs="宋体" w:eastAsia="宋体" w:hint="default"/>
          <w:b/>
          <w:bCs/>
          <w:spacing w:val="-102"/>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、公司可能面对的风险：</w:t>
      </w:r>
    </w:p>
    <w:p>
      <w:pPr>
        <w:pStyle w:val="BodyText"/>
        <w:spacing w:line="240" w:lineRule="auto" w:before="123"/>
        <w:ind w:left="603" w:right="144"/>
        <w:jc w:val="left"/>
      </w:pPr>
      <w:r>
        <w:rPr/>
        <w:t>（</w:t>
      </w:r>
      <w:r>
        <w:rPr>
          <w:rFonts w:ascii="宋体" w:hAnsi="宋体" w:cs="宋体" w:eastAsia="宋体" w:hint="default"/>
        </w:rPr>
        <w:t>1</w:t>
      </w:r>
      <w:r>
        <w:rPr/>
        <w:t>）公司新业务发展的不确定性；</w:t>
      </w:r>
    </w:p>
    <w:p>
      <w:pPr>
        <w:spacing w:line="240" w:lineRule="auto" w:before="3"/>
        <w:rPr>
          <w:rFonts w:ascii="宋体" w:hAnsi="宋体" w:cs="宋体" w:eastAsia="宋体" w:hint="default"/>
          <w:sz w:val="14"/>
          <w:szCs w:val="14"/>
        </w:rPr>
      </w:pPr>
    </w:p>
    <w:p>
      <w:pPr>
        <w:pStyle w:val="BodyText"/>
        <w:spacing w:line="403" w:lineRule="auto"/>
        <w:ind w:left="603" w:right="3050"/>
        <w:jc w:val="left"/>
      </w:pPr>
      <w:r>
        <w:rPr/>
        <w:t>（</w:t>
      </w:r>
      <w:r>
        <w:rPr>
          <w:rFonts w:ascii="宋体" w:hAnsi="宋体" w:cs="宋体" w:eastAsia="宋体" w:hint="default"/>
        </w:rPr>
        <w:t>2</w:t>
      </w:r>
      <w:r>
        <w:rPr/>
        <w:t>）受经济形势因素影响而导致的部分企业</w:t>
      </w:r>
      <w:r>
        <w:rPr>
          <w:spacing w:val="-56"/>
        </w:rPr>
        <w:t> </w:t>
      </w:r>
      <w:r>
        <w:rPr>
          <w:rFonts w:ascii="宋体" w:hAnsi="宋体" w:cs="宋体" w:eastAsia="宋体" w:hint="default"/>
        </w:rPr>
        <w:t>IT</w:t>
      </w:r>
      <w:r>
        <w:rPr>
          <w:rFonts w:ascii="宋体" w:hAnsi="宋体" w:cs="宋体" w:eastAsia="宋体" w:hint="default"/>
          <w:spacing w:val="-56"/>
        </w:rPr>
        <w:t> </w:t>
      </w:r>
      <w:r>
        <w:rPr/>
        <w:t>支出放缓。</w:t>
      </w:r>
      <w:r>
        <w:rPr>
          <w:w w:val="100"/>
        </w:rPr>
        <w:t> </w:t>
      </w:r>
      <w:r>
        <w:rPr>
          <w:rFonts w:ascii="宋体" w:hAnsi="宋体" w:cs="宋体" w:eastAsia="宋体" w:hint="default"/>
        </w:rPr>
        <w:t>2</w:t>
      </w:r>
      <w:r>
        <w:rPr/>
        <w:t>、应对措施：</w:t>
      </w:r>
    </w:p>
    <w:p>
      <w:pPr>
        <w:pStyle w:val="BodyText"/>
        <w:spacing w:line="295" w:lineRule="auto" w:before="43"/>
        <w:ind w:right="152" w:firstLine="465"/>
        <w:jc w:val="both"/>
      </w:pPr>
      <w:r>
        <w:rPr/>
        <w:t>（</w:t>
      </w:r>
      <w:r>
        <w:rPr>
          <w:rFonts w:ascii="宋体" w:hAnsi="宋体" w:cs="宋体" w:eastAsia="宋体" w:hint="default"/>
        </w:rPr>
        <w:t>1</w:t>
      </w:r>
      <w:r>
        <w:rPr/>
        <w:t>）公司将企业互联网服务和金融服务作为战略业务予以高度重视，建立专门组织并保证</w:t>
      </w:r>
      <w:r>
        <w:rPr>
          <w:w w:val="100"/>
        </w:rPr>
        <w:t> </w:t>
      </w:r>
      <w:r>
        <w:rPr/>
        <w:t>资源配置到位；</w:t>
      </w:r>
    </w:p>
    <w:p>
      <w:pPr>
        <w:pStyle w:val="BodyText"/>
        <w:spacing w:line="297" w:lineRule="auto" w:before="137"/>
        <w:ind w:right="152" w:firstLine="465"/>
        <w:jc w:val="both"/>
      </w:pPr>
      <w:r>
        <w:rPr/>
        <w:t>（</w:t>
      </w:r>
      <w:r>
        <w:rPr>
          <w:rFonts w:ascii="宋体" w:hAnsi="宋体" w:cs="宋体" w:eastAsia="宋体" w:hint="default"/>
        </w:rPr>
        <w:t>2</w:t>
      </w:r>
      <w:r>
        <w:rPr/>
        <w:t>）公司可通过投资并购符合公司战略方向的企业互联网服务企业，来加速构建企业互联</w:t>
      </w:r>
      <w:r>
        <w:rPr>
          <w:w w:val="100"/>
        </w:rPr>
        <w:t> </w:t>
      </w:r>
      <w:r>
        <w:rPr/>
        <w:t>网生态圈，为未来价值挖掘打下基础；</w:t>
      </w:r>
    </w:p>
    <w:p>
      <w:pPr>
        <w:pStyle w:val="BodyText"/>
        <w:spacing w:line="271" w:lineRule="auto" w:before="135"/>
        <w:ind w:right="148" w:firstLine="419"/>
        <w:jc w:val="both"/>
      </w:pPr>
      <w:r>
        <w:rPr>
          <w:spacing w:val="-4"/>
        </w:rPr>
        <w:t>（</w:t>
      </w:r>
      <w:r>
        <w:rPr>
          <w:rFonts w:ascii="Calibri" w:hAnsi="Calibri" w:cs="Calibri" w:eastAsia="Calibri" w:hint="default"/>
          <w:spacing w:val="-4"/>
        </w:rPr>
        <w:t>3</w:t>
      </w:r>
      <w:r>
        <w:rPr>
          <w:spacing w:val="-4"/>
        </w:rPr>
        <w:t>）公司将积极引进互联网企业的技术和市场推广人才，为加速互联网服务业务发展打下坚</w:t>
      </w:r>
      <w:r>
        <w:rPr>
          <w:w w:val="100"/>
        </w:rPr>
        <w:t> </w:t>
      </w:r>
      <w:r>
        <w:rPr/>
        <w:t>实基础；</w:t>
      </w:r>
    </w:p>
    <w:p>
      <w:pPr>
        <w:pStyle w:val="BodyText"/>
        <w:spacing w:line="240" w:lineRule="auto" w:before="159"/>
        <w:ind w:left="558" w:right="144"/>
        <w:jc w:val="left"/>
      </w:pPr>
      <w:r>
        <w:rPr/>
        <w:t>（</w:t>
      </w:r>
      <w:r>
        <w:rPr>
          <w:rFonts w:ascii="宋体" w:hAnsi="宋体" w:cs="宋体" w:eastAsia="宋体" w:hint="default"/>
        </w:rPr>
        <w:t>4</w:t>
      </w:r>
      <w:r>
        <w:rPr/>
        <w:t>）进一步把握国产化的发展机遇，促进业务发展，扩大市场份额；</w:t>
      </w:r>
    </w:p>
    <w:p>
      <w:pPr>
        <w:spacing w:after="0" w:line="240" w:lineRule="auto"/>
        <w:jc w:val="left"/>
        <w:sectPr>
          <w:pgSz w:w="11910" w:h="16840"/>
          <w:pgMar w:header="880" w:footer="1335" w:top="1120" w:bottom="1520" w:left="1660" w:right="1120"/>
        </w:sectPr>
      </w:pPr>
    </w:p>
    <w:p>
      <w:pPr>
        <w:spacing w:line="240" w:lineRule="auto" w:before="4"/>
        <w:rPr>
          <w:rFonts w:ascii="宋体" w:hAnsi="宋体" w:cs="宋体" w:eastAsia="宋体" w:hint="default"/>
          <w:sz w:val="25"/>
          <w:szCs w:val="25"/>
        </w:rPr>
      </w:pPr>
    </w:p>
    <w:p>
      <w:pPr>
        <w:pStyle w:val="BodyText"/>
        <w:spacing w:line="240" w:lineRule="auto" w:before="36"/>
        <w:ind w:right="103"/>
        <w:jc w:val="left"/>
      </w:pPr>
      <w:r>
        <w:rPr/>
        <w:t>（</w:t>
      </w:r>
      <w:r>
        <w:rPr>
          <w:rFonts w:ascii="宋体" w:hAnsi="宋体" w:cs="宋体" w:eastAsia="宋体" w:hint="default"/>
        </w:rPr>
        <w:t>5</w:t>
      </w:r>
      <w:r>
        <w:rPr/>
        <w:t>）优化各级机构的业务布局，提高业务运营效率和经营效益。</w:t>
      </w:r>
    </w:p>
    <w:p>
      <w:pPr>
        <w:spacing w:line="240" w:lineRule="auto" w:before="3"/>
        <w:rPr>
          <w:rFonts w:ascii="宋体" w:hAnsi="宋体" w:cs="宋体" w:eastAsia="宋体" w:hint="default"/>
          <w:sz w:val="14"/>
          <w:szCs w:val="14"/>
        </w:rPr>
      </w:pPr>
    </w:p>
    <w:p>
      <w:pPr>
        <w:pStyle w:val="Heading2"/>
        <w:spacing w:line="240" w:lineRule="auto" w:before="0"/>
        <w:ind w:left="138" w:right="103"/>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spacing w:line="240" w:lineRule="auto" w:before="5"/>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138" w:right="0"/>
        <w:jc w:val="both"/>
        <w:rPr>
          <w:b w:val="0"/>
          <w:bCs w:val="0"/>
        </w:rPr>
      </w:pPr>
      <w:r>
        <w:rPr/>
        <w:t>四、公司因不适用准则规定或特殊原因，未按准则披露的情况和原因说明</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1"/>
        <w:rPr>
          <w:rFonts w:ascii="宋体" w:hAnsi="宋体" w:cs="宋体" w:eastAsia="宋体" w:hint="default"/>
          <w:sz w:val="24"/>
          <w:szCs w:val="24"/>
        </w:rPr>
      </w:pPr>
    </w:p>
    <w:p>
      <w:pPr>
        <w:pStyle w:val="Heading1"/>
        <w:tabs>
          <w:tab w:pos="1259" w:val="left" w:leader="none"/>
        </w:tabs>
        <w:spacing w:line="240" w:lineRule="auto" w:before="0"/>
        <w:ind w:right="7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0"/>
        <w:jc w:val="both"/>
        <w:rPr>
          <w:b w:val="0"/>
          <w:bCs w:val="0"/>
        </w:rPr>
      </w:pPr>
      <w:r>
        <w:rPr/>
        <w:t>一、普通股利润分配或资本公积金转增预案</w:t>
      </w:r>
      <w:r>
        <w:rPr>
          <w:b w:val="0"/>
          <w:bCs w:val="0"/>
        </w:rPr>
      </w:r>
    </w:p>
    <w:p>
      <w:pPr>
        <w:pStyle w:val="Heading2"/>
        <w:spacing w:line="240" w:lineRule="auto" w:before="59"/>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367" w:lineRule="auto" w:before="89"/>
        <w:ind w:left="558" w:right="103" w:firstLine="141"/>
        <w:jc w:val="left"/>
      </w:pPr>
      <w:r>
        <w:rPr>
          <w:rFonts w:ascii="Calibri" w:hAnsi="Calibri" w:cs="Calibri" w:eastAsia="Calibri" w:hint="default"/>
        </w:rPr>
        <w:t>1</w:t>
      </w:r>
      <w:r>
        <w:rPr/>
        <w:t>、公司利润分配政策的制定情况</w:t>
      </w:r>
      <w:r>
        <w:rPr>
          <w:w w:val="100"/>
        </w:rPr>
        <w:t> </w:t>
      </w:r>
      <w:r>
        <w:rPr>
          <w:spacing w:val="-1"/>
        </w:rPr>
        <w:t>为增强利润分配政策的透明度和可操作性，积极回报股东，充分维护公司股东依法享有的资</w:t>
      </w:r>
    </w:p>
    <w:p>
      <w:pPr>
        <w:pStyle w:val="BodyText"/>
        <w:spacing w:line="256" w:lineRule="exact"/>
        <w:ind w:right="0"/>
        <w:jc w:val="both"/>
      </w:pPr>
      <w:r>
        <w:rPr/>
        <w:t>产收益等权利，根据《中华人民共和国公司法》（以下简称</w:t>
      </w:r>
      <w:r>
        <w:rPr>
          <w:rFonts w:ascii="Calibri" w:hAnsi="Calibri" w:cs="Calibri" w:eastAsia="Calibri" w:hint="default"/>
        </w:rPr>
        <w:t>“</w:t>
      </w:r>
      <w:r>
        <w:rPr/>
        <w:t>《公司法》</w:t>
      </w:r>
      <w:r>
        <w:rPr>
          <w:rFonts w:ascii="Calibri" w:hAnsi="Calibri" w:cs="Calibri" w:eastAsia="Calibri" w:hint="default"/>
        </w:rPr>
        <w:t>”</w:t>
      </w:r>
      <w:r>
        <w:rPr/>
        <w:t>）、中国证监会《关于</w:t>
      </w:r>
    </w:p>
    <w:p>
      <w:pPr>
        <w:pStyle w:val="BodyText"/>
        <w:spacing w:line="271" w:lineRule="auto" w:before="39"/>
        <w:ind w:right="207"/>
        <w:jc w:val="both"/>
      </w:pPr>
      <w:r>
        <w:rPr/>
        <w:t>进一步落实上市公司现金分红有关事项的通知》（证监发</w:t>
      </w:r>
      <w:r>
        <w:rPr>
          <w:rFonts w:ascii="Calibri" w:hAnsi="Calibri" w:cs="Calibri" w:eastAsia="Calibri" w:hint="default"/>
        </w:rPr>
        <w:t>[2012]37</w:t>
      </w:r>
      <w:r>
        <w:rPr>
          <w:rFonts w:ascii="Calibri" w:hAnsi="Calibri" w:cs="Calibri" w:eastAsia="Calibri" w:hint="default"/>
          <w:spacing w:val="29"/>
        </w:rPr>
        <w:t> </w:t>
      </w:r>
      <w:r>
        <w:rPr/>
        <w:t>号）、《上市公司监管指引第</w:t>
      </w:r>
      <w:r>
        <w:rPr>
          <w:w w:val="100"/>
        </w:rPr>
        <w:t> </w:t>
      </w:r>
      <w:r>
        <w:rPr>
          <w:rFonts w:ascii="Calibri" w:hAnsi="Calibri" w:cs="Calibri" w:eastAsia="Calibri" w:hint="default"/>
        </w:rPr>
        <w:t>3</w:t>
      </w:r>
      <w:r>
        <w:rPr>
          <w:rFonts w:ascii="Calibri" w:hAnsi="Calibri" w:cs="Calibri" w:eastAsia="Calibri" w:hint="default"/>
          <w:spacing w:val="29"/>
        </w:rPr>
        <w:t> </w:t>
      </w:r>
      <w:r>
        <w:rPr>
          <w:spacing w:val="-3"/>
        </w:rPr>
        <w:t>号</w:t>
      </w:r>
      <w:r>
        <w:rPr>
          <w:rFonts w:ascii="Calibri" w:hAnsi="Calibri" w:cs="Calibri" w:eastAsia="Calibri" w:hint="default"/>
          <w:spacing w:val="-3"/>
        </w:rPr>
        <w:t>——</w:t>
      </w:r>
      <w:r>
        <w:rPr>
          <w:spacing w:val="-3"/>
        </w:rPr>
        <w:t>上市公司现金分红》（证监会公告</w:t>
      </w:r>
      <w:r>
        <w:rPr>
          <w:rFonts w:ascii="Calibri" w:hAnsi="Calibri" w:cs="Calibri" w:eastAsia="Calibri" w:hint="default"/>
          <w:spacing w:val="-3"/>
        </w:rPr>
        <w:t>[2013]43</w:t>
      </w:r>
      <w:r>
        <w:rPr>
          <w:rFonts w:ascii="Calibri" w:hAnsi="Calibri" w:cs="Calibri" w:eastAsia="Calibri" w:hint="default"/>
          <w:spacing w:val="26"/>
        </w:rPr>
        <w:t> </w:t>
      </w:r>
      <w:r>
        <w:rPr>
          <w:spacing w:val="-4"/>
        </w:rPr>
        <w:t>号）、《上海证券交易所上市公司现金分红指</w:t>
      </w:r>
      <w:r>
        <w:rPr>
          <w:spacing w:val="-94"/>
        </w:rPr>
        <w:t> </w:t>
      </w:r>
      <w:r>
        <w:rPr>
          <w:spacing w:val="-94"/>
        </w:rPr>
      </w:r>
      <w:r>
        <w:rPr>
          <w:spacing w:val="-15"/>
          <w:w w:val="100"/>
        </w:rPr>
        <w:t>引》等法律、法规、规范性文件以及《用友网络科技股份有限公司章程》（以下简称</w:t>
      </w:r>
      <w:r>
        <w:rPr>
          <w:rFonts w:ascii="Calibri" w:hAnsi="Calibri" w:cs="Calibri" w:eastAsia="Calibri" w:hint="default"/>
          <w:spacing w:val="-15"/>
          <w:w w:val="100"/>
        </w:rPr>
        <w:t>“</w:t>
      </w:r>
      <w:r>
        <w:rPr>
          <w:spacing w:val="-15"/>
          <w:w w:val="100"/>
        </w:rPr>
        <w:t>《公司章程》</w:t>
      </w:r>
      <w:r>
        <w:rPr>
          <w:rFonts w:ascii="Calibri" w:hAnsi="Calibri" w:cs="Calibri" w:eastAsia="Calibri" w:hint="default"/>
          <w:spacing w:val="-15"/>
          <w:w w:val="100"/>
        </w:rPr>
        <w:t>”</w:t>
      </w:r>
      <w:r>
        <w:rPr>
          <w:spacing w:val="-15"/>
          <w:w w:val="100"/>
        </w:rPr>
        <w:t>）</w:t>
      </w:r>
      <w:r>
        <w:rPr>
          <w:spacing w:val="-66"/>
          <w:w w:val="100"/>
        </w:rPr>
        <w:t> </w:t>
      </w:r>
      <w:r>
        <w:rPr/>
        <w:t>的相关规定，公司于</w:t>
      </w:r>
      <w:r>
        <w:rPr>
          <w:spacing w:val="-54"/>
        </w:rPr>
        <w:t> </w:t>
      </w:r>
      <w:r>
        <w:rPr>
          <w:rFonts w:ascii="Calibri" w:hAnsi="Calibri" w:cs="Calibri" w:eastAsia="Calibri" w:hint="default"/>
        </w:rPr>
        <w:t>2015</w:t>
      </w:r>
      <w:r>
        <w:rPr>
          <w:rFonts w:ascii="Calibri" w:hAnsi="Calibri" w:cs="Calibri" w:eastAsia="Calibri" w:hint="default"/>
          <w:spacing w:val="3"/>
        </w:rPr>
        <w:t> </w:t>
      </w:r>
      <w:r>
        <w:rPr/>
        <w:t>年</w:t>
      </w:r>
      <w:r>
        <w:rPr>
          <w:spacing w:val="-54"/>
        </w:rPr>
        <w:t> </w:t>
      </w:r>
      <w:r>
        <w:rPr>
          <w:rFonts w:ascii="Calibri" w:hAnsi="Calibri" w:cs="Calibri" w:eastAsia="Calibri" w:hint="default"/>
        </w:rPr>
        <w:t>4</w:t>
      </w:r>
      <w:r>
        <w:rPr>
          <w:rFonts w:ascii="Calibri" w:hAnsi="Calibri" w:cs="Calibri" w:eastAsia="Calibri" w:hint="default"/>
          <w:spacing w:val="2"/>
        </w:rPr>
        <w:t> </w:t>
      </w:r>
      <w:r>
        <w:rPr/>
        <w:t>月</w:t>
      </w:r>
      <w:r>
        <w:rPr>
          <w:spacing w:val="-56"/>
        </w:rPr>
        <w:t> </w:t>
      </w:r>
      <w:r>
        <w:rPr>
          <w:rFonts w:ascii="Calibri" w:hAnsi="Calibri" w:cs="Calibri" w:eastAsia="Calibri" w:hint="default"/>
        </w:rPr>
        <w:t>9</w:t>
      </w:r>
      <w:r>
        <w:rPr>
          <w:rFonts w:ascii="Calibri" w:hAnsi="Calibri" w:cs="Calibri" w:eastAsia="Calibri" w:hint="default"/>
          <w:spacing w:val="5"/>
        </w:rPr>
        <w:t> </w:t>
      </w:r>
      <w:r>
        <w:rPr/>
        <w:t>日召开的公司</w:t>
      </w:r>
      <w:r>
        <w:rPr>
          <w:spacing w:val="-56"/>
        </w:rPr>
        <w:t> </w:t>
      </w:r>
      <w:r>
        <w:rPr>
          <w:rFonts w:ascii="Calibri" w:hAnsi="Calibri" w:cs="Calibri" w:eastAsia="Calibri" w:hint="default"/>
        </w:rPr>
        <w:t>2014</w:t>
      </w:r>
      <w:r>
        <w:rPr>
          <w:rFonts w:ascii="Calibri" w:hAnsi="Calibri" w:cs="Calibri" w:eastAsia="Calibri" w:hint="default"/>
          <w:spacing w:val="3"/>
        </w:rPr>
        <w:t> </w:t>
      </w:r>
      <w:r>
        <w:rPr/>
        <w:t>年度股东大会，审议通过了公司《未来三</w:t>
      </w:r>
      <w:r>
        <w:rPr>
          <w:w w:val="100"/>
        </w:rPr>
        <w:t> </w:t>
      </w:r>
      <w:r>
        <w:rPr/>
        <w:t>年股东回报规划（</w:t>
      </w:r>
      <w:r>
        <w:rPr>
          <w:rFonts w:ascii="Calibri" w:hAnsi="Calibri" w:cs="Calibri" w:eastAsia="Calibri" w:hint="default"/>
        </w:rPr>
        <w:t>2015 </w:t>
      </w:r>
      <w:r>
        <w:rPr/>
        <w:t>年</w:t>
      </w:r>
      <w:r>
        <w:rPr>
          <w:rFonts w:ascii="Calibri" w:hAnsi="Calibri" w:cs="Calibri" w:eastAsia="Calibri" w:hint="default"/>
        </w:rPr>
        <w:t>-2017</w:t>
      </w:r>
      <w:r>
        <w:rPr>
          <w:rFonts w:ascii="Calibri" w:hAnsi="Calibri" w:cs="Calibri" w:eastAsia="Calibri" w:hint="default"/>
          <w:spacing w:val="-1"/>
        </w:rPr>
        <w:t> </w:t>
      </w:r>
      <w:r>
        <w:rPr/>
        <w:t>年）》（以下简称</w:t>
      </w:r>
      <w:r>
        <w:rPr>
          <w:rFonts w:ascii="Calibri" w:hAnsi="Calibri" w:cs="Calibri" w:eastAsia="Calibri" w:hint="default"/>
        </w:rPr>
        <w:t>“</w:t>
      </w:r>
      <w:r>
        <w:rPr/>
        <w:t>本规划</w:t>
      </w:r>
      <w:r>
        <w:rPr>
          <w:rFonts w:ascii="Calibri" w:hAnsi="Calibri" w:cs="Calibri" w:eastAsia="Calibri" w:hint="default"/>
        </w:rPr>
        <w:t>”</w:t>
      </w:r>
      <w:r>
        <w:rPr/>
        <w:t>），主要内容如下：</w:t>
      </w:r>
    </w:p>
    <w:p>
      <w:pPr>
        <w:pStyle w:val="BodyText"/>
        <w:spacing w:line="283" w:lineRule="auto" w:before="126"/>
        <w:ind w:right="103" w:firstLine="419"/>
        <w:jc w:val="left"/>
      </w:pPr>
      <w:r>
        <w:rPr>
          <w:spacing w:val="-1"/>
        </w:rPr>
        <w:t>（</w:t>
      </w:r>
      <w:r>
        <w:rPr>
          <w:rFonts w:ascii="Calibri" w:hAnsi="Calibri" w:cs="Calibri" w:eastAsia="Calibri" w:hint="default"/>
          <w:spacing w:val="-1"/>
        </w:rPr>
        <w:t>1</w:t>
      </w:r>
      <w:r>
        <w:rPr>
          <w:spacing w:val="-1"/>
        </w:rPr>
        <w:t>）公司采取现金或者股票方式或者法律许可的其他方式分配股利。具备现金分红条件时，</w:t>
      </w:r>
      <w:r>
        <w:rPr>
          <w:w w:val="100"/>
        </w:rPr>
        <w:t> </w:t>
      </w:r>
      <w:r>
        <w:rPr/>
        <w:t>公司优先采取现金方式分配利润。公司原则上在每一会计年度结束后实施年度利润分配；在有条</w:t>
      </w:r>
      <w:r>
        <w:rPr>
          <w:spacing w:val="-98"/>
        </w:rPr>
        <w:t> </w:t>
      </w:r>
      <w:r>
        <w:rPr>
          <w:spacing w:val="-98"/>
        </w:rPr>
      </w:r>
      <w:r>
        <w:rPr/>
        <w:t>件的情况下，公司也可以实施中期利润分配。</w:t>
      </w:r>
    </w:p>
    <w:p>
      <w:pPr>
        <w:pStyle w:val="BodyText"/>
        <w:spacing w:line="290" w:lineRule="auto" w:before="148"/>
        <w:ind w:right="208" w:firstLine="419"/>
        <w:jc w:val="both"/>
      </w:pPr>
      <w:r>
        <w:rPr>
          <w:spacing w:val="-4"/>
        </w:rPr>
        <w:t>（</w:t>
      </w:r>
      <w:r>
        <w:rPr>
          <w:rFonts w:ascii="Calibri" w:hAnsi="Calibri" w:cs="Calibri" w:eastAsia="Calibri" w:hint="default"/>
          <w:spacing w:val="-4"/>
        </w:rPr>
        <w:t>2</w:t>
      </w:r>
      <w:r>
        <w:rPr>
          <w:spacing w:val="-4"/>
        </w:rPr>
        <w:t>）根据《公司章程》的规定，在当年盈利的条件下，公司未分配利润期末余额为正且公司</w:t>
      </w:r>
      <w:r>
        <w:rPr>
          <w:w w:val="100"/>
        </w:rPr>
        <w:t> </w:t>
      </w:r>
      <w:r>
        <w:rPr>
          <w:spacing w:val="-1"/>
        </w:rPr>
        <w:t>现金流可以满足公司正常经营和可持续发展的情况下，公司应采用现金方式分配股利，以现金方</w:t>
      </w:r>
      <w:r>
        <w:rPr>
          <w:spacing w:val="-55"/>
        </w:rPr>
        <w:t> </w:t>
      </w:r>
      <w:r>
        <w:rPr>
          <w:spacing w:val="-55"/>
        </w:rPr>
      </w:r>
      <w:r>
        <w:rPr>
          <w:spacing w:val="-1"/>
        </w:rPr>
        <w:t>式分配的利润不少于当年实现的可分配利润的百分之十，最近三年以现金方式累计分配的利润不</w:t>
      </w:r>
      <w:r>
        <w:rPr>
          <w:spacing w:val="-55"/>
        </w:rPr>
        <w:t> </w:t>
      </w:r>
      <w:r>
        <w:rPr>
          <w:spacing w:val="-55"/>
        </w:rPr>
      </w:r>
      <w:r>
        <w:rPr>
          <w:spacing w:val="-1"/>
        </w:rPr>
        <w:t>少于最近三年实现的年均可分配利润的百分之三十。公司董事会可以根据公司的盈利情况和资金</w:t>
      </w:r>
      <w:r>
        <w:rPr>
          <w:spacing w:val="-55"/>
        </w:rPr>
        <w:t> </w:t>
      </w:r>
      <w:r>
        <w:rPr>
          <w:spacing w:val="-55"/>
        </w:rPr>
      </w:r>
      <w:r>
        <w:rPr/>
        <w:t>需求状况提议公司进行中期现金分红。</w:t>
      </w:r>
    </w:p>
    <w:p>
      <w:pPr>
        <w:pStyle w:val="BodyText"/>
        <w:spacing w:line="240" w:lineRule="auto" w:before="142"/>
        <w:ind w:left="558" w:right="103"/>
        <w:jc w:val="left"/>
      </w:pPr>
      <w:r>
        <w:rPr/>
        <w:t>（</w:t>
      </w:r>
      <w:r>
        <w:rPr>
          <w:rFonts w:ascii="Calibri" w:hAnsi="Calibri" w:cs="Calibri" w:eastAsia="Calibri" w:hint="default"/>
        </w:rPr>
        <w:t>3</w:t>
      </w:r>
      <w:r>
        <w:rPr/>
        <w:t>）在保证足额现金股利分配的前提下，公司可以采用股票股利的方式进行利润分配。</w:t>
      </w:r>
    </w:p>
    <w:p>
      <w:pPr>
        <w:pStyle w:val="BodyText"/>
        <w:spacing w:line="283" w:lineRule="auto" w:before="157"/>
        <w:ind w:right="208" w:firstLine="419"/>
        <w:jc w:val="both"/>
      </w:pPr>
      <w:r>
        <w:rPr>
          <w:spacing w:val="-4"/>
        </w:rPr>
        <w:t>（</w:t>
      </w:r>
      <w:r>
        <w:rPr>
          <w:rFonts w:ascii="Calibri" w:hAnsi="Calibri" w:cs="Calibri" w:eastAsia="Calibri" w:hint="default"/>
          <w:spacing w:val="-4"/>
        </w:rPr>
        <w:t>4</w:t>
      </w:r>
      <w:r>
        <w:rPr>
          <w:spacing w:val="-4"/>
        </w:rPr>
        <w:t>）公司董事会应当综合考虑所处行业特点、发展阶段、自身经营模式、盈利水平以及是否</w:t>
      </w:r>
      <w:r>
        <w:rPr>
          <w:w w:val="100"/>
        </w:rPr>
        <w:t> </w:t>
      </w:r>
      <w:r>
        <w:rPr>
          <w:spacing w:val="-1"/>
        </w:rPr>
        <w:t>有重大资金支出安排等因素，区分下列情形，并按照公司章程规定的程序，提出差异化的现金分</w:t>
      </w:r>
      <w:r>
        <w:rPr>
          <w:spacing w:val="-55"/>
        </w:rPr>
        <w:t> </w:t>
      </w:r>
      <w:r>
        <w:rPr>
          <w:spacing w:val="-55"/>
        </w:rPr>
      </w:r>
      <w:r>
        <w:rPr/>
        <w:t>红政策：</w:t>
      </w:r>
    </w:p>
    <w:p>
      <w:pPr>
        <w:pStyle w:val="BodyText"/>
        <w:spacing w:line="271" w:lineRule="auto" w:before="148"/>
        <w:ind w:right="208" w:firstLine="419"/>
        <w:jc w:val="both"/>
      </w:pPr>
      <w:r>
        <w:rPr>
          <w:rFonts w:ascii="Calibri" w:hAnsi="Calibri" w:cs="Calibri" w:eastAsia="Calibri" w:hint="default"/>
          <w:spacing w:val="-4"/>
        </w:rPr>
        <w:t>1</w:t>
      </w:r>
      <w:r>
        <w:rPr>
          <w:spacing w:val="-4"/>
        </w:rPr>
        <w:t>）公司发展阶段属成熟期且无重大资金支出安排的，进行利润分配时，现金分红在本次利润</w:t>
      </w:r>
      <w:r>
        <w:rPr>
          <w:w w:val="100"/>
        </w:rPr>
        <w:t> </w:t>
      </w:r>
      <w:r>
        <w:rPr/>
        <w:t>分配中所占比例最低应达到</w:t>
      </w:r>
      <w:r>
        <w:rPr>
          <w:spacing w:val="-55"/>
        </w:rPr>
        <w:t> </w:t>
      </w:r>
      <w:r>
        <w:rPr>
          <w:rFonts w:ascii="Calibri" w:hAnsi="Calibri" w:cs="Calibri" w:eastAsia="Calibri" w:hint="default"/>
        </w:rPr>
        <w:t>80%</w:t>
      </w:r>
      <w:r>
        <w:rPr/>
        <w:t>；</w:t>
      </w:r>
    </w:p>
    <w:p>
      <w:pPr>
        <w:pStyle w:val="BodyText"/>
        <w:spacing w:line="268" w:lineRule="auto" w:before="126"/>
        <w:ind w:right="210" w:firstLine="419"/>
        <w:jc w:val="both"/>
      </w:pPr>
      <w:r>
        <w:rPr>
          <w:rFonts w:ascii="Calibri" w:hAnsi="Calibri" w:cs="Calibri" w:eastAsia="Calibri" w:hint="default"/>
          <w:spacing w:val="-4"/>
        </w:rPr>
        <w:t>2</w:t>
      </w:r>
      <w:r>
        <w:rPr>
          <w:spacing w:val="-4"/>
        </w:rPr>
        <w:t>）公司发展阶段属成熟期且有重大资金支出安排的，进行利润分配时，现金分红在本次利润</w:t>
      </w:r>
      <w:r>
        <w:rPr>
          <w:spacing w:val="-3"/>
          <w:w w:val="100"/>
        </w:rPr>
        <w:t> </w:t>
      </w:r>
      <w:r>
        <w:rPr/>
        <w:t>分配中所占比例最低应达到</w:t>
      </w:r>
      <w:r>
        <w:rPr>
          <w:spacing w:val="-55"/>
        </w:rPr>
        <w:t> </w:t>
      </w:r>
      <w:r>
        <w:rPr>
          <w:rFonts w:ascii="Calibri" w:hAnsi="Calibri" w:cs="Calibri" w:eastAsia="Calibri" w:hint="default"/>
        </w:rPr>
        <w:t>40%</w:t>
      </w:r>
      <w:r>
        <w:rPr/>
        <w:t>；</w:t>
      </w:r>
    </w:p>
    <w:p>
      <w:pPr>
        <w:pStyle w:val="BodyText"/>
        <w:spacing w:line="271" w:lineRule="auto" w:before="128"/>
        <w:ind w:right="208" w:firstLine="419"/>
        <w:jc w:val="both"/>
      </w:pPr>
      <w:r>
        <w:rPr>
          <w:rFonts w:ascii="Calibri" w:hAnsi="Calibri" w:cs="Calibri" w:eastAsia="Calibri" w:hint="default"/>
          <w:spacing w:val="-4"/>
        </w:rPr>
        <w:t>3</w:t>
      </w:r>
      <w:r>
        <w:rPr>
          <w:spacing w:val="-4"/>
        </w:rPr>
        <w:t>）公司发展阶段属成长期且有重大资金支出安排的，进行利润分配时，现金分红在本次利润</w:t>
      </w:r>
      <w:r>
        <w:rPr>
          <w:w w:val="100"/>
        </w:rPr>
        <w:t> </w:t>
      </w:r>
      <w:r>
        <w:rPr/>
        <w:t>分配中所占比例最低应达到</w:t>
      </w:r>
      <w:r>
        <w:rPr>
          <w:spacing w:val="-55"/>
        </w:rPr>
        <w:t> </w:t>
      </w:r>
      <w:r>
        <w:rPr>
          <w:rFonts w:ascii="Calibri" w:hAnsi="Calibri" w:cs="Calibri" w:eastAsia="Calibri" w:hint="default"/>
        </w:rPr>
        <w:t>20%</w:t>
      </w:r>
      <w:r>
        <w:rPr/>
        <w:t>；</w:t>
      </w:r>
    </w:p>
    <w:p>
      <w:pPr>
        <w:spacing w:after="0" w:line="271" w:lineRule="auto"/>
        <w:jc w:val="both"/>
        <w:sectPr>
          <w:pgSz w:w="11910" w:h="16840"/>
          <w:pgMar w:header="880" w:footer="1335" w:top="1120" w:bottom="1520" w:left="1660" w:right="1060"/>
        </w:sectPr>
      </w:pPr>
    </w:p>
    <w:p>
      <w:pPr>
        <w:spacing w:line="240" w:lineRule="auto" w:before="4"/>
        <w:rPr>
          <w:rFonts w:ascii="宋体" w:hAnsi="宋体" w:cs="宋体" w:eastAsia="宋体" w:hint="default"/>
          <w:sz w:val="25"/>
          <w:szCs w:val="25"/>
        </w:rPr>
      </w:pPr>
    </w:p>
    <w:p>
      <w:pPr>
        <w:pStyle w:val="BodyText"/>
        <w:spacing w:line="240" w:lineRule="auto" w:before="36"/>
        <w:ind w:left="1678" w:right="705"/>
        <w:jc w:val="left"/>
      </w:pPr>
      <w:r>
        <w:rPr/>
        <w:t>公司发展阶段不易区分但有重大资金支出安排的，可以按照前项规定处理</w:t>
      </w:r>
    </w:p>
    <w:p>
      <w:pPr>
        <w:spacing w:line="240" w:lineRule="auto" w:before="3"/>
        <w:rPr>
          <w:rFonts w:ascii="宋体" w:hAnsi="宋体" w:cs="宋体" w:eastAsia="宋体" w:hint="default"/>
          <w:sz w:val="14"/>
          <w:szCs w:val="14"/>
        </w:rPr>
      </w:pPr>
    </w:p>
    <w:p>
      <w:pPr>
        <w:pStyle w:val="BodyText"/>
        <w:spacing w:line="283" w:lineRule="auto"/>
        <w:ind w:left="1258" w:right="705" w:firstLine="419"/>
        <w:jc w:val="left"/>
      </w:pPr>
      <w:r>
        <w:rPr>
          <w:spacing w:val="-1"/>
        </w:rPr>
        <w:t>（</w:t>
      </w:r>
      <w:r>
        <w:rPr>
          <w:rFonts w:ascii="Calibri" w:hAnsi="Calibri" w:cs="Calibri" w:eastAsia="Calibri" w:hint="default"/>
          <w:spacing w:val="-1"/>
        </w:rPr>
        <w:t>5</w:t>
      </w:r>
      <w:r>
        <w:rPr>
          <w:spacing w:val="-1"/>
        </w:rPr>
        <w:t>）公司在每个会计年度结束后，由公司董事会在综合分析公司经营发展实际、股东意愿、</w:t>
      </w:r>
      <w:r>
        <w:rPr>
          <w:w w:val="100"/>
        </w:rPr>
        <w:t> </w:t>
      </w:r>
      <w:r>
        <w:rPr/>
        <w:t>发展目标、社会资金成本、外部融资环境等因素的基础上提出该年度利润分配预案，并提交股东</w:t>
      </w:r>
      <w:r>
        <w:rPr>
          <w:spacing w:val="-98"/>
        </w:rPr>
        <w:t> </w:t>
      </w:r>
      <w:r>
        <w:rPr>
          <w:spacing w:val="-98"/>
        </w:rPr>
      </w:r>
      <w:r>
        <w:rPr/>
        <w:t>大会审议决定。公司积极接受股东和独立董事对公司分红的建议和监督。</w:t>
      </w:r>
    </w:p>
    <w:p>
      <w:pPr>
        <w:pStyle w:val="BodyText"/>
        <w:spacing w:line="271" w:lineRule="auto" w:before="148"/>
        <w:ind w:left="1258" w:right="705" w:firstLine="419"/>
        <w:jc w:val="left"/>
      </w:pPr>
      <w:r>
        <w:rPr>
          <w:spacing w:val="-4"/>
        </w:rPr>
        <w:t>（</w:t>
      </w:r>
      <w:r>
        <w:rPr>
          <w:rFonts w:ascii="Calibri" w:hAnsi="Calibri" w:cs="Calibri" w:eastAsia="Calibri" w:hint="default"/>
          <w:spacing w:val="-4"/>
        </w:rPr>
        <w:t>6</w:t>
      </w:r>
      <w:r>
        <w:rPr>
          <w:spacing w:val="-4"/>
        </w:rPr>
        <w:t>）存在股东违规占用公司资金情况的，公司应当扣减该股东所分配的现金红利，以偿还其</w:t>
      </w:r>
      <w:r>
        <w:rPr>
          <w:w w:val="100"/>
        </w:rPr>
        <w:t> </w:t>
      </w:r>
      <w:r>
        <w:rPr/>
        <w:t>所占用的资金。</w:t>
      </w:r>
    </w:p>
    <w:p>
      <w:pPr>
        <w:pStyle w:val="BodyText"/>
        <w:spacing w:line="240" w:lineRule="auto" w:before="156"/>
        <w:ind w:left="1678" w:right="705"/>
        <w:jc w:val="left"/>
      </w:pPr>
      <w:r>
        <w:rPr>
          <w:rFonts w:ascii="Calibri" w:hAnsi="Calibri" w:cs="Calibri" w:eastAsia="Calibri" w:hint="default"/>
        </w:rPr>
        <w:t>2</w:t>
      </w:r>
      <w:r>
        <w:rPr/>
        <w:t>、公司</w:t>
      </w:r>
      <w:r>
        <w:rPr>
          <w:spacing w:val="-55"/>
        </w:rPr>
        <w:t> </w:t>
      </w:r>
      <w:r>
        <w:rPr>
          <w:rFonts w:ascii="Calibri" w:hAnsi="Calibri" w:cs="Calibri" w:eastAsia="Calibri" w:hint="default"/>
        </w:rPr>
        <w:t>2015</w:t>
      </w:r>
      <w:r>
        <w:rPr>
          <w:rFonts w:ascii="Calibri" w:hAnsi="Calibri" w:cs="Calibri" w:eastAsia="Calibri" w:hint="default"/>
          <w:spacing w:val="6"/>
        </w:rPr>
        <w:t> </w:t>
      </w:r>
      <w:r>
        <w:rPr/>
        <w:t>年度利润分配预案</w:t>
      </w:r>
    </w:p>
    <w:p>
      <w:pPr>
        <w:pStyle w:val="BodyText"/>
        <w:spacing w:line="240" w:lineRule="auto" w:before="159"/>
        <w:ind w:left="1678" w:right="705"/>
        <w:jc w:val="left"/>
        <w:rPr>
          <w:rFonts w:ascii="Calibri" w:hAnsi="Calibri" w:cs="Calibri" w:eastAsia="Calibri" w:hint="default"/>
        </w:rPr>
      </w:pPr>
      <w:r>
        <w:rPr>
          <w:spacing w:val="-6"/>
        </w:rPr>
        <w:t>经安永华明会计师事务所（特殊普通合伙）审计确认，</w:t>
      </w:r>
      <w:r>
        <w:rPr>
          <w:rFonts w:ascii="Calibri" w:hAnsi="Calibri" w:cs="Calibri" w:eastAsia="Calibri" w:hint="default"/>
          <w:spacing w:val="-6"/>
        </w:rPr>
        <w:t>2015  </w:t>
      </w:r>
      <w:r>
        <w:rPr/>
        <w:t>年度公司实现净利润</w:t>
      </w:r>
      <w:r>
        <w:rPr>
          <w:spacing w:val="-40"/>
        </w:rPr>
        <w:t> </w:t>
      </w:r>
      <w:r>
        <w:rPr>
          <w:rFonts w:ascii="Calibri" w:hAnsi="Calibri" w:cs="Calibri" w:eastAsia="Calibri" w:hint="default"/>
        </w:rPr>
        <w:t>291,524,434</w:t>
      </w:r>
    </w:p>
    <w:p>
      <w:pPr>
        <w:pStyle w:val="BodyText"/>
        <w:spacing w:line="240" w:lineRule="auto" w:before="39"/>
        <w:ind w:left="1258" w:right="705"/>
        <w:jc w:val="left"/>
      </w:pPr>
      <w:r>
        <w:rPr/>
        <w:t>元。公司以</w:t>
      </w:r>
      <w:r>
        <w:rPr>
          <w:spacing w:val="-44"/>
        </w:rPr>
        <w:t> </w:t>
      </w:r>
      <w:r>
        <w:rPr>
          <w:rFonts w:ascii="Calibri" w:hAnsi="Calibri" w:cs="Calibri" w:eastAsia="Calibri" w:hint="default"/>
        </w:rPr>
        <w:t>2015</w:t>
      </w:r>
      <w:r>
        <w:rPr>
          <w:rFonts w:ascii="Calibri" w:hAnsi="Calibri" w:cs="Calibri" w:eastAsia="Calibri" w:hint="default"/>
          <w:spacing w:val="14"/>
        </w:rPr>
        <w:t> </w:t>
      </w:r>
      <w:r>
        <w:rPr/>
        <w:t>年度净利润</w:t>
      </w:r>
      <w:r>
        <w:rPr>
          <w:spacing w:val="-42"/>
        </w:rPr>
        <w:t> </w:t>
      </w:r>
      <w:r>
        <w:rPr>
          <w:rFonts w:ascii="Calibri" w:hAnsi="Calibri" w:cs="Calibri" w:eastAsia="Calibri" w:hint="default"/>
        </w:rPr>
        <w:t>291,524,434</w:t>
      </w:r>
      <w:r>
        <w:rPr>
          <w:rFonts w:ascii="Calibri" w:hAnsi="Calibri" w:cs="Calibri" w:eastAsia="Calibri" w:hint="default"/>
          <w:spacing w:val="17"/>
        </w:rPr>
        <w:t> </w:t>
      </w:r>
      <w:r>
        <w:rPr/>
        <w:t>元为基数，提取</w:t>
      </w:r>
      <w:r>
        <w:rPr>
          <w:spacing w:val="-43"/>
        </w:rPr>
        <w:t> </w:t>
      </w:r>
      <w:r>
        <w:rPr>
          <w:rFonts w:ascii="Calibri" w:hAnsi="Calibri" w:cs="Calibri" w:eastAsia="Calibri" w:hint="default"/>
        </w:rPr>
        <w:t>10%</w:t>
      </w:r>
      <w:r>
        <w:rPr/>
        <w:t>的法定盈余公积金</w:t>
      </w:r>
      <w:r>
        <w:rPr>
          <w:spacing w:val="-42"/>
        </w:rPr>
        <w:t> </w:t>
      </w:r>
      <w:r>
        <w:rPr>
          <w:rFonts w:ascii="Calibri" w:hAnsi="Calibri" w:cs="Calibri" w:eastAsia="Calibri" w:hint="default"/>
        </w:rPr>
        <w:t>29,152,443</w:t>
      </w:r>
      <w:r>
        <w:rPr>
          <w:rFonts w:ascii="Calibri" w:hAnsi="Calibri" w:cs="Calibri" w:eastAsia="Calibri" w:hint="default"/>
          <w:spacing w:val="14"/>
        </w:rPr>
        <w:t> </w:t>
      </w:r>
      <w:r>
        <w:rPr/>
        <w:t>元，</w:t>
      </w:r>
    </w:p>
    <w:p>
      <w:pPr>
        <w:pStyle w:val="BodyText"/>
        <w:spacing w:line="240" w:lineRule="auto" w:before="39"/>
        <w:ind w:left="1258" w:right="705"/>
        <w:jc w:val="left"/>
      </w:pPr>
      <w:r>
        <w:rPr/>
        <w:t>提取</w:t>
      </w:r>
      <w:r>
        <w:rPr>
          <w:spacing w:val="-59"/>
        </w:rPr>
        <w:t> </w:t>
      </w:r>
      <w:r>
        <w:rPr>
          <w:rFonts w:ascii="Calibri" w:hAnsi="Calibri" w:cs="Calibri" w:eastAsia="Calibri" w:hint="default"/>
        </w:rPr>
        <w:t>5%</w:t>
      </w:r>
      <w:r>
        <w:rPr/>
        <w:t>任意盈余公积金</w:t>
      </w:r>
      <w:r>
        <w:rPr>
          <w:spacing w:val="-57"/>
        </w:rPr>
        <w:t> </w:t>
      </w:r>
      <w:r>
        <w:rPr>
          <w:rFonts w:ascii="Calibri" w:hAnsi="Calibri" w:cs="Calibri" w:eastAsia="Calibri" w:hint="default"/>
        </w:rPr>
        <w:t>14,576,223</w:t>
      </w:r>
      <w:r>
        <w:rPr>
          <w:rFonts w:ascii="Calibri" w:hAnsi="Calibri" w:cs="Calibri" w:eastAsia="Calibri" w:hint="default"/>
          <w:spacing w:val="2"/>
        </w:rPr>
        <w:t> </w:t>
      </w:r>
      <w:r>
        <w:rPr/>
        <w:t>元，加往年累积的未分配利润</w:t>
      </w:r>
      <w:r>
        <w:rPr>
          <w:spacing w:val="-59"/>
        </w:rPr>
        <w:t> </w:t>
      </w:r>
      <w:r>
        <w:rPr>
          <w:rFonts w:ascii="Calibri" w:hAnsi="Calibri" w:cs="Calibri" w:eastAsia="Calibri" w:hint="default"/>
        </w:rPr>
        <w:t>908,347,051</w:t>
      </w:r>
      <w:r>
        <w:rPr>
          <w:rFonts w:ascii="Calibri" w:hAnsi="Calibri" w:cs="Calibri" w:eastAsia="Calibri" w:hint="default"/>
          <w:spacing w:val="1"/>
        </w:rPr>
        <w:t> </w:t>
      </w:r>
      <w:r>
        <w:rPr/>
        <w:t>元，本次实际可供</w:t>
      </w:r>
    </w:p>
    <w:p>
      <w:pPr>
        <w:pStyle w:val="BodyText"/>
        <w:spacing w:line="240" w:lineRule="auto" w:before="39"/>
        <w:ind w:left="1258" w:right="705"/>
        <w:jc w:val="left"/>
      </w:pPr>
      <w:r>
        <w:rPr/>
        <w:t>分配的利润为 </w:t>
      </w:r>
      <w:r>
        <w:rPr>
          <w:rFonts w:ascii="Calibri" w:hAnsi="Calibri" w:cs="Calibri" w:eastAsia="Calibri" w:hint="default"/>
        </w:rPr>
        <w:t>1,156,142,819 </w:t>
      </w:r>
      <w:r>
        <w:rPr/>
        <w:t>元；公司以总股本 </w:t>
      </w:r>
      <w:r>
        <w:rPr>
          <w:rFonts w:ascii="Calibri" w:hAnsi="Calibri" w:cs="Calibri" w:eastAsia="Calibri" w:hint="default"/>
        </w:rPr>
        <w:t>1,464,293,443</w:t>
      </w:r>
      <w:r>
        <w:rPr>
          <w:rFonts w:ascii="Calibri" w:hAnsi="Calibri" w:cs="Calibri" w:eastAsia="Calibri" w:hint="default"/>
          <w:spacing w:val="-23"/>
        </w:rPr>
        <w:t> </w:t>
      </w:r>
      <w:r>
        <w:rPr/>
        <w:t>股（包括截至第六届董事会第三十</w:t>
      </w:r>
    </w:p>
    <w:p>
      <w:pPr>
        <w:pStyle w:val="BodyText"/>
        <w:spacing w:line="240" w:lineRule="auto" w:before="39"/>
        <w:ind w:left="1258" w:right="705"/>
        <w:jc w:val="left"/>
      </w:pPr>
      <w:r>
        <w:rPr>
          <w:spacing w:val="4"/>
        </w:rPr>
        <w:t>三次会议决议日公司股本数 </w:t>
      </w:r>
      <w:r>
        <w:rPr>
          <w:rFonts w:ascii="Calibri" w:hAnsi="Calibri" w:cs="Calibri" w:eastAsia="Calibri" w:hint="default"/>
        </w:rPr>
        <w:t>1,464,106,603   </w:t>
      </w:r>
      <w:r>
        <w:rPr>
          <w:rFonts w:ascii="Calibri" w:hAnsi="Calibri" w:cs="Calibri" w:eastAsia="Calibri" w:hint="default"/>
          <w:spacing w:val="9"/>
        </w:rPr>
        <w:t> </w:t>
      </w:r>
      <w:r>
        <w:rPr>
          <w:spacing w:val="4"/>
        </w:rPr>
        <w:t>股和公司正在办理股票期权行权登记手续的股本数</w:t>
      </w:r>
    </w:p>
    <w:p>
      <w:pPr>
        <w:pStyle w:val="BodyText"/>
        <w:spacing w:line="240" w:lineRule="auto" w:before="39"/>
        <w:ind w:left="1258" w:right="705"/>
        <w:jc w:val="left"/>
      </w:pPr>
      <w:r>
        <w:rPr>
          <w:rFonts w:ascii="Calibri" w:hAnsi="Calibri" w:cs="Calibri" w:eastAsia="Calibri" w:hint="default"/>
        </w:rPr>
        <w:t>186,840   </w:t>
      </w:r>
      <w:r>
        <w:rPr>
          <w:spacing w:val="8"/>
        </w:rPr>
        <w:t>股）为基数，拟向全体股东每 </w:t>
      </w:r>
      <w:r>
        <w:rPr>
          <w:rFonts w:ascii="Calibri" w:hAnsi="Calibri" w:cs="Calibri" w:eastAsia="Calibri" w:hint="default"/>
        </w:rPr>
        <w:t>10   </w:t>
      </w:r>
      <w:r>
        <w:rPr>
          <w:spacing w:val="8"/>
        </w:rPr>
        <w:t>股派发现金股利 </w:t>
      </w:r>
      <w:r>
        <w:rPr>
          <w:rFonts w:ascii="Calibri" w:hAnsi="Calibri" w:cs="Calibri" w:eastAsia="Calibri" w:hint="default"/>
        </w:rPr>
        <w:t>1.5  </w:t>
      </w:r>
      <w:r>
        <w:rPr>
          <w:rFonts w:ascii="Calibri" w:hAnsi="Calibri" w:cs="Calibri" w:eastAsia="Calibri" w:hint="default"/>
          <w:spacing w:val="18"/>
        </w:rPr>
        <w:t> </w:t>
      </w:r>
      <w:r>
        <w:rPr>
          <w:spacing w:val="8"/>
        </w:rPr>
        <w:t>元</w:t>
      </w:r>
      <w:r>
        <w:rPr>
          <w:rFonts w:ascii="Calibri" w:hAnsi="Calibri" w:cs="Calibri" w:eastAsia="Calibri" w:hint="default"/>
          <w:spacing w:val="8"/>
        </w:rPr>
        <w:t>(</w:t>
      </w:r>
      <w:r>
        <w:rPr>
          <w:spacing w:val="8"/>
        </w:rPr>
        <w:t>含税</w:t>
      </w:r>
      <w:r>
        <w:rPr>
          <w:rFonts w:ascii="Calibri" w:hAnsi="Calibri" w:cs="Calibri" w:eastAsia="Calibri" w:hint="default"/>
          <w:spacing w:val="8"/>
        </w:rPr>
        <w:t>),</w:t>
      </w:r>
      <w:r>
        <w:rPr>
          <w:spacing w:val="8"/>
        </w:rPr>
        <w:t>共计派发现金股利</w:t>
      </w:r>
    </w:p>
    <w:p>
      <w:pPr>
        <w:pStyle w:val="BodyText"/>
        <w:spacing w:line="240" w:lineRule="auto" w:before="36"/>
        <w:ind w:left="1258" w:right="705"/>
        <w:jc w:val="left"/>
      </w:pPr>
      <w:r>
        <w:rPr>
          <w:rFonts w:ascii="Calibri" w:hAnsi="Calibri" w:cs="Calibri" w:eastAsia="Calibri" w:hint="default"/>
        </w:rPr>
        <w:t>219,644,016</w:t>
      </w:r>
      <w:r>
        <w:rPr>
          <w:rFonts w:ascii="Calibri" w:hAnsi="Calibri" w:cs="Calibri" w:eastAsia="Calibri" w:hint="default"/>
          <w:spacing w:val="2"/>
        </w:rPr>
        <w:t> </w:t>
      </w:r>
      <w:r>
        <w:rPr/>
        <w:t>元（包含向持有未解锁限制性股票的股权激励对象派发的现金股利</w:t>
      </w:r>
      <w:r>
        <w:rPr>
          <w:spacing w:val="-56"/>
        </w:rPr>
        <w:t> </w:t>
      </w:r>
      <w:r>
        <w:rPr>
          <w:rFonts w:ascii="Calibri" w:hAnsi="Calibri" w:cs="Calibri" w:eastAsia="Calibri" w:hint="default"/>
        </w:rPr>
        <w:t>676,375</w:t>
      </w:r>
      <w:r>
        <w:rPr>
          <w:rFonts w:ascii="Calibri" w:hAnsi="Calibri" w:cs="Calibri" w:eastAsia="Calibri" w:hint="default"/>
          <w:spacing w:val="2"/>
        </w:rPr>
        <w:t> </w:t>
      </w:r>
      <w:r>
        <w:rPr>
          <w:spacing w:val="-4"/>
        </w:rPr>
        <w:t>元），派</w:t>
      </w:r>
    </w:p>
    <w:p>
      <w:pPr>
        <w:pStyle w:val="BodyText"/>
        <w:spacing w:line="240" w:lineRule="auto" w:before="39"/>
        <w:ind w:left="1258" w:right="705"/>
        <w:jc w:val="left"/>
      </w:pPr>
      <w:r>
        <w:rPr/>
        <w:t>发现金股利后，公司未分配利润余额为</w:t>
      </w:r>
      <w:r>
        <w:rPr>
          <w:spacing w:val="-57"/>
        </w:rPr>
        <w:t> </w:t>
      </w:r>
      <w:r>
        <w:rPr>
          <w:rFonts w:ascii="Calibri" w:hAnsi="Calibri" w:cs="Calibri" w:eastAsia="Calibri" w:hint="default"/>
        </w:rPr>
        <w:t>937,175,178</w:t>
      </w:r>
      <w:r>
        <w:rPr>
          <w:rFonts w:ascii="Calibri" w:hAnsi="Calibri" w:cs="Calibri" w:eastAsia="Calibri" w:hint="default"/>
          <w:spacing w:val="2"/>
        </w:rPr>
        <w:t> </w:t>
      </w:r>
      <w:r>
        <w:rPr/>
        <w:t>元。</w:t>
      </w:r>
    </w:p>
    <w:p>
      <w:pPr>
        <w:pStyle w:val="Heading2"/>
        <w:spacing w:line="240" w:lineRule="auto" w:before="159"/>
        <w:ind w:left="1258" w:right="70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公司近三年（含报告期）的普通股利润分配方案或预案、资本公积金转增股本方案或预案</w:t>
      </w:r>
      <w:r>
        <w:rPr>
          <w:b w:val="0"/>
          <w:bCs w:val="0"/>
        </w:rPr>
      </w:r>
    </w:p>
    <w:p>
      <w:pPr>
        <w:pStyle w:val="BodyText"/>
        <w:tabs>
          <w:tab w:pos="1051" w:val="left" w:leader="none"/>
        </w:tabs>
        <w:spacing w:line="240" w:lineRule="auto" w:before="32"/>
        <w:ind w:left="0" w:right="9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1001"/>
        <w:gridCol w:w="1201"/>
        <w:gridCol w:w="1193"/>
        <w:gridCol w:w="1200"/>
        <w:gridCol w:w="1371"/>
        <w:gridCol w:w="1561"/>
        <w:gridCol w:w="1524"/>
      </w:tblGrid>
      <w:tr>
        <w:trPr>
          <w:trHeight w:val="1100"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285" w:right="281"/>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2" w:right="11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0" w:right="115"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9" w:lineRule="exact"/>
              <w:ind w:left="170"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3" w:right="33" w:firstLine="1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54" w:right="151"/>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37" w:lineRule="auto" w:before="2"/>
              <w:ind w:left="143" w:right="142"/>
              <w:jc w:val="center"/>
              <w:rPr>
                <w:rFonts w:ascii="宋体" w:hAnsi="宋体" w:cs="宋体" w:eastAsia="宋体" w:hint="default"/>
                <w:sz w:val="21"/>
                <w:szCs w:val="21"/>
              </w:rPr>
            </w:pP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1"/>
                <w:sz w:val="21"/>
                <w:szCs w:val="21"/>
              </w:rPr>
              <w:t>上市公司股东</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both"/>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before="2"/>
              <w:ind w:left="127" w:right="122"/>
              <w:jc w:val="both"/>
              <w:rPr>
                <w:rFonts w:ascii="宋体" w:hAnsi="宋体" w:cs="宋体" w:eastAsia="宋体" w:hint="default"/>
                <w:sz w:val="21"/>
                <w:szCs w:val="21"/>
              </w:rPr>
            </w:pPr>
            <w:r>
              <w:rPr>
                <w:rFonts w:ascii="宋体" w:hAnsi="宋体" w:cs="宋体" w:eastAsia="宋体" w:hint="default"/>
                <w:sz w:val="21"/>
                <w:szCs w:val="21"/>
              </w:rPr>
              <w:t>归属于上市公</w:t>
            </w:r>
            <w:r>
              <w:rPr>
                <w:rFonts w:ascii="宋体" w:hAnsi="宋体" w:cs="宋体" w:eastAsia="宋体" w:hint="default"/>
                <w:w w:val="100"/>
                <w:sz w:val="21"/>
                <w:szCs w:val="21"/>
              </w:rPr>
              <w:t> </w:t>
            </w:r>
            <w:r>
              <w:rPr>
                <w:rFonts w:ascii="宋体" w:hAnsi="宋体" w:cs="宋体" w:eastAsia="宋体" w:hint="default"/>
                <w:sz w:val="21"/>
                <w:szCs w:val="21"/>
              </w:rPr>
              <w:t>司股东的净利</w:t>
            </w:r>
            <w:r>
              <w:rPr>
                <w:rFonts w:ascii="宋体" w:hAnsi="宋体" w:cs="宋体" w:eastAsia="宋体" w:hint="default"/>
                <w:w w:val="100"/>
                <w:sz w:val="21"/>
                <w:szCs w:val="21"/>
              </w:rPr>
              <w:t> </w:t>
            </w:r>
            <w:r>
              <w:rPr>
                <w:rFonts w:ascii="宋体" w:hAnsi="宋体" w:cs="宋体" w:eastAsia="宋体" w:hint="default"/>
                <w:sz w:val="21"/>
                <w:szCs w:val="21"/>
              </w:rPr>
              <w:t>润的比率</w:t>
            </w:r>
            <w:r>
              <w:rPr>
                <w:rFonts w:ascii="宋体" w:hAnsi="宋体" w:cs="宋体" w:eastAsia="宋体" w:hint="default"/>
                <w:sz w:val="21"/>
                <w:szCs w:val="21"/>
              </w:rPr>
              <w:t>(%)</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c>
          <w:tcPr>
            <w:tcW w:w="120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219,644,016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323,745,309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w:t>
            </w:r>
          </w:p>
        </w:tc>
      </w:tr>
      <w:tr>
        <w:trPr>
          <w:trHeight w:val="281"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351,425,702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550,250,599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291,352,390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547,902,307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335" w:top="1120" w:bottom="1520" w:left="540" w:right="340"/>
        </w:sectPr>
      </w:pPr>
    </w:p>
    <w:p>
      <w:pPr>
        <w:pStyle w:val="Heading2"/>
        <w:spacing w:line="240" w:lineRule="auto"/>
        <w:ind w:left="1258" w:right="-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520" w:left="540" w:right="340"/>
          <w:cols w:num="2" w:equalWidth="0">
            <w:col w:w="5898" w:space="624"/>
            <w:col w:w="4508"/>
          </w:cols>
        </w:sectPr>
      </w:pP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3106"/>
        <w:gridCol w:w="3202"/>
        <w:gridCol w:w="2741"/>
      </w:tblGrid>
      <w:tr>
        <w:trPr>
          <w:trHeight w:val="281" w:hRule="exact"/>
        </w:trPr>
        <w:tc>
          <w:tcPr>
            <w:tcW w:w="3106"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现金分红的金额</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202"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06"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06"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74" w:lineRule="exact" w:before="62"/>
        <w:ind w:left="1678" w:right="705"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10"/>
        </w:rPr>
        <w:t> </w:t>
      </w:r>
      <w:r>
        <w:rPr/>
        <w:t>报告期内盈利且母公司可供普通股股东分配利润为正，但未提出普通股现金利润分配预案的，</w:t>
      </w:r>
      <w:r>
        <w:rPr>
          <w:w w:val="100"/>
        </w:rPr>
        <w:t> </w:t>
      </w:r>
      <w:r>
        <w:rPr/>
        <w:t>公司应当详细披露原因以及未分配利润的用途和使用计划</w:t>
      </w:r>
      <w:r>
        <w:rPr>
          <w:b w:val="0"/>
          <w:bCs w:val="0"/>
        </w:rPr>
      </w:r>
    </w:p>
    <w:p>
      <w:pPr>
        <w:spacing w:line="290" w:lineRule="auto" w:before="31"/>
        <w:ind w:left="1258" w:right="76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BodyText"/>
        <w:spacing w:line="240" w:lineRule="auto" w:before="12"/>
        <w:ind w:left="1258" w:right="705"/>
        <w:jc w:val="left"/>
      </w:pPr>
      <w:r>
        <w:rPr/>
        <w:t>√适用</w:t>
      </w:r>
      <w:r>
        <w:rPr>
          <w:spacing w:val="-1"/>
        </w:rPr>
        <w:t> </w:t>
      </w:r>
      <w:r>
        <w:rPr/>
        <w:t>□不适用</w:t>
      </w:r>
    </w:p>
    <w:p>
      <w:pPr>
        <w:spacing w:line="240" w:lineRule="auto" w:before="3"/>
        <w:rPr>
          <w:rFonts w:ascii="宋体" w:hAnsi="宋体" w:cs="宋体" w:eastAsia="宋体" w:hint="default"/>
          <w:sz w:val="27"/>
          <w:szCs w:val="27"/>
        </w:rPr>
      </w:pPr>
    </w:p>
    <w:p>
      <w:pPr>
        <w:pStyle w:val="Heading2"/>
        <w:tabs>
          <w:tab w:pos="1824" w:val="left" w:leader="none"/>
        </w:tabs>
        <w:spacing w:line="274" w:lineRule="exact" w:before="0"/>
        <w:ind w:left="1824" w:right="93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公司、股东、实际控制人、收购人、董事、监事、高级管理人员或其他关联方在报告期内</w:t>
      </w:r>
      <w:r>
        <w:rPr>
          <w:spacing w:val="-66"/>
        </w:rPr>
        <w:t> </w:t>
      </w:r>
      <w:r>
        <w:rPr>
          <w:spacing w:val="-66"/>
        </w:rPr>
      </w:r>
      <w:r>
        <w:rPr/>
        <w:t>或持续到报告期内的承诺事项</w:t>
      </w:r>
      <w:r>
        <w:rPr>
          <w:b w:val="0"/>
          <w:bCs w:val="0"/>
        </w:rPr>
      </w:r>
    </w:p>
    <w:p>
      <w:pPr>
        <w:spacing w:line="240" w:lineRule="auto" w:before="13"/>
        <w:rPr>
          <w:rFonts w:ascii="宋体" w:hAnsi="宋体" w:cs="宋体" w:eastAsia="宋体" w:hint="default"/>
          <w:b/>
          <w:bCs/>
          <w:sz w:val="4"/>
          <w:szCs w:val="4"/>
        </w:rPr>
      </w:pPr>
    </w:p>
    <w:tbl>
      <w:tblPr>
        <w:tblW w:w="0" w:type="auto"/>
        <w:jc w:val="left"/>
        <w:tblInd w:w="117" w:type="dxa"/>
        <w:tblLayout w:type="fixed"/>
        <w:tblCellMar>
          <w:top w:w="0" w:type="dxa"/>
          <w:left w:w="0" w:type="dxa"/>
          <w:bottom w:w="0" w:type="dxa"/>
          <w:right w:w="0" w:type="dxa"/>
        </w:tblCellMar>
        <w:tblLook w:val="01E0"/>
      </w:tblPr>
      <w:tblGrid>
        <w:gridCol w:w="1563"/>
        <w:gridCol w:w="708"/>
        <w:gridCol w:w="1868"/>
        <w:gridCol w:w="1822"/>
        <w:gridCol w:w="852"/>
        <w:gridCol w:w="708"/>
        <w:gridCol w:w="684"/>
        <w:gridCol w:w="1585"/>
        <w:gridCol w:w="989"/>
      </w:tblGrid>
      <w:tr>
        <w:trPr>
          <w:trHeight w:val="28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1"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承诺时</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是否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是否</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如未能及时履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如未能</w:t>
            </w:r>
          </w:p>
        </w:tc>
      </w:tr>
    </w:tbl>
    <w:p>
      <w:pPr>
        <w:spacing w:after="0" w:line="241" w:lineRule="exact"/>
        <w:jc w:val="left"/>
        <w:rPr>
          <w:rFonts w:ascii="宋体" w:hAnsi="宋体" w:cs="宋体" w:eastAsia="宋体" w:hint="default"/>
          <w:sz w:val="21"/>
          <w:szCs w:val="21"/>
        </w:rPr>
        <w:sectPr>
          <w:type w:val="continuous"/>
          <w:pgSz w:w="11910" w:h="16840"/>
          <w:pgMar w:top="1120" w:bottom="1520" w:left="540" w:right="3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17" w:type="dxa"/>
        <w:tblLayout w:type="fixed"/>
        <w:tblCellMar>
          <w:top w:w="0" w:type="dxa"/>
          <w:left w:w="0" w:type="dxa"/>
          <w:bottom w:w="0" w:type="dxa"/>
          <w:right w:w="0" w:type="dxa"/>
        </w:tblCellMar>
        <w:tblLook w:val="01E0"/>
      </w:tblPr>
      <w:tblGrid>
        <w:gridCol w:w="1563"/>
        <w:gridCol w:w="708"/>
        <w:gridCol w:w="1868"/>
        <w:gridCol w:w="1822"/>
        <w:gridCol w:w="852"/>
        <w:gridCol w:w="708"/>
        <w:gridCol w:w="684"/>
        <w:gridCol w:w="1585"/>
        <w:gridCol w:w="989"/>
      </w:tblGrid>
      <w:tr>
        <w:trPr>
          <w:trHeight w:val="1100" w:hRule="exact"/>
        </w:trPr>
        <w:tc>
          <w:tcPr>
            <w:tcW w:w="15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6"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868"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间及期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6" w:right="0"/>
              <w:jc w:val="left"/>
              <w:rPr>
                <w:rFonts w:ascii="宋体" w:hAnsi="宋体" w:cs="宋体" w:eastAsia="宋体" w:hint="default"/>
                <w:sz w:val="21"/>
                <w:szCs w:val="21"/>
              </w:rPr>
            </w:pPr>
            <w:r>
              <w:rPr>
                <w:rFonts w:ascii="宋体" w:hAnsi="宋体" w:cs="宋体" w:eastAsia="宋体" w:hint="default"/>
                <w:sz w:val="21"/>
                <w:szCs w:val="21"/>
              </w:rPr>
              <w:t>有履</w:t>
            </w:r>
          </w:p>
          <w:p>
            <w:pPr>
              <w:pStyle w:val="TableParagraph"/>
              <w:spacing w:line="240" w:lineRule="auto"/>
              <w:ind w:left="239" w:right="137" w:hanging="104"/>
              <w:jc w:val="left"/>
              <w:rPr>
                <w:rFonts w:ascii="宋体" w:hAnsi="宋体" w:cs="宋体" w:eastAsia="宋体" w:hint="default"/>
                <w:sz w:val="21"/>
                <w:szCs w:val="21"/>
              </w:rPr>
            </w:pP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7" w:right="0"/>
              <w:jc w:val="left"/>
              <w:rPr>
                <w:rFonts w:ascii="宋体" w:hAnsi="宋体" w:cs="宋体" w:eastAsia="宋体" w:hint="default"/>
                <w:sz w:val="21"/>
                <w:szCs w:val="21"/>
              </w:rPr>
            </w:pPr>
            <w:r>
              <w:rPr>
                <w:rFonts w:ascii="宋体" w:hAnsi="宋体" w:cs="宋体" w:eastAsia="宋体" w:hint="default"/>
                <w:sz w:val="21"/>
                <w:szCs w:val="21"/>
              </w:rPr>
              <w:t>及时</w:t>
            </w:r>
          </w:p>
          <w:p>
            <w:pPr>
              <w:pStyle w:val="TableParagraph"/>
              <w:spacing w:line="240" w:lineRule="auto"/>
              <w:ind w:left="127" w:right="122"/>
              <w:jc w:val="left"/>
              <w:rPr>
                <w:rFonts w:ascii="宋体" w:hAnsi="宋体" w:cs="宋体" w:eastAsia="宋体" w:hint="default"/>
                <w:sz w:val="21"/>
                <w:szCs w:val="21"/>
              </w:rPr>
            </w:pP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6" w:right="0"/>
              <w:jc w:val="left"/>
              <w:rPr>
                <w:rFonts w:ascii="宋体" w:hAnsi="宋体" w:cs="宋体" w:eastAsia="宋体" w:hint="default"/>
                <w:sz w:val="21"/>
                <w:szCs w:val="21"/>
              </w:rPr>
            </w:pPr>
            <w:r>
              <w:rPr>
                <w:rFonts w:ascii="宋体" w:hAnsi="宋体" w:cs="宋体" w:eastAsia="宋体" w:hint="default"/>
                <w:sz w:val="21"/>
                <w:szCs w:val="21"/>
              </w:rPr>
              <w:t>行应说明未完</w:t>
            </w:r>
          </w:p>
          <w:p>
            <w:pPr>
              <w:pStyle w:val="TableParagraph"/>
              <w:spacing w:line="240" w:lineRule="auto"/>
              <w:ind w:left="576" w:right="153" w:hanging="420"/>
              <w:jc w:val="left"/>
              <w:rPr>
                <w:rFonts w:ascii="宋体" w:hAnsi="宋体" w:cs="宋体" w:eastAsia="宋体" w:hint="default"/>
                <w:sz w:val="21"/>
                <w:szCs w:val="21"/>
              </w:rPr>
            </w:pPr>
            <w:r>
              <w:rPr>
                <w:rFonts w:ascii="宋体" w:hAnsi="宋体" w:cs="宋体" w:eastAsia="宋体" w:hint="default"/>
                <w:sz w:val="21"/>
                <w:szCs w:val="21"/>
              </w:rPr>
              <w:t>成履行的具体</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both"/>
              <w:rPr>
                <w:rFonts w:ascii="宋体" w:hAnsi="宋体" w:cs="宋体" w:eastAsia="宋体" w:hint="default"/>
                <w:sz w:val="21"/>
                <w:szCs w:val="21"/>
              </w:rPr>
            </w:pPr>
            <w:r>
              <w:rPr>
                <w:rFonts w:ascii="宋体" w:hAnsi="宋体" w:cs="宋体" w:eastAsia="宋体" w:hint="default"/>
                <w:sz w:val="21"/>
                <w:szCs w:val="21"/>
              </w:rPr>
              <w:t>及时履</w:t>
            </w:r>
          </w:p>
          <w:p>
            <w:pPr>
              <w:pStyle w:val="TableParagraph"/>
              <w:spacing w:line="237" w:lineRule="auto"/>
              <w:ind w:left="172" w:right="171"/>
              <w:jc w:val="both"/>
              <w:rPr>
                <w:rFonts w:ascii="宋体" w:hAnsi="宋体" w:cs="宋体" w:eastAsia="宋体" w:hint="default"/>
                <w:sz w:val="21"/>
                <w:szCs w:val="21"/>
              </w:rPr>
            </w:pP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557"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与股改相关的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150"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103" w:right="185"/>
              <w:jc w:val="both"/>
              <w:rPr>
                <w:rFonts w:ascii="宋体" w:hAnsi="宋体" w:cs="宋体" w:eastAsia="宋体" w:hint="default"/>
                <w:sz w:val="21"/>
                <w:szCs w:val="21"/>
              </w:rPr>
            </w:pPr>
            <w:r>
              <w:rPr>
                <w:rFonts w:ascii="宋体" w:hAnsi="宋体" w:cs="宋体" w:eastAsia="宋体" w:hint="default"/>
                <w:sz w:val="21"/>
                <w:szCs w:val="21"/>
              </w:rPr>
              <w:t>收购报告书或</w:t>
            </w:r>
            <w:r>
              <w:rPr>
                <w:rFonts w:ascii="宋体" w:hAnsi="宋体" w:cs="宋体" w:eastAsia="宋体" w:hint="default"/>
                <w:w w:val="100"/>
                <w:sz w:val="21"/>
                <w:szCs w:val="21"/>
              </w:rPr>
              <w:t> </w:t>
            </w:r>
            <w:r>
              <w:rPr>
                <w:rFonts w:ascii="宋体" w:hAnsi="宋体" w:cs="宋体" w:eastAsia="宋体" w:hint="default"/>
                <w:sz w:val="21"/>
                <w:szCs w:val="21"/>
              </w:rPr>
              <w:t>权益变动报告</w:t>
            </w:r>
            <w:r>
              <w:rPr>
                <w:rFonts w:ascii="宋体" w:hAnsi="宋体" w:cs="宋体" w:eastAsia="宋体" w:hint="default"/>
                <w:w w:val="100"/>
                <w:sz w:val="21"/>
                <w:szCs w:val="21"/>
              </w:rPr>
              <w:t> </w:t>
            </w:r>
            <w:r>
              <w:rPr>
                <w:rFonts w:ascii="宋体" w:hAnsi="宋体" w:cs="宋体" w:eastAsia="宋体" w:hint="default"/>
                <w:sz w:val="21"/>
                <w:szCs w:val="21"/>
              </w:rPr>
              <w:t>书中所作承诺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与重大资产重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组相关的承诺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与首次公开发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行相关的承诺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与再融资相关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与股权激励相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增持承诺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公司控股股东北</w:t>
            </w:r>
          </w:p>
          <w:p>
            <w:pPr>
              <w:pStyle w:val="TableParagraph"/>
              <w:spacing w:line="272" w:lineRule="exact" w:before="27"/>
              <w:ind w:left="103" w:right="279"/>
              <w:jc w:val="left"/>
              <w:rPr>
                <w:rFonts w:ascii="宋体" w:hAnsi="宋体" w:cs="宋体" w:eastAsia="宋体" w:hint="default"/>
                <w:sz w:val="21"/>
                <w:szCs w:val="21"/>
              </w:rPr>
            </w:pPr>
            <w:r>
              <w:rPr>
                <w:rFonts w:ascii="宋体" w:hAnsi="宋体" w:cs="宋体" w:eastAsia="宋体" w:hint="default"/>
                <w:sz w:val="21"/>
                <w:szCs w:val="21"/>
              </w:rPr>
              <w:t>京用友科技有限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日未来</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74"/>
                <w:sz w:val="21"/>
                <w:szCs w:val="21"/>
              </w:rPr>
              <w:t> </w:t>
            </w:r>
            <w:r>
              <w:rPr>
                <w:rFonts w:ascii="宋体" w:hAnsi="宋体" w:cs="宋体" w:eastAsia="宋体" w:hint="default"/>
                <w:sz w:val="21"/>
                <w:szCs w:val="21"/>
              </w:rPr>
              <w:t>个月内以人民币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200,000,000</w:t>
            </w:r>
            <w:r>
              <w:rPr>
                <w:rFonts w:ascii="宋体" w:hAnsi="宋体" w:cs="宋体" w:eastAsia="宋体" w:hint="default"/>
                <w:spacing w:val="-74"/>
                <w:sz w:val="21"/>
                <w:szCs w:val="21"/>
              </w:rPr>
              <w:t> </w:t>
            </w:r>
            <w:r>
              <w:rPr>
                <w:rFonts w:ascii="宋体" w:hAnsi="宋体" w:cs="宋体" w:eastAsia="宋体" w:hint="default"/>
                <w:sz w:val="21"/>
                <w:szCs w:val="21"/>
              </w:rPr>
              <w:t>元增</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1"/>
                <w:sz w:val="21"/>
                <w:szCs w:val="21"/>
              </w:rPr>
              <w:t>持公司股份，增持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价格为</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p>
          <w:p>
            <w:pPr>
              <w:pStyle w:val="TableParagraph"/>
              <w:spacing w:line="272" w:lineRule="exact" w:before="1"/>
              <w:ind w:left="103"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5"/>
                <w:sz w:val="21"/>
                <w:szCs w:val="21"/>
              </w:rPr>
              <w:t> </w:t>
            </w:r>
            <w:r>
              <w:rPr>
                <w:rFonts w:ascii="宋体" w:hAnsi="宋体" w:cs="宋体" w:eastAsia="宋体" w:hint="default"/>
                <w:sz w:val="21"/>
                <w:szCs w:val="21"/>
              </w:rPr>
              <w:t>日公司股票</w:t>
            </w:r>
            <w:r>
              <w:rPr>
                <w:rFonts w:ascii="宋体" w:hAnsi="宋体" w:cs="宋体" w:eastAsia="宋体" w:hint="default"/>
                <w:w w:val="100"/>
                <w:sz w:val="21"/>
                <w:szCs w:val="21"/>
              </w:rPr>
              <w:t> </w:t>
            </w:r>
            <w:r>
              <w:rPr>
                <w:rFonts w:ascii="宋体" w:hAnsi="宋体" w:cs="宋体" w:eastAsia="宋体" w:hint="default"/>
                <w:sz w:val="21"/>
                <w:szCs w:val="21"/>
              </w:rPr>
              <w:t>收盘价人民币</w:t>
            </w:r>
          </w:p>
          <w:p>
            <w:pPr>
              <w:pStyle w:val="TableParagraph"/>
              <w:spacing w:line="249" w:lineRule="exact"/>
              <w:ind w:left="103" w:right="-5"/>
              <w:jc w:val="left"/>
              <w:rPr>
                <w:rFonts w:ascii="宋体" w:hAnsi="宋体" w:cs="宋体" w:eastAsia="宋体" w:hint="default"/>
                <w:sz w:val="21"/>
                <w:szCs w:val="21"/>
              </w:rPr>
            </w:pPr>
            <w:r>
              <w:rPr>
                <w:rFonts w:ascii="宋体" w:hAnsi="宋体" w:cs="宋体" w:eastAsia="宋体" w:hint="default"/>
                <w:sz w:val="21"/>
                <w:szCs w:val="21"/>
              </w:rPr>
              <w:t>41.71</w:t>
            </w:r>
            <w:r>
              <w:rPr>
                <w:rFonts w:ascii="宋体" w:hAnsi="宋体" w:cs="宋体" w:eastAsia="宋体" w:hint="default"/>
                <w:spacing w:val="-7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股以下。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37" w:lineRule="auto" w:before="2"/>
              <w:ind w:left="103" w:right="103"/>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起的未</w:t>
            </w:r>
            <w:r>
              <w:rPr>
                <w:rFonts w:ascii="宋体" w:hAnsi="宋体" w:cs="宋体" w:eastAsia="宋体" w:hint="default"/>
                <w:spacing w:val="-102"/>
                <w:sz w:val="21"/>
                <w:szCs w:val="21"/>
              </w:rPr>
              <w:t> </w:t>
            </w:r>
            <w:r>
              <w:rPr>
                <w:rFonts w:ascii="宋体" w:hAnsi="宋体" w:cs="宋体" w:eastAsia="宋体" w:hint="default"/>
                <w:sz w:val="21"/>
                <w:szCs w:val="21"/>
              </w:rPr>
              <w:t>来</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8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2090"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不减持承诺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279"/>
              <w:jc w:val="both"/>
              <w:rPr>
                <w:rFonts w:ascii="宋体" w:hAnsi="宋体" w:cs="宋体" w:eastAsia="宋体" w:hint="default"/>
                <w:sz w:val="21"/>
                <w:szCs w:val="21"/>
              </w:rPr>
            </w:pPr>
            <w:r>
              <w:rPr>
                <w:rFonts w:ascii="宋体" w:hAnsi="宋体" w:cs="宋体" w:eastAsia="宋体" w:hint="default"/>
                <w:sz w:val="21"/>
                <w:szCs w:val="21"/>
              </w:rPr>
              <w:t>公司控股股东北</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京用友科技有限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p>
            <w:pPr>
              <w:pStyle w:val="TableParagraph"/>
              <w:spacing w:line="237" w:lineRule="auto" w:before="138"/>
              <w:ind w:left="103" w:right="279"/>
              <w:jc w:val="both"/>
              <w:rPr>
                <w:rFonts w:ascii="宋体" w:hAnsi="宋体" w:cs="宋体" w:eastAsia="宋体" w:hint="default"/>
                <w:sz w:val="21"/>
                <w:szCs w:val="21"/>
              </w:rPr>
            </w:pPr>
            <w:r>
              <w:rPr>
                <w:rFonts w:ascii="宋体" w:hAnsi="宋体" w:cs="宋体" w:eastAsia="宋体" w:hint="default"/>
                <w:sz w:val="21"/>
                <w:szCs w:val="21"/>
              </w:rPr>
              <w:t>公司股东上海用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友科技咨询有限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p>
          <w:p>
            <w:pPr>
              <w:pStyle w:val="TableParagraph"/>
              <w:spacing w:line="237" w:lineRule="auto" w:before="2"/>
              <w:ind w:left="103" w:right="233"/>
              <w:jc w:val="both"/>
              <w:rPr>
                <w:rFonts w:ascii="宋体" w:hAnsi="宋体" w:cs="宋体" w:eastAsia="宋体" w:hint="default"/>
                <w:sz w:val="21"/>
                <w:szCs w:val="21"/>
              </w:rPr>
            </w:pPr>
            <w:r>
              <w:rPr>
                <w:rFonts w:ascii="宋体" w:hAnsi="宋体" w:cs="宋体" w:eastAsia="宋体" w:hint="default"/>
                <w:sz w:val="21"/>
                <w:szCs w:val="21"/>
              </w:rPr>
              <w:t>日起的未来</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月内不减持公司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72" w:lineRule="exact"/>
              <w:ind w:left="103" w:right="0"/>
              <w:jc w:val="both"/>
              <w:rPr>
                <w:rFonts w:ascii="宋体" w:hAnsi="宋体" w:cs="宋体" w:eastAsia="宋体" w:hint="default"/>
                <w:sz w:val="21"/>
                <w:szCs w:val="21"/>
              </w:rPr>
            </w:pPr>
            <w:r>
              <w:rPr>
                <w:rFonts w:ascii="宋体"/>
                <w:sz w:val="21"/>
              </w:rPr>
              <w:t>2015</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日起</w:t>
            </w:r>
            <w:r>
              <w:rPr>
                <w:rFonts w:ascii="宋体" w:hAnsi="宋体" w:cs="宋体" w:eastAsia="宋体" w:hint="default"/>
                <w:w w:val="100"/>
                <w:sz w:val="21"/>
                <w:szCs w:val="21"/>
              </w:rPr>
              <w:t> </w:t>
            </w:r>
            <w:r>
              <w:rPr>
                <w:rFonts w:ascii="宋体" w:hAnsi="宋体" w:cs="宋体" w:eastAsia="宋体" w:hint="default"/>
                <w:sz w:val="21"/>
                <w:szCs w:val="21"/>
              </w:rPr>
              <w:t>的未来</w:t>
            </w:r>
            <w:r>
              <w:rPr>
                <w:rFonts w:ascii="宋体" w:hAnsi="宋体" w:cs="宋体" w:eastAsia="宋体" w:hint="default"/>
                <w:spacing w:val="-10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58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pStyle w:val="Heading2"/>
        <w:tabs>
          <w:tab w:pos="1824" w:val="left" w:leader="none"/>
        </w:tabs>
        <w:spacing w:line="240" w:lineRule="auto"/>
        <w:ind w:left="1258" w:right="70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公司资产或项目存在盈利预测，且报告期仍处在盈利预测期间，公司就资产或项目</w:t>
      </w:r>
      <w:r>
        <w:rPr>
          <w:b w:val="0"/>
          <w:bCs w:val="0"/>
        </w:rPr>
      </w:r>
    </w:p>
    <w:p>
      <w:pPr>
        <w:pStyle w:val="BodyText"/>
        <w:tabs>
          <w:tab w:pos="1937" w:val="left" w:leader="none"/>
        </w:tabs>
        <w:spacing w:line="240" w:lineRule="auto" w:before="32"/>
        <w:ind w:left="1258" w:right="705"/>
        <w:jc w:val="left"/>
      </w:pPr>
      <w:r>
        <w:rPr>
          <w:rFonts w:ascii="Times New Roman" w:hAnsi="Times New Roman" w:cs="Times New Roman" w:eastAsia="Times New Roman" w:hint="default"/>
          <w:w w:val="100"/>
        </w:rPr>
      </w:r>
      <w:r>
        <w:rPr>
          <w:rFonts w:ascii="Times New Roman" w:hAnsi="Times New Roman" w:cs="Times New Roman" w:eastAsia="Times New Roman" w:hint="default"/>
          <w:w w:val="100"/>
          <w:u w:val="single" w:color="333399"/>
        </w:rPr>
        <w:t> </w:t>
      </w:r>
      <w:r>
        <w:rPr>
          <w:rFonts w:ascii="Times New Roman" w:hAnsi="Times New Roman" w:cs="Times New Roman" w:eastAsia="Times New Roman" w:hint="default"/>
          <w:u w:val="single" w:color="333399"/>
        </w:rPr>
        <w:tab/>
      </w:r>
      <w:r>
        <w:rPr>
          <w:rFonts w:ascii="Times New Roman" w:hAnsi="Times New Roman" w:cs="Times New Roman" w:eastAsia="Times New Roman" w:hint="default"/>
        </w:rPr>
      </w:r>
      <w:r>
        <w:rPr>
          <w:rFonts w:ascii="Times New Roman" w:hAnsi="Times New Roman" w:cs="Times New Roman" w:eastAsia="Times New Roman" w:hint="default"/>
          <w:spacing w:val="5"/>
        </w:rPr>
        <w:t> </w:t>
      </w:r>
      <w:r>
        <w:rPr/>
        <w:t>达到原盈利预测及其原因作出说明</w:t>
      </w:r>
    </w:p>
    <w:p>
      <w:pPr>
        <w:spacing w:line="240" w:lineRule="auto" w:before="9"/>
        <w:rPr>
          <w:rFonts w:ascii="宋体" w:hAnsi="宋体" w:cs="宋体" w:eastAsia="宋体" w:hint="default"/>
          <w:sz w:val="20"/>
          <w:szCs w:val="20"/>
        </w:rPr>
      </w:pPr>
    </w:p>
    <w:p>
      <w:pPr>
        <w:spacing w:line="20" w:lineRule="exact"/>
        <w:ind w:left="12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left="1258" w:right="705"/>
        <w:jc w:val="left"/>
        <w:rPr>
          <w:b w:val="0"/>
          <w:bCs w:val="0"/>
        </w:rPr>
      </w:pPr>
      <w:r>
        <w:rPr/>
        <w:t>三、报告期内资金被占用情况及清欠进展情况</w:t>
      </w:r>
      <w:r>
        <w:rPr>
          <w:b w:val="0"/>
          <w:bCs w:val="0"/>
        </w:rPr>
      </w:r>
    </w:p>
    <w:p>
      <w:pPr>
        <w:spacing w:line="290" w:lineRule="auto" w:before="58"/>
        <w:ind w:left="1258" w:right="33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四、董事会对会计师事务所</w:t>
      </w:r>
      <w:r>
        <w:rPr>
          <w:rFonts w:ascii="Arial" w:hAnsi="Arial" w:cs="Arial" w:eastAsia="Arial" w:hint="default"/>
          <w:b/>
          <w:bCs/>
          <w:spacing w:val="-1"/>
          <w:sz w:val="21"/>
          <w:szCs w:val="21"/>
        </w:rPr>
        <w:t>“</w:t>
      </w:r>
      <w:r>
        <w:rPr>
          <w:rFonts w:ascii="宋体" w:hAnsi="宋体" w:cs="宋体" w:eastAsia="宋体" w:hint="default"/>
          <w:b/>
          <w:bCs/>
          <w:spacing w:val="-1"/>
          <w:sz w:val="21"/>
          <w:szCs w:val="21"/>
        </w:rPr>
        <w:t>非标准审计报告</w:t>
      </w:r>
      <w:r>
        <w:rPr>
          <w:rFonts w:ascii="Arial" w:hAnsi="Arial" w:cs="Arial" w:eastAsia="Arial" w:hint="default"/>
          <w:b/>
          <w:bCs/>
          <w:spacing w:val="-1"/>
          <w:sz w:val="21"/>
          <w:szCs w:val="21"/>
        </w:rPr>
        <w:t>”</w:t>
      </w:r>
      <w:r>
        <w:rPr>
          <w:rFonts w:ascii="宋体" w:hAnsi="宋体" w:cs="宋体" w:eastAsia="宋体" w:hint="default"/>
          <w:b/>
          <w:bCs/>
          <w:spacing w:val="-1"/>
          <w:sz w:val="21"/>
          <w:szCs w:val="21"/>
        </w:rPr>
        <w:t>的说明</w:t>
      </w:r>
      <w:r>
        <w:rPr>
          <w:rFonts w:ascii="宋体" w:hAnsi="宋体" w:cs="宋体" w:eastAsia="宋体" w:hint="default"/>
          <w:spacing w:val="-1"/>
          <w:sz w:val="21"/>
          <w:szCs w:val="21"/>
        </w:rPr>
      </w:r>
    </w:p>
    <w:p>
      <w:pPr>
        <w:pStyle w:val="Heading2"/>
        <w:spacing w:line="296" w:lineRule="exact" w:before="0"/>
        <w:ind w:left="1200" w:right="705"/>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29"/>
        <w:ind w:left="1258" w:right="70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200" w:right="705"/>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32"/>
        <w:ind w:left="1258" w:right="705"/>
        <w:jc w:val="left"/>
      </w:pPr>
      <w:r>
        <w:rPr/>
        <w:t>□适用</w:t>
      </w:r>
      <w:r>
        <w:rPr>
          <w:spacing w:val="-1"/>
        </w:rPr>
        <w:t> </w:t>
      </w:r>
      <w:r>
        <w:rPr/>
        <w:t>√不适用</w:t>
      </w:r>
    </w:p>
    <w:p>
      <w:pPr>
        <w:spacing w:after="0" w:line="240" w:lineRule="auto"/>
        <w:jc w:val="left"/>
        <w:sectPr>
          <w:pgSz w:w="11910" w:h="16840"/>
          <w:pgMar w:header="880" w:footer="1335" w:top="1120" w:bottom="1520" w:left="54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left="160" w:right="2465"/>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29"/>
        <w:ind w:left="218"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ind w:right="2465"/>
        <w:jc w:val="left"/>
        <w:rPr>
          <w:b w:val="0"/>
          <w:bCs w:val="0"/>
        </w:rPr>
      </w:pPr>
      <w:r>
        <w:rPr/>
        <w:t>五、聘任、解聘会计师事务所情况</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安永华明会计师事务所（特殊普通合伙）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2,100,000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信永中和会计师事务所（特殊</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普通合伙）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33,000,000</w:t>
            </w:r>
          </w:p>
        </w:tc>
      </w:tr>
    </w:tbl>
    <w:p>
      <w:pPr>
        <w:spacing w:line="240" w:lineRule="auto" w:before="5"/>
        <w:rPr>
          <w:rFonts w:ascii="宋体" w:hAnsi="宋体" w:cs="宋体" w:eastAsia="宋体" w:hint="default"/>
          <w:sz w:val="15"/>
          <w:szCs w:val="15"/>
        </w:rPr>
      </w:pPr>
    </w:p>
    <w:p>
      <w:pPr>
        <w:pStyle w:val="BodyText"/>
        <w:spacing w:line="274" w:lineRule="exact" w:before="36"/>
        <w:ind w:left="218" w:right="2465"/>
        <w:jc w:val="left"/>
      </w:pPr>
      <w:r>
        <w:rPr/>
        <w:t>聘任、解聘会计师事务所的情况说明</w:t>
      </w:r>
    </w:p>
    <w:p>
      <w:pPr>
        <w:pStyle w:val="BodyText"/>
        <w:spacing w:line="475" w:lineRule="auto"/>
        <w:ind w:left="218" w:right="5362"/>
        <w:jc w:val="left"/>
      </w:pPr>
      <w:r>
        <w:rPr/>
        <w:t>□适用</w:t>
      </w:r>
      <w:r>
        <w:rPr>
          <w:spacing w:val="-2"/>
        </w:rPr>
        <w:t> </w:t>
      </w:r>
      <w:r>
        <w:rPr/>
        <w:t>√不适用</w:t>
      </w:r>
      <w:r>
        <w:rPr>
          <w:w w:val="100"/>
        </w:rPr>
        <w:t> </w:t>
      </w:r>
      <w:r>
        <w:rPr>
          <w:spacing w:val="-2"/>
        </w:rPr>
        <w:t>审计期间改聘会计师事务所的情况说明</w:t>
      </w:r>
    </w:p>
    <w:p>
      <w:pPr>
        <w:spacing w:line="240" w:lineRule="auto" w:before="12"/>
        <w:rPr>
          <w:rFonts w:ascii="宋体" w:hAnsi="宋体" w:cs="宋体" w:eastAsia="宋体" w:hint="default"/>
          <w:sz w:val="4"/>
          <w:szCs w:val="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t>六、面临暂停上市风险的情况</w:t>
      </w:r>
      <w:r>
        <w:rPr>
          <w:b w:val="0"/>
          <w:bCs w:val="0"/>
        </w:rPr>
      </w:r>
    </w:p>
    <w:p>
      <w:pPr>
        <w:pStyle w:val="Heading2"/>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导致暂停上市的原因以及公司采取的消除暂停上市情形的措施</w:t>
      </w:r>
      <w:r>
        <w:rPr>
          <w:b w:val="0"/>
          <w:bCs w:val="0"/>
        </w:rPr>
      </w:r>
    </w:p>
    <w:p>
      <w:pPr>
        <w:spacing w:line="240" w:lineRule="auto" w:before="5"/>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right="2465"/>
        <w:jc w:val="left"/>
        <w:rPr>
          <w:b w:val="0"/>
          <w:bCs w:val="0"/>
        </w:rPr>
      </w:pPr>
      <w:r>
        <w:rPr/>
        <w:t>七、破产重整相关事项</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t>八、重大诉讼、仲裁事项</w:t>
      </w:r>
      <w:r>
        <w:rPr>
          <w:b w:val="0"/>
          <w:bCs w:val="0"/>
        </w:rPr>
      </w:r>
    </w:p>
    <w:p>
      <w:pPr>
        <w:pStyle w:val="BodyText"/>
        <w:spacing w:line="240" w:lineRule="auto" w:before="58"/>
        <w:ind w:left="218" w:right="2465"/>
        <w:jc w:val="left"/>
      </w:pPr>
      <w:r>
        <w:rPr/>
        <w:t>□适用</w:t>
      </w:r>
      <w:r>
        <w:rPr>
          <w:spacing w:val="-1"/>
        </w:rPr>
        <w:t> </w:t>
      </w:r>
      <w:r>
        <w:rPr/>
        <w:t>√不适用</w:t>
      </w:r>
    </w:p>
    <w:p>
      <w:pPr>
        <w:spacing w:after="0" w:line="240" w:lineRule="auto"/>
        <w:jc w:val="left"/>
        <w:sectPr>
          <w:pgSz w:w="11910" w:h="16840"/>
          <w:pgMar w:header="880" w:footer="1335" w:top="1120" w:bottom="1520" w:left="1580" w:right="1040"/>
        </w:sectPr>
      </w:pPr>
    </w:p>
    <w:p>
      <w:pPr>
        <w:spacing w:before="17"/>
        <w:ind w:left="6487" w:right="6483"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7.35pt;height:.75pt;mso-position-horizontal-relative:char;mso-position-vertical-relative:line" coordorigin="0,0" coordsize="13947,15">
            <v:group style="position:absolute;left:7;top:7;width:13932;height:2" coordorigin="7,7" coordsize="13932,2">
              <v:shape style="position:absolute;left:7;top:7;width:13932;height:2" coordorigin="7,7" coordsize="13932,0" path="m7,7l1393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2"/>
        <w:spacing w:line="240" w:lineRule="auto" w:before="0"/>
        <w:ind w:left="224" w:right="0"/>
        <w:jc w:val="left"/>
        <w:rPr>
          <w:b w:val="0"/>
          <w:bCs w:val="0"/>
        </w:rPr>
      </w:pPr>
      <w:r>
        <w:rPr/>
        <w:t>九、上市公司及其董事、监事、高级管理人员、控股股东、实际控制人、收购人处罚及整改情况</w:t>
      </w:r>
      <w:r>
        <w:rPr>
          <w:b w:val="0"/>
          <w:bCs w:val="0"/>
        </w:rPr>
      </w:r>
    </w:p>
    <w:p>
      <w:pPr>
        <w:spacing w:line="528" w:lineRule="auto" w:before="58"/>
        <w:ind w:left="224" w:right="687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十、报告期内公司及其控股股东、实际控制人诚信状况的说明</w:t>
      </w:r>
      <w:r>
        <w:rPr>
          <w:rFonts w:ascii="宋体" w:hAnsi="宋体" w:cs="宋体" w:eastAsia="宋体" w:hint="default"/>
          <w:spacing w:val="-1"/>
          <w:sz w:val="21"/>
          <w:szCs w:val="21"/>
        </w:rPr>
      </w:r>
    </w:p>
    <w:p>
      <w:pPr>
        <w:spacing w:line="240" w:lineRule="auto" w:before="13"/>
        <w:rPr>
          <w:rFonts w:ascii="宋体" w:hAnsi="宋体" w:cs="宋体" w:eastAsia="宋体" w:hint="default"/>
          <w:b/>
          <w:bCs/>
          <w:sz w:val="5"/>
          <w:szCs w:val="5"/>
        </w:rPr>
      </w:pPr>
    </w:p>
    <w:p>
      <w:pPr>
        <w:spacing w:line="20" w:lineRule="exact"/>
        <w:ind w:left="21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224" w:right="0"/>
        <w:jc w:val="left"/>
        <w:rPr>
          <w:b w:val="0"/>
          <w:bCs w:val="0"/>
        </w:rPr>
      </w:pPr>
      <w:r>
        <w:rPr/>
        <w:t>十一、公司股权激励计划、员工持股计划或其他员工激励情况及其影响</w:t>
      </w:r>
      <w:r>
        <w:rPr>
          <w:b w:val="0"/>
          <w:bCs w:val="0"/>
        </w:rPr>
      </w:r>
    </w:p>
    <w:p>
      <w:pPr>
        <w:pStyle w:val="BodyText"/>
        <w:spacing w:line="240" w:lineRule="auto" w:before="57"/>
        <w:ind w:left="224" w:right="0"/>
        <w:jc w:val="left"/>
      </w:pPr>
      <w:r>
        <w:rPr/>
        <w:t>√适用 □不适用</w:t>
      </w:r>
    </w:p>
    <w:p>
      <w:pPr>
        <w:pStyle w:val="Heading2"/>
        <w:tabs>
          <w:tab w:pos="790" w:val="left" w:leader="none"/>
        </w:tabs>
        <w:spacing w:line="240" w:lineRule="auto" w:before="58"/>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相关激励事项已在临时公告披露且后续实施无进展或变化的</w:t>
      </w:r>
      <w:r>
        <w:rPr>
          <w:b w:val="0"/>
          <w:bCs w:val="0"/>
        </w:rPr>
      </w:r>
    </w:p>
    <w:p>
      <w:pPr>
        <w:spacing w:line="240" w:lineRule="auto" w:before="11"/>
        <w:rPr>
          <w:rFonts w:ascii="宋体" w:hAnsi="宋体" w:cs="宋体" w:eastAsia="宋体"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4940"/>
        <w:gridCol w:w="9028"/>
      </w:tblGrid>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9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
        </w:tc>
        <w:tc>
          <w:tcPr>
            <w:tcW w:w="90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
        </w:tc>
        <w:tc>
          <w:tcPr>
            <w:tcW w:w="902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8"/>
          <w:footerReference w:type="default" r:id="rId19"/>
          <w:pgSz w:w="16840" w:h="11910" w:orient="landscape"/>
          <w:pgMar w:header="0" w:footer="0" w:top="800" w:bottom="280" w:left="1300" w:right="1220"/>
        </w:sectPr>
      </w:pPr>
    </w:p>
    <w:p>
      <w:pPr>
        <w:tabs>
          <w:tab w:pos="790" w:val="left" w:leader="none"/>
        </w:tabs>
        <w:spacing w:line="264" w:lineRule="auto" w:before="26"/>
        <w:ind w:left="224"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r>
      <w:r>
        <w:rPr>
          <w:rFonts w:ascii="宋体" w:hAnsi="宋体" w:cs="宋体" w:eastAsia="宋体" w:hint="default"/>
          <w:b/>
          <w:bCs/>
          <w:spacing w:val="-1"/>
          <w:sz w:val="21"/>
          <w:szCs w:val="21"/>
        </w:rPr>
        <w:t>临时公告未披露或有后续进展的激励情况</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股权激励情况</w:t>
      </w:r>
    </w:p>
    <w:p>
      <w:pPr>
        <w:pStyle w:val="BodyText"/>
        <w:spacing w:line="250" w:lineRule="exact"/>
        <w:ind w:left="224" w:right="0"/>
        <w:jc w:val="left"/>
      </w:pPr>
      <w:r>
        <w:rPr/>
        <w:t>√适用 □不适用</w:t>
      </w:r>
    </w:p>
    <w:p>
      <w:pPr>
        <w:pStyle w:val="BodyText"/>
        <w:tabs>
          <w:tab w:pos="855" w:val="left" w:leader="none"/>
          <w:tab w:pos="1894" w:val="left" w:leader="none"/>
          <w:tab w:pos="2314" w:val="left" w:leader="none"/>
        </w:tabs>
        <w:spacing w:line="237" w:lineRule="auto" w:before="2"/>
        <w:ind w:left="224" w:right="1207"/>
        <w:jc w:val="left"/>
        <w:rPr>
          <w:rFonts w:ascii="宋体" w:hAnsi="宋体" w:cs="宋体" w:eastAsia="宋体" w:hint="default"/>
        </w:rPr>
      </w:pPr>
      <w:r>
        <w:rPr>
          <w:rFonts w:ascii="Times New Roman" w:hAnsi="Times New Roman" w:cs="Times New Roman" w:eastAsia="Times New Roman" w:hint="default"/>
          <w:w w:val="100"/>
        </w:rPr>
      </w:r>
      <w:r>
        <w:rPr>
          <w:rFonts w:ascii="Times New Roman" w:hAnsi="Times New Roman" w:cs="Times New Roman" w:eastAsia="Times New Roman" w:hint="default"/>
          <w:w w:val="100"/>
          <w:u w:val="single" w:color="333399"/>
        </w:rPr>
        <w:t> </w:t>
      </w:r>
      <w:r>
        <w:rPr>
          <w:rFonts w:ascii="Times New Roman" w:hAnsi="Times New Roman" w:cs="Times New Roman" w:eastAsia="Times New Roman" w:hint="default"/>
          <w:u w:val="single" w:color="333399"/>
        </w:rPr>
        <w:tab/>
      </w:r>
      <w:r>
        <w:rPr>
          <w:rFonts w:ascii="Times New Roman" w:hAnsi="Times New Roman" w:cs="Times New Roman" w:eastAsia="Times New Roman" w:hint="default"/>
        </w:rPr>
      </w:r>
      <w:r>
        <w:rPr>
          <w:spacing w:val="-2"/>
        </w:rPr>
        <w:t>年第</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spacing w:val="-2"/>
        </w:rPr>
        <w:t>次股权激励计划</w:t>
      </w:r>
      <w:r>
        <w:rPr>
          <w:w w:val="100"/>
        </w:rPr>
        <w:t> </w:t>
      </w:r>
      <w:r>
        <w:rPr/>
        <w:t>激励方式</w:t>
      </w:r>
      <w:r>
        <w:rPr>
          <w:rFonts w:ascii="宋体" w:hAnsi="宋体" w:cs="宋体" w:eastAsia="宋体" w:hint="default"/>
        </w:rPr>
        <w:t>:</w:t>
      </w:r>
      <w:r>
        <w:rPr>
          <w:rFonts w:ascii="宋体" w:hAnsi="宋体" w:cs="宋体" w:eastAsia="宋体" w:hint="default"/>
          <w:w w:val="100"/>
          <w:u w:val="single" w:color="333399"/>
        </w:rPr>
        <w:t> </w:t>
      </w:r>
      <w:r>
        <w:rPr>
          <w:rFonts w:ascii="宋体" w:hAnsi="宋体" w:cs="宋体" w:eastAsia="宋体" w:hint="default"/>
          <w:u w:val="single" w:color="333399"/>
        </w:rPr>
        <w:tab/>
      </w:r>
      <w:r>
        <w:rPr>
          <w:rFonts w:ascii="宋体" w:hAnsi="宋体" w:cs="宋体" w:eastAsia="宋体" w:hint="default"/>
        </w:rPr>
      </w:r>
      <w:r>
        <w:rPr>
          <w:rFonts w:ascii="宋体" w:hAnsi="宋体" w:cs="宋体" w:eastAsia="宋体" w:hint="default"/>
        </w:rPr>
        <w:t> </w:t>
      </w:r>
      <w:r>
        <w:rPr>
          <w:rFonts w:ascii="宋体" w:hAnsi="宋体" w:cs="宋体" w:eastAsia="宋体" w:hint="default"/>
        </w:rPr>
        <w:t> </w:t>
      </w:r>
      <w:r>
        <w:rPr/>
        <w:t>标的股票来源</w:t>
      </w:r>
      <w:r>
        <w:rPr>
          <w:rFonts w:ascii="宋体" w:hAnsi="宋体" w:cs="宋体" w:eastAsia="宋体" w:hint="default"/>
        </w:rPr>
        <w:t>:</w:t>
      </w:r>
      <w:r>
        <w:rPr>
          <w:rFonts w:ascii="宋体" w:hAnsi="宋体" w:cs="宋体" w:eastAsia="宋体" w:hint="default"/>
          <w:u w:val="single" w:color="333399"/>
        </w:rPr>
        <w:t> </w:t>
        <w:tab/>
        <w:tab/>
      </w:r>
      <w:r>
        <w:rPr>
          <w:rFonts w:ascii="宋体" w:hAnsi="宋体" w:cs="宋体" w:eastAsia="宋体" w:hint="default"/>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224" w:right="0"/>
        <w:jc w:val="left"/>
      </w:pPr>
      <w:r>
        <w:rPr/>
        <w:t>单位：份</w:t>
      </w:r>
    </w:p>
    <w:p>
      <w:pPr>
        <w:spacing w:after="0" w:line="240" w:lineRule="auto"/>
        <w:jc w:val="left"/>
        <w:sectPr>
          <w:type w:val="continuous"/>
          <w:pgSz w:w="16840" w:h="11910" w:orient="landscape"/>
          <w:pgMar w:top="1120" w:bottom="1520" w:left="1300" w:right="1220"/>
          <w:cols w:num="2" w:equalWidth="0">
            <w:col w:w="4588" w:space="8446"/>
            <w:col w:w="128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143"/>
        <w:gridCol w:w="3531"/>
        <w:gridCol w:w="3308"/>
        <w:gridCol w:w="3108"/>
      </w:tblGrid>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解锁期</w:t>
            </w:r>
            <w:r>
              <w:rPr>
                <w:rFonts w:ascii="宋体" w:hAnsi="宋体" w:cs="宋体" w:eastAsia="宋体" w:hint="default"/>
                <w:sz w:val="21"/>
                <w:szCs w:val="21"/>
              </w:rPr>
              <w:t>/</w:t>
            </w:r>
            <w:r>
              <w:rPr>
                <w:rFonts w:ascii="宋体" w:hAnsi="宋体" w:cs="宋体" w:eastAsia="宋体" w:hint="default"/>
                <w:sz w:val="21"/>
                <w:szCs w:val="21"/>
              </w:rPr>
              <w:t>行权期</w:t>
            </w:r>
          </w:p>
        </w:tc>
        <w:tc>
          <w:tcPr>
            <w:tcW w:w="3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授予股份</w:t>
            </w:r>
            <w:r>
              <w:rPr>
                <w:rFonts w:ascii="宋体" w:hAnsi="宋体" w:cs="宋体" w:eastAsia="宋体" w:hint="default"/>
                <w:sz w:val="21"/>
                <w:szCs w:val="21"/>
              </w:rPr>
              <w:t>/</w:t>
            </w:r>
            <w:r>
              <w:rPr>
                <w:rFonts w:ascii="宋体" w:hAnsi="宋体" w:cs="宋体" w:eastAsia="宋体" w:hint="default"/>
                <w:sz w:val="21"/>
                <w:szCs w:val="21"/>
              </w:rPr>
              <w:t>期权数量</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解锁</w:t>
            </w:r>
            <w:r>
              <w:rPr>
                <w:rFonts w:ascii="宋体" w:hAnsi="宋体" w:cs="宋体" w:eastAsia="宋体" w:hint="default"/>
                <w:sz w:val="21"/>
                <w:szCs w:val="21"/>
              </w:rPr>
              <w:t>/</w:t>
            </w:r>
            <w:r>
              <w:rPr>
                <w:rFonts w:ascii="宋体" w:hAnsi="宋体" w:cs="宋体" w:eastAsia="宋体" w:hint="default"/>
                <w:sz w:val="21"/>
                <w:szCs w:val="21"/>
              </w:rPr>
              <w:t>行权数量</w:t>
            </w:r>
          </w:p>
        </w:tc>
        <w:tc>
          <w:tcPr>
            <w:tcW w:w="3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
        </w:tc>
        <w:tc>
          <w:tcPr>
            <w:tcW w:w="3531" w:type="dxa"/>
            <w:tcBorders>
              <w:top w:val="single" w:sz="4" w:space="0" w:color="000000"/>
              <w:left w:val="single" w:sz="4" w:space="0" w:color="000000"/>
              <w:bottom w:val="single" w:sz="4" w:space="0" w:color="000000"/>
              <w:right w:val="single" w:sz="4" w:space="0" w:color="000000"/>
            </w:tcBorders>
          </w:tcPr>
          <w:p>
            <w:pPr/>
          </w:p>
        </w:tc>
        <w:tc>
          <w:tcPr>
            <w:tcW w:w="3308" w:type="dxa"/>
            <w:tcBorders>
              <w:top w:val="single" w:sz="4" w:space="0" w:color="000000"/>
              <w:left w:val="single" w:sz="4" w:space="0" w:color="000000"/>
              <w:bottom w:val="single" w:sz="4" w:space="0" w:color="000000"/>
              <w:right w:val="single" w:sz="4" w:space="0" w:color="000000"/>
            </w:tcBorders>
          </w:tcPr>
          <w:p>
            <w:pPr/>
          </w:p>
        </w:tc>
        <w:tc>
          <w:tcPr>
            <w:tcW w:w="31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
        </w:tc>
        <w:tc>
          <w:tcPr>
            <w:tcW w:w="3531" w:type="dxa"/>
            <w:tcBorders>
              <w:top w:val="single" w:sz="4" w:space="0" w:color="000000"/>
              <w:left w:val="single" w:sz="4" w:space="0" w:color="000000"/>
              <w:bottom w:val="single" w:sz="4" w:space="0" w:color="000000"/>
              <w:right w:val="single" w:sz="4" w:space="0" w:color="000000"/>
            </w:tcBorders>
          </w:tcPr>
          <w:p>
            <w:pPr/>
          </w:p>
        </w:tc>
        <w:tc>
          <w:tcPr>
            <w:tcW w:w="3308" w:type="dxa"/>
            <w:tcBorders>
              <w:top w:val="single" w:sz="4" w:space="0" w:color="000000"/>
              <w:left w:val="single" w:sz="4" w:space="0" w:color="000000"/>
              <w:bottom w:val="single" w:sz="4" w:space="0" w:color="000000"/>
              <w:right w:val="single" w:sz="4" w:space="0" w:color="000000"/>
            </w:tcBorders>
          </w:tcPr>
          <w:p>
            <w:pPr/>
          </w:p>
        </w:tc>
        <w:tc>
          <w:tcPr>
            <w:tcW w:w="31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因激励对象行权所引起的股本变动情况</w:t>
            </w:r>
          </w:p>
        </w:tc>
        <w:tc>
          <w:tcPr>
            <w:tcW w:w="9947"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权益工具公允价值的计量方法</w:t>
            </w:r>
          </w:p>
        </w:tc>
        <w:tc>
          <w:tcPr>
            <w:tcW w:w="9947" w:type="dxa"/>
            <w:gridSpan w:val="3"/>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估值技术采用的模型、参数及选取标准</w:t>
            </w:r>
          </w:p>
        </w:tc>
        <w:tc>
          <w:tcPr>
            <w:tcW w:w="9947"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权益工具公允价值的分摊期间及结果</w:t>
            </w:r>
          </w:p>
        </w:tc>
        <w:tc>
          <w:tcPr>
            <w:tcW w:w="9947" w:type="dxa"/>
            <w:gridSpan w:val="3"/>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6487" w:right="6483" w:firstLine="0"/>
        <w:jc w:val="center"/>
        <w:rPr>
          <w:rFonts w:ascii="Arial" w:hAnsi="Arial" w:cs="Arial" w:eastAsia="Arial" w:hint="default"/>
          <w:sz w:val="18"/>
          <w:szCs w:val="18"/>
        </w:rPr>
      </w:pPr>
      <w:r>
        <w:rPr>
          <w:rFonts w:ascii="Arial"/>
          <w:sz w:val="18"/>
        </w:rPr>
        <w:t>46</w:t>
      </w:r>
    </w:p>
    <w:p>
      <w:pPr>
        <w:spacing w:after="0"/>
        <w:jc w:val="center"/>
        <w:rPr>
          <w:rFonts w:ascii="Arial" w:hAnsi="Arial" w:cs="Arial" w:eastAsia="Arial" w:hint="default"/>
          <w:sz w:val="18"/>
          <w:szCs w:val="18"/>
        </w:rPr>
        <w:sectPr>
          <w:type w:val="continuous"/>
          <w:pgSz w:w="16840" w:h="11910" w:orient="landscape"/>
          <w:pgMar w:top="1120" w:bottom="1520" w:left="1300" w:right="1220"/>
        </w:sectPr>
      </w:pPr>
    </w:p>
    <w:p>
      <w:pPr>
        <w:spacing w:line="240" w:lineRule="auto" w:before="9"/>
        <w:rPr>
          <w:rFonts w:ascii="Arial" w:hAnsi="Arial" w:cs="Arial" w:eastAsia="Arial" w:hint="default"/>
          <w:sz w:val="28"/>
          <w:szCs w:val="28"/>
        </w:rPr>
      </w:pPr>
    </w:p>
    <w:p>
      <w:pPr>
        <w:pStyle w:val="BodyText"/>
        <w:spacing w:line="274" w:lineRule="exact" w:before="36"/>
        <w:ind w:right="0"/>
        <w:jc w:val="both"/>
      </w:pPr>
      <w:r>
        <w:rPr/>
        <w:t>员工持股计划情况</w:t>
      </w:r>
    </w:p>
    <w:p>
      <w:pPr>
        <w:pStyle w:val="BodyText"/>
        <w:spacing w:line="274" w:lineRule="exact"/>
        <w:ind w:right="0"/>
        <w:jc w:val="both"/>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right="0"/>
        <w:jc w:val="both"/>
      </w:pPr>
      <w:r>
        <w:rPr/>
        <w:t>其他激励措施</w:t>
      </w:r>
    </w:p>
    <w:p>
      <w:pPr>
        <w:pStyle w:val="BodyText"/>
        <w:spacing w:line="273" w:lineRule="exact"/>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3"/>
        </w:rPr>
        <w:t> </w:t>
      </w:r>
      <w:r>
        <w:rPr/>
        <w:t>报告期公司激励事项相关情况说明</w:t>
      </w:r>
      <w:r>
        <w:rPr>
          <w:b w:val="0"/>
          <w:bCs w:val="0"/>
        </w:rPr>
      </w:r>
    </w:p>
    <w:p>
      <w:pPr>
        <w:pStyle w:val="BodyText"/>
        <w:spacing w:line="297" w:lineRule="auto" w:before="92"/>
        <w:ind w:right="488" w:firstLine="419"/>
        <w:jc w:val="both"/>
      </w:pPr>
      <w:r>
        <w:rPr>
          <w:spacing w:val="-14"/>
          <w:w w:val="100"/>
        </w:rPr>
        <w:t>报告期内，公司于</w:t>
      </w:r>
      <w:r>
        <w:rPr>
          <w:spacing w:val="-51"/>
          <w:w w:val="100"/>
        </w:rPr>
        <w:t> </w:t>
      </w:r>
      <w:r>
        <w:rPr>
          <w:rFonts w:ascii="宋体" w:hAnsi="宋体" w:cs="宋体" w:eastAsia="宋体" w:hint="default"/>
          <w:spacing w:val="-1"/>
          <w:w w:val="100"/>
        </w:rPr>
        <w:t>2015</w:t>
      </w:r>
      <w:r>
        <w:rPr>
          <w:rFonts w:ascii="宋体" w:hAnsi="宋体" w:cs="宋体" w:eastAsia="宋体" w:hint="default"/>
          <w:spacing w:val="-54"/>
          <w:w w:val="100"/>
        </w:rPr>
        <w:t> </w:t>
      </w:r>
      <w:r>
        <w:rPr>
          <w:w w:val="100"/>
        </w:rPr>
        <w:t>年</w:t>
      </w:r>
      <w:r>
        <w:rPr>
          <w:spacing w:val="-54"/>
          <w:w w:val="100"/>
        </w:rPr>
        <w:t> </w:t>
      </w:r>
      <w:r>
        <w:rPr>
          <w:rFonts w:ascii="宋体" w:hAnsi="宋体" w:cs="宋体" w:eastAsia="宋体" w:hint="default"/>
          <w:w w:val="100"/>
        </w:rPr>
        <w:t>3</w:t>
      </w:r>
      <w:r>
        <w:rPr>
          <w:rFonts w:ascii="宋体" w:hAnsi="宋体" w:cs="宋体" w:eastAsia="宋体" w:hint="default"/>
          <w:spacing w:val="-52"/>
          <w:w w:val="100"/>
        </w:rPr>
        <w:t> </w:t>
      </w:r>
      <w:r>
        <w:rPr>
          <w:w w:val="100"/>
        </w:rPr>
        <w:t>月</w:t>
      </w:r>
      <w:r>
        <w:rPr>
          <w:spacing w:val="-52"/>
          <w:w w:val="100"/>
        </w:rPr>
        <w:t> </w:t>
      </w:r>
      <w:r>
        <w:rPr>
          <w:rFonts w:ascii="宋体" w:hAnsi="宋体" w:cs="宋体" w:eastAsia="宋体" w:hint="default"/>
          <w:spacing w:val="-2"/>
          <w:w w:val="100"/>
        </w:rPr>
        <w:t>19</w:t>
      </w:r>
      <w:r>
        <w:rPr>
          <w:rFonts w:ascii="宋体" w:hAnsi="宋体" w:cs="宋体" w:eastAsia="宋体" w:hint="default"/>
          <w:spacing w:val="-52"/>
          <w:w w:val="100"/>
        </w:rPr>
        <w:t> </w:t>
      </w:r>
      <w:r>
        <w:rPr>
          <w:spacing w:val="-2"/>
          <w:w w:val="100"/>
        </w:rPr>
        <w:t>日召开的第六届董事会</w:t>
      </w:r>
      <w:r>
        <w:rPr>
          <w:spacing w:val="-52"/>
          <w:w w:val="100"/>
        </w:rPr>
        <w:t> </w:t>
      </w:r>
      <w:r>
        <w:rPr>
          <w:rFonts w:ascii="宋体" w:hAnsi="宋体" w:cs="宋体" w:eastAsia="宋体" w:hint="default"/>
          <w:spacing w:val="-1"/>
          <w:w w:val="100"/>
        </w:rPr>
        <w:t>2015</w:t>
      </w:r>
      <w:r>
        <w:rPr>
          <w:rFonts w:ascii="宋体" w:hAnsi="宋体" w:cs="宋体" w:eastAsia="宋体" w:hint="default"/>
          <w:spacing w:val="-54"/>
          <w:w w:val="100"/>
        </w:rPr>
        <w:t> </w:t>
      </w:r>
      <w:r>
        <w:rPr>
          <w:spacing w:val="-16"/>
          <w:w w:val="100"/>
        </w:rPr>
        <w:t>年第三次会议，审议通过了《公</w:t>
      </w:r>
      <w:r>
        <w:rPr>
          <w:w w:val="100"/>
        </w:rPr>
        <w:t> </w:t>
      </w:r>
      <w:r>
        <w:rPr>
          <w:spacing w:val="-1"/>
        </w:rPr>
        <w:t>司关于作废部分已授出股票期权及回购注销部分已授出限制性股票的议案》，决定作废陈立艳等</w:t>
      </w:r>
      <w:r>
        <w:rPr>
          <w:spacing w:val="-55"/>
        </w:rPr>
        <w:t> </w:t>
      </w:r>
      <w:r>
        <w:rPr>
          <w:spacing w:val="-55"/>
        </w:rPr>
      </w:r>
      <w:r>
        <w:rPr>
          <w:rFonts w:ascii="宋体" w:hAnsi="宋体" w:cs="宋体" w:eastAsia="宋体" w:hint="default"/>
        </w:rPr>
        <w:t>55</w:t>
      </w:r>
      <w:r>
        <w:rPr>
          <w:rFonts w:ascii="宋体" w:hAnsi="宋体" w:cs="宋体" w:eastAsia="宋体" w:hint="default"/>
          <w:spacing w:val="-42"/>
        </w:rPr>
        <w:t> </w:t>
      </w:r>
      <w:r>
        <w:rPr/>
        <w:t>人已获授但未获准行权的股票期权共计</w:t>
      </w:r>
      <w:r>
        <w:rPr>
          <w:spacing w:val="-41"/>
        </w:rPr>
        <w:t> </w:t>
      </w:r>
      <w:r>
        <w:rPr>
          <w:rFonts w:ascii="宋体" w:hAnsi="宋体" w:cs="宋体" w:eastAsia="宋体" w:hint="default"/>
        </w:rPr>
        <w:t>363,500</w:t>
      </w:r>
      <w:r>
        <w:rPr>
          <w:rFonts w:ascii="宋体" w:hAnsi="宋体" w:cs="宋体" w:eastAsia="宋体" w:hint="default"/>
          <w:spacing w:val="-44"/>
        </w:rPr>
        <w:t> </w:t>
      </w:r>
      <w:r>
        <w:rPr/>
        <w:t>份，回购注销上述</w:t>
      </w:r>
      <w:r>
        <w:rPr>
          <w:spacing w:val="-42"/>
        </w:rPr>
        <w:t> </w:t>
      </w:r>
      <w:r>
        <w:rPr>
          <w:rFonts w:ascii="宋体" w:hAnsi="宋体" w:cs="宋体" w:eastAsia="宋体" w:hint="default"/>
        </w:rPr>
        <w:t>55</w:t>
      </w:r>
      <w:r>
        <w:rPr>
          <w:rFonts w:ascii="宋体" w:hAnsi="宋体" w:cs="宋体" w:eastAsia="宋体" w:hint="default"/>
          <w:spacing w:val="-42"/>
        </w:rPr>
        <w:t> </w:t>
      </w:r>
      <w:r>
        <w:rPr/>
        <w:t>人已获授但尚未解锁的</w:t>
      </w:r>
    </w:p>
    <w:p>
      <w:pPr>
        <w:pStyle w:val="BodyText"/>
        <w:spacing w:line="297" w:lineRule="auto" w:before="15"/>
        <w:ind w:right="488"/>
        <w:jc w:val="both"/>
      </w:pPr>
      <w:r>
        <w:rPr>
          <w:spacing w:val="-5"/>
        </w:rPr>
        <w:t>限制性股票，回购的限制性股票总数为</w:t>
      </w:r>
      <w:r>
        <w:rPr>
          <w:spacing w:val="-48"/>
        </w:rPr>
        <w:t> </w:t>
      </w:r>
      <w:r>
        <w:rPr>
          <w:rFonts w:ascii="宋体" w:hAnsi="宋体" w:cs="宋体" w:eastAsia="宋体" w:hint="default"/>
        </w:rPr>
        <w:t>232,088</w:t>
      </w:r>
      <w:r>
        <w:rPr>
          <w:rFonts w:ascii="宋体" w:hAnsi="宋体" w:cs="宋体" w:eastAsia="宋体" w:hint="default"/>
          <w:spacing w:val="-48"/>
        </w:rPr>
        <w:t> </w:t>
      </w:r>
      <w:r>
        <w:rPr>
          <w:spacing w:val="-11"/>
        </w:rPr>
        <w:t>股；公司于</w:t>
      </w:r>
      <w:r>
        <w:rPr>
          <w:spacing w:val="-50"/>
        </w:rPr>
        <w:t> </w:t>
      </w:r>
      <w:r>
        <w:rPr>
          <w:rFonts w:ascii="宋体" w:hAnsi="宋体" w:cs="宋体" w:eastAsia="宋体" w:hint="default"/>
        </w:rPr>
        <w:t>2015</w:t>
      </w:r>
      <w:r>
        <w:rPr>
          <w:rFonts w:ascii="宋体" w:hAnsi="宋体" w:cs="宋体" w:eastAsia="宋体" w:hint="default"/>
          <w:spacing w:val="-50"/>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w:t>
      </w:r>
      <w:r>
        <w:rPr>
          <w:spacing w:val="-48"/>
        </w:rPr>
        <w:t> </w:t>
      </w:r>
      <w:r>
        <w:rPr>
          <w:rFonts w:ascii="宋体" w:hAnsi="宋体" w:cs="宋体" w:eastAsia="宋体" w:hint="default"/>
        </w:rPr>
        <w:t>10</w:t>
      </w:r>
      <w:r>
        <w:rPr>
          <w:rFonts w:ascii="宋体" w:hAnsi="宋体" w:cs="宋体" w:eastAsia="宋体" w:hint="default"/>
          <w:spacing w:val="-50"/>
        </w:rPr>
        <w:t> </w:t>
      </w:r>
      <w:r>
        <w:rPr/>
        <w:t>日召开的第六届董事</w:t>
      </w:r>
      <w:r>
        <w:rPr>
          <w:spacing w:val="-103"/>
        </w:rPr>
        <w:t> </w:t>
      </w:r>
      <w:r>
        <w:rPr>
          <w:spacing w:val="-103"/>
        </w:rPr>
      </w:r>
      <w:r>
        <w:rPr>
          <w:spacing w:val="-1"/>
        </w:rPr>
        <w:t>会第二十六次会议，审议通过了《公司关于作废部分已授出股票期权及回购注销部分已授出限制</w:t>
      </w:r>
      <w:r>
        <w:rPr>
          <w:spacing w:val="-55"/>
        </w:rPr>
        <w:t> </w:t>
      </w:r>
      <w:r>
        <w:rPr>
          <w:spacing w:val="-55"/>
        </w:rPr>
      </w:r>
      <w:r>
        <w:rPr>
          <w:spacing w:val="-6"/>
        </w:rPr>
        <w:t>性股票的议案》，决定作废谢飞等</w:t>
      </w:r>
      <w:r>
        <w:rPr>
          <w:spacing w:val="-46"/>
        </w:rPr>
        <w:t> </w:t>
      </w:r>
      <w:r>
        <w:rPr>
          <w:rFonts w:ascii="宋体" w:hAnsi="宋体" w:cs="宋体" w:eastAsia="宋体" w:hint="default"/>
        </w:rPr>
        <w:t>87</w:t>
      </w:r>
      <w:r>
        <w:rPr>
          <w:rFonts w:ascii="宋体" w:hAnsi="宋体" w:cs="宋体" w:eastAsia="宋体" w:hint="default"/>
          <w:spacing w:val="-46"/>
        </w:rPr>
        <w:t> </w:t>
      </w:r>
      <w:r>
        <w:rPr/>
        <w:t>人已获授但未获准行权的股票期权共计</w:t>
      </w:r>
      <w:r>
        <w:rPr>
          <w:spacing w:val="-49"/>
        </w:rPr>
        <w:t> </w:t>
      </w:r>
      <w:r>
        <w:rPr>
          <w:rFonts w:ascii="宋体" w:hAnsi="宋体" w:cs="宋体" w:eastAsia="宋体" w:hint="default"/>
        </w:rPr>
        <w:t>447,943</w:t>
      </w:r>
      <w:r>
        <w:rPr>
          <w:rFonts w:ascii="宋体" w:hAnsi="宋体" w:cs="宋体" w:eastAsia="宋体" w:hint="default"/>
          <w:spacing w:val="-45"/>
        </w:rPr>
        <w:t> </w:t>
      </w:r>
      <w:r>
        <w:rPr>
          <w:spacing w:val="-8"/>
        </w:rPr>
        <w:t>份，回购注</w:t>
      </w:r>
    </w:p>
    <w:p>
      <w:pPr>
        <w:pStyle w:val="BodyText"/>
        <w:spacing w:line="240" w:lineRule="auto" w:before="15"/>
        <w:ind w:right="0"/>
        <w:jc w:val="both"/>
      </w:pPr>
      <w:r>
        <w:rPr/>
        <w:t>销上述</w:t>
      </w:r>
      <w:r>
        <w:rPr>
          <w:spacing w:val="-54"/>
        </w:rPr>
        <w:t> </w:t>
      </w:r>
      <w:r>
        <w:rPr>
          <w:rFonts w:ascii="宋体" w:hAnsi="宋体" w:cs="宋体" w:eastAsia="宋体" w:hint="default"/>
        </w:rPr>
        <w:t>87</w:t>
      </w:r>
      <w:r>
        <w:rPr>
          <w:rFonts w:ascii="宋体" w:hAnsi="宋体" w:cs="宋体" w:eastAsia="宋体" w:hint="default"/>
          <w:spacing w:val="-56"/>
        </w:rPr>
        <w:t> </w:t>
      </w:r>
      <w:r>
        <w:rPr/>
        <w:t>人已获授但尚未解锁的限制性股票共计</w:t>
      </w:r>
      <w:r>
        <w:rPr>
          <w:spacing w:val="-53"/>
        </w:rPr>
        <w:t> </w:t>
      </w:r>
      <w:r>
        <w:rPr>
          <w:rFonts w:ascii="宋体" w:hAnsi="宋体" w:cs="宋体" w:eastAsia="宋体" w:hint="default"/>
        </w:rPr>
        <w:t>308,830</w:t>
      </w:r>
      <w:r>
        <w:rPr>
          <w:rFonts w:ascii="宋体" w:hAnsi="宋体" w:cs="宋体" w:eastAsia="宋体" w:hint="default"/>
          <w:spacing w:val="-56"/>
        </w:rPr>
        <w:t> </w:t>
      </w:r>
      <w:r>
        <w:rPr/>
        <w:t>股。</w:t>
      </w:r>
    </w:p>
    <w:p>
      <w:pPr>
        <w:spacing w:line="240" w:lineRule="auto" w:before="3"/>
        <w:rPr>
          <w:rFonts w:ascii="宋体" w:hAnsi="宋体" w:cs="宋体" w:eastAsia="宋体" w:hint="default"/>
          <w:sz w:val="14"/>
          <w:szCs w:val="14"/>
        </w:rPr>
      </w:pPr>
    </w:p>
    <w:p>
      <w:pPr>
        <w:pStyle w:val="BodyText"/>
        <w:spacing w:line="297" w:lineRule="auto"/>
        <w:ind w:right="487" w:firstLine="419"/>
        <w:jc w:val="both"/>
      </w:pPr>
      <w:r>
        <w:rPr/>
        <w:t>公司于</w:t>
      </w:r>
      <w:r>
        <w:rPr>
          <w:spacing w:val="-44"/>
        </w:rPr>
        <w:t> </w:t>
      </w:r>
      <w:r>
        <w:rPr>
          <w:rFonts w:ascii="宋体" w:hAnsi="宋体" w:cs="宋体" w:eastAsia="宋体" w:hint="default"/>
        </w:rPr>
        <w:t>2015</w:t>
      </w:r>
      <w:r>
        <w:rPr>
          <w:rFonts w:ascii="宋体" w:hAnsi="宋体" w:cs="宋体" w:eastAsia="宋体" w:hint="default"/>
          <w:spacing w:val="-44"/>
        </w:rPr>
        <w:t> </w:t>
      </w:r>
      <w:r>
        <w:rPr/>
        <w:t>年</w:t>
      </w:r>
      <w:r>
        <w:rPr>
          <w:spacing w:val="-46"/>
        </w:rPr>
        <w:t> </w:t>
      </w:r>
      <w:r>
        <w:rPr>
          <w:rFonts w:ascii="宋体" w:hAnsi="宋体" w:cs="宋体" w:eastAsia="宋体" w:hint="default"/>
        </w:rPr>
        <w:t>4</w:t>
      </w:r>
      <w:r>
        <w:rPr>
          <w:rFonts w:ascii="宋体" w:hAnsi="宋体" w:cs="宋体" w:eastAsia="宋体" w:hint="default"/>
          <w:spacing w:val="-44"/>
        </w:rPr>
        <w:t> </w:t>
      </w:r>
      <w:r>
        <w:rPr/>
        <w:t>月</w:t>
      </w:r>
      <w:r>
        <w:rPr>
          <w:spacing w:val="-45"/>
        </w:rPr>
        <w:t> </w:t>
      </w:r>
      <w:r>
        <w:rPr>
          <w:rFonts w:ascii="宋体" w:hAnsi="宋体" w:cs="宋体" w:eastAsia="宋体" w:hint="default"/>
        </w:rPr>
        <w:t>9</w:t>
      </w:r>
      <w:r>
        <w:rPr>
          <w:rFonts w:ascii="宋体" w:hAnsi="宋体" w:cs="宋体" w:eastAsia="宋体" w:hint="default"/>
          <w:spacing w:val="-44"/>
        </w:rPr>
        <w:t> </w:t>
      </w:r>
      <w:r>
        <w:rPr>
          <w:spacing w:val="-5"/>
        </w:rPr>
        <w:t>日召开的第六届董事会第十四次会议，审议通过了《公司关于调整股票</w:t>
      </w:r>
      <w:r>
        <w:rPr>
          <w:w w:val="100"/>
        </w:rPr>
        <w:t> </w:t>
      </w:r>
      <w:r>
        <w:rPr>
          <w:spacing w:val="-1"/>
        </w:rPr>
        <w:t>期权数量与行权价格和限制性股票数量与授予价格与的议案》，调整后，首次授予的股票期权的</w:t>
      </w:r>
      <w:r>
        <w:rPr>
          <w:spacing w:val="-56"/>
        </w:rPr>
        <w:t> </w:t>
      </w:r>
      <w:r>
        <w:rPr>
          <w:spacing w:val="-56"/>
        </w:rPr>
      </w:r>
      <w:r>
        <w:rPr/>
        <w:t>行权价格为</w:t>
      </w:r>
      <w:r>
        <w:rPr>
          <w:spacing w:val="-52"/>
        </w:rPr>
        <w:t> </w:t>
      </w:r>
      <w:r>
        <w:rPr>
          <w:rFonts w:ascii="宋体" w:hAnsi="宋体" w:cs="宋体" w:eastAsia="宋体" w:hint="default"/>
        </w:rPr>
        <w:t>8.31</w:t>
      </w:r>
      <w:r>
        <w:rPr>
          <w:rFonts w:ascii="宋体" w:hAnsi="宋体" w:cs="宋体" w:eastAsia="宋体" w:hint="default"/>
          <w:spacing w:val="-52"/>
        </w:rPr>
        <w:t> </w:t>
      </w:r>
      <w:r>
        <w:rPr/>
        <w:t>元</w:t>
      </w:r>
      <w:r>
        <w:rPr>
          <w:rFonts w:ascii="宋体" w:hAnsi="宋体" w:cs="宋体" w:eastAsia="宋体" w:hint="default"/>
        </w:rPr>
        <w:t>/</w:t>
      </w:r>
      <w:r>
        <w:rPr/>
        <w:t>股；首次授予的限制性股票的授予价格为</w:t>
      </w:r>
      <w:r>
        <w:rPr>
          <w:spacing w:val="-52"/>
        </w:rPr>
        <w:t> </w:t>
      </w:r>
      <w:r>
        <w:rPr>
          <w:rFonts w:ascii="宋体" w:hAnsi="宋体" w:cs="宋体" w:eastAsia="宋体" w:hint="default"/>
        </w:rPr>
        <w:t>4.69</w:t>
      </w:r>
      <w:r>
        <w:rPr>
          <w:rFonts w:ascii="宋体" w:hAnsi="宋体" w:cs="宋体" w:eastAsia="宋体" w:hint="default"/>
          <w:spacing w:val="-52"/>
        </w:rPr>
        <w:t> </w:t>
      </w:r>
      <w:r>
        <w:rPr/>
        <w:t>元</w:t>
      </w:r>
      <w:r>
        <w:rPr>
          <w:rFonts w:ascii="宋体" w:hAnsi="宋体" w:cs="宋体" w:eastAsia="宋体" w:hint="default"/>
        </w:rPr>
        <w:t>/</w:t>
      </w:r>
      <w:r>
        <w:rPr/>
        <w:t>股；预留股票期权的行权</w:t>
      </w:r>
    </w:p>
    <w:p>
      <w:pPr>
        <w:pStyle w:val="BodyText"/>
        <w:spacing w:line="240" w:lineRule="auto" w:before="15"/>
        <w:ind w:right="0"/>
        <w:jc w:val="both"/>
      </w:pPr>
      <w:r>
        <w:rPr/>
        <w:t>价格为</w:t>
      </w:r>
      <w:r>
        <w:rPr>
          <w:spacing w:val="-55"/>
        </w:rPr>
        <w:t> </w:t>
      </w:r>
      <w:r>
        <w:rPr>
          <w:rFonts w:ascii="宋体" w:hAnsi="宋体" w:cs="宋体" w:eastAsia="宋体" w:hint="default"/>
        </w:rPr>
        <w:t>14.98</w:t>
      </w:r>
      <w:r>
        <w:rPr>
          <w:rFonts w:ascii="宋体" w:hAnsi="宋体" w:cs="宋体" w:eastAsia="宋体" w:hint="default"/>
          <w:spacing w:val="-55"/>
        </w:rPr>
        <w:t> </w:t>
      </w:r>
      <w:r>
        <w:rPr/>
        <w:t>元</w:t>
      </w:r>
      <w:r>
        <w:rPr>
          <w:rFonts w:ascii="宋体" w:hAnsi="宋体" w:cs="宋体" w:eastAsia="宋体" w:hint="default"/>
        </w:rPr>
        <w:t>/</w:t>
      </w:r>
      <w:r>
        <w:rPr/>
        <w:t>股；预留限制性股票的授予价格为</w:t>
      </w:r>
      <w:r>
        <w:rPr>
          <w:spacing w:val="-57"/>
        </w:rPr>
        <w:t> </w:t>
      </w:r>
      <w:r>
        <w:rPr>
          <w:rFonts w:ascii="宋体" w:hAnsi="宋体" w:cs="宋体" w:eastAsia="宋体" w:hint="default"/>
        </w:rPr>
        <w:t>8.76</w:t>
      </w:r>
      <w:r>
        <w:rPr>
          <w:rFonts w:ascii="宋体" w:hAnsi="宋体" w:cs="宋体" w:eastAsia="宋体" w:hint="default"/>
          <w:spacing w:val="-57"/>
        </w:rPr>
        <w:t> </w:t>
      </w:r>
      <w:r>
        <w:rPr/>
        <w:t>元</w:t>
      </w:r>
      <w:r>
        <w:rPr>
          <w:rFonts w:ascii="宋体" w:hAnsi="宋体" w:cs="宋体" w:eastAsia="宋体" w:hint="default"/>
        </w:rPr>
        <w:t>/</w:t>
      </w:r>
      <w:r>
        <w:rPr/>
        <w:t>股。</w:t>
      </w:r>
    </w:p>
    <w:p>
      <w:pPr>
        <w:spacing w:line="240" w:lineRule="auto" w:before="3"/>
        <w:rPr>
          <w:rFonts w:ascii="宋体" w:hAnsi="宋体" w:cs="宋体" w:eastAsia="宋体" w:hint="default"/>
          <w:sz w:val="14"/>
          <w:szCs w:val="14"/>
        </w:rPr>
      </w:pPr>
    </w:p>
    <w:p>
      <w:pPr>
        <w:pStyle w:val="BodyText"/>
        <w:spacing w:line="297" w:lineRule="auto"/>
        <w:ind w:right="487" w:firstLine="419"/>
        <w:jc w:val="both"/>
      </w:pPr>
      <w:r>
        <w:rPr/>
        <w:t>公司于</w:t>
      </w:r>
      <w:r>
        <w:rPr>
          <w:spacing w:val="-44"/>
        </w:rPr>
        <w:t> </w:t>
      </w:r>
      <w:r>
        <w:rPr>
          <w:rFonts w:ascii="宋体" w:hAnsi="宋体" w:cs="宋体" w:eastAsia="宋体" w:hint="default"/>
        </w:rPr>
        <w:t>2015</w:t>
      </w:r>
      <w:r>
        <w:rPr>
          <w:rFonts w:ascii="宋体" w:hAnsi="宋体" w:cs="宋体" w:eastAsia="宋体" w:hint="default"/>
          <w:spacing w:val="-44"/>
        </w:rPr>
        <w:t> </w:t>
      </w:r>
      <w:r>
        <w:rPr/>
        <w:t>年</w:t>
      </w:r>
      <w:r>
        <w:rPr>
          <w:spacing w:val="-47"/>
        </w:rPr>
        <w:t> </w:t>
      </w:r>
      <w:r>
        <w:rPr>
          <w:rFonts w:ascii="宋体" w:hAnsi="宋体" w:cs="宋体" w:eastAsia="宋体" w:hint="default"/>
        </w:rPr>
        <w:t>10</w:t>
      </w:r>
      <w:r>
        <w:rPr>
          <w:rFonts w:ascii="宋体" w:hAnsi="宋体" w:cs="宋体" w:eastAsia="宋体" w:hint="default"/>
          <w:spacing w:val="-45"/>
        </w:rPr>
        <w:t> </w:t>
      </w:r>
      <w:r>
        <w:rPr/>
        <w:t>月</w:t>
      </w:r>
      <w:r>
        <w:rPr>
          <w:spacing w:val="-44"/>
        </w:rPr>
        <w:t> </w:t>
      </w:r>
      <w:r>
        <w:rPr>
          <w:rFonts w:ascii="宋体" w:hAnsi="宋体" w:cs="宋体" w:eastAsia="宋体" w:hint="default"/>
        </w:rPr>
        <w:t>10</w:t>
      </w:r>
      <w:r>
        <w:rPr>
          <w:rFonts w:ascii="宋体" w:hAnsi="宋体" w:cs="宋体" w:eastAsia="宋体" w:hint="default"/>
          <w:spacing w:val="-47"/>
        </w:rPr>
        <w:t> </w:t>
      </w:r>
      <w:r>
        <w:rPr>
          <w:spacing w:val="-5"/>
        </w:rPr>
        <w:t>日召开的第六届董事会第二十六次会议，审议通过了《公司关于股权</w:t>
      </w:r>
      <w:r>
        <w:rPr>
          <w:w w:val="100"/>
        </w:rPr>
        <w:t> </w:t>
      </w:r>
      <w:r>
        <w:rPr>
          <w:spacing w:val="-1"/>
        </w:rPr>
        <w:t>激励计划限制性股票符合解锁条件的议案》与《公司关于股权激励计划股票期权符合行权条件的</w:t>
      </w:r>
      <w:r>
        <w:rPr>
          <w:spacing w:val="-55"/>
        </w:rPr>
        <w:t> </w:t>
      </w:r>
      <w:r>
        <w:rPr>
          <w:spacing w:val="-55"/>
        </w:rPr>
      </w:r>
      <w:r>
        <w:rPr>
          <w:spacing w:val="-1"/>
        </w:rPr>
        <w:t>议案》，按照《公司股票期权与限制性股票激励计划（草案修订稿）》的规定，公司和激励对象</w:t>
      </w:r>
      <w:r>
        <w:rPr>
          <w:spacing w:val="-55"/>
        </w:rPr>
        <w:t> </w:t>
      </w:r>
      <w:r>
        <w:rPr>
          <w:spacing w:val="-55"/>
        </w:rPr>
      </w:r>
      <w:r>
        <w:rPr/>
        <w:t>符合首次授予的第二期以及预留授予的第一期股票期权与限制性股票的行权和解锁条件。</w:t>
      </w:r>
    </w:p>
    <w:p>
      <w:pPr>
        <w:pStyle w:val="BodyText"/>
        <w:spacing w:line="240" w:lineRule="auto" w:before="133"/>
        <w:ind w:left="558" w:right="0"/>
        <w:jc w:val="left"/>
      </w:pPr>
      <w:r>
        <w:rPr>
          <w:w w:val="100"/>
        </w:rPr>
        <w:t>公</w:t>
      </w:r>
      <w:r>
        <w:rPr>
          <w:spacing w:val="-3"/>
          <w:w w:val="100"/>
        </w:rPr>
        <w:t>司</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11</w:t>
      </w:r>
      <w:r>
        <w:rPr>
          <w:rFonts w:ascii="宋体" w:hAnsi="宋体" w:cs="宋体" w:eastAsia="宋体" w:hint="default"/>
          <w:spacing w:val="-54"/>
        </w:rPr>
        <w:t> </w:t>
      </w:r>
      <w:r>
        <w:rPr>
          <w:w w:val="100"/>
        </w:rPr>
        <w:t>月</w:t>
      </w:r>
      <w:r>
        <w:rPr>
          <w:spacing w:val="-53"/>
        </w:rPr>
        <w:t> </w:t>
      </w:r>
      <w:r>
        <w:rPr>
          <w:rFonts w:ascii="宋体" w:hAnsi="宋体" w:cs="宋体" w:eastAsia="宋体" w:hint="default"/>
          <w:w w:val="100"/>
        </w:rPr>
        <w:t>12</w:t>
      </w:r>
      <w:r>
        <w:rPr>
          <w:rFonts w:ascii="宋体" w:hAnsi="宋体" w:cs="宋体" w:eastAsia="宋体" w:hint="default"/>
          <w:spacing w:val="-55"/>
        </w:rPr>
        <w:t> </w:t>
      </w:r>
      <w:r>
        <w:rPr>
          <w:spacing w:val="-3"/>
          <w:w w:val="100"/>
        </w:rPr>
        <w:t>日</w:t>
      </w:r>
      <w:r>
        <w:rPr>
          <w:w w:val="100"/>
        </w:rPr>
        <w:t>解锁</w:t>
      </w:r>
      <w:r>
        <w:rPr>
          <w:spacing w:val="-3"/>
          <w:w w:val="100"/>
        </w:rPr>
        <w:t>了</w:t>
      </w:r>
      <w:r>
        <w:rPr>
          <w:w w:val="100"/>
        </w:rPr>
        <w:t>首</w:t>
      </w:r>
      <w:r>
        <w:rPr>
          <w:spacing w:val="-3"/>
          <w:w w:val="100"/>
        </w:rPr>
        <w:t>次</w:t>
      </w:r>
      <w:r>
        <w:rPr>
          <w:w w:val="100"/>
        </w:rPr>
        <w:t>授</w:t>
      </w:r>
      <w:r>
        <w:rPr>
          <w:spacing w:val="-3"/>
          <w:w w:val="100"/>
        </w:rPr>
        <w:t>予</w:t>
      </w:r>
      <w:r>
        <w:rPr>
          <w:w w:val="100"/>
        </w:rPr>
        <w:t>的</w:t>
      </w:r>
      <w:r>
        <w:rPr>
          <w:spacing w:val="-3"/>
          <w:w w:val="100"/>
        </w:rPr>
        <w:t>第</w:t>
      </w:r>
      <w:r>
        <w:rPr>
          <w:w w:val="100"/>
        </w:rPr>
        <w:t>二</w:t>
      </w:r>
      <w:r>
        <w:rPr>
          <w:spacing w:val="-3"/>
          <w:w w:val="100"/>
        </w:rPr>
        <w:t>期</w:t>
      </w:r>
      <w:r>
        <w:rPr>
          <w:w w:val="100"/>
        </w:rPr>
        <w:t>以及</w:t>
      </w:r>
      <w:r>
        <w:rPr>
          <w:spacing w:val="-3"/>
          <w:w w:val="100"/>
        </w:rPr>
        <w:t>预</w:t>
      </w:r>
      <w:r>
        <w:rPr>
          <w:w w:val="100"/>
        </w:rPr>
        <w:t>留</w:t>
      </w:r>
      <w:r>
        <w:rPr>
          <w:spacing w:val="-3"/>
          <w:w w:val="100"/>
        </w:rPr>
        <w:t>授</w:t>
      </w:r>
      <w:r>
        <w:rPr>
          <w:w w:val="100"/>
        </w:rPr>
        <w:t>予</w:t>
      </w:r>
      <w:r>
        <w:rPr>
          <w:spacing w:val="-3"/>
          <w:w w:val="100"/>
        </w:rPr>
        <w:t>的</w:t>
      </w:r>
      <w:r>
        <w:rPr>
          <w:w w:val="100"/>
        </w:rPr>
        <w:t>第</w:t>
      </w:r>
      <w:r>
        <w:rPr>
          <w:spacing w:val="-3"/>
          <w:w w:val="100"/>
        </w:rPr>
        <w:t>一</w:t>
      </w:r>
      <w:r>
        <w:rPr>
          <w:w w:val="100"/>
        </w:rPr>
        <w:t>期</w:t>
      </w:r>
      <w:r>
        <w:rPr>
          <w:spacing w:val="-3"/>
          <w:w w:val="100"/>
        </w:rPr>
        <w:t>限</w:t>
      </w:r>
      <w:r>
        <w:rPr>
          <w:w w:val="100"/>
        </w:rPr>
        <w:t>制性</w:t>
      </w:r>
      <w:r>
        <w:rPr>
          <w:spacing w:val="-3"/>
          <w:w w:val="100"/>
        </w:rPr>
        <w:t>股票</w:t>
      </w:r>
      <w:r>
        <w:rPr>
          <w:spacing w:val="-92"/>
          <w:w w:val="100"/>
        </w:rPr>
        <w:t>，</w:t>
      </w:r>
      <w:r>
        <w:rPr>
          <w:spacing w:val="-3"/>
          <w:w w:val="100"/>
        </w:rPr>
        <w:t>合</w:t>
      </w:r>
      <w:r>
        <w:rPr>
          <w:w w:val="100"/>
        </w:rPr>
        <w:t>计</w:t>
      </w:r>
    </w:p>
    <w:p>
      <w:pPr>
        <w:pStyle w:val="BodyText"/>
        <w:spacing w:line="297" w:lineRule="auto" w:before="66"/>
        <w:ind w:right="0"/>
        <w:jc w:val="left"/>
      </w:pPr>
      <w:r>
        <w:rPr>
          <w:rFonts w:ascii="宋体" w:hAnsi="宋体" w:cs="宋体" w:eastAsia="宋体" w:hint="default"/>
          <w:spacing w:val="-1"/>
          <w:w w:val="100"/>
        </w:rPr>
        <w:t>4,088,418</w:t>
      </w:r>
      <w:r>
        <w:rPr>
          <w:rFonts w:ascii="宋体" w:hAnsi="宋体" w:cs="宋体" w:eastAsia="宋体" w:hint="default"/>
          <w:spacing w:val="-65"/>
          <w:w w:val="100"/>
        </w:rPr>
        <w:t> </w:t>
      </w:r>
      <w:r>
        <w:rPr>
          <w:spacing w:val="-36"/>
          <w:w w:val="100"/>
        </w:rPr>
        <w:t>股，于</w:t>
      </w:r>
      <w:r>
        <w:rPr>
          <w:spacing w:val="-65"/>
          <w:w w:val="100"/>
        </w:rPr>
        <w:t> </w:t>
      </w:r>
      <w:r>
        <w:rPr>
          <w:rFonts w:ascii="宋体" w:hAnsi="宋体" w:cs="宋体" w:eastAsia="宋体" w:hint="default"/>
          <w:w w:val="100"/>
        </w:rPr>
        <w:t>2016</w:t>
      </w:r>
      <w:r>
        <w:rPr>
          <w:rFonts w:ascii="宋体" w:hAnsi="宋体" w:cs="宋体" w:eastAsia="宋体" w:hint="default"/>
          <w:spacing w:val="-64"/>
          <w:w w:val="100"/>
        </w:rPr>
        <w:t> </w:t>
      </w:r>
      <w:r>
        <w:rPr>
          <w:w w:val="100"/>
        </w:rPr>
        <w:t>年</w:t>
      </w:r>
      <w:r>
        <w:rPr>
          <w:spacing w:val="-63"/>
          <w:w w:val="100"/>
        </w:rPr>
        <w:t> </w:t>
      </w:r>
      <w:r>
        <w:rPr>
          <w:rFonts w:ascii="宋体" w:hAnsi="宋体" w:cs="宋体" w:eastAsia="宋体" w:hint="default"/>
          <w:w w:val="100"/>
        </w:rPr>
        <w:t>2</w:t>
      </w:r>
      <w:r>
        <w:rPr>
          <w:rFonts w:ascii="宋体" w:hAnsi="宋体" w:cs="宋体" w:eastAsia="宋体" w:hint="default"/>
          <w:spacing w:val="-65"/>
          <w:w w:val="100"/>
        </w:rPr>
        <w:t> </w:t>
      </w:r>
      <w:r>
        <w:rPr>
          <w:w w:val="100"/>
        </w:rPr>
        <w:t>月</w:t>
      </w:r>
      <w:r>
        <w:rPr>
          <w:spacing w:val="-63"/>
          <w:w w:val="100"/>
        </w:rPr>
        <w:t> </w:t>
      </w:r>
      <w:r>
        <w:rPr>
          <w:rFonts w:ascii="宋体" w:hAnsi="宋体" w:cs="宋体" w:eastAsia="宋体" w:hint="default"/>
          <w:w w:val="100"/>
        </w:rPr>
        <w:t>5</w:t>
      </w:r>
      <w:r>
        <w:rPr>
          <w:rFonts w:ascii="宋体" w:hAnsi="宋体" w:cs="宋体" w:eastAsia="宋体" w:hint="default"/>
          <w:spacing w:val="-63"/>
          <w:w w:val="100"/>
        </w:rPr>
        <w:t> </w:t>
      </w:r>
      <w:r>
        <w:rPr>
          <w:spacing w:val="-2"/>
          <w:w w:val="100"/>
        </w:rPr>
        <w:t>日为激励对象的首次授予的第一期及预留授予的第二期</w:t>
      </w:r>
      <w:r>
        <w:rPr>
          <w:spacing w:val="-63"/>
          <w:w w:val="100"/>
        </w:rPr>
        <w:t> </w:t>
      </w:r>
      <w:r>
        <w:rPr>
          <w:rFonts w:ascii="宋体" w:hAnsi="宋体" w:cs="宋体" w:eastAsia="宋体" w:hint="default"/>
          <w:spacing w:val="-1"/>
          <w:w w:val="100"/>
        </w:rPr>
        <w:t>5,096,270</w:t>
      </w:r>
      <w:r>
        <w:rPr>
          <w:rFonts w:ascii="宋体" w:hAnsi="宋体" w:cs="宋体" w:eastAsia="宋体" w:hint="default"/>
          <w:w w:val="100"/>
        </w:rPr>
        <w:t> </w:t>
      </w:r>
      <w:r>
        <w:rPr/>
        <w:t>份股票期权统一办理了行权登记手续。</w:t>
      </w:r>
    </w:p>
    <w:p>
      <w:pPr>
        <w:pStyle w:val="Heading2"/>
        <w:spacing w:line="240" w:lineRule="auto" w:before="135"/>
        <w:ind w:left="138" w:right="0"/>
        <w:jc w:val="both"/>
        <w:rPr>
          <w:b w:val="0"/>
          <w:bCs w:val="0"/>
        </w:rPr>
      </w:pPr>
      <w:r>
        <w:rPr/>
        <w:t>十二、重大关联交易</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92" w:lineRule="auto" w:before="0"/>
        <w:ind w:left="138" w:right="6376"/>
        <w:jc w:val="left"/>
        <w:rPr>
          <w:b w:val="0"/>
          <w:bCs w:val="0"/>
        </w:rPr>
      </w:pPr>
      <w:r>
        <w:rPr/>
        <w:t>十三、重大合同及其履行情况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b w:val="0"/>
          <w:bCs w:val="0"/>
          <w:spacing w:val="-1"/>
        </w:rPr>
      </w:r>
    </w:p>
    <w:p>
      <w:pPr>
        <w:pStyle w:val="BodyText"/>
        <w:spacing w:line="240" w:lineRule="auto" w:before="10"/>
        <w:ind w:right="0"/>
        <w:jc w:val="both"/>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0"/>
          <w:pgSz w:w="11910" w:h="16840"/>
          <w:pgMar w:footer="1335" w:header="0" w:top="1120" w:bottom="1520" w:left="1660" w:right="780"/>
          <w:pgNumType w:start="47"/>
        </w:sectPr>
      </w:pPr>
    </w:p>
    <w:p>
      <w:pPr>
        <w:pStyle w:val="Heading2"/>
        <w:tabs>
          <w:tab w:pos="977" w:val="left" w:leader="none"/>
        </w:tabs>
        <w:spacing w:line="240" w:lineRule="auto"/>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t>单位</w:t>
      </w:r>
      <w:r>
        <w:rPr>
          <w:rFonts w:ascii="宋体" w:hAnsi="宋体" w:cs="宋体" w:eastAsia="宋体" w:hint="default"/>
        </w:rPr>
        <w:t>:</w:t>
      </w:r>
      <w:r>
        <w:rPr>
          <w:rFonts w:ascii="宋体" w:hAnsi="宋体" w:cs="宋体" w:eastAsia="宋体" w:hint="default"/>
          <w:spacing w:val="2"/>
        </w:rPr>
        <w:t> </w:t>
      </w:r>
      <w:r>
        <w:rPr/>
        <w:t>元</w:t>
        <w:tab/>
        <w:t>币种</w:t>
      </w:r>
      <w:r>
        <w:rPr>
          <w:rFonts w:ascii="宋体" w:hAnsi="宋体" w:cs="宋体" w:eastAsia="宋体" w:hint="default"/>
        </w:rPr>
        <w:t>: </w:t>
      </w:r>
      <w:r>
        <w:rPr/>
        <w:t>人民币</w:t>
      </w:r>
    </w:p>
    <w:p>
      <w:pPr>
        <w:spacing w:after="0" w:line="240" w:lineRule="auto"/>
        <w:jc w:val="left"/>
        <w:sectPr>
          <w:type w:val="continuous"/>
          <w:pgSz w:w="11910" w:h="16840"/>
          <w:pgMar w:top="1120" w:bottom="1520" w:left="1660" w:right="780"/>
          <w:cols w:num="2" w:equalWidth="0">
            <w:col w:w="1823" w:space="5015"/>
            <w:col w:w="263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65"/>
        <w:gridCol w:w="662"/>
        <w:gridCol w:w="660"/>
        <w:gridCol w:w="668"/>
        <w:gridCol w:w="638"/>
        <w:gridCol w:w="710"/>
        <w:gridCol w:w="706"/>
        <w:gridCol w:w="590"/>
        <w:gridCol w:w="691"/>
        <w:gridCol w:w="708"/>
        <w:gridCol w:w="709"/>
        <w:gridCol w:w="710"/>
        <w:gridCol w:w="706"/>
        <w:gridCol w:w="425"/>
      </w:tblGrid>
      <w:tr>
        <w:trPr>
          <w:trHeight w:val="302"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18"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20" w:right="11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115" w:right="113"/>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5" w:right="110"/>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0" w:right="113"/>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50" w:right="48"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 w:right="31"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 w:right="29"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9" w:right="77"/>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3" w:right="23"/>
              <w:jc w:val="center"/>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w w:val="100"/>
                <w:sz w:val="21"/>
                <w:szCs w:val="21"/>
              </w:rPr>
              <w:t> </w:t>
            </w:r>
            <w:r>
              <w:rPr>
                <w:rFonts w:ascii="宋体" w:hAnsi="宋体" w:cs="宋体" w:eastAsia="宋体" w:hint="default"/>
                <w:sz w:val="21"/>
                <w:szCs w:val="21"/>
              </w:rPr>
              <w:t>否已经</w:t>
            </w:r>
            <w:r>
              <w:rPr>
                <w:rFonts w:ascii="宋体" w:hAnsi="宋体" w:cs="宋体" w:eastAsia="宋体" w:hint="default"/>
                <w:w w:val="100"/>
                <w:sz w:val="21"/>
                <w:szCs w:val="21"/>
              </w:rPr>
              <w:t> </w:t>
            </w:r>
            <w:r>
              <w:rPr>
                <w:rFonts w:ascii="宋体" w:hAnsi="宋体" w:cs="宋体" w:eastAsia="宋体" w:hint="default"/>
                <w:sz w:val="21"/>
                <w:szCs w:val="21"/>
              </w:rPr>
              <w:t>履行完</w:t>
            </w:r>
            <w:r>
              <w:rPr>
                <w:rFonts w:ascii="宋体" w:hAnsi="宋体" w:cs="宋体" w:eastAsia="宋体" w:hint="default"/>
                <w:w w:val="100"/>
                <w:sz w:val="21"/>
                <w:szCs w:val="21"/>
              </w:rPr>
              <w:t> </w:t>
            </w:r>
            <w:r>
              <w:rPr>
                <w:rFonts w:ascii="宋体" w:hAnsi="宋体" w:cs="宋体" w:eastAsia="宋体" w:hint="default"/>
                <w:sz w:val="21"/>
                <w:szCs w:val="21"/>
              </w:rPr>
              <w:t>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 w:right="29"/>
              <w:jc w:val="left"/>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spacing w:val="-102"/>
                <w:sz w:val="21"/>
                <w:szCs w:val="21"/>
              </w:rPr>
              <w:t> </w:t>
            </w:r>
            <w:r>
              <w:rPr>
                <w:rFonts w:ascii="宋体" w:hAnsi="宋体" w:cs="宋体" w:eastAsia="宋体" w:hint="default"/>
                <w:sz w:val="21"/>
                <w:szCs w:val="21"/>
              </w:rPr>
              <w:t>否逾期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 w:right="29"/>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35" w:right="29"/>
              <w:jc w:val="center"/>
              <w:rPr>
                <w:rFonts w:ascii="宋体" w:hAnsi="宋体" w:cs="宋体" w:eastAsia="宋体" w:hint="default"/>
                <w:sz w:val="21"/>
                <w:szCs w:val="21"/>
              </w:rPr>
            </w:pPr>
            <w:r>
              <w:rPr>
                <w:rFonts w:ascii="宋体" w:hAnsi="宋体" w:cs="宋体" w:eastAsia="宋体" w:hint="default"/>
                <w:sz w:val="21"/>
                <w:szCs w:val="21"/>
              </w:rPr>
              <w:t>是否存</w:t>
            </w:r>
            <w:r>
              <w:rPr>
                <w:rFonts w:ascii="宋体" w:hAnsi="宋体" w:cs="宋体" w:eastAsia="宋体" w:hint="default"/>
                <w:w w:val="100"/>
                <w:sz w:val="21"/>
                <w:szCs w:val="21"/>
              </w:rPr>
              <w:t> </w:t>
            </w:r>
            <w:r>
              <w:rPr>
                <w:rFonts w:ascii="宋体" w:hAnsi="宋体" w:cs="宋体" w:eastAsia="宋体" w:hint="default"/>
                <w:sz w:val="21"/>
                <w:szCs w:val="21"/>
              </w:rPr>
              <w:t>在反担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8" w:right="31"/>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r>
    </w:tbl>
    <w:p>
      <w:pPr>
        <w:spacing w:after="0" w:line="237" w:lineRule="auto"/>
        <w:jc w:val="both"/>
        <w:rPr>
          <w:rFonts w:ascii="宋体" w:hAnsi="宋体" w:cs="宋体" w:eastAsia="宋体" w:hint="default"/>
          <w:sz w:val="21"/>
          <w:szCs w:val="21"/>
        </w:rPr>
        <w:sectPr>
          <w:type w:val="continuous"/>
          <w:pgSz w:w="11910" w:h="16840"/>
          <w:pgMar w:top="1120" w:bottom="1520" w:left="166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642" w:type="dxa"/>
        <w:tblLayout w:type="fixed"/>
        <w:tblCellMar>
          <w:top w:w="0" w:type="dxa"/>
          <w:left w:w="0" w:type="dxa"/>
          <w:bottom w:w="0" w:type="dxa"/>
          <w:right w:w="0" w:type="dxa"/>
        </w:tblCellMar>
        <w:tblLook w:val="01E0"/>
      </w:tblPr>
      <w:tblGrid>
        <w:gridCol w:w="665"/>
        <w:gridCol w:w="662"/>
        <w:gridCol w:w="660"/>
        <w:gridCol w:w="668"/>
        <w:gridCol w:w="638"/>
        <w:gridCol w:w="733"/>
        <w:gridCol w:w="683"/>
        <w:gridCol w:w="590"/>
        <w:gridCol w:w="691"/>
        <w:gridCol w:w="708"/>
        <w:gridCol w:w="709"/>
        <w:gridCol w:w="710"/>
        <w:gridCol w:w="706"/>
        <w:gridCol w:w="425"/>
      </w:tblGrid>
      <w:tr>
        <w:trPr>
          <w:trHeight w:val="305" w:hRule="exact"/>
        </w:trPr>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报告期内担保发生额合计（不包括对子公司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的担保）</w:t>
            </w:r>
          </w:p>
        </w:tc>
        <w:tc>
          <w:tcPr>
            <w:tcW w:w="5222" w:type="dxa"/>
            <w:gridSpan w:val="8"/>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公司的担保）</w:t>
            </w:r>
          </w:p>
        </w:tc>
        <w:tc>
          <w:tcPr>
            <w:tcW w:w="5222"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38"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7"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222"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222"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23"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1"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222"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222"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其中：</w:t>
            </w:r>
          </w:p>
        </w:tc>
      </w:tr>
      <w:tr>
        <w:trPr>
          <w:trHeight w:val="554"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为股东、实际控制人及其关联方提供担保的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p>
        </w:tc>
        <w:tc>
          <w:tcPr>
            <w:tcW w:w="5222" w:type="dxa"/>
            <w:gridSpan w:val="8"/>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222"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222"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222"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未到期担保可能承担连带清偿责任说明</w:t>
            </w:r>
          </w:p>
        </w:tc>
        <w:tc>
          <w:tcPr>
            <w:tcW w:w="5222"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02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222"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Heading2"/>
        <w:tabs>
          <w:tab w:pos="2517" w:val="left" w:leader="none"/>
        </w:tabs>
        <w:spacing w:line="290" w:lineRule="auto"/>
        <w:ind w:left="1678" w:right="5323"/>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spacing w:line="290" w:lineRule="auto" w:before="12"/>
        <w:ind w:left="1678" w:right="762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委托贷款情况</w:t>
      </w:r>
      <w:r>
        <w:rPr>
          <w:rFonts w:ascii="宋体" w:hAnsi="宋体" w:cs="宋体" w:eastAsia="宋体" w:hint="default"/>
          <w:sz w:val="21"/>
          <w:szCs w:val="21"/>
        </w:rPr>
      </w:r>
    </w:p>
    <w:p>
      <w:pPr>
        <w:pStyle w:val="BodyText"/>
        <w:spacing w:line="240" w:lineRule="auto" w:before="14"/>
        <w:ind w:left="1678" w:right="532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left="1678" w:right="5323"/>
        <w:jc w:val="left"/>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pStyle w:val="BodyText"/>
        <w:spacing w:line="240" w:lineRule="auto" w:before="58"/>
        <w:ind w:left="1678" w:right="5323"/>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988"/>
        <w:gridCol w:w="1841"/>
        <w:gridCol w:w="1783"/>
        <w:gridCol w:w="1092"/>
        <w:gridCol w:w="1378"/>
        <w:gridCol w:w="1395"/>
        <w:gridCol w:w="1025"/>
      </w:tblGrid>
      <w:tr>
        <w:trPr>
          <w:trHeight w:val="93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投资类型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签约方</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投资份额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投资期限</w:t>
            </w:r>
          </w:p>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（天）</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9"/>
              <w:jc w:val="right"/>
              <w:rPr>
                <w:rFonts w:ascii="宋体" w:hAnsi="宋体" w:cs="宋体" w:eastAsia="宋体" w:hint="default"/>
                <w:sz w:val="21"/>
                <w:szCs w:val="21"/>
              </w:rPr>
            </w:pPr>
            <w:r>
              <w:rPr>
                <w:rFonts w:ascii="宋体" w:hAnsi="宋体" w:cs="宋体" w:eastAsia="宋体" w:hint="default"/>
                <w:spacing w:val="-1"/>
                <w:sz w:val="21"/>
                <w:szCs w:val="21"/>
              </w:rPr>
              <w:t>产品类型</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投资盈亏</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400" w:right="191" w:hanging="212"/>
              <w:jc w:val="left"/>
              <w:rPr>
                <w:rFonts w:ascii="宋体" w:hAnsi="宋体" w:cs="宋体" w:eastAsia="宋体" w:hint="default"/>
                <w:sz w:val="21"/>
                <w:szCs w:val="21"/>
              </w:rPr>
            </w:pPr>
            <w:r>
              <w:rPr>
                <w:rFonts w:ascii="宋体" w:hAnsi="宋体" w:cs="宋体" w:eastAsia="宋体" w:hint="default"/>
                <w:sz w:val="21"/>
                <w:szCs w:val="21"/>
              </w:rPr>
              <w:t>是否涉</w:t>
            </w:r>
            <w:r>
              <w:rPr>
                <w:rFonts w:ascii="宋体" w:hAnsi="宋体" w:cs="宋体" w:eastAsia="宋体" w:hint="default"/>
                <w:spacing w:val="-102"/>
                <w:sz w:val="21"/>
                <w:szCs w:val="21"/>
              </w:rPr>
              <w:t> </w:t>
            </w:r>
            <w:r>
              <w:rPr>
                <w:rFonts w:ascii="宋体" w:hAnsi="宋体" w:cs="宋体" w:eastAsia="宋体" w:hint="default"/>
                <w:sz w:val="21"/>
                <w:szCs w:val="21"/>
              </w:rPr>
              <w:t>诉</w:t>
            </w:r>
          </w:p>
        </w:tc>
      </w:tr>
      <w:tr>
        <w:trPr>
          <w:trHeight w:val="93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86"/>
              <w:ind w:left="103" w:right="101"/>
              <w:jc w:val="left"/>
              <w:rPr>
                <w:rFonts w:ascii="宋体" w:hAnsi="宋体" w:cs="宋体" w:eastAsia="宋体" w:hint="default"/>
                <w:sz w:val="21"/>
                <w:szCs w:val="21"/>
              </w:rPr>
            </w:pPr>
            <w:r>
              <w:rPr>
                <w:rFonts w:ascii="宋体" w:hAnsi="宋体" w:cs="宋体" w:eastAsia="宋体" w:hint="default"/>
                <w:sz w:val="21"/>
                <w:szCs w:val="21"/>
              </w:rPr>
              <w:t>远期结售汇</w:t>
            </w:r>
            <w:r>
              <w:rPr>
                <w:rFonts w:ascii="Calibri" w:hAnsi="Calibri" w:cs="Calibri" w:eastAsia="Calibri" w:hint="default"/>
                <w:sz w:val="21"/>
                <w:szCs w:val="21"/>
              </w:rPr>
              <w:t>/</w:t>
            </w:r>
            <w:r>
              <w:rPr>
                <w:rFonts w:ascii="宋体" w:hAnsi="宋体" w:cs="宋体" w:eastAsia="宋体" w:hint="default"/>
                <w:sz w:val="21"/>
                <w:szCs w:val="21"/>
              </w:rPr>
              <w:t>人民币</w:t>
            </w:r>
            <w:r>
              <w:rPr>
                <w:rFonts w:ascii="宋体" w:hAnsi="宋体" w:cs="宋体" w:eastAsia="宋体" w:hint="default"/>
                <w:spacing w:val="-95"/>
                <w:sz w:val="21"/>
                <w:szCs w:val="21"/>
              </w:rPr>
              <w:t> </w:t>
            </w:r>
            <w:r>
              <w:rPr>
                <w:rFonts w:ascii="宋体" w:hAnsi="宋体" w:cs="宋体" w:eastAsia="宋体" w:hint="default"/>
                <w:sz w:val="21"/>
                <w:szCs w:val="21"/>
              </w:rPr>
              <w:t>与外币掉期交易</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0" w:right="10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6"/>
                <w:sz w:val="21"/>
                <w:szCs w:val="21"/>
              </w:rPr>
              <w:t> </w:t>
            </w:r>
            <w:r>
              <w:rPr>
                <w:rFonts w:ascii="宋体" w:hAnsi="宋体" w:cs="宋体" w:eastAsia="宋体" w:hint="default"/>
                <w:spacing w:val="14"/>
                <w:sz w:val="21"/>
                <w:szCs w:val="21"/>
              </w:rPr>
              <w:t>信银行</w:t>
            </w:r>
            <w:r>
              <w:rPr>
                <w:rFonts w:ascii="宋体" w:hAnsi="宋体" w:cs="宋体" w:eastAsia="宋体" w:hint="default"/>
                <w:spacing w:val="-76"/>
                <w:sz w:val="21"/>
                <w:szCs w:val="21"/>
              </w:rPr>
              <w:t> </w:t>
            </w:r>
            <w:r>
              <w:rPr>
                <w:rFonts w:ascii="宋体" w:hAnsi="宋体" w:cs="宋体" w:eastAsia="宋体" w:hint="default"/>
                <w:spacing w:val="11"/>
                <w:sz w:val="21"/>
                <w:szCs w:val="21"/>
              </w:rPr>
              <w:t>北京</w:t>
            </w:r>
            <w:r>
              <w:rPr>
                <w:rFonts w:ascii="宋体" w:hAnsi="宋体" w:cs="宋体" w:eastAsia="宋体" w:hint="default"/>
                <w:spacing w:val="-76"/>
                <w:sz w:val="21"/>
                <w:szCs w:val="21"/>
              </w:rPr>
              <w:t> </w:t>
            </w:r>
            <w:r>
              <w:rPr>
                <w:rFonts w:ascii="宋体" w:hAnsi="宋体" w:cs="宋体" w:eastAsia="宋体" w:hint="default"/>
                <w:sz w:val="21"/>
                <w:szCs w:val="21"/>
              </w:rPr>
              <w:t>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淀支行</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100,000,000.00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64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9"/>
              <w:jc w:val="right"/>
              <w:rPr>
                <w:rFonts w:ascii="宋体" w:hAnsi="宋体" w:cs="宋体" w:eastAsia="宋体" w:hint="default"/>
                <w:sz w:val="21"/>
                <w:szCs w:val="21"/>
              </w:rPr>
            </w:pPr>
            <w:r>
              <w:rPr>
                <w:rFonts w:ascii="宋体" w:hAnsi="宋体" w:cs="宋体" w:eastAsia="宋体" w:hint="default"/>
                <w:spacing w:val="-1"/>
                <w:sz w:val="21"/>
                <w:szCs w:val="21"/>
              </w:rPr>
              <w:t>金融衍生品</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800,515.92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3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86"/>
              <w:ind w:left="103" w:right="101"/>
              <w:jc w:val="left"/>
              <w:rPr>
                <w:rFonts w:ascii="宋体" w:hAnsi="宋体" w:cs="宋体" w:eastAsia="宋体" w:hint="default"/>
                <w:sz w:val="21"/>
                <w:szCs w:val="21"/>
              </w:rPr>
            </w:pPr>
            <w:r>
              <w:rPr>
                <w:rFonts w:ascii="宋体" w:hAnsi="宋体" w:cs="宋体" w:eastAsia="宋体" w:hint="default"/>
                <w:sz w:val="21"/>
                <w:szCs w:val="21"/>
              </w:rPr>
              <w:t>远期结售汇</w:t>
            </w:r>
            <w:r>
              <w:rPr>
                <w:rFonts w:ascii="Calibri" w:hAnsi="Calibri" w:cs="Calibri" w:eastAsia="Calibri" w:hint="default"/>
                <w:sz w:val="21"/>
                <w:szCs w:val="21"/>
              </w:rPr>
              <w:t>/</w:t>
            </w:r>
            <w:r>
              <w:rPr>
                <w:rFonts w:ascii="宋体" w:hAnsi="宋体" w:cs="宋体" w:eastAsia="宋体" w:hint="default"/>
                <w:sz w:val="21"/>
                <w:szCs w:val="21"/>
              </w:rPr>
              <w:t>人民币</w:t>
            </w:r>
            <w:r>
              <w:rPr>
                <w:rFonts w:ascii="宋体" w:hAnsi="宋体" w:cs="宋体" w:eastAsia="宋体" w:hint="default"/>
                <w:spacing w:val="-95"/>
                <w:sz w:val="21"/>
                <w:szCs w:val="21"/>
              </w:rPr>
              <w:t> </w:t>
            </w:r>
            <w:r>
              <w:rPr>
                <w:rFonts w:ascii="宋体" w:hAnsi="宋体" w:cs="宋体" w:eastAsia="宋体" w:hint="default"/>
                <w:sz w:val="21"/>
                <w:szCs w:val="21"/>
              </w:rPr>
              <w:t>与外币掉期交易</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0" w:right="10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6"/>
                <w:sz w:val="21"/>
                <w:szCs w:val="21"/>
              </w:rPr>
              <w:t> </w:t>
            </w:r>
            <w:r>
              <w:rPr>
                <w:rFonts w:ascii="宋体" w:hAnsi="宋体" w:cs="宋体" w:eastAsia="宋体" w:hint="default"/>
                <w:spacing w:val="14"/>
                <w:sz w:val="21"/>
                <w:szCs w:val="21"/>
              </w:rPr>
              <w:t>波银行</w:t>
            </w:r>
            <w:r>
              <w:rPr>
                <w:rFonts w:ascii="宋体" w:hAnsi="宋体" w:cs="宋体" w:eastAsia="宋体" w:hint="default"/>
                <w:spacing w:val="-76"/>
                <w:sz w:val="21"/>
                <w:szCs w:val="21"/>
              </w:rPr>
              <w:t> </w:t>
            </w:r>
            <w:r>
              <w:rPr>
                <w:rFonts w:ascii="宋体" w:hAnsi="宋体" w:cs="宋体" w:eastAsia="宋体" w:hint="default"/>
                <w:spacing w:val="11"/>
                <w:sz w:val="21"/>
                <w:szCs w:val="21"/>
              </w:rPr>
              <w:t>北京</w:t>
            </w:r>
            <w:r>
              <w:rPr>
                <w:rFonts w:ascii="宋体" w:hAnsi="宋体" w:cs="宋体" w:eastAsia="宋体" w:hint="default"/>
                <w:spacing w:val="-76"/>
                <w:sz w:val="21"/>
                <w:szCs w:val="21"/>
              </w:rPr>
              <w:t> </w:t>
            </w:r>
            <w:r>
              <w:rPr>
                <w:rFonts w:ascii="宋体" w:hAnsi="宋体" w:cs="宋体" w:eastAsia="宋体" w:hint="default"/>
                <w:sz w:val="21"/>
                <w:szCs w:val="21"/>
              </w:rPr>
              <w:t>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100,000,000.00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9"/>
              <w:jc w:val="right"/>
              <w:rPr>
                <w:rFonts w:ascii="宋体" w:hAnsi="宋体" w:cs="宋体" w:eastAsia="宋体" w:hint="default"/>
                <w:sz w:val="21"/>
                <w:szCs w:val="21"/>
              </w:rPr>
            </w:pPr>
            <w:r>
              <w:rPr>
                <w:rFonts w:ascii="宋体" w:hAnsi="宋体" w:cs="宋体" w:eastAsia="宋体" w:hint="default"/>
                <w:spacing w:val="-1"/>
                <w:sz w:val="21"/>
                <w:szCs w:val="21"/>
              </w:rPr>
              <w:t>金融衍生品</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128,452.15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3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86"/>
              <w:ind w:left="103" w:right="101"/>
              <w:jc w:val="left"/>
              <w:rPr>
                <w:rFonts w:ascii="宋体" w:hAnsi="宋体" w:cs="宋体" w:eastAsia="宋体" w:hint="default"/>
                <w:sz w:val="21"/>
                <w:szCs w:val="21"/>
              </w:rPr>
            </w:pPr>
            <w:r>
              <w:rPr>
                <w:rFonts w:ascii="宋体" w:hAnsi="宋体" w:cs="宋体" w:eastAsia="宋体" w:hint="default"/>
                <w:sz w:val="21"/>
                <w:szCs w:val="21"/>
              </w:rPr>
              <w:t>远期结售汇</w:t>
            </w:r>
            <w:r>
              <w:rPr>
                <w:rFonts w:ascii="Calibri" w:hAnsi="Calibri" w:cs="Calibri" w:eastAsia="Calibri" w:hint="default"/>
                <w:sz w:val="21"/>
                <w:szCs w:val="21"/>
              </w:rPr>
              <w:t>/</w:t>
            </w:r>
            <w:r>
              <w:rPr>
                <w:rFonts w:ascii="宋体" w:hAnsi="宋体" w:cs="宋体" w:eastAsia="宋体" w:hint="default"/>
                <w:sz w:val="21"/>
                <w:szCs w:val="21"/>
              </w:rPr>
              <w:t>人民币</w:t>
            </w:r>
            <w:r>
              <w:rPr>
                <w:rFonts w:ascii="宋体" w:hAnsi="宋体" w:cs="宋体" w:eastAsia="宋体" w:hint="default"/>
                <w:spacing w:val="-95"/>
                <w:sz w:val="21"/>
                <w:szCs w:val="21"/>
              </w:rPr>
              <w:t> </w:t>
            </w:r>
            <w:r>
              <w:rPr>
                <w:rFonts w:ascii="宋体" w:hAnsi="宋体" w:cs="宋体" w:eastAsia="宋体" w:hint="default"/>
                <w:sz w:val="21"/>
                <w:szCs w:val="21"/>
              </w:rPr>
              <w:t>与外币掉期交易</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0" w:right="10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6"/>
                <w:sz w:val="21"/>
                <w:szCs w:val="21"/>
              </w:rPr>
              <w:t> </w:t>
            </w:r>
            <w:r>
              <w:rPr>
                <w:rFonts w:ascii="宋体" w:hAnsi="宋体" w:cs="宋体" w:eastAsia="宋体" w:hint="default"/>
                <w:spacing w:val="14"/>
                <w:sz w:val="21"/>
                <w:szCs w:val="21"/>
              </w:rPr>
              <w:t>信银行</w:t>
            </w:r>
            <w:r>
              <w:rPr>
                <w:rFonts w:ascii="宋体" w:hAnsi="宋体" w:cs="宋体" w:eastAsia="宋体" w:hint="default"/>
                <w:spacing w:val="-76"/>
                <w:sz w:val="21"/>
                <w:szCs w:val="21"/>
              </w:rPr>
              <w:t> </w:t>
            </w:r>
            <w:r>
              <w:rPr>
                <w:rFonts w:ascii="宋体" w:hAnsi="宋体" w:cs="宋体" w:eastAsia="宋体" w:hint="default"/>
                <w:spacing w:val="11"/>
                <w:sz w:val="21"/>
                <w:szCs w:val="21"/>
              </w:rPr>
              <w:t>北京</w:t>
            </w:r>
            <w:r>
              <w:rPr>
                <w:rFonts w:ascii="宋体" w:hAnsi="宋体" w:cs="宋体" w:eastAsia="宋体" w:hint="default"/>
                <w:spacing w:val="-76"/>
                <w:sz w:val="21"/>
                <w:szCs w:val="21"/>
              </w:rPr>
              <w:t> </w:t>
            </w:r>
            <w:r>
              <w:rPr>
                <w:rFonts w:ascii="宋体" w:hAnsi="宋体" w:cs="宋体" w:eastAsia="宋体" w:hint="default"/>
                <w:sz w:val="21"/>
                <w:szCs w:val="21"/>
              </w:rPr>
              <w:t>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淀支行</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40,000,000.00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396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9"/>
              <w:jc w:val="right"/>
              <w:rPr>
                <w:rFonts w:ascii="宋体" w:hAnsi="宋体" w:cs="宋体" w:eastAsia="宋体" w:hint="default"/>
                <w:sz w:val="21"/>
                <w:szCs w:val="21"/>
              </w:rPr>
            </w:pPr>
            <w:r>
              <w:rPr>
                <w:rFonts w:ascii="宋体" w:hAnsi="宋体" w:cs="宋体" w:eastAsia="宋体" w:hint="default"/>
                <w:spacing w:val="-1"/>
                <w:sz w:val="21"/>
                <w:szCs w:val="21"/>
              </w:rPr>
              <w:t>金融衍生品</w:t>
            </w:r>
          </w:p>
        </w:tc>
        <w:tc>
          <w:tcPr>
            <w:tcW w:w="139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10" w:h="16840"/>
          <w:pgMar w:header="0" w:footer="1335" w:top="1120" w:bottom="1520" w:left="12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988"/>
        <w:gridCol w:w="1841"/>
        <w:gridCol w:w="1783"/>
        <w:gridCol w:w="1092"/>
        <w:gridCol w:w="1378"/>
        <w:gridCol w:w="1395"/>
        <w:gridCol w:w="1025"/>
      </w:tblGrid>
      <w:tr>
        <w:trPr>
          <w:trHeight w:val="93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88"/>
              <w:ind w:left="103" w:right="101"/>
              <w:jc w:val="left"/>
              <w:rPr>
                <w:rFonts w:ascii="宋体" w:hAnsi="宋体" w:cs="宋体" w:eastAsia="宋体" w:hint="default"/>
                <w:sz w:val="21"/>
                <w:szCs w:val="21"/>
              </w:rPr>
            </w:pPr>
            <w:r>
              <w:rPr>
                <w:rFonts w:ascii="宋体" w:hAnsi="宋体" w:cs="宋体" w:eastAsia="宋体" w:hint="default"/>
                <w:sz w:val="21"/>
                <w:szCs w:val="21"/>
              </w:rPr>
              <w:t>远期结售汇</w:t>
            </w:r>
            <w:r>
              <w:rPr>
                <w:rFonts w:ascii="Calibri" w:hAnsi="Calibri" w:cs="Calibri" w:eastAsia="Calibri" w:hint="default"/>
                <w:sz w:val="21"/>
                <w:szCs w:val="21"/>
              </w:rPr>
              <w:t>/</w:t>
            </w:r>
            <w:r>
              <w:rPr>
                <w:rFonts w:ascii="宋体" w:hAnsi="宋体" w:cs="宋体" w:eastAsia="宋体" w:hint="default"/>
                <w:sz w:val="21"/>
                <w:szCs w:val="21"/>
              </w:rPr>
              <w:t>人民币</w:t>
            </w:r>
            <w:r>
              <w:rPr>
                <w:rFonts w:ascii="宋体" w:hAnsi="宋体" w:cs="宋体" w:eastAsia="宋体" w:hint="default"/>
                <w:spacing w:val="-95"/>
                <w:sz w:val="21"/>
                <w:szCs w:val="21"/>
              </w:rPr>
              <w:t> </w:t>
            </w:r>
            <w:r>
              <w:rPr>
                <w:rFonts w:ascii="宋体" w:hAnsi="宋体" w:cs="宋体" w:eastAsia="宋体" w:hint="default"/>
                <w:sz w:val="21"/>
                <w:szCs w:val="21"/>
              </w:rPr>
              <w:t>与外币掉期交易</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88"/>
              <w:ind w:left="100" w:right="10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6"/>
                <w:sz w:val="21"/>
                <w:szCs w:val="21"/>
              </w:rPr>
              <w:t> </w:t>
            </w:r>
            <w:r>
              <w:rPr>
                <w:rFonts w:ascii="宋体" w:hAnsi="宋体" w:cs="宋体" w:eastAsia="宋体" w:hint="default"/>
                <w:spacing w:val="14"/>
                <w:sz w:val="21"/>
                <w:szCs w:val="21"/>
              </w:rPr>
              <w:t>波银行</w:t>
            </w:r>
            <w:r>
              <w:rPr>
                <w:rFonts w:ascii="宋体" w:hAnsi="宋体" w:cs="宋体" w:eastAsia="宋体" w:hint="default"/>
                <w:spacing w:val="-76"/>
                <w:sz w:val="21"/>
                <w:szCs w:val="21"/>
              </w:rPr>
              <w:t> </w:t>
            </w:r>
            <w:r>
              <w:rPr>
                <w:rFonts w:ascii="宋体" w:hAnsi="宋体" w:cs="宋体" w:eastAsia="宋体" w:hint="default"/>
                <w:spacing w:val="11"/>
                <w:sz w:val="21"/>
                <w:szCs w:val="21"/>
              </w:rPr>
              <w:t>北京</w:t>
            </w:r>
            <w:r>
              <w:rPr>
                <w:rFonts w:ascii="宋体" w:hAnsi="宋体" w:cs="宋体" w:eastAsia="宋体" w:hint="default"/>
                <w:spacing w:val="-76"/>
                <w:sz w:val="21"/>
                <w:szCs w:val="21"/>
              </w:rPr>
              <w:t> </w:t>
            </w:r>
            <w:r>
              <w:rPr>
                <w:rFonts w:ascii="宋体" w:hAnsi="宋体" w:cs="宋体" w:eastAsia="宋体" w:hint="default"/>
                <w:sz w:val="21"/>
                <w:szCs w:val="21"/>
              </w:rPr>
              <w:t>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20,500,000.00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369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金融衍生品</w:t>
            </w:r>
          </w:p>
        </w:tc>
        <w:tc>
          <w:tcPr>
            <w:tcW w:w="139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3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保本保证收益型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0" w:right="10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6"/>
                <w:sz w:val="21"/>
                <w:szCs w:val="21"/>
              </w:rPr>
              <w:t> </w:t>
            </w:r>
            <w:r>
              <w:rPr>
                <w:rFonts w:ascii="宋体" w:hAnsi="宋体" w:cs="宋体" w:eastAsia="宋体" w:hint="default"/>
                <w:spacing w:val="14"/>
                <w:sz w:val="21"/>
                <w:szCs w:val="21"/>
              </w:rPr>
              <w:t>京银行</w:t>
            </w:r>
            <w:r>
              <w:rPr>
                <w:rFonts w:ascii="宋体" w:hAnsi="宋体" w:cs="宋体" w:eastAsia="宋体" w:hint="default"/>
                <w:spacing w:val="-76"/>
                <w:sz w:val="21"/>
                <w:szCs w:val="21"/>
              </w:rPr>
              <w:t> </w:t>
            </w:r>
            <w:r>
              <w:rPr>
                <w:rFonts w:ascii="宋体" w:hAnsi="宋体" w:cs="宋体" w:eastAsia="宋体" w:hint="default"/>
                <w:spacing w:val="11"/>
                <w:sz w:val="21"/>
                <w:szCs w:val="21"/>
              </w:rPr>
              <w:t>展览</w:t>
            </w:r>
            <w:r>
              <w:rPr>
                <w:rFonts w:ascii="宋体" w:hAnsi="宋体" w:cs="宋体" w:eastAsia="宋体" w:hint="default"/>
                <w:spacing w:val="-76"/>
                <w:sz w:val="21"/>
                <w:szCs w:val="21"/>
              </w:rPr>
              <w:t> </w:t>
            </w:r>
            <w:r>
              <w:rPr>
                <w:rFonts w:ascii="宋体" w:hAnsi="宋体" w:cs="宋体" w:eastAsia="宋体" w:hint="default"/>
                <w:sz w:val="21"/>
                <w:szCs w:val="21"/>
              </w:rPr>
              <w:t>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支行</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50,000,000.00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92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554,520.55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3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保本保证收益型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0" w:right="10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6"/>
                <w:sz w:val="21"/>
                <w:szCs w:val="21"/>
              </w:rPr>
              <w:t> </w:t>
            </w:r>
            <w:r>
              <w:rPr>
                <w:rFonts w:ascii="宋体" w:hAnsi="宋体" w:cs="宋体" w:eastAsia="宋体" w:hint="default"/>
                <w:spacing w:val="14"/>
                <w:sz w:val="21"/>
                <w:szCs w:val="21"/>
              </w:rPr>
              <w:t>京银行</w:t>
            </w:r>
            <w:r>
              <w:rPr>
                <w:rFonts w:ascii="宋体" w:hAnsi="宋体" w:cs="宋体" w:eastAsia="宋体" w:hint="default"/>
                <w:spacing w:val="-76"/>
                <w:sz w:val="21"/>
                <w:szCs w:val="21"/>
              </w:rPr>
              <w:t> </w:t>
            </w:r>
            <w:r>
              <w:rPr>
                <w:rFonts w:ascii="宋体" w:hAnsi="宋体" w:cs="宋体" w:eastAsia="宋体" w:hint="default"/>
                <w:spacing w:val="11"/>
                <w:sz w:val="21"/>
                <w:szCs w:val="21"/>
              </w:rPr>
              <w:t>展览</w:t>
            </w:r>
            <w:r>
              <w:rPr>
                <w:rFonts w:ascii="宋体" w:hAnsi="宋体" w:cs="宋体" w:eastAsia="宋体" w:hint="default"/>
                <w:spacing w:val="-76"/>
                <w:sz w:val="21"/>
                <w:szCs w:val="21"/>
              </w:rPr>
              <w:t> </w:t>
            </w:r>
            <w:r>
              <w:rPr>
                <w:rFonts w:ascii="宋体" w:hAnsi="宋体" w:cs="宋体" w:eastAsia="宋体" w:hint="default"/>
                <w:sz w:val="21"/>
                <w:szCs w:val="21"/>
              </w:rPr>
              <w:t>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支行</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100,000,000.00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35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383,561.64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3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保本保证收益型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0" w:right="10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6"/>
                <w:sz w:val="21"/>
                <w:szCs w:val="21"/>
              </w:rPr>
              <w:t> </w:t>
            </w:r>
            <w:r>
              <w:rPr>
                <w:rFonts w:ascii="宋体" w:hAnsi="宋体" w:cs="宋体" w:eastAsia="宋体" w:hint="default"/>
                <w:spacing w:val="14"/>
                <w:sz w:val="21"/>
                <w:szCs w:val="21"/>
              </w:rPr>
              <w:t>京银行</w:t>
            </w:r>
            <w:r>
              <w:rPr>
                <w:rFonts w:ascii="宋体" w:hAnsi="宋体" w:cs="宋体" w:eastAsia="宋体" w:hint="default"/>
                <w:spacing w:val="-76"/>
                <w:sz w:val="21"/>
                <w:szCs w:val="21"/>
              </w:rPr>
              <w:t> </w:t>
            </w:r>
            <w:r>
              <w:rPr>
                <w:rFonts w:ascii="宋体" w:hAnsi="宋体" w:cs="宋体" w:eastAsia="宋体" w:hint="default"/>
                <w:spacing w:val="11"/>
                <w:sz w:val="21"/>
                <w:szCs w:val="21"/>
              </w:rPr>
              <w:t>展览</w:t>
            </w:r>
            <w:r>
              <w:rPr>
                <w:rFonts w:ascii="宋体" w:hAnsi="宋体" w:cs="宋体" w:eastAsia="宋体" w:hint="default"/>
                <w:spacing w:val="-76"/>
                <w:sz w:val="21"/>
                <w:szCs w:val="21"/>
              </w:rPr>
              <w:t> </w:t>
            </w:r>
            <w:r>
              <w:rPr>
                <w:rFonts w:ascii="宋体" w:hAnsi="宋体" w:cs="宋体" w:eastAsia="宋体" w:hint="default"/>
                <w:sz w:val="21"/>
                <w:szCs w:val="21"/>
              </w:rPr>
              <w:t>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支行</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160,000,000.00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181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39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3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保本浮动收益型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0" w:right="10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76"/>
                <w:sz w:val="21"/>
                <w:szCs w:val="21"/>
              </w:rPr>
              <w:t> </w:t>
            </w:r>
            <w:r>
              <w:rPr>
                <w:rFonts w:ascii="宋体" w:hAnsi="宋体" w:cs="宋体" w:eastAsia="宋体" w:hint="default"/>
                <w:spacing w:val="14"/>
                <w:sz w:val="21"/>
                <w:szCs w:val="21"/>
              </w:rPr>
              <w:t>波银行</w:t>
            </w:r>
            <w:r>
              <w:rPr>
                <w:rFonts w:ascii="宋体" w:hAnsi="宋体" w:cs="宋体" w:eastAsia="宋体" w:hint="default"/>
                <w:spacing w:val="-76"/>
                <w:sz w:val="21"/>
                <w:szCs w:val="21"/>
              </w:rPr>
              <w:t> </w:t>
            </w:r>
            <w:r>
              <w:rPr>
                <w:rFonts w:ascii="宋体" w:hAnsi="宋体" w:cs="宋体" w:eastAsia="宋体" w:hint="default"/>
                <w:spacing w:val="11"/>
                <w:sz w:val="21"/>
                <w:szCs w:val="21"/>
              </w:rPr>
              <w:t>北京</w:t>
            </w:r>
            <w:r>
              <w:rPr>
                <w:rFonts w:ascii="宋体" w:hAnsi="宋体" w:cs="宋体" w:eastAsia="宋体" w:hint="default"/>
                <w:spacing w:val="-76"/>
                <w:sz w:val="21"/>
                <w:szCs w:val="21"/>
              </w:rPr>
              <w:t> </w:t>
            </w:r>
            <w:r>
              <w:rPr>
                <w:rFonts w:ascii="宋体" w:hAnsi="宋体" w:cs="宋体" w:eastAsia="宋体" w:hint="default"/>
                <w:sz w:val="21"/>
                <w:szCs w:val="21"/>
              </w:rPr>
              <w:t>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60,000,000.00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182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39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3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保本浮动收益型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0" w:right="10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6"/>
                <w:sz w:val="21"/>
                <w:szCs w:val="21"/>
              </w:rPr>
              <w:t> </w:t>
            </w:r>
            <w:r>
              <w:rPr>
                <w:rFonts w:ascii="宋体" w:hAnsi="宋体" w:cs="宋体" w:eastAsia="宋体" w:hint="default"/>
                <w:spacing w:val="14"/>
                <w:sz w:val="21"/>
                <w:szCs w:val="21"/>
              </w:rPr>
              <w:t>信银行</w:t>
            </w:r>
            <w:r>
              <w:rPr>
                <w:rFonts w:ascii="宋体" w:hAnsi="宋体" w:cs="宋体" w:eastAsia="宋体" w:hint="default"/>
                <w:spacing w:val="-76"/>
                <w:sz w:val="21"/>
                <w:szCs w:val="21"/>
              </w:rPr>
              <w:t> </w:t>
            </w:r>
            <w:r>
              <w:rPr>
                <w:rFonts w:ascii="宋体" w:hAnsi="宋体" w:cs="宋体" w:eastAsia="宋体" w:hint="default"/>
                <w:spacing w:val="11"/>
                <w:sz w:val="21"/>
                <w:szCs w:val="21"/>
              </w:rPr>
              <w:t>北京</w:t>
            </w:r>
            <w:r>
              <w:rPr>
                <w:rFonts w:ascii="宋体" w:hAnsi="宋体" w:cs="宋体" w:eastAsia="宋体" w:hint="default"/>
                <w:spacing w:val="-76"/>
                <w:sz w:val="21"/>
                <w:szCs w:val="21"/>
              </w:rPr>
              <w:t> </w:t>
            </w:r>
            <w:r>
              <w:rPr>
                <w:rFonts w:ascii="宋体" w:hAnsi="宋体" w:cs="宋体" w:eastAsia="宋体" w:hint="default"/>
                <w:sz w:val="21"/>
                <w:szCs w:val="21"/>
              </w:rPr>
              <w:t>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淀支行</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70,000,000.00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181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39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29"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保本浮动收益型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0" w:right="10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76"/>
                <w:sz w:val="21"/>
                <w:szCs w:val="21"/>
              </w:rPr>
              <w:t> </w:t>
            </w:r>
            <w:r>
              <w:rPr>
                <w:rFonts w:ascii="宋体" w:hAnsi="宋体" w:cs="宋体" w:eastAsia="宋体" w:hint="default"/>
                <w:spacing w:val="14"/>
                <w:sz w:val="21"/>
                <w:szCs w:val="21"/>
              </w:rPr>
              <w:t>夏银行</w:t>
            </w:r>
            <w:r>
              <w:rPr>
                <w:rFonts w:ascii="宋体" w:hAnsi="宋体" w:cs="宋体" w:eastAsia="宋体" w:hint="default"/>
                <w:spacing w:val="-76"/>
                <w:sz w:val="21"/>
                <w:szCs w:val="21"/>
              </w:rPr>
              <w:t> </w:t>
            </w:r>
            <w:r>
              <w:rPr>
                <w:rFonts w:ascii="宋体" w:hAnsi="宋体" w:cs="宋体" w:eastAsia="宋体" w:hint="default"/>
                <w:spacing w:val="11"/>
                <w:sz w:val="21"/>
                <w:szCs w:val="21"/>
              </w:rPr>
              <w:t>北京</w:t>
            </w:r>
            <w:r>
              <w:rPr>
                <w:rFonts w:ascii="宋体" w:hAnsi="宋体" w:cs="宋体" w:eastAsia="宋体" w:hint="default"/>
                <w:spacing w:val="-76"/>
                <w:sz w:val="21"/>
                <w:szCs w:val="21"/>
              </w:rPr>
              <w:t> </w:t>
            </w:r>
            <w:r>
              <w:rPr>
                <w:rFonts w:ascii="宋体" w:hAnsi="宋体" w:cs="宋体" w:eastAsia="宋体" w:hint="default"/>
                <w:sz w:val="21"/>
                <w:szCs w:val="21"/>
              </w:rPr>
              <w:t>媒</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体村支行</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150,000,000.00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182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结构性存款</w:t>
            </w:r>
          </w:p>
        </w:tc>
        <w:tc>
          <w:tcPr>
            <w:tcW w:w="139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3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保本保证收益型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88"/>
              <w:ind w:left="100" w:right="100"/>
              <w:jc w:val="left"/>
              <w:rPr>
                <w:rFonts w:ascii="宋体" w:hAnsi="宋体" w:cs="宋体" w:eastAsia="宋体" w:hint="default"/>
                <w:sz w:val="21"/>
                <w:szCs w:val="21"/>
              </w:rPr>
            </w:pPr>
            <w:r>
              <w:rPr>
                <w:rFonts w:ascii="宋体" w:hAnsi="宋体" w:cs="宋体" w:eastAsia="宋体" w:hint="default"/>
                <w:sz w:val="21"/>
                <w:szCs w:val="21"/>
              </w:rPr>
              <w:t>浦</w:t>
            </w:r>
            <w:r>
              <w:rPr>
                <w:rFonts w:ascii="宋体" w:hAnsi="宋体" w:cs="宋体" w:eastAsia="宋体" w:hint="default"/>
                <w:spacing w:val="-76"/>
                <w:sz w:val="21"/>
                <w:szCs w:val="21"/>
              </w:rPr>
              <w:t> </w:t>
            </w:r>
            <w:r>
              <w:rPr>
                <w:rFonts w:ascii="宋体" w:hAnsi="宋体" w:cs="宋体" w:eastAsia="宋体" w:hint="default"/>
                <w:spacing w:val="14"/>
                <w:sz w:val="21"/>
                <w:szCs w:val="21"/>
              </w:rPr>
              <w:t>发银行</w:t>
            </w:r>
            <w:r>
              <w:rPr>
                <w:rFonts w:ascii="宋体" w:hAnsi="宋体" w:cs="宋体" w:eastAsia="宋体" w:hint="default"/>
                <w:spacing w:val="-76"/>
                <w:sz w:val="21"/>
                <w:szCs w:val="21"/>
              </w:rPr>
              <w:t> </w:t>
            </w:r>
            <w:r>
              <w:rPr>
                <w:rFonts w:ascii="宋体" w:hAnsi="宋体" w:cs="宋体" w:eastAsia="宋体" w:hint="default"/>
                <w:spacing w:val="11"/>
                <w:sz w:val="21"/>
                <w:szCs w:val="21"/>
              </w:rPr>
              <w:t>北京</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融街支行</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100,000,000.00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182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结构性存款</w:t>
            </w:r>
          </w:p>
        </w:tc>
        <w:tc>
          <w:tcPr>
            <w:tcW w:w="139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3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保本保证收益型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0" w:right="100"/>
              <w:jc w:val="left"/>
              <w:rPr>
                <w:rFonts w:ascii="宋体" w:hAnsi="宋体" w:cs="宋体" w:eastAsia="宋体" w:hint="default"/>
                <w:sz w:val="21"/>
                <w:szCs w:val="21"/>
              </w:rPr>
            </w:pPr>
            <w:r>
              <w:rPr>
                <w:rFonts w:ascii="宋体" w:hAnsi="宋体" w:cs="宋体" w:eastAsia="宋体" w:hint="default"/>
                <w:sz w:val="21"/>
                <w:szCs w:val="21"/>
              </w:rPr>
              <w:t>光</w:t>
            </w:r>
            <w:r>
              <w:rPr>
                <w:rFonts w:ascii="宋体" w:hAnsi="宋体" w:cs="宋体" w:eastAsia="宋体" w:hint="default"/>
                <w:spacing w:val="-76"/>
                <w:sz w:val="21"/>
                <w:szCs w:val="21"/>
              </w:rPr>
              <w:t> </w:t>
            </w:r>
            <w:r>
              <w:rPr>
                <w:rFonts w:ascii="宋体" w:hAnsi="宋体" w:cs="宋体" w:eastAsia="宋体" w:hint="default"/>
                <w:spacing w:val="14"/>
                <w:sz w:val="21"/>
                <w:szCs w:val="21"/>
              </w:rPr>
              <w:t>大银行</w:t>
            </w:r>
            <w:r>
              <w:rPr>
                <w:rFonts w:ascii="宋体" w:hAnsi="宋体" w:cs="宋体" w:eastAsia="宋体" w:hint="default"/>
                <w:spacing w:val="-76"/>
                <w:sz w:val="21"/>
                <w:szCs w:val="21"/>
              </w:rPr>
              <w:t> </w:t>
            </w:r>
            <w:r>
              <w:rPr>
                <w:rFonts w:ascii="宋体" w:hAnsi="宋体" w:cs="宋体" w:eastAsia="宋体" w:hint="default"/>
                <w:spacing w:val="11"/>
                <w:sz w:val="21"/>
                <w:szCs w:val="21"/>
              </w:rPr>
              <w:t>北京</w:t>
            </w:r>
            <w:r>
              <w:rPr>
                <w:rFonts w:ascii="宋体" w:hAnsi="宋体" w:cs="宋体" w:eastAsia="宋体" w:hint="default"/>
                <w:spacing w:val="-76"/>
                <w:sz w:val="21"/>
                <w:szCs w:val="21"/>
              </w:rPr>
              <w:t> </w:t>
            </w:r>
            <w:r>
              <w:rPr>
                <w:rFonts w:ascii="宋体" w:hAnsi="宋体" w:cs="宋体" w:eastAsia="宋体" w:hint="default"/>
                <w:sz w:val="21"/>
                <w:szCs w:val="21"/>
              </w:rPr>
              <w:t>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宁寺支行</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100,000,000.00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182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结构性存款</w:t>
            </w:r>
          </w:p>
        </w:tc>
        <w:tc>
          <w:tcPr>
            <w:tcW w:w="139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3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保本保证收益型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0" w:right="10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6"/>
                <w:sz w:val="21"/>
                <w:szCs w:val="21"/>
              </w:rPr>
              <w:t> </w:t>
            </w:r>
            <w:r>
              <w:rPr>
                <w:rFonts w:ascii="宋体" w:hAnsi="宋体" w:cs="宋体" w:eastAsia="宋体" w:hint="default"/>
                <w:spacing w:val="14"/>
                <w:sz w:val="21"/>
                <w:szCs w:val="21"/>
              </w:rPr>
              <w:t>京银行</w:t>
            </w:r>
            <w:r>
              <w:rPr>
                <w:rFonts w:ascii="宋体" w:hAnsi="宋体" w:cs="宋体" w:eastAsia="宋体" w:hint="default"/>
                <w:spacing w:val="-76"/>
                <w:sz w:val="21"/>
                <w:szCs w:val="21"/>
              </w:rPr>
              <w:t> </w:t>
            </w:r>
            <w:r>
              <w:rPr>
                <w:rFonts w:ascii="宋体" w:hAnsi="宋体" w:cs="宋体" w:eastAsia="宋体" w:hint="default"/>
                <w:spacing w:val="11"/>
                <w:sz w:val="21"/>
                <w:szCs w:val="21"/>
              </w:rPr>
              <w:t>展览</w:t>
            </w:r>
            <w:r>
              <w:rPr>
                <w:rFonts w:ascii="宋体" w:hAnsi="宋体" w:cs="宋体" w:eastAsia="宋体" w:hint="default"/>
                <w:spacing w:val="-76"/>
                <w:sz w:val="21"/>
                <w:szCs w:val="21"/>
              </w:rPr>
              <w:t> </w:t>
            </w:r>
            <w:r>
              <w:rPr>
                <w:rFonts w:ascii="宋体" w:hAnsi="宋体" w:cs="宋体" w:eastAsia="宋体" w:hint="default"/>
                <w:sz w:val="21"/>
                <w:szCs w:val="21"/>
              </w:rPr>
              <w:t>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支行</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100,000,000.00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91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39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3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保本保证收益型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0" w:right="100"/>
              <w:jc w:val="left"/>
              <w:rPr>
                <w:rFonts w:ascii="宋体" w:hAnsi="宋体" w:cs="宋体" w:eastAsia="宋体" w:hint="default"/>
                <w:sz w:val="21"/>
                <w:szCs w:val="21"/>
              </w:rPr>
            </w:pPr>
            <w:r>
              <w:rPr>
                <w:rFonts w:ascii="宋体" w:hAnsi="宋体" w:cs="宋体" w:eastAsia="宋体" w:hint="default"/>
                <w:sz w:val="21"/>
                <w:szCs w:val="21"/>
              </w:rPr>
              <w:t>包</w:t>
            </w:r>
            <w:r>
              <w:rPr>
                <w:rFonts w:ascii="宋体" w:hAnsi="宋体" w:cs="宋体" w:eastAsia="宋体" w:hint="default"/>
                <w:spacing w:val="-76"/>
                <w:sz w:val="21"/>
                <w:szCs w:val="21"/>
              </w:rPr>
              <w:t> </w:t>
            </w:r>
            <w:r>
              <w:rPr>
                <w:rFonts w:ascii="宋体" w:hAnsi="宋体" w:cs="宋体" w:eastAsia="宋体" w:hint="default"/>
                <w:spacing w:val="14"/>
                <w:sz w:val="21"/>
                <w:szCs w:val="21"/>
              </w:rPr>
              <w:t>商银行</w:t>
            </w:r>
            <w:r>
              <w:rPr>
                <w:rFonts w:ascii="宋体" w:hAnsi="宋体" w:cs="宋体" w:eastAsia="宋体" w:hint="default"/>
                <w:spacing w:val="-76"/>
                <w:sz w:val="21"/>
                <w:szCs w:val="21"/>
              </w:rPr>
              <w:t> </w:t>
            </w:r>
            <w:r>
              <w:rPr>
                <w:rFonts w:ascii="宋体" w:hAnsi="宋体" w:cs="宋体" w:eastAsia="宋体" w:hint="default"/>
                <w:spacing w:val="11"/>
                <w:sz w:val="21"/>
                <w:szCs w:val="21"/>
              </w:rPr>
              <w:t>北京</w:t>
            </w:r>
            <w:r>
              <w:rPr>
                <w:rFonts w:ascii="宋体" w:hAnsi="宋体" w:cs="宋体" w:eastAsia="宋体" w:hint="default"/>
                <w:spacing w:val="-76"/>
                <w:sz w:val="21"/>
                <w:szCs w:val="21"/>
              </w:rPr>
              <w:t> </w:t>
            </w:r>
            <w:r>
              <w:rPr>
                <w:rFonts w:ascii="宋体" w:hAnsi="宋体" w:cs="宋体" w:eastAsia="宋体" w:hint="default"/>
                <w:sz w:val="21"/>
                <w:szCs w:val="21"/>
              </w:rPr>
              <w:t>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关村支行</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50,000,000.00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91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39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3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保本浮动收益型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0" w:right="100"/>
              <w:jc w:val="left"/>
              <w:rPr>
                <w:rFonts w:ascii="宋体" w:hAnsi="宋体" w:cs="宋体" w:eastAsia="宋体" w:hint="default"/>
                <w:sz w:val="21"/>
                <w:szCs w:val="21"/>
              </w:rPr>
            </w:pPr>
            <w:r>
              <w:rPr>
                <w:rFonts w:ascii="宋体" w:hAnsi="宋体" w:cs="宋体" w:eastAsia="宋体" w:hint="default"/>
                <w:sz w:val="21"/>
                <w:szCs w:val="21"/>
              </w:rPr>
              <w:t>包</w:t>
            </w:r>
            <w:r>
              <w:rPr>
                <w:rFonts w:ascii="宋体" w:hAnsi="宋体" w:cs="宋体" w:eastAsia="宋体" w:hint="default"/>
                <w:spacing w:val="-76"/>
                <w:sz w:val="21"/>
                <w:szCs w:val="21"/>
              </w:rPr>
              <w:t> </w:t>
            </w:r>
            <w:r>
              <w:rPr>
                <w:rFonts w:ascii="宋体" w:hAnsi="宋体" w:cs="宋体" w:eastAsia="宋体" w:hint="default"/>
                <w:spacing w:val="14"/>
                <w:sz w:val="21"/>
                <w:szCs w:val="21"/>
              </w:rPr>
              <w:t>商银行</w:t>
            </w:r>
            <w:r>
              <w:rPr>
                <w:rFonts w:ascii="宋体" w:hAnsi="宋体" w:cs="宋体" w:eastAsia="宋体" w:hint="default"/>
                <w:spacing w:val="-76"/>
                <w:sz w:val="21"/>
                <w:szCs w:val="21"/>
              </w:rPr>
              <w:t> </w:t>
            </w:r>
            <w:r>
              <w:rPr>
                <w:rFonts w:ascii="宋体" w:hAnsi="宋体" w:cs="宋体" w:eastAsia="宋体" w:hint="default"/>
                <w:spacing w:val="11"/>
                <w:sz w:val="21"/>
                <w:szCs w:val="21"/>
              </w:rPr>
              <w:t>北京</w:t>
            </w:r>
            <w:r>
              <w:rPr>
                <w:rFonts w:ascii="宋体" w:hAnsi="宋体" w:cs="宋体" w:eastAsia="宋体" w:hint="default"/>
                <w:spacing w:val="-76"/>
                <w:sz w:val="21"/>
                <w:szCs w:val="21"/>
              </w:rPr>
              <w:t> </w:t>
            </w:r>
            <w:r>
              <w:rPr>
                <w:rFonts w:ascii="宋体" w:hAnsi="宋体" w:cs="宋体" w:eastAsia="宋体" w:hint="default"/>
                <w:sz w:val="21"/>
                <w:szCs w:val="21"/>
              </w:rPr>
              <w:t>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关村支行</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50,000,000.00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83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39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5"/>
        <w:rPr>
          <w:rFonts w:ascii="宋体" w:hAnsi="宋体" w:cs="宋体" w:eastAsia="宋体" w:hint="default"/>
          <w:sz w:val="15"/>
          <w:szCs w:val="15"/>
        </w:rPr>
      </w:pPr>
    </w:p>
    <w:p>
      <w:pPr>
        <w:pStyle w:val="BodyText"/>
        <w:spacing w:line="274" w:lineRule="exact" w:before="36"/>
        <w:ind w:left="1678" w:right="124"/>
        <w:jc w:val="left"/>
      </w:pPr>
      <w:r>
        <w:rPr/>
        <w:t>其他投资理财及衍生品投资情况的说明</w:t>
      </w:r>
    </w:p>
    <w:p>
      <w:pPr>
        <w:pStyle w:val="BodyText"/>
        <w:spacing w:line="237" w:lineRule="auto" w:before="2"/>
        <w:ind w:left="1678" w:right="124"/>
        <w:jc w:val="left"/>
      </w:pPr>
      <w:r>
        <w:rPr>
          <w:rFonts w:ascii="宋体" w:hAnsi="宋体" w:cs="宋体" w:eastAsia="宋体" w:hint="default"/>
        </w:rPr>
        <w:t>2014</w:t>
      </w:r>
      <w:r>
        <w:rPr>
          <w:rFonts w:ascii="宋体" w:hAnsi="宋体" w:cs="宋体" w:eastAsia="宋体" w:hint="default"/>
          <w:spacing w:val="-49"/>
        </w:rPr>
        <w:t> </w:t>
      </w:r>
      <w:r>
        <w:rPr/>
        <w:t>年</w:t>
      </w:r>
      <w:r>
        <w:rPr>
          <w:spacing w:val="-46"/>
        </w:rPr>
        <w:t> </w:t>
      </w:r>
      <w:r>
        <w:rPr>
          <w:rFonts w:ascii="宋体" w:hAnsi="宋体" w:cs="宋体" w:eastAsia="宋体" w:hint="default"/>
        </w:rPr>
        <w:t>6</w:t>
      </w:r>
      <w:r>
        <w:rPr>
          <w:rFonts w:ascii="宋体" w:hAnsi="宋体" w:cs="宋体" w:eastAsia="宋体" w:hint="default"/>
          <w:spacing w:val="-49"/>
        </w:rPr>
        <w:t> </w:t>
      </w:r>
      <w:r>
        <w:rPr/>
        <w:t>月</w:t>
      </w:r>
      <w:r>
        <w:rPr>
          <w:spacing w:val="-46"/>
        </w:rPr>
        <w:t> </w:t>
      </w:r>
      <w:r>
        <w:rPr>
          <w:rFonts w:ascii="宋体" w:hAnsi="宋体" w:cs="宋体" w:eastAsia="宋体" w:hint="default"/>
        </w:rPr>
        <w:t>30</w:t>
      </w:r>
      <w:r>
        <w:rPr>
          <w:rFonts w:ascii="宋体" w:hAnsi="宋体" w:cs="宋体" w:eastAsia="宋体" w:hint="default"/>
          <w:spacing w:val="-49"/>
        </w:rPr>
        <w:t> </w:t>
      </w:r>
      <w:r>
        <w:rPr>
          <w:spacing w:val="-4"/>
        </w:rPr>
        <w:t>日，公司第六届董事会</w:t>
      </w:r>
      <w:r>
        <w:rPr>
          <w:spacing w:val="-45"/>
        </w:rPr>
        <w:t> </w:t>
      </w:r>
      <w:r>
        <w:rPr>
          <w:rFonts w:ascii="宋体" w:hAnsi="宋体" w:cs="宋体" w:eastAsia="宋体" w:hint="default"/>
        </w:rPr>
        <w:t>2014</w:t>
      </w:r>
      <w:r>
        <w:rPr>
          <w:rFonts w:ascii="宋体" w:hAnsi="宋体" w:cs="宋体" w:eastAsia="宋体" w:hint="default"/>
          <w:spacing w:val="-46"/>
        </w:rPr>
        <w:t> </w:t>
      </w:r>
      <w:r>
        <w:rPr>
          <w:spacing w:val="-3"/>
        </w:rPr>
        <w:t>年第三次会议审议通过了《公司关于公司及控股子公</w:t>
      </w:r>
      <w:r>
        <w:rPr>
          <w:spacing w:val="-89"/>
        </w:rPr>
        <w:t> </w:t>
      </w:r>
      <w:r>
        <w:rPr>
          <w:spacing w:val="-89"/>
        </w:rPr>
      </w:r>
      <w:r>
        <w:rPr/>
        <w:t>司使用自有资金投资理财产品的议案》，同意公司及其控股子公司使用自有资金进行投资理财，</w:t>
      </w:r>
      <w:r>
        <w:rPr>
          <w:w w:val="100"/>
        </w:rPr>
        <w:t> </w:t>
      </w:r>
      <w:r>
        <w:rPr/>
        <w:t>包括购买国债、债券、银行理财产品等短期投资，投资理财金额不超过</w:t>
      </w:r>
      <w:r>
        <w:rPr>
          <w:spacing w:val="-52"/>
        </w:rPr>
        <w:t> </w:t>
      </w:r>
      <w:r>
        <w:rPr>
          <w:rFonts w:ascii="宋体" w:hAnsi="宋体" w:cs="宋体" w:eastAsia="宋体" w:hint="default"/>
        </w:rPr>
        <w:t>10</w:t>
      </w:r>
      <w:r>
        <w:rPr>
          <w:rFonts w:ascii="宋体" w:hAnsi="宋体" w:cs="宋体" w:eastAsia="宋体" w:hint="default"/>
          <w:spacing w:val="-54"/>
        </w:rPr>
        <w:t> </w:t>
      </w:r>
      <w:r>
        <w:rPr/>
        <w:t>亿元。在上述额度内，</w:t>
      </w:r>
      <w:r>
        <w:rPr>
          <w:w w:val="100"/>
        </w:rPr>
        <w:t> </w:t>
      </w:r>
      <w:r>
        <w:rPr/>
        <w:t>资金可以滚动使用。</w:t>
      </w:r>
    </w:p>
    <w:p>
      <w:pPr>
        <w:pStyle w:val="BodyText"/>
        <w:spacing w:line="297" w:lineRule="auto" w:before="119"/>
        <w:ind w:left="1678" w:right="124"/>
        <w:jc w:val="left"/>
      </w:pPr>
      <w:r>
        <w:rPr>
          <w:rFonts w:ascii="宋体" w:hAnsi="宋体" w:cs="宋体" w:eastAsia="宋体" w:hint="default"/>
          <w:spacing w:val="-4"/>
        </w:rPr>
        <w:t>2015</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21</w:t>
      </w:r>
      <w:r>
        <w:rPr>
          <w:spacing w:val="-4"/>
        </w:rPr>
        <w:t>日，公司召开第六届董事会第二十五次会议，在确保不影响募集资金投资项目正常进</w:t>
      </w:r>
      <w:r>
        <w:rPr>
          <w:spacing w:val="-23"/>
        </w:rPr>
        <w:t> </w:t>
      </w:r>
      <w:r>
        <w:rPr>
          <w:spacing w:val="-23"/>
        </w:rPr>
      </w:r>
      <w:r>
        <w:rPr/>
        <w:t>行的前提下，公司决定使用不超过</w:t>
      </w:r>
      <w:r>
        <w:rPr>
          <w:rFonts w:ascii="Times New Roman" w:hAnsi="Times New Roman" w:cs="Times New Roman" w:eastAsia="Times New Roman" w:hint="default"/>
        </w:rPr>
        <w:t>11.5</w:t>
      </w:r>
      <w:r>
        <w:rPr/>
        <w:t>亿元的暂时闲置募集资金购买安全性高、流动性好、有保</w:t>
      </w:r>
    </w:p>
    <w:p>
      <w:pPr>
        <w:spacing w:after="0" w:line="297" w:lineRule="auto"/>
        <w:jc w:val="left"/>
        <w:sectPr>
          <w:pgSz w:w="11910" w:h="16840"/>
          <w:pgMar w:header="0" w:footer="1335" w:top="1120" w:bottom="1520" w:left="120" w:right="1040"/>
        </w:sectPr>
      </w:pPr>
    </w:p>
    <w:p>
      <w:pPr>
        <w:spacing w:line="240" w:lineRule="auto" w:before="4"/>
        <w:rPr>
          <w:rFonts w:ascii="宋体" w:hAnsi="宋体" w:cs="宋体" w:eastAsia="宋体" w:hint="default"/>
          <w:sz w:val="25"/>
          <w:szCs w:val="25"/>
        </w:rPr>
      </w:pPr>
    </w:p>
    <w:p>
      <w:pPr>
        <w:pStyle w:val="BodyText"/>
        <w:spacing w:line="280" w:lineRule="auto" w:before="36"/>
        <w:ind w:right="144"/>
        <w:jc w:val="left"/>
      </w:pPr>
      <w:r>
        <w:rPr>
          <w:spacing w:val="-1"/>
        </w:rPr>
        <w:t>本约定的短期理财产品或办理银行定期存款，期限不得超过董事会批准之日起</w:t>
      </w:r>
      <w:r>
        <w:rPr>
          <w:rFonts w:ascii="Times New Roman" w:hAnsi="Times New Roman" w:cs="Times New Roman" w:eastAsia="Times New Roman" w:hint="default"/>
          <w:spacing w:val="-1"/>
        </w:rPr>
        <w:t>12</w:t>
      </w:r>
      <w:r>
        <w:rPr>
          <w:spacing w:val="-1"/>
        </w:rPr>
        <w:t>个月，并在上述</w:t>
      </w:r>
      <w:r>
        <w:rPr>
          <w:spacing w:val="-54"/>
        </w:rPr>
        <w:t> </w:t>
      </w:r>
      <w:r>
        <w:rPr>
          <w:spacing w:val="-54"/>
        </w:rPr>
      </w:r>
      <w:r>
        <w:rPr/>
        <w:t>额度及期限范围内可以滚动使用投资额度。</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2"/>
        <w:tabs>
          <w:tab w:pos="977" w:val="left" w:leader="none"/>
        </w:tabs>
        <w:spacing w:line="240" w:lineRule="auto" w:before="0"/>
        <w:ind w:left="138" w:right="144"/>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138" w:right="144"/>
        <w:jc w:val="left"/>
        <w:rPr>
          <w:b w:val="0"/>
          <w:bCs w:val="0"/>
        </w:rPr>
      </w:pPr>
      <w:r>
        <w:rPr/>
        <w:t>十四、其他重大事项的说明</w:t>
      </w:r>
      <w:r>
        <w:rPr>
          <w:b w:val="0"/>
          <w:bCs w:val="0"/>
        </w:rPr>
      </w:r>
    </w:p>
    <w:p>
      <w:pPr>
        <w:pStyle w:val="BodyText"/>
        <w:spacing w:line="343" w:lineRule="auto" w:before="56"/>
        <w:ind w:left="558" w:right="144" w:hanging="420"/>
        <w:jc w:val="left"/>
      </w:pPr>
      <w:r>
        <w:rPr/>
        <w:t>√适用</w:t>
      </w:r>
      <w:r>
        <w:rPr>
          <w:spacing w:val="-2"/>
        </w:rPr>
        <w:t> </w:t>
      </w:r>
      <w:r>
        <w:rPr/>
        <w:t>□不适用</w:t>
      </w:r>
      <w:r>
        <w:rPr>
          <w:w w:val="100"/>
        </w:rPr>
        <w:t> </w:t>
      </w:r>
      <w:r>
        <w:rPr>
          <w:spacing w:val="-2"/>
        </w:rPr>
        <w:t>报告期内，根据《计算机软件保护条例》及《计算机软件著作权登记办法》规定，经中华人</w:t>
      </w:r>
    </w:p>
    <w:p>
      <w:pPr>
        <w:pStyle w:val="BodyText"/>
        <w:spacing w:line="251" w:lineRule="exact"/>
        <w:ind w:right="144"/>
        <w:jc w:val="left"/>
      </w:pPr>
      <w:r>
        <w:rPr/>
        <w:t>民共和国国家版权局批准，公司获得了“用友数据分析系统”等</w:t>
      </w:r>
      <w:r>
        <w:rPr>
          <w:spacing w:val="-56"/>
        </w:rPr>
        <w:t> </w:t>
      </w:r>
      <w:r>
        <w:rPr>
          <w:rFonts w:ascii="宋体" w:hAnsi="宋体" w:cs="宋体" w:eastAsia="宋体" w:hint="default"/>
        </w:rPr>
        <w:t>59</w:t>
      </w:r>
      <w:r>
        <w:rPr>
          <w:rFonts w:ascii="宋体" w:hAnsi="宋体" w:cs="宋体" w:eastAsia="宋体" w:hint="default"/>
          <w:spacing w:val="-56"/>
        </w:rPr>
        <w:t> </w:t>
      </w:r>
      <w:r>
        <w:rPr/>
        <w:t>项软件著作权。</w:t>
      </w:r>
    </w:p>
    <w:p>
      <w:pPr>
        <w:spacing w:line="240" w:lineRule="auto" w:before="3"/>
        <w:rPr>
          <w:rFonts w:ascii="宋体" w:hAnsi="宋体" w:cs="宋体" w:eastAsia="宋体" w:hint="default"/>
          <w:sz w:val="14"/>
          <w:szCs w:val="14"/>
        </w:rPr>
      </w:pPr>
    </w:p>
    <w:p>
      <w:pPr>
        <w:pStyle w:val="BodyText"/>
        <w:spacing w:line="297" w:lineRule="auto"/>
        <w:ind w:right="144" w:firstLine="419"/>
        <w:jc w:val="left"/>
      </w:pPr>
      <w:r>
        <w:rPr>
          <w:spacing w:val="-2"/>
        </w:rPr>
        <w:t>报告期内，根据《中华人民共和国专利法》规定，经中华人民共和国知识产权局核准，公司</w:t>
      </w:r>
      <w:r>
        <w:rPr>
          <w:w w:val="100"/>
        </w:rPr>
        <w:t> </w:t>
      </w:r>
      <w:r>
        <w:rPr/>
        <w:t>获得了“数据处理系统”等</w:t>
      </w:r>
      <w:r>
        <w:rPr>
          <w:spacing w:val="-53"/>
        </w:rPr>
        <w:t> </w:t>
      </w:r>
      <w:r>
        <w:rPr>
          <w:rFonts w:ascii="宋体" w:hAnsi="宋体" w:cs="宋体" w:eastAsia="宋体" w:hint="default"/>
        </w:rPr>
        <w:t>56</w:t>
      </w:r>
      <w:r>
        <w:rPr>
          <w:rFonts w:ascii="宋体" w:hAnsi="宋体" w:cs="宋体" w:eastAsia="宋体" w:hint="default"/>
          <w:spacing w:val="-55"/>
        </w:rPr>
        <w:t> </w:t>
      </w:r>
      <w:r>
        <w:rPr/>
        <w:t>项专利授权。</w:t>
      </w:r>
    </w:p>
    <w:p>
      <w:pPr>
        <w:pStyle w:val="BodyText"/>
        <w:spacing w:line="297" w:lineRule="auto" w:before="133"/>
        <w:ind w:right="144" w:firstLine="419"/>
        <w:jc w:val="left"/>
      </w:pPr>
      <w:r>
        <w:rPr>
          <w:spacing w:val="-2"/>
        </w:rPr>
        <w:t>报告期内，根据《中华人民共和国商标法》规定，经中华人民共和国国家工商行政管理总局</w:t>
      </w:r>
      <w:r>
        <w:rPr>
          <w:w w:val="100"/>
        </w:rPr>
        <w:t> </w:t>
      </w:r>
      <w:r>
        <w:rPr/>
        <w:t>商标局核准，公司获得了“用友</w:t>
      </w:r>
      <w:r>
        <w:rPr>
          <w:spacing w:val="-55"/>
        </w:rPr>
        <w:t> </w:t>
      </w:r>
      <w:r>
        <w:rPr>
          <w:rFonts w:ascii="宋体" w:hAnsi="宋体" w:cs="宋体" w:eastAsia="宋体" w:hint="default"/>
        </w:rPr>
        <w:t>BQ</w:t>
      </w:r>
      <w:r>
        <w:rPr/>
        <w:t>”等</w:t>
      </w:r>
      <w:r>
        <w:rPr>
          <w:spacing w:val="-55"/>
        </w:rPr>
        <w:t> </w:t>
      </w:r>
      <w:r>
        <w:rPr>
          <w:rFonts w:ascii="宋体" w:hAnsi="宋体" w:cs="宋体" w:eastAsia="宋体" w:hint="default"/>
        </w:rPr>
        <w:t>69</w:t>
      </w:r>
      <w:r>
        <w:rPr>
          <w:rFonts w:ascii="宋体" w:hAnsi="宋体" w:cs="宋体" w:eastAsia="宋体" w:hint="default"/>
          <w:spacing w:val="-55"/>
        </w:rPr>
        <w:t> </w:t>
      </w:r>
      <w:r>
        <w:rPr/>
        <w:t>项注册商标专有权。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tabs>
          <w:tab w:pos="781" w:val="left" w:leader="none"/>
        </w:tabs>
        <w:spacing w:line="290" w:lineRule="auto" w:before="0"/>
        <w:ind w:left="138" w:right="5611"/>
        <w:jc w:val="left"/>
        <w:rPr>
          <w:b w:val="0"/>
          <w:bCs w:val="0"/>
        </w:rPr>
      </w:pPr>
      <w:r>
        <w:rPr>
          <w:spacing w:val="-1"/>
        </w:rPr>
        <w:t>十五、积极履行社会责任的工作情况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社会责任工作情况</w:t>
      </w:r>
      <w:r>
        <w:rPr>
          <w:b w:val="0"/>
          <w:bCs w:val="0"/>
        </w:rPr>
      </w:r>
    </w:p>
    <w:p>
      <w:pPr>
        <w:pStyle w:val="BodyText"/>
        <w:spacing w:line="297" w:lineRule="auto" w:before="72"/>
        <w:ind w:right="144" w:firstLine="419"/>
        <w:jc w:val="left"/>
      </w:pPr>
      <w:r>
        <w:rPr/>
        <w:t>公</w:t>
      </w:r>
      <w:r>
        <w:rPr>
          <w:spacing w:val="-76"/>
        </w:rPr>
        <w:t> </w:t>
      </w:r>
      <w:r>
        <w:rPr>
          <w:spacing w:val="16"/>
        </w:rPr>
        <w:t>司披露了</w:t>
      </w:r>
      <w:r>
        <w:rPr>
          <w:spacing w:val="-76"/>
        </w:rPr>
        <w:t> </w:t>
      </w:r>
      <w:r>
        <w:rPr/>
        <w:t>《</w:t>
      </w:r>
      <w:r>
        <w:rPr>
          <w:spacing w:val="-79"/>
        </w:rPr>
        <w:t> </w:t>
      </w:r>
      <w:r>
        <w:rPr>
          <w:spacing w:val="11"/>
        </w:rPr>
        <w:t>用友</w:t>
      </w:r>
      <w:r>
        <w:rPr>
          <w:spacing w:val="-76"/>
        </w:rPr>
        <w:t> </w:t>
      </w:r>
      <w:r>
        <w:rPr>
          <w:spacing w:val="14"/>
        </w:rPr>
        <w:t>网络科</w:t>
      </w:r>
      <w:r>
        <w:rPr>
          <w:spacing w:val="-76"/>
        </w:rPr>
        <w:t> </w:t>
      </w:r>
      <w:r>
        <w:rPr>
          <w:spacing w:val="16"/>
        </w:rPr>
        <w:t>技股份有</w:t>
      </w:r>
      <w:r>
        <w:rPr>
          <w:spacing w:val="-76"/>
        </w:rPr>
        <w:t> </w:t>
      </w:r>
      <w:r>
        <w:rPr>
          <w:spacing w:val="14"/>
        </w:rPr>
        <w:t>限公司</w:t>
      </w:r>
      <w:r>
        <w:rPr>
          <w:spacing w:val="47"/>
        </w:rPr>
        <w:t> </w:t>
      </w:r>
      <w:r>
        <w:rPr>
          <w:rFonts w:ascii="宋体" w:hAnsi="宋体" w:cs="宋体" w:eastAsia="宋体" w:hint="default"/>
        </w:rPr>
        <w:t>2015</w:t>
      </w:r>
      <w:r>
        <w:rPr>
          <w:rFonts w:ascii="宋体" w:hAnsi="宋体" w:cs="宋体" w:eastAsia="宋体" w:hint="default"/>
          <w:spacing w:val="44"/>
        </w:rPr>
        <w:t> </w:t>
      </w:r>
      <w:r>
        <w:rPr>
          <w:spacing w:val="16"/>
        </w:rPr>
        <w:t>年度社会</w:t>
      </w:r>
      <w:r>
        <w:rPr>
          <w:spacing w:val="-76"/>
        </w:rPr>
        <w:t> </w:t>
      </w:r>
      <w:r>
        <w:rPr>
          <w:spacing w:val="14"/>
        </w:rPr>
        <w:t>责任报</w:t>
      </w:r>
      <w:r>
        <w:rPr>
          <w:spacing w:val="-76"/>
        </w:rPr>
        <w:t> </w:t>
      </w:r>
      <w:r>
        <w:rPr>
          <w:spacing w:val="15"/>
        </w:rPr>
        <w:t>告》，</w:t>
      </w:r>
      <w:r>
        <w:rPr>
          <w:spacing w:val="-76"/>
        </w:rPr>
        <w:t> </w:t>
      </w:r>
      <w:r>
        <w:rPr>
          <w:spacing w:val="16"/>
        </w:rPr>
        <w:t>披露网址</w:t>
      </w:r>
      <w:r>
        <w:rPr>
          <w:spacing w:val="-76"/>
        </w:rPr>
        <w:t> </w:t>
      </w:r>
      <w:r>
        <w:rPr/>
        <w:t>：</w:t>
      </w:r>
      <w:r>
        <w:rPr>
          <w:w w:val="100"/>
        </w:rPr>
        <w:t> </w:t>
      </w:r>
      <w:r>
        <w:rPr>
          <w:rFonts w:ascii="宋体" w:hAnsi="宋体" w:cs="宋体" w:eastAsia="宋体" w:hint="default"/>
          <w:color w:val="0000FF"/>
          <w:w w:val="100"/>
        </w:rPr>
      </w:r>
      <w:hyperlink r:id="rId10">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tabs>
          <w:tab w:pos="781" w:val="left" w:leader="none"/>
        </w:tabs>
        <w:spacing w:line="240" w:lineRule="auto" w:before="0"/>
        <w:ind w:left="138" w:right="144"/>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属于国家环境保护部门规定的重污染行业的上市公司及其子公司的环保情况说明</w:t>
      </w:r>
      <w:r>
        <w:rPr>
          <w:b w:val="0"/>
          <w:bCs w:val="0"/>
          <w:spacing w:val="-1"/>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138" w:right="144"/>
        <w:jc w:val="left"/>
        <w:rPr>
          <w:b w:val="0"/>
          <w:bCs w:val="0"/>
        </w:rPr>
      </w:pPr>
      <w:r>
        <w:rPr/>
        <w:t>十六、可转换公司债券情况</w:t>
      </w:r>
      <w:r>
        <w:rPr>
          <w:b w:val="0"/>
          <w:bCs w:val="0"/>
        </w:rPr>
      </w:r>
    </w:p>
    <w:p>
      <w:pPr>
        <w:pStyle w:val="BodyText"/>
        <w:spacing w:line="240" w:lineRule="auto" w:before="58"/>
        <w:ind w:right="144"/>
        <w:jc w:val="left"/>
      </w:pPr>
      <w:r>
        <w:rPr/>
        <w:t>□适用</w:t>
      </w:r>
      <w:r>
        <w:rPr>
          <w:spacing w:val="-1"/>
        </w:rPr>
        <w:t> </w:t>
      </w:r>
      <w:r>
        <w:rPr/>
        <w:t>√不适用</w:t>
      </w:r>
    </w:p>
    <w:p>
      <w:pPr>
        <w:spacing w:after="0" w:line="240" w:lineRule="auto"/>
        <w:jc w:val="left"/>
        <w:sectPr>
          <w:pgSz w:w="11910" w:h="16840"/>
          <w:pgMar w:header="0" w:footer="1335" w:top="1120" w:bottom="152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5036" w:val="left" w:leader="none"/>
        </w:tabs>
        <w:spacing w:line="240" w:lineRule="auto" w:before="162"/>
        <w:ind w:left="3776" w:right="828"/>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0" w:footer="1335" w:top="1120" w:bottom="1520" w:left="120" w:right="60"/>
        </w:sectPr>
      </w:pPr>
    </w:p>
    <w:p>
      <w:pPr>
        <w:pStyle w:val="Heading2"/>
        <w:tabs>
          <w:tab w:pos="2244" w:val="left" w:leader="none"/>
        </w:tabs>
        <w:spacing w:line="278" w:lineRule="auto"/>
        <w:ind w:left="1678"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Cambria" w:hAnsi="Cambria" w:cs="Cambria" w:eastAsia="Cambria" w:hint="default"/>
        </w:rPr>
        <w:t>1</w:t>
      </w:r>
      <w:r>
        <w:rPr/>
        <w:t>、</w:t>
      </w:r>
      <w:r>
        <w:rPr>
          <w:spacing w:val="-22"/>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1678" w:right="0"/>
        <w:jc w:val="left"/>
      </w:pPr>
      <w:r>
        <w:rPr/>
        <w:t>单位：股</w:t>
      </w:r>
    </w:p>
    <w:p>
      <w:pPr>
        <w:spacing w:after="0" w:line="240" w:lineRule="auto"/>
        <w:jc w:val="left"/>
        <w:sectPr>
          <w:type w:val="continuous"/>
          <w:pgSz w:w="11910" w:h="16840"/>
          <w:pgMar w:top="1120" w:bottom="1520" w:left="120" w:right="60"/>
          <w:cols w:num="2" w:equalWidth="0">
            <w:col w:w="4355" w:space="3639"/>
            <w:col w:w="3736"/>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31"/>
        <w:gridCol w:w="1423"/>
        <w:gridCol w:w="850"/>
        <w:gridCol w:w="1136"/>
        <w:gridCol w:w="425"/>
        <w:gridCol w:w="1560"/>
        <w:gridCol w:w="1274"/>
        <w:gridCol w:w="1277"/>
        <w:gridCol w:w="1416"/>
        <w:gridCol w:w="994"/>
      </w:tblGrid>
      <w:tr>
        <w:trPr>
          <w:trHeight w:val="242" w:hRule="exact"/>
        </w:trPr>
        <w:tc>
          <w:tcPr>
            <w:tcW w:w="1131" w:type="dxa"/>
            <w:vMerge w:val="restart"/>
            <w:tcBorders>
              <w:top w:val="single" w:sz="4" w:space="0" w:color="000000"/>
              <w:left w:val="single" w:sz="4" w:space="0" w:color="000000"/>
              <w:right w:val="single" w:sz="4" w:space="0" w:color="000000"/>
            </w:tcBorders>
          </w:tcPr>
          <w:p>
            <w:pP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8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5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78" w:hRule="exact"/>
        </w:trPr>
        <w:tc>
          <w:tcPr>
            <w:tcW w:w="1131" w:type="dxa"/>
            <w:vMerge/>
            <w:tcBorders>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478"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一、有限售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条件股份</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7,164,657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0.61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53,484,602</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1,432,931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-4,088,418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50,829,115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57,993,772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3.96</w:t>
            </w:r>
          </w:p>
        </w:tc>
      </w:tr>
      <w:tr>
        <w:trPr>
          <w:trHeight w:val="242"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75"/>
                <w:sz w:val="18"/>
                <w:szCs w:val="18"/>
              </w:rPr>
              <w:t>、</w:t>
            </w:r>
            <w:r>
              <w:rPr>
                <w:rFonts w:ascii="宋体" w:hAnsi="宋体" w:cs="宋体" w:eastAsia="宋体" w:hint="default"/>
                <w:sz w:val="18"/>
                <w:szCs w:val="18"/>
              </w:rPr>
              <w:t>国家持股</w:t>
            </w:r>
          </w:p>
        </w:tc>
        <w:tc>
          <w:tcPr>
            <w:tcW w:w="14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5"/>
                <w:sz w:val="18"/>
                <w:szCs w:val="18"/>
              </w:rPr>
              <w:t>、</w:t>
            </w:r>
            <w:r>
              <w:rPr>
                <w:rFonts w:ascii="宋体" w:hAnsi="宋体" w:cs="宋体" w:eastAsia="宋体" w:hint="default"/>
                <w:sz w:val="18"/>
                <w:szCs w:val="18"/>
              </w:rPr>
              <w:t>国有法人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4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5"/>
                <w:sz w:val="18"/>
                <w:szCs w:val="18"/>
              </w:rPr>
              <w:t>、</w:t>
            </w:r>
            <w:r>
              <w:rPr>
                <w:rFonts w:ascii="宋体" w:hAnsi="宋体" w:cs="宋体" w:eastAsia="宋体" w:hint="default"/>
                <w:sz w:val="18"/>
                <w:szCs w:val="18"/>
              </w:rPr>
              <w:t>其他内资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7,164,657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0.61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53,484,602</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1,432,931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-4,088,418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50,829,115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57,993,772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3.96</w:t>
            </w:r>
          </w:p>
        </w:tc>
      </w:tr>
      <w:tr>
        <w:trPr>
          <w:trHeight w:val="710"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其中：境内</w:t>
            </w:r>
          </w:p>
          <w:p>
            <w:pPr>
              <w:pStyle w:val="TableParagraph"/>
              <w:spacing w:line="232" w:lineRule="exact" w:before="23"/>
              <w:ind w:left="103" w:right="116"/>
              <w:jc w:val="left"/>
              <w:rPr>
                <w:rFonts w:ascii="宋体" w:hAnsi="宋体" w:cs="宋体" w:eastAsia="宋体" w:hint="default"/>
                <w:sz w:val="18"/>
                <w:szCs w:val="18"/>
              </w:rPr>
            </w:pPr>
            <w:r>
              <w:rPr>
                <w:rFonts w:ascii="宋体" w:hAnsi="宋体" w:cs="宋体" w:eastAsia="宋体" w:hint="default"/>
                <w:sz w:val="18"/>
                <w:szCs w:val="18"/>
              </w:rPr>
              <w:t>非国有法人 持股</w:t>
            </w:r>
          </w:p>
        </w:tc>
        <w:tc>
          <w:tcPr>
            <w:tcW w:w="14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53,484,602</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53,484,602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53,484,602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3.65</w:t>
            </w:r>
          </w:p>
        </w:tc>
      </w:tr>
      <w:tr>
        <w:trPr>
          <w:trHeight w:val="478"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540"/>
              <w:jc w:val="left"/>
              <w:rPr>
                <w:rFonts w:ascii="宋体" w:hAnsi="宋体" w:cs="宋体" w:eastAsia="宋体" w:hint="default"/>
                <w:sz w:val="18"/>
                <w:szCs w:val="18"/>
              </w:rPr>
            </w:pPr>
            <w:r>
              <w:rPr>
                <w:rFonts w:ascii="宋体" w:hAnsi="宋体" w:cs="宋体" w:eastAsia="宋体" w:hint="default"/>
                <w:sz w:val="18"/>
                <w:szCs w:val="18"/>
              </w:rPr>
              <w:t>境内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自然人持股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7,164,657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0.61</w:t>
            </w: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1,432,931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-4,088,418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-2,655,487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4,509,170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z w:val="18"/>
              </w:rPr>
              <w:t>0.31</w:t>
            </w:r>
          </w:p>
        </w:tc>
      </w:tr>
      <w:tr>
        <w:trPr>
          <w:trHeight w:val="245"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5"/>
                <w:sz w:val="18"/>
                <w:szCs w:val="18"/>
              </w:rPr>
              <w:t>、</w:t>
            </w:r>
            <w:r>
              <w:rPr>
                <w:rFonts w:ascii="宋体" w:hAnsi="宋体" w:cs="宋体" w:eastAsia="宋体" w:hint="default"/>
                <w:sz w:val="18"/>
                <w:szCs w:val="18"/>
              </w:rPr>
              <w:t>外资持股</w:t>
            </w:r>
          </w:p>
        </w:tc>
        <w:tc>
          <w:tcPr>
            <w:tcW w:w="14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其中：境外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法人持股</w:t>
            </w:r>
          </w:p>
        </w:tc>
        <w:tc>
          <w:tcPr>
            <w:tcW w:w="14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540"/>
              <w:jc w:val="left"/>
              <w:rPr>
                <w:rFonts w:ascii="宋体" w:hAnsi="宋体" w:cs="宋体" w:eastAsia="宋体" w:hint="default"/>
                <w:sz w:val="18"/>
                <w:szCs w:val="18"/>
              </w:rPr>
            </w:pPr>
            <w:r>
              <w:rPr>
                <w:rFonts w:ascii="宋体" w:hAnsi="宋体" w:cs="宋体" w:eastAsia="宋体" w:hint="default"/>
                <w:sz w:val="18"/>
                <w:szCs w:val="18"/>
              </w:rPr>
              <w:t>境外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自然人持股</w:t>
            </w:r>
          </w:p>
        </w:tc>
        <w:tc>
          <w:tcPr>
            <w:tcW w:w="14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二、无限售</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pacing w:val="2"/>
                <w:sz w:val="18"/>
                <w:szCs w:val="18"/>
              </w:rPr>
              <w:t>条件流通股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份</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1,164,254,350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99.39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5,500,910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232,850,870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4,088,418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242,440,198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1,406,694,548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96.04</w:t>
            </w:r>
          </w:p>
        </w:tc>
      </w:tr>
      <w:tr>
        <w:trPr>
          <w:trHeight w:val="478"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75"/>
                <w:sz w:val="18"/>
                <w:szCs w:val="18"/>
              </w:rPr>
              <w:t>、</w:t>
            </w:r>
            <w:r>
              <w:rPr>
                <w:rFonts w:ascii="宋体" w:hAnsi="宋体" w:cs="宋体" w:eastAsia="宋体" w:hint="default"/>
                <w:sz w:val="18"/>
                <w:szCs w:val="18"/>
              </w:rPr>
              <w:t>人民币普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1,164,254,350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99.39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5,500,910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232,850,870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4,088,418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242,440,198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1,406,694,548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96.04</w:t>
            </w:r>
          </w:p>
        </w:tc>
      </w:tr>
      <w:tr>
        <w:trPr>
          <w:trHeight w:val="475"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5"/>
                <w:sz w:val="18"/>
                <w:szCs w:val="18"/>
              </w:rPr>
              <w:t>、</w:t>
            </w:r>
            <w:r>
              <w:rPr>
                <w:rFonts w:ascii="宋体" w:hAnsi="宋体" w:cs="宋体" w:eastAsia="宋体" w:hint="default"/>
                <w:sz w:val="18"/>
                <w:szCs w:val="18"/>
              </w:rPr>
              <w:t>境内上市</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的外资股</w:t>
            </w:r>
          </w:p>
        </w:tc>
        <w:tc>
          <w:tcPr>
            <w:tcW w:w="14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5"/>
                <w:sz w:val="18"/>
                <w:szCs w:val="18"/>
              </w:rPr>
              <w:t>、</w:t>
            </w:r>
            <w:r>
              <w:rPr>
                <w:rFonts w:ascii="宋体" w:hAnsi="宋体" w:cs="宋体" w:eastAsia="宋体" w:hint="default"/>
                <w:sz w:val="18"/>
                <w:szCs w:val="18"/>
              </w:rPr>
              <w:t>境外上市</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的外资股</w:t>
            </w:r>
          </w:p>
        </w:tc>
        <w:tc>
          <w:tcPr>
            <w:tcW w:w="14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2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三、普通股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1,171,419,007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58,985,512</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234,283,801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293,269,313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1,464,688,320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100</w:t>
            </w:r>
          </w:p>
        </w:tc>
      </w:tr>
    </w:tbl>
    <w:p>
      <w:pPr>
        <w:spacing w:line="240" w:lineRule="auto" w:before="2"/>
        <w:rPr>
          <w:rFonts w:ascii="宋体" w:hAnsi="宋体" w:cs="宋体" w:eastAsia="宋体" w:hint="default"/>
          <w:sz w:val="20"/>
          <w:szCs w:val="20"/>
        </w:rPr>
      </w:pPr>
    </w:p>
    <w:p>
      <w:pPr>
        <w:pStyle w:val="Heading2"/>
        <w:spacing w:line="240" w:lineRule="auto"/>
        <w:ind w:left="1678" w:right="828"/>
        <w:jc w:val="left"/>
        <w:rPr>
          <w:b w:val="0"/>
          <w:bCs w:val="0"/>
        </w:rPr>
      </w:pPr>
      <w:r>
        <w:rPr>
          <w:rFonts w:ascii="Cambria" w:hAnsi="Cambria" w:cs="Cambria" w:eastAsia="Cambria" w:hint="default"/>
        </w:rPr>
        <w:t>2</w:t>
      </w:r>
      <w:r>
        <w:rPr/>
        <w:t>、</w:t>
      </w:r>
      <w:r>
        <w:rPr>
          <w:spacing w:val="-21"/>
        </w:rPr>
        <w:t> </w:t>
      </w:r>
      <w:r>
        <w:rPr/>
        <w:t>普通股股份变动情况说明</w:t>
      </w:r>
      <w:r>
        <w:rPr>
          <w:b w:val="0"/>
          <w:bCs w:val="0"/>
        </w:rPr>
      </w:r>
    </w:p>
    <w:p>
      <w:pPr>
        <w:pStyle w:val="BodyText"/>
        <w:spacing w:line="240" w:lineRule="auto" w:before="99"/>
        <w:ind w:left="2098" w:right="828"/>
        <w:jc w:val="left"/>
      </w:pPr>
      <w:r>
        <w:rPr>
          <w:w w:val="100"/>
        </w:rPr>
        <w:t>公</w:t>
      </w:r>
      <w:r>
        <w:rPr>
          <w:spacing w:val="-3"/>
          <w:w w:val="100"/>
        </w:rPr>
        <w:t>司</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4</w:t>
      </w:r>
      <w:r>
        <w:rPr>
          <w:rFonts w:ascii="宋体" w:hAnsi="宋体" w:cs="宋体" w:eastAsia="宋体" w:hint="default"/>
          <w:spacing w:val="-53"/>
        </w:rPr>
        <w:t> </w:t>
      </w:r>
      <w:r>
        <w:rPr>
          <w:w w:val="100"/>
        </w:rPr>
        <w:t>月</w:t>
      </w:r>
      <w:r>
        <w:rPr>
          <w:spacing w:val="-54"/>
        </w:rPr>
        <w:t> </w:t>
      </w:r>
      <w:r>
        <w:rPr>
          <w:rFonts w:ascii="宋体" w:hAnsi="宋体" w:cs="宋体" w:eastAsia="宋体" w:hint="default"/>
          <w:w w:val="100"/>
        </w:rPr>
        <w:t>9</w:t>
      </w:r>
      <w:r>
        <w:rPr>
          <w:rFonts w:ascii="宋体" w:hAnsi="宋体" w:cs="宋体" w:eastAsia="宋体" w:hint="default"/>
          <w:spacing w:val="-53"/>
        </w:rPr>
        <w:t> </w:t>
      </w:r>
      <w:r>
        <w:rPr>
          <w:spacing w:val="-3"/>
          <w:w w:val="100"/>
        </w:rPr>
        <w:t>日召</w:t>
      </w:r>
      <w:r>
        <w:rPr>
          <w:w w:val="100"/>
        </w:rPr>
        <w:t>开的</w:t>
      </w:r>
      <w:r>
        <w:rPr>
          <w:spacing w:val="-53"/>
        </w:rPr>
        <w:t> </w:t>
      </w:r>
      <w:r>
        <w:rPr>
          <w:rFonts w:ascii="宋体" w:hAnsi="宋体" w:cs="宋体" w:eastAsia="宋体" w:hint="default"/>
          <w:spacing w:val="-3"/>
          <w:w w:val="100"/>
        </w:rPr>
        <w:t>2</w:t>
      </w:r>
      <w:r>
        <w:rPr>
          <w:rFonts w:ascii="宋体" w:hAnsi="宋体" w:cs="宋体" w:eastAsia="宋体" w:hint="default"/>
          <w:w w:val="100"/>
        </w:rPr>
        <w:t>014</w:t>
      </w:r>
      <w:r>
        <w:rPr>
          <w:rFonts w:ascii="宋体" w:hAnsi="宋体" w:cs="宋体" w:eastAsia="宋体" w:hint="default"/>
          <w:spacing w:val="-55"/>
        </w:rPr>
        <w:t> </w:t>
      </w:r>
      <w:r>
        <w:rPr>
          <w:w w:val="100"/>
        </w:rPr>
        <w:t>年</w:t>
      </w:r>
      <w:r>
        <w:rPr>
          <w:spacing w:val="-3"/>
          <w:w w:val="100"/>
        </w:rPr>
        <w:t>度</w:t>
      </w:r>
      <w:r>
        <w:rPr>
          <w:w w:val="100"/>
        </w:rPr>
        <w:t>股</w:t>
      </w:r>
      <w:r>
        <w:rPr>
          <w:spacing w:val="-3"/>
          <w:w w:val="100"/>
        </w:rPr>
        <w:t>东</w:t>
      </w:r>
      <w:r>
        <w:rPr>
          <w:w w:val="100"/>
        </w:rPr>
        <w:t>大</w:t>
      </w:r>
      <w:r>
        <w:rPr>
          <w:spacing w:val="-3"/>
          <w:w w:val="100"/>
        </w:rPr>
        <w:t>会决</w:t>
      </w:r>
      <w:r>
        <w:rPr>
          <w:w w:val="100"/>
        </w:rPr>
        <w:t>议通</w:t>
      </w:r>
      <w:r>
        <w:rPr>
          <w:spacing w:val="-3"/>
          <w:w w:val="100"/>
        </w:rPr>
        <w:t>过</w:t>
      </w:r>
      <w:r>
        <w:rPr>
          <w:spacing w:val="-94"/>
          <w:w w:val="100"/>
        </w:rPr>
        <w:t>的</w:t>
      </w:r>
      <w:r>
        <w:rPr>
          <w:w w:val="100"/>
        </w:rPr>
        <w:t>《</w:t>
      </w:r>
      <w:r>
        <w:rPr>
          <w:spacing w:val="-3"/>
          <w:w w:val="100"/>
        </w:rPr>
        <w:t>公</w:t>
      </w:r>
      <w:r>
        <w:rPr>
          <w:w w:val="100"/>
        </w:rPr>
        <w:t>司</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14</w:t>
      </w:r>
      <w:r>
        <w:rPr>
          <w:rFonts w:ascii="宋体" w:hAnsi="宋体" w:cs="宋体" w:eastAsia="宋体" w:hint="default"/>
          <w:spacing w:val="-55"/>
        </w:rPr>
        <w:t> </w:t>
      </w:r>
      <w:r>
        <w:rPr>
          <w:w w:val="100"/>
        </w:rPr>
        <w:t>年</w:t>
      </w:r>
      <w:r>
        <w:rPr>
          <w:spacing w:val="-3"/>
          <w:w w:val="100"/>
        </w:rPr>
        <w:t>度</w:t>
      </w:r>
      <w:r>
        <w:rPr>
          <w:w w:val="100"/>
        </w:rPr>
        <w:t>资本</w:t>
      </w:r>
      <w:r>
        <w:rPr>
          <w:spacing w:val="-3"/>
          <w:w w:val="100"/>
        </w:rPr>
        <w:t>公</w:t>
      </w:r>
      <w:r>
        <w:rPr>
          <w:w w:val="100"/>
        </w:rPr>
        <w:t>积</w:t>
      </w:r>
      <w:r>
        <w:rPr>
          <w:spacing w:val="-3"/>
          <w:w w:val="100"/>
        </w:rPr>
        <w:t>金</w:t>
      </w:r>
      <w:r>
        <w:rPr>
          <w:w w:val="100"/>
        </w:rPr>
        <w:t>转</w:t>
      </w:r>
    </w:p>
    <w:p>
      <w:pPr>
        <w:pStyle w:val="BodyText"/>
        <w:spacing w:line="240" w:lineRule="auto" w:before="66"/>
        <w:ind w:left="1678" w:right="828"/>
        <w:jc w:val="left"/>
      </w:pPr>
      <w:r>
        <w:rPr>
          <w:spacing w:val="-8"/>
        </w:rPr>
        <w:t>增股本方案》，并于</w:t>
      </w:r>
      <w:r>
        <w:rPr>
          <w:spacing w:val="-50"/>
        </w:rPr>
        <w:t> </w:t>
      </w:r>
      <w:r>
        <w:rPr>
          <w:rFonts w:ascii="宋体" w:hAnsi="宋体" w:cs="宋体" w:eastAsia="宋体" w:hint="default"/>
        </w:rPr>
        <w:t>2015</w:t>
      </w:r>
      <w:r>
        <w:rPr>
          <w:rFonts w:ascii="宋体" w:hAnsi="宋体" w:cs="宋体" w:eastAsia="宋体" w:hint="default"/>
          <w:spacing w:val="-52"/>
        </w:rPr>
        <w:t> </w:t>
      </w:r>
      <w:r>
        <w:rPr/>
        <w:t>年</w:t>
      </w:r>
      <w:r>
        <w:rPr>
          <w:spacing w:val="-50"/>
        </w:rPr>
        <w:t> </w:t>
      </w:r>
      <w:r>
        <w:rPr>
          <w:rFonts w:ascii="宋体" w:hAnsi="宋体" w:cs="宋体" w:eastAsia="宋体" w:hint="default"/>
        </w:rPr>
        <w:t>4</w:t>
      </w:r>
      <w:r>
        <w:rPr>
          <w:rFonts w:ascii="宋体" w:hAnsi="宋体" w:cs="宋体" w:eastAsia="宋体" w:hint="default"/>
          <w:spacing w:val="-52"/>
        </w:rPr>
        <w:t> </w:t>
      </w:r>
      <w:r>
        <w:rPr/>
        <w:t>月</w:t>
      </w:r>
      <w:r>
        <w:rPr>
          <w:spacing w:val="-50"/>
        </w:rPr>
        <w:t> </w:t>
      </w:r>
      <w:r>
        <w:rPr>
          <w:rFonts w:ascii="宋体" w:hAnsi="宋体" w:cs="宋体" w:eastAsia="宋体" w:hint="default"/>
        </w:rPr>
        <w:t>24</w:t>
      </w:r>
      <w:r>
        <w:rPr>
          <w:rFonts w:ascii="宋体" w:hAnsi="宋体" w:cs="宋体" w:eastAsia="宋体" w:hint="default"/>
          <w:spacing w:val="-52"/>
        </w:rPr>
        <w:t> </w:t>
      </w:r>
      <w:r>
        <w:rPr>
          <w:spacing w:val="-5"/>
        </w:rPr>
        <w:t>日发布了《公司关于</w:t>
      </w:r>
      <w:r>
        <w:rPr>
          <w:spacing w:val="-49"/>
        </w:rPr>
        <w:t> </w:t>
      </w:r>
      <w:r>
        <w:rPr>
          <w:rFonts w:ascii="宋体" w:hAnsi="宋体" w:cs="宋体" w:eastAsia="宋体" w:hint="default"/>
        </w:rPr>
        <w:t>2014</w:t>
      </w:r>
      <w:r>
        <w:rPr>
          <w:rFonts w:ascii="宋体" w:hAnsi="宋体" w:cs="宋体" w:eastAsia="宋体" w:hint="default"/>
          <w:spacing w:val="-52"/>
        </w:rPr>
        <w:t> </w:t>
      </w:r>
      <w:r>
        <w:rPr/>
        <w:t>年度利润分配及资本公积金转增股</w:t>
      </w:r>
    </w:p>
    <w:p>
      <w:pPr>
        <w:pStyle w:val="BodyText"/>
        <w:spacing w:line="240" w:lineRule="auto" w:before="66"/>
        <w:ind w:left="1678" w:right="828"/>
        <w:jc w:val="left"/>
      </w:pPr>
      <w:r>
        <w:rPr>
          <w:spacing w:val="-15"/>
        </w:rPr>
        <w:t>本实施公告》。公司以</w:t>
      </w:r>
      <w:r>
        <w:rPr>
          <w:spacing w:val="-48"/>
        </w:rPr>
        <w:t> </w:t>
      </w:r>
      <w:r>
        <w:rPr>
          <w:rFonts w:ascii="宋体" w:hAnsi="宋体" w:cs="宋体" w:eastAsia="宋体" w:hint="default"/>
        </w:rPr>
        <w:t>2014</w:t>
      </w:r>
      <w:r>
        <w:rPr>
          <w:rFonts w:ascii="宋体" w:hAnsi="宋体" w:cs="宋体" w:eastAsia="宋体" w:hint="default"/>
          <w:spacing w:val="-49"/>
        </w:rPr>
        <w:t> </w:t>
      </w:r>
      <w:r>
        <w:rPr/>
        <w:t>年末总股本</w:t>
      </w:r>
      <w:r>
        <w:rPr>
          <w:spacing w:val="-49"/>
        </w:rPr>
        <w:t> </w:t>
      </w:r>
      <w:r>
        <w:rPr>
          <w:rFonts w:ascii="宋体" w:hAnsi="宋体" w:cs="宋体" w:eastAsia="宋体" w:hint="default"/>
        </w:rPr>
        <w:t>1,171,419,007</w:t>
      </w:r>
      <w:r>
        <w:rPr>
          <w:rFonts w:ascii="宋体" w:hAnsi="宋体" w:cs="宋体" w:eastAsia="宋体" w:hint="default"/>
          <w:spacing w:val="-49"/>
        </w:rPr>
        <w:t> </w:t>
      </w:r>
      <w:r>
        <w:rPr>
          <w:spacing w:val="-8"/>
        </w:rPr>
        <w:t>股为基数，向全体股东每</w:t>
      </w:r>
      <w:r>
        <w:rPr>
          <w:spacing w:val="-48"/>
        </w:rPr>
        <w:t> </w:t>
      </w:r>
      <w:r>
        <w:rPr>
          <w:rFonts w:ascii="宋体" w:hAnsi="宋体" w:cs="宋体" w:eastAsia="宋体" w:hint="default"/>
        </w:rPr>
        <w:t>10</w:t>
      </w:r>
      <w:r>
        <w:rPr>
          <w:rFonts w:ascii="宋体" w:hAnsi="宋体" w:cs="宋体" w:eastAsia="宋体" w:hint="default"/>
          <w:spacing w:val="-52"/>
        </w:rPr>
        <w:t> </w:t>
      </w:r>
      <w:r>
        <w:rPr/>
        <w:t>股转增</w:t>
      </w:r>
      <w:r>
        <w:rPr>
          <w:spacing w:val="-49"/>
        </w:rPr>
        <w:t> </w:t>
      </w:r>
      <w:r>
        <w:rPr>
          <w:rFonts w:ascii="宋体" w:hAnsi="宋体" w:cs="宋体" w:eastAsia="宋体" w:hint="default"/>
        </w:rPr>
        <w:t>2</w:t>
      </w:r>
      <w:r>
        <w:rPr>
          <w:rFonts w:ascii="宋体" w:hAnsi="宋体" w:cs="宋体" w:eastAsia="宋体" w:hint="default"/>
          <w:spacing w:val="-52"/>
        </w:rPr>
        <w:t> </w:t>
      </w:r>
      <w:r>
        <w:rPr/>
        <w:t>股，</w:t>
      </w:r>
    </w:p>
    <w:p>
      <w:pPr>
        <w:pStyle w:val="BodyText"/>
        <w:spacing w:line="240" w:lineRule="auto" w:before="66"/>
        <w:ind w:left="1678" w:right="828"/>
        <w:jc w:val="left"/>
      </w:pPr>
      <w:r>
        <w:rPr/>
        <w:t>共计转增</w:t>
      </w:r>
      <w:r>
        <w:rPr>
          <w:spacing w:val="-54"/>
        </w:rPr>
        <w:t> </w:t>
      </w:r>
      <w:r>
        <w:rPr>
          <w:rFonts w:ascii="宋体" w:hAnsi="宋体" w:cs="宋体" w:eastAsia="宋体" w:hint="default"/>
        </w:rPr>
        <w:t>234,283,801</w:t>
      </w:r>
      <w:r>
        <w:rPr>
          <w:rFonts w:ascii="宋体" w:hAnsi="宋体" w:cs="宋体" w:eastAsia="宋体" w:hint="default"/>
          <w:spacing w:val="-53"/>
        </w:rPr>
        <w:t> </w:t>
      </w:r>
      <w:r>
        <w:rPr/>
        <w:t>股，转增股本后，公司总股本为</w:t>
      </w:r>
      <w:r>
        <w:rPr>
          <w:spacing w:val="-54"/>
        </w:rPr>
        <w:t> </w:t>
      </w:r>
      <w:r>
        <w:rPr>
          <w:rFonts w:ascii="宋体" w:hAnsi="宋体" w:cs="宋体" w:eastAsia="宋体" w:hint="default"/>
        </w:rPr>
        <w:t>1,405,702,808</w:t>
      </w:r>
      <w:r>
        <w:rPr>
          <w:rFonts w:ascii="宋体" w:hAnsi="宋体" w:cs="宋体" w:eastAsia="宋体" w:hint="default"/>
          <w:spacing w:val="-56"/>
        </w:rPr>
        <w:t> </w:t>
      </w:r>
      <w:r>
        <w:rPr/>
        <w:t>股。</w:t>
      </w:r>
    </w:p>
    <w:p>
      <w:pPr>
        <w:spacing w:line="240" w:lineRule="auto" w:before="3"/>
        <w:rPr>
          <w:rFonts w:ascii="宋体" w:hAnsi="宋体" w:cs="宋体" w:eastAsia="宋体" w:hint="default"/>
          <w:sz w:val="14"/>
          <w:szCs w:val="14"/>
        </w:rPr>
      </w:pPr>
    </w:p>
    <w:p>
      <w:pPr>
        <w:pStyle w:val="BodyText"/>
        <w:spacing w:line="240" w:lineRule="auto"/>
        <w:ind w:left="2086" w:right="828"/>
        <w:jc w:val="left"/>
      </w:pPr>
      <w:r>
        <w:rPr/>
        <w:t>公司于</w:t>
      </w:r>
      <w:r>
        <w:rPr>
          <w:spacing w:val="-49"/>
        </w:rPr>
        <w:t> </w:t>
      </w:r>
      <w:r>
        <w:rPr>
          <w:rFonts w:ascii="宋体" w:hAnsi="宋体" w:cs="宋体" w:eastAsia="宋体" w:hint="default"/>
        </w:rPr>
        <w:t>2015</w:t>
      </w:r>
      <w:r>
        <w:rPr>
          <w:rFonts w:ascii="宋体" w:hAnsi="宋体" w:cs="宋体" w:eastAsia="宋体" w:hint="default"/>
          <w:spacing w:val="-51"/>
        </w:rPr>
        <w:t> </w:t>
      </w:r>
      <w:r>
        <w:rPr/>
        <w:t>年</w:t>
      </w:r>
      <w:r>
        <w:rPr>
          <w:spacing w:val="-49"/>
        </w:rPr>
        <w:t> </w:t>
      </w:r>
      <w:r>
        <w:rPr>
          <w:rFonts w:ascii="宋体" w:hAnsi="宋体" w:cs="宋体" w:eastAsia="宋体" w:hint="default"/>
        </w:rPr>
        <w:t>6</w:t>
      </w:r>
      <w:r>
        <w:rPr>
          <w:rFonts w:ascii="宋体" w:hAnsi="宋体" w:cs="宋体" w:eastAsia="宋体" w:hint="default"/>
          <w:spacing w:val="-51"/>
        </w:rPr>
        <w:t> </w:t>
      </w:r>
      <w:r>
        <w:rPr/>
        <w:t>月</w:t>
      </w:r>
      <w:r>
        <w:rPr>
          <w:spacing w:val="-51"/>
        </w:rPr>
        <w:t> </w:t>
      </w:r>
      <w:r>
        <w:rPr>
          <w:rFonts w:ascii="宋体" w:hAnsi="宋体" w:cs="宋体" w:eastAsia="宋体" w:hint="default"/>
        </w:rPr>
        <w:t>12</w:t>
      </w:r>
      <w:r>
        <w:rPr>
          <w:rFonts w:ascii="宋体" w:hAnsi="宋体" w:cs="宋体" w:eastAsia="宋体" w:hint="default"/>
          <w:spacing w:val="-51"/>
        </w:rPr>
        <w:t> </w:t>
      </w:r>
      <w:r>
        <w:rPr/>
        <w:t>日披露了《用友网络科技股份有限公司关于非公开发行股票获得中国</w:t>
      </w:r>
    </w:p>
    <w:p>
      <w:pPr>
        <w:pStyle w:val="BodyText"/>
        <w:spacing w:line="297" w:lineRule="auto" w:before="63"/>
        <w:ind w:left="1678" w:right="828"/>
        <w:jc w:val="left"/>
      </w:pPr>
      <w:r>
        <w:rPr>
          <w:spacing w:val="-3"/>
        </w:rPr>
        <w:t>证券监督管理委员会核准批文的公告》（公告编号：临</w:t>
      </w:r>
      <w:r>
        <w:rPr>
          <w:spacing w:val="-47"/>
        </w:rPr>
        <w:t> </w:t>
      </w:r>
      <w:r>
        <w:rPr>
          <w:rFonts w:ascii="宋体" w:hAnsi="宋体" w:cs="宋体" w:eastAsia="宋体" w:hint="default"/>
          <w:spacing w:val="-3"/>
        </w:rPr>
        <w:t>2015-038</w:t>
      </w:r>
      <w:r>
        <w:rPr>
          <w:spacing w:val="-3"/>
        </w:rPr>
        <w:t>），并于</w:t>
      </w:r>
      <w:r>
        <w:rPr>
          <w:spacing w:val="-45"/>
        </w:rPr>
        <w:t> </w:t>
      </w:r>
      <w:r>
        <w:rPr>
          <w:rFonts w:ascii="宋体" w:hAnsi="宋体" w:cs="宋体" w:eastAsia="宋体" w:hint="default"/>
        </w:rPr>
        <w:t>2015</w:t>
      </w:r>
      <w:r>
        <w:rPr>
          <w:rFonts w:ascii="宋体" w:hAnsi="宋体" w:cs="宋体" w:eastAsia="宋体" w:hint="default"/>
          <w:spacing w:val="-44"/>
        </w:rPr>
        <w:t> </w:t>
      </w:r>
      <w:r>
        <w:rPr/>
        <w:t>年</w:t>
      </w:r>
      <w:r>
        <w:rPr>
          <w:spacing w:val="-47"/>
        </w:rPr>
        <w:t> </w:t>
      </w:r>
      <w:r>
        <w:rPr>
          <w:rFonts w:ascii="宋体" w:hAnsi="宋体" w:cs="宋体" w:eastAsia="宋体" w:hint="default"/>
        </w:rPr>
        <w:t>8</w:t>
      </w:r>
      <w:r>
        <w:rPr>
          <w:rFonts w:ascii="宋体" w:hAnsi="宋体" w:cs="宋体" w:eastAsia="宋体" w:hint="default"/>
          <w:spacing w:val="-45"/>
        </w:rPr>
        <w:t> </w:t>
      </w:r>
      <w:r>
        <w:rPr/>
        <w:t>月</w:t>
      </w:r>
      <w:r>
        <w:rPr>
          <w:spacing w:val="-45"/>
        </w:rPr>
        <w:t> </w:t>
      </w:r>
      <w:r>
        <w:rPr>
          <w:rFonts w:ascii="宋体" w:hAnsi="宋体" w:cs="宋体" w:eastAsia="宋体" w:hint="default"/>
        </w:rPr>
        <w:t>25</w:t>
      </w:r>
      <w:r>
        <w:rPr>
          <w:rFonts w:ascii="宋体" w:hAnsi="宋体" w:cs="宋体" w:eastAsia="宋体" w:hint="default"/>
          <w:spacing w:val="-45"/>
        </w:rPr>
        <w:t> </w:t>
      </w:r>
      <w:r>
        <w:rPr/>
        <w:t>日披露</w:t>
      </w:r>
      <w:r>
        <w:rPr>
          <w:spacing w:val="-102"/>
        </w:rPr>
        <w:t> </w:t>
      </w:r>
      <w:r>
        <w:rPr>
          <w:spacing w:val="-102"/>
        </w:rPr>
      </w:r>
      <w:r>
        <w:rPr>
          <w:spacing w:val="-12"/>
          <w:w w:val="100"/>
        </w:rPr>
        <w:t>了《用友网络科技股份有限公司非公开股票发行结果暨股份变动公告》（公告编号：临</w:t>
      </w:r>
      <w:r>
        <w:rPr>
          <w:spacing w:val="-40"/>
          <w:w w:val="100"/>
        </w:rPr>
        <w:t> </w:t>
      </w:r>
      <w:r>
        <w:rPr>
          <w:rFonts w:ascii="宋体" w:hAnsi="宋体" w:cs="宋体" w:eastAsia="宋体" w:hint="default"/>
          <w:spacing w:val="-20"/>
          <w:w w:val="100"/>
        </w:rPr>
        <w:t>2015-051</w:t>
      </w:r>
      <w:r>
        <w:rPr>
          <w:spacing w:val="-20"/>
          <w:w w:val="100"/>
        </w:rPr>
        <w:t>）。</w:t>
      </w:r>
      <w:r>
        <w:rPr>
          <w:spacing w:val="-92"/>
          <w:w w:val="100"/>
        </w:rPr>
        <w:t> </w:t>
      </w:r>
      <w:r>
        <w:rPr/>
        <w:t>本次非公开发行股票共计发行限售流通股</w:t>
      </w:r>
      <w:r>
        <w:rPr>
          <w:spacing w:val="-50"/>
        </w:rPr>
        <w:t> </w:t>
      </w:r>
      <w:r>
        <w:rPr>
          <w:rFonts w:ascii="宋体" w:hAnsi="宋体" w:cs="宋体" w:eastAsia="宋体" w:hint="default"/>
        </w:rPr>
        <w:t>53,484,602</w:t>
      </w:r>
      <w:r>
        <w:rPr>
          <w:rFonts w:ascii="宋体" w:hAnsi="宋体" w:cs="宋体" w:eastAsia="宋体" w:hint="default"/>
          <w:spacing w:val="-50"/>
        </w:rPr>
        <w:t> </w:t>
      </w:r>
      <w:r>
        <w:rPr>
          <w:spacing w:val="-5"/>
        </w:rPr>
        <w:t>股，变更后的公司总股本为</w:t>
      </w:r>
      <w:r>
        <w:rPr>
          <w:spacing w:val="-50"/>
        </w:rPr>
        <w:t> </w:t>
      </w:r>
      <w:r>
        <w:rPr>
          <w:rFonts w:ascii="宋体" w:hAnsi="宋体" w:cs="宋体" w:eastAsia="宋体" w:hint="default"/>
        </w:rPr>
        <w:t>1,459,187,410</w:t>
      </w:r>
      <w:r>
        <w:rPr>
          <w:rFonts w:ascii="宋体" w:hAnsi="宋体" w:cs="宋体" w:eastAsia="宋体" w:hint="default"/>
          <w:w w:val="100"/>
        </w:rPr>
        <w:t> </w:t>
      </w:r>
      <w:r>
        <w:rPr/>
        <w:t>股。</w:t>
      </w:r>
    </w:p>
    <w:p>
      <w:pPr>
        <w:spacing w:after="0" w:line="297" w:lineRule="auto"/>
        <w:jc w:val="left"/>
        <w:sectPr>
          <w:type w:val="continuous"/>
          <w:pgSz w:w="11910" w:h="16840"/>
          <w:pgMar w:top="1120" w:bottom="1520" w:left="120" w:right="60"/>
        </w:sectPr>
      </w:pPr>
    </w:p>
    <w:p>
      <w:pPr>
        <w:spacing w:line="240" w:lineRule="auto" w:before="4"/>
        <w:rPr>
          <w:rFonts w:ascii="宋体" w:hAnsi="宋体" w:cs="宋体" w:eastAsia="宋体" w:hint="default"/>
          <w:sz w:val="25"/>
          <w:szCs w:val="25"/>
        </w:rPr>
      </w:pPr>
    </w:p>
    <w:p>
      <w:pPr>
        <w:pStyle w:val="BodyText"/>
        <w:spacing w:line="297" w:lineRule="auto" w:before="36"/>
        <w:ind w:left="218" w:right="227" w:firstLine="403"/>
        <w:jc w:val="both"/>
      </w:pPr>
      <w:r>
        <w:rPr/>
        <w:t>公司于</w:t>
      </w:r>
      <w:r>
        <w:rPr>
          <w:spacing w:val="-49"/>
        </w:rPr>
        <w:t> </w:t>
      </w:r>
      <w:r>
        <w:rPr>
          <w:rFonts w:ascii="宋体" w:hAnsi="宋体" w:cs="宋体" w:eastAsia="宋体" w:hint="default"/>
        </w:rPr>
        <w:t>2015</w:t>
      </w:r>
      <w:r>
        <w:rPr>
          <w:rFonts w:ascii="宋体" w:hAnsi="宋体" w:cs="宋体" w:eastAsia="宋体" w:hint="default"/>
          <w:spacing w:val="-49"/>
        </w:rPr>
        <w:t> </w:t>
      </w:r>
      <w:r>
        <w:rPr/>
        <w:t>年</w:t>
      </w:r>
      <w:r>
        <w:rPr>
          <w:spacing w:val="-49"/>
        </w:rPr>
        <w:t> </w:t>
      </w:r>
      <w:r>
        <w:rPr>
          <w:rFonts w:ascii="宋体" w:hAnsi="宋体" w:cs="宋体" w:eastAsia="宋体" w:hint="default"/>
        </w:rPr>
        <w:t>10</w:t>
      </w:r>
      <w:r>
        <w:rPr>
          <w:rFonts w:ascii="宋体" w:hAnsi="宋体" w:cs="宋体" w:eastAsia="宋体" w:hint="default"/>
          <w:spacing w:val="-48"/>
        </w:rPr>
        <w:t> </w:t>
      </w:r>
      <w:r>
        <w:rPr/>
        <w:t>月</w:t>
      </w:r>
      <w:r>
        <w:rPr>
          <w:spacing w:val="-49"/>
        </w:rPr>
        <w:t> </w:t>
      </w:r>
      <w:r>
        <w:rPr>
          <w:rFonts w:ascii="宋体" w:hAnsi="宋体" w:cs="宋体" w:eastAsia="宋体" w:hint="default"/>
        </w:rPr>
        <w:t>9</w:t>
      </w:r>
      <w:r>
        <w:rPr>
          <w:rFonts w:ascii="宋体" w:hAnsi="宋体" w:cs="宋体" w:eastAsia="宋体" w:hint="default"/>
          <w:spacing w:val="-51"/>
        </w:rPr>
        <w:t> </w:t>
      </w:r>
      <w:r>
        <w:rPr/>
        <w:t>日披露了《用友网络科技股份有限公司董事会关于股票期权行权结果</w:t>
      </w:r>
      <w:r>
        <w:rPr>
          <w:w w:val="100"/>
        </w:rPr>
        <w:t> </w:t>
      </w:r>
      <w:r>
        <w:rPr/>
        <w:t>暨股份上市公告》（公告编号：临</w:t>
      </w:r>
      <w:r>
        <w:rPr>
          <w:spacing w:val="2"/>
        </w:rPr>
        <w:t> </w:t>
      </w:r>
      <w:r>
        <w:rPr>
          <w:rFonts w:ascii="宋体" w:hAnsi="宋体" w:cs="宋体" w:eastAsia="宋体" w:hint="default"/>
        </w:rPr>
        <w:t>2015-063</w:t>
      </w:r>
      <w:r>
        <w:rPr/>
        <w:t>），公司通过向激励对象定向发行人民币普通股（</w:t>
      </w:r>
      <w:r>
        <w:rPr>
          <w:rFonts w:ascii="宋体" w:hAnsi="宋体" w:cs="宋体" w:eastAsia="宋体" w:hint="default"/>
        </w:rPr>
        <w:t>A</w:t>
      </w:r>
      <w:r>
        <w:rPr>
          <w:rFonts w:ascii="宋体" w:hAnsi="宋体" w:cs="宋体" w:eastAsia="宋体" w:hint="default"/>
          <w:w w:val="100"/>
        </w:rPr>
        <w:t> </w:t>
      </w:r>
      <w:r>
        <w:rPr/>
        <w:t>股）</w:t>
      </w:r>
      <w:r>
        <w:rPr>
          <w:rFonts w:ascii="宋体" w:hAnsi="宋体" w:cs="宋体" w:eastAsia="宋体" w:hint="default"/>
        </w:rPr>
        <w:t>404,640</w:t>
      </w:r>
      <w:r>
        <w:rPr>
          <w:rFonts w:ascii="宋体" w:hAnsi="宋体" w:cs="宋体" w:eastAsia="宋体" w:hint="default"/>
          <w:spacing w:val="-55"/>
        </w:rPr>
        <w:t> </w:t>
      </w:r>
      <w:r>
        <w:rPr/>
        <w:t>股变更后的公司总股本为</w:t>
      </w:r>
      <w:r>
        <w:rPr>
          <w:spacing w:val="-55"/>
        </w:rPr>
        <w:t> </w:t>
      </w:r>
      <w:r>
        <w:rPr>
          <w:rFonts w:ascii="宋体" w:hAnsi="宋体" w:cs="宋体" w:eastAsia="宋体" w:hint="default"/>
        </w:rPr>
        <w:t>1,459,592,050</w:t>
      </w:r>
      <w:r>
        <w:rPr>
          <w:rFonts w:ascii="宋体" w:hAnsi="宋体" w:cs="宋体" w:eastAsia="宋体" w:hint="default"/>
          <w:spacing w:val="-55"/>
        </w:rPr>
        <w:t> </w:t>
      </w:r>
      <w:r>
        <w:rPr/>
        <w:t>股。</w:t>
      </w:r>
    </w:p>
    <w:p>
      <w:pPr>
        <w:pStyle w:val="BodyText"/>
        <w:spacing w:line="297" w:lineRule="auto" w:before="135"/>
        <w:ind w:left="218" w:right="228" w:firstLine="419"/>
        <w:jc w:val="both"/>
      </w:pPr>
      <w:r>
        <w:rPr/>
        <w:t>公司于</w:t>
      </w:r>
      <w:r>
        <w:rPr>
          <w:spacing w:val="-45"/>
        </w:rPr>
        <w:t> </w:t>
      </w:r>
      <w:r>
        <w:rPr>
          <w:rFonts w:ascii="宋体" w:hAnsi="宋体" w:cs="宋体" w:eastAsia="宋体" w:hint="default"/>
        </w:rPr>
        <w:t>2015</w:t>
      </w:r>
      <w:r>
        <w:rPr>
          <w:rFonts w:ascii="宋体" w:hAnsi="宋体" w:cs="宋体" w:eastAsia="宋体" w:hint="default"/>
          <w:spacing w:val="-45"/>
        </w:rPr>
        <w:t> </w:t>
      </w:r>
      <w:r>
        <w:rPr/>
        <w:t>年</w:t>
      </w:r>
      <w:r>
        <w:rPr>
          <w:spacing w:val="-47"/>
        </w:rPr>
        <w:t> </w:t>
      </w:r>
      <w:r>
        <w:rPr>
          <w:rFonts w:ascii="宋体" w:hAnsi="宋体" w:cs="宋体" w:eastAsia="宋体" w:hint="default"/>
        </w:rPr>
        <w:t>10</w:t>
      </w:r>
      <w:r>
        <w:rPr>
          <w:rFonts w:ascii="宋体" w:hAnsi="宋体" w:cs="宋体" w:eastAsia="宋体" w:hint="default"/>
          <w:spacing w:val="-46"/>
        </w:rPr>
        <w:t> </w:t>
      </w:r>
      <w:r>
        <w:rPr/>
        <w:t>月</w:t>
      </w:r>
      <w:r>
        <w:rPr>
          <w:spacing w:val="-45"/>
        </w:rPr>
        <w:t> </w:t>
      </w:r>
      <w:r>
        <w:rPr>
          <w:rFonts w:ascii="宋体" w:hAnsi="宋体" w:cs="宋体" w:eastAsia="宋体" w:hint="default"/>
        </w:rPr>
        <w:t>10</w:t>
      </w:r>
      <w:r>
        <w:rPr>
          <w:rFonts w:ascii="宋体" w:hAnsi="宋体" w:cs="宋体" w:eastAsia="宋体" w:hint="default"/>
          <w:spacing w:val="-47"/>
        </w:rPr>
        <w:t> </w:t>
      </w:r>
      <w:r>
        <w:rPr>
          <w:spacing w:val="-5"/>
        </w:rPr>
        <w:t>日，公司第六届董事会第二十六次会议审议通过了《公司关于股权激</w:t>
      </w:r>
      <w:r>
        <w:rPr>
          <w:w w:val="100"/>
        </w:rPr>
        <w:t> </w:t>
      </w:r>
      <w:r>
        <w:rPr>
          <w:spacing w:val="2"/>
        </w:rPr>
        <w:t>励计划股票期权符合行权条件的议案》。公司通过向激励对象定向发行人民币普通股（</w:t>
      </w:r>
      <w:r>
        <w:rPr>
          <w:rFonts w:ascii="宋体" w:hAnsi="宋体" w:cs="宋体" w:eastAsia="宋体" w:hint="default"/>
          <w:spacing w:val="2"/>
        </w:rPr>
        <w:t>A </w:t>
      </w:r>
      <w:r>
        <w:rPr/>
        <w:t>股）</w:t>
      </w:r>
      <w:r>
        <w:rPr>
          <w:spacing w:val="-95"/>
        </w:rPr>
        <w:t> </w:t>
      </w:r>
      <w:r>
        <w:rPr>
          <w:rFonts w:ascii="宋体" w:hAnsi="宋体" w:cs="宋体" w:eastAsia="宋体" w:hint="default"/>
        </w:rPr>
        <w:t>5,096,270</w:t>
      </w:r>
      <w:r>
        <w:rPr>
          <w:rFonts w:ascii="宋体" w:hAnsi="宋体" w:cs="宋体" w:eastAsia="宋体" w:hint="default"/>
          <w:spacing w:val="-56"/>
        </w:rPr>
        <w:t> </w:t>
      </w:r>
      <w:r>
        <w:rPr/>
        <w:t>股，，变更后的公司总股本为</w:t>
      </w:r>
      <w:r>
        <w:rPr>
          <w:spacing w:val="-54"/>
        </w:rPr>
        <w:t> </w:t>
      </w:r>
      <w:r>
        <w:rPr>
          <w:rFonts w:ascii="宋体" w:hAnsi="宋体" w:cs="宋体" w:eastAsia="宋体" w:hint="default"/>
        </w:rPr>
        <w:t>1,464,688,320</w:t>
      </w:r>
      <w:r>
        <w:rPr>
          <w:rFonts w:ascii="宋体" w:hAnsi="宋体" w:cs="宋体" w:eastAsia="宋体" w:hint="default"/>
          <w:spacing w:val="-56"/>
        </w:rPr>
        <w:t> </w:t>
      </w:r>
      <w:r>
        <w:rPr/>
        <w:t>股。</w:t>
      </w:r>
    </w:p>
    <w:p>
      <w:pPr>
        <w:spacing w:line="324" w:lineRule="auto" w:before="133"/>
        <w:ind w:left="638" w:right="225" w:hanging="420"/>
        <w:jc w:val="left"/>
        <w:rPr>
          <w:rFonts w:ascii="宋体" w:hAnsi="宋体" w:cs="宋体" w:eastAsia="宋体" w:hint="default"/>
          <w:sz w:val="21"/>
          <w:szCs w:val="21"/>
        </w:rPr>
      </w:pPr>
      <w:r>
        <w:rPr>
          <w:rFonts w:ascii="Cambria" w:hAnsi="Cambria" w:cs="Cambria" w:eastAsia="Cambria"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普通股股份变动对最近一年和最近一期每股收益、每股净资产等财务指标的影响（如有）</w:t>
      </w:r>
      <w:r>
        <w:rPr>
          <w:rFonts w:ascii="宋体" w:hAnsi="宋体" w:cs="宋体" w:eastAsia="宋体" w:hint="default"/>
          <w:b/>
          <w:bCs/>
          <w:w w:val="100"/>
          <w:sz w:val="21"/>
          <w:szCs w:val="21"/>
        </w:rPr>
        <w:t> </w:t>
      </w: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日回购已授予但尚未解锁的限制性股票</w:t>
      </w:r>
      <w:r>
        <w:rPr>
          <w:rFonts w:ascii="宋体" w:hAnsi="宋体" w:cs="宋体" w:eastAsia="宋体" w:hint="default"/>
          <w:spacing w:val="-53"/>
          <w:sz w:val="21"/>
          <w:szCs w:val="21"/>
        </w:rPr>
        <w:t> </w:t>
      </w:r>
      <w:r>
        <w:rPr>
          <w:rFonts w:ascii="宋体" w:hAnsi="宋体" w:cs="宋体" w:eastAsia="宋体" w:hint="default"/>
          <w:sz w:val="21"/>
          <w:szCs w:val="21"/>
        </w:rPr>
        <w:t>375,417</w:t>
      </w:r>
      <w:r>
        <w:rPr>
          <w:rFonts w:ascii="宋体" w:hAnsi="宋体" w:cs="宋体" w:eastAsia="宋体" w:hint="default"/>
          <w:spacing w:val="-53"/>
          <w:sz w:val="21"/>
          <w:szCs w:val="21"/>
        </w:rPr>
        <w:t> </w:t>
      </w:r>
      <w:r>
        <w:rPr>
          <w:rFonts w:ascii="宋体" w:hAnsi="宋体" w:cs="宋体" w:eastAsia="宋体" w:hint="default"/>
          <w:spacing w:val="-15"/>
          <w:sz w:val="21"/>
          <w:szCs w:val="21"/>
        </w:rPr>
        <w:t>股，于</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p>
    <w:p>
      <w:pPr>
        <w:pStyle w:val="BodyText"/>
        <w:spacing w:line="267" w:lineRule="exact"/>
        <w:ind w:left="218" w:right="99"/>
        <w:jc w:val="left"/>
      </w:pPr>
      <w:r>
        <w:rPr>
          <w:w w:val="100"/>
        </w:rPr>
        <w:t>日非</w:t>
      </w:r>
      <w:r>
        <w:rPr>
          <w:spacing w:val="-3"/>
          <w:w w:val="100"/>
        </w:rPr>
        <w:t>公</w:t>
      </w:r>
      <w:r>
        <w:rPr>
          <w:w w:val="100"/>
        </w:rPr>
        <w:t>开</w:t>
      </w:r>
      <w:r>
        <w:rPr>
          <w:spacing w:val="-3"/>
          <w:w w:val="100"/>
        </w:rPr>
        <w:t>发</w:t>
      </w:r>
      <w:r>
        <w:rPr>
          <w:w w:val="100"/>
        </w:rPr>
        <w:t>行</w:t>
      </w:r>
      <w:r>
        <w:rPr>
          <w:spacing w:val="-3"/>
          <w:w w:val="100"/>
        </w:rPr>
        <w:t>股</w:t>
      </w:r>
      <w:r>
        <w:rPr>
          <w:w w:val="100"/>
        </w:rPr>
        <w:t>票</w:t>
      </w:r>
      <w:r>
        <w:rPr>
          <w:spacing w:val="-3"/>
          <w:w w:val="100"/>
        </w:rPr>
        <w:t>验</w:t>
      </w:r>
      <w:r>
        <w:rPr>
          <w:w w:val="100"/>
        </w:rPr>
        <w:t>资</w:t>
      </w:r>
      <w:r>
        <w:rPr>
          <w:spacing w:val="-3"/>
          <w:w w:val="100"/>
        </w:rPr>
        <w:t>后</w:t>
      </w:r>
      <w:r>
        <w:rPr>
          <w:w w:val="100"/>
        </w:rPr>
        <w:t>发行</w:t>
      </w:r>
      <w:r>
        <w:rPr>
          <w:spacing w:val="-3"/>
          <w:w w:val="100"/>
        </w:rPr>
        <w:t>限</w:t>
      </w:r>
      <w:r>
        <w:rPr>
          <w:w w:val="100"/>
        </w:rPr>
        <w:t>制</w:t>
      </w:r>
      <w:r>
        <w:rPr>
          <w:spacing w:val="-3"/>
          <w:w w:val="100"/>
        </w:rPr>
        <w:t>性股</w:t>
      </w:r>
      <w:r>
        <w:rPr>
          <w:w w:val="100"/>
        </w:rPr>
        <w:t>票</w:t>
      </w:r>
      <w:r>
        <w:rPr>
          <w:spacing w:val="-53"/>
        </w:rPr>
        <w:t> </w:t>
      </w:r>
      <w:r>
        <w:rPr>
          <w:rFonts w:ascii="宋体" w:hAnsi="宋体" w:cs="宋体" w:eastAsia="宋体" w:hint="default"/>
          <w:w w:val="100"/>
        </w:rPr>
        <w:t>53</w:t>
      </w:r>
      <w:r>
        <w:rPr>
          <w:rFonts w:ascii="宋体" w:hAnsi="宋体" w:cs="宋体" w:eastAsia="宋体" w:hint="default"/>
          <w:spacing w:val="-3"/>
          <w:w w:val="100"/>
        </w:rPr>
        <w:t>,</w:t>
      </w:r>
      <w:r>
        <w:rPr>
          <w:rFonts w:ascii="宋体" w:hAnsi="宋体" w:cs="宋体" w:eastAsia="宋体" w:hint="default"/>
          <w:w w:val="100"/>
        </w:rPr>
        <w:t>484</w:t>
      </w:r>
      <w:r>
        <w:rPr>
          <w:rFonts w:ascii="宋体" w:hAnsi="宋体" w:cs="宋体" w:eastAsia="宋体" w:hint="default"/>
          <w:spacing w:val="-3"/>
          <w:w w:val="100"/>
        </w:rPr>
        <w:t>,6</w:t>
      </w:r>
      <w:r>
        <w:rPr>
          <w:rFonts w:ascii="宋体" w:hAnsi="宋体" w:cs="宋体" w:eastAsia="宋体" w:hint="default"/>
          <w:w w:val="100"/>
        </w:rPr>
        <w:t>02</w:t>
      </w:r>
      <w:r>
        <w:rPr>
          <w:rFonts w:ascii="宋体" w:hAnsi="宋体" w:cs="宋体" w:eastAsia="宋体" w:hint="default"/>
          <w:spacing w:val="-53"/>
        </w:rPr>
        <w:t> </w:t>
      </w:r>
      <w:r>
        <w:rPr>
          <w:spacing w:val="-3"/>
          <w:w w:val="100"/>
        </w:rPr>
        <w:t>股</w:t>
      </w:r>
      <w:r>
        <w:rPr>
          <w:spacing w:val="-94"/>
          <w:w w:val="100"/>
        </w:rPr>
        <w:t>，</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w:t>
      </w:r>
      <w:r>
        <w:rPr>
          <w:rFonts w:ascii="宋体" w:hAnsi="宋体" w:cs="宋体" w:eastAsia="宋体" w:hint="default"/>
          <w:spacing w:val="-55"/>
        </w:rPr>
        <w:t> </w:t>
      </w:r>
      <w:r>
        <w:rPr>
          <w:w w:val="100"/>
        </w:rPr>
        <w:t>日股</w:t>
      </w:r>
      <w:r>
        <w:rPr>
          <w:spacing w:val="-3"/>
          <w:w w:val="100"/>
        </w:rPr>
        <w:t>票</w:t>
      </w:r>
      <w:r>
        <w:rPr>
          <w:w w:val="100"/>
        </w:rPr>
        <w:t>期</w:t>
      </w:r>
      <w:r>
        <w:rPr>
          <w:spacing w:val="-3"/>
          <w:w w:val="100"/>
        </w:rPr>
        <w:t>权</w:t>
      </w:r>
      <w:r>
        <w:rPr>
          <w:w w:val="100"/>
        </w:rPr>
        <w:t>行</w:t>
      </w:r>
      <w:r>
        <w:rPr>
          <w:spacing w:val="-3"/>
          <w:w w:val="100"/>
        </w:rPr>
        <w:t>权</w:t>
      </w:r>
      <w:r>
        <w:rPr>
          <w:w w:val="100"/>
        </w:rPr>
        <w:t>验资</w:t>
      </w:r>
    </w:p>
    <w:p>
      <w:pPr>
        <w:pStyle w:val="BodyText"/>
        <w:spacing w:line="240" w:lineRule="auto" w:before="66"/>
        <w:ind w:left="218" w:right="99"/>
        <w:jc w:val="left"/>
      </w:pPr>
      <w:r>
        <w:rPr/>
        <w:t>后发行无限售流通股</w:t>
      </w:r>
      <w:r>
        <w:rPr>
          <w:spacing w:val="-52"/>
        </w:rPr>
        <w:t> </w:t>
      </w:r>
      <w:r>
        <w:rPr>
          <w:rFonts w:ascii="宋体" w:hAnsi="宋体" w:cs="宋体" w:eastAsia="宋体" w:hint="default"/>
        </w:rPr>
        <w:t>5,096,270</w:t>
      </w:r>
      <w:r>
        <w:rPr>
          <w:rFonts w:ascii="宋体" w:hAnsi="宋体" w:cs="宋体" w:eastAsia="宋体" w:hint="default"/>
          <w:spacing w:val="-51"/>
        </w:rPr>
        <w:t> </w:t>
      </w:r>
      <w:r>
        <w:rPr/>
        <w:t>股。股票期权行权验资后，以总股本</w:t>
      </w:r>
      <w:r>
        <w:rPr>
          <w:spacing w:val="-51"/>
        </w:rPr>
        <w:t> </w:t>
      </w:r>
      <w:r>
        <w:rPr>
          <w:rFonts w:ascii="宋体" w:hAnsi="宋体" w:cs="宋体" w:eastAsia="宋体" w:hint="default"/>
        </w:rPr>
        <w:t>1,464,688,320</w:t>
      </w:r>
      <w:r>
        <w:rPr>
          <w:rFonts w:ascii="宋体" w:hAnsi="宋体" w:cs="宋体" w:eastAsia="宋体" w:hint="default"/>
          <w:spacing w:val="-53"/>
        </w:rPr>
        <w:t> </w:t>
      </w:r>
      <w:r>
        <w:rPr/>
        <w:t>股为基数计</w:t>
      </w:r>
    </w:p>
    <w:p>
      <w:pPr>
        <w:pStyle w:val="BodyText"/>
        <w:spacing w:line="295" w:lineRule="auto" w:before="66"/>
        <w:ind w:left="218" w:right="225"/>
        <w:jc w:val="left"/>
      </w:pPr>
      <w:r>
        <w:rPr>
          <w:spacing w:val="-5"/>
        </w:rPr>
        <w:t>算，在归属于母公司股东的净利润不变的情况下，重新计算的公司</w:t>
      </w:r>
      <w:r>
        <w:rPr>
          <w:spacing w:val="-36"/>
        </w:rPr>
        <w:t> </w:t>
      </w:r>
      <w:r>
        <w:rPr>
          <w:rFonts w:ascii="宋体" w:hAnsi="宋体" w:cs="宋体" w:eastAsia="宋体" w:hint="default"/>
        </w:rPr>
        <w:t>2014</w:t>
      </w:r>
      <w:r>
        <w:rPr>
          <w:rFonts w:ascii="宋体" w:hAnsi="宋体" w:cs="宋体" w:eastAsia="宋体" w:hint="default"/>
          <w:spacing w:val="-36"/>
        </w:rPr>
        <w:t> </w:t>
      </w:r>
      <w:r>
        <w:rPr/>
        <w:t>年度基本每股收益相应摊</w:t>
      </w:r>
      <w:r>
        <w:rPr>
          <w:spacing w:val="-99"/>
        </w:rPr>
        <w:t> </w:t>
      </w:r>
      <w:r>
        <w:rPr>
          <w:spacing w:val="-99"/>
        </w:rPr>
      </w:r>
      <w:r>
        <w:rPr/>
        <w:t>薄。</w:t>
      </w:r>
    </w:p>
    <w:p>
      <w:pPr>
        <w:pStyle w:val="Heading2"/>
        <w:spacing w:line="240" w:lineRule="auto" w:before="137"/>
        <w:ind w:right="2465"/>
        <w:jc w:val="left"/>
        <w:rPr>
          <w:b w:val="0"/>
          <w:bCs w:val="0"/>
        </w:rPr>
      </w:pPr>
      <w:r>
        <w:rPr>
          <w:rFonts w:ascii="Cambria" w:hAnsi="Cambria" w:cs="Cambria" w:eastAsia="Cambria" w:hint="default"/>
        </w:rPr>
        <w:t>4</w:t>
      </w:r>
      <w:r>
        <w:rPr/>
        <w:t>、</w:t>
      </w:r>
      <w:r>
        <w:rPr>
          <w:spacing w:val="-23"/>
        </w:rPr>
        <w:t> </w:t>
      </w:r>
      <w:r>
        <w:rPr/>
        <w:t>公司认为必要或证券监管机构要求披露的其他内容</w:t>
      </w:r>
      <w:r>
        <w:rPr>
          <w:b w:val="0"/>
          <w:bCs w:val="0"/>
        </w:rPr>
      </w:r>
    </w:p>
    <w:p>
      <w:pPr>
        <w:spacing w:line="240" w:lineRule="auto" w:before="2"/>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Heading2"/>
        <w:tabs>
          <w:tab w:pos="784" w:val="left" w:leader="none"/>
        </w:tabs>
        <w:spacing w:line="240" w:lineRule="auto" w:before="37"/>
        <w:ind w:right="246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left="218" w:right="2465"/>
        <w:jc w:val="left"/>
      </w:pPr>
      <w:r>
        <w:rPr/>
        <w:t>√适用</w:t>
      </w:r>
      <w:r>
        <w:rPr>
          <w:spacing w:val="-1"/>
        </w:rPr>
        <w:t> </w:t>
      </w:r>
      <w:r>
        <w:rPr/>
        <w:t>□不适用</w:t>
      </w:r>
    </w:p>
    <w:p>
      <w:pPr>
        <w:pStyle w:val="BodyText"/>
        <w:spacing w:line="240" w:lineRule="auto" w:before="116"/>
        <w:ind w:left="638" w:right="99"/>
        <w:jc w:val="left"/>
      </w:pPr>
      <w:r>
        <w:rPr>
          <w:w w:val="100"/>
        </w:rPr>
        <w:t>公</w:t>
      </w:r>
      <w:r>
        <w:rPr>
          <w:spacing w:val="-3"/>
          <w:w w:val="100"/>
        </w:rPr>
        <w:t>司</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4</w:t>
      </w:r>
      <w:r>
        <w:rPr>
          <w:rFonts w:ascii="宋体" w:hAnsi="宋体" w:cs="宋体" w:eastAsia="宋体" w:hint="default"/>
          <w:spacing w:val="-53"/>
        </w:rPr>
        <w:t> </w:t>
      </w:r>
      <w:r>
        <w:rPr>
          <w:w w:val="100"/>
        </w:rPr>
        <w:t>月</w:t>
      </w:r>
      <w:r>
        <w:rPr>
          <w:spacing w:val="-54"/>
        </w:rPr>
        <w:t> </w:t>
      </w:r>
      <w:r>
        <w:rPr>
          <w:rFonts w:ascii="宋体" w:hAnsi="宋体" w:cs="宋体" w:eastAsia="宋体" w:hint="default"/>
          <w:w w:val="100"/>
        </w:rPr>
        <w:t>9</w:t>
      </w:r>
      <w:r>
        <w:rPr>
          <w:rFonts w:ascii="宋体" w:hAnsi="宋体" w:cs="宋体" w:eastAsia="宋体" w:hint="default"/>
          <w:spacing w:val="-53"/>
        </w:rPr>
        <w:t> </w:t>
      </w:r>
      <w:r>
        <w:rPr>
          <w:spacing w:val="-3"/>
          <w:w w:val="100"/>
        </w:rPr>
        <w:t>日召</w:t>
      </w:r>
      <w:r>
        <w:rPr>
          <w:w w:val="100"/>
        </w:rPr>
        <w:t>开的</w:t>
      </w:r>
      <w:r>
        <w:rPr>
          <w:spacing w:val="-53"/>
        </w:rPr>
        <w:t> </w:t>
      </w:r>
      <w:r>
        <w:rPr>
          <w:rFonts w:ascii="宋体" w:hAnsi="宋体" w:cs="宋体" w:eastAsia="宋体" w:hint="default"/>
          <w:spacing w:val="-3"/>
          <w:w w:val="100"/>
        </w:rPr>
        <w:t>2</w:t>
      </w:r>
      <w:r>
        <w:rPr>
          <w:rFonts w:ascii="宋体" w:hAnsi="宋体" w:cs="宋体" w:eastAsia="宋体" w:hint="default"/>
          <w:w w:val="100"/>
        </w:rPr>
        <w:t>014</w:t>
      </w:r>
      <w:r>
        <w:rPr>
          <w:rFonts w:ascii="宋体" w:hAnsi="宋体" w:cs="宋体" w:eastAsia="宋体" w:hint="default"/>
          <w:spacing w:val="-55"/>
        </w:rPr>
        <w:t> </w:t>
      </w:r>
      <w:r>
        <w:rPr>
          <w:w w:val="100"/>
        </w:rPr>
        <w:t>年</w:t>
      </w:r>
      <w:r>
        <w:rPr>
          <w:spacing w:val="-3"/>
          <w:w w:val="100"/>
        </w:rPr>
        <w:t>度</w:t>
      </w:r>
      <w:r>
        <w:rPr>
          <w:w w:val="100"/>
        </w:rPr>
        <w:t>股</w:t>
      </w:r>
      <w:r>
        <w:rPr>
          <w:spacing w:val="-3"/>
          <w:w w:val="100"/>
        </w:rPr>
        <w:t>东</w:t>
      </w:r>
      <w:r>
        <w:rPr>
          <w:w w:val="100"/>
        </w:rPr>
        <w:t>大</w:t>
      </w:r>
      <w:r>
        <w:rPr>
          <w:spacing w:val="-3"/>
          <w:w w:val="100"/>
        </w:rPr>
        <w:t>会决</w:t>
      </w:r>
      <w:r>
        <w:rPr>
          <w:w w:val="100"/>
        </w:rPr>
        <w:t>议通</w:t>
      </w:r>
      <w:r>
        <w:rPr>
          <w:spacing w:val="-3"/>
          <w:w w:val="100"/>
        </w:rPr>
        <w:t>过</w:t>
      </w:r>
      <w:r>
        <w:rPr>
          <w:spacing w:val="-94"/>
          <w:w w:val="100"/>
        </w:rPr>
        <w:t>的</w:t>
      </w:r>
      <w:r>
        <w:rPr>
          <w:w w:val="100"/>
        </w:rPr>
        <w:t>《</w:t>
      </w:r>
      <w:r>
        <w:rPr>
          <w:spacing w:val="-3"/>
          <w:w w:val="100"/>
        </w:rPr>
        <w:t>公</w:t>
      </w:r>
      <w:r>
        <w:rPr>
          <w:w w:val="100"/>
        </w:rPr>
        <w:t>司</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14</w:t>
      </w:r>
      <w:r>
        <w:rPr>
          <w:rFonts w:ascii="宋体" w:hAnsi="宋体" w:cs="宋体" w:eastAsia="宋体" w:hint="default"/>
          <w:spacing w:val="-55"/>
        </w:rPr>
        <w:t> </w:t>
      </w:r>
      <w:r>
        <w:rPr>
          <w:w w:val="100"/>
        </w:rPr>
        <w:t>年</w:t>
      </w:r>
      <w:r>
        <w:rPr>
          <w:spacing w:val="-3"/>
          <w:w w:val="100"/>
        </w:rPr>
        <w:t>度</w:t>
      </w:r>
      <w:r>
        <w:rPr>
          <w:w w:val="100"/>
        </w:rPr>
        <w:t>资本</w:t>
      </w:r>
      <w:r>
        <w:rPr>
          <w:spacing w:val="-3"/>
          <w:w w:val="100"/>
        </w:rPr>
        <w:t>公</w:t>
      </w:r>
      <w:r>
        <w:rPr>
          <w:w w:val="100"/>
        </w:rPr>
        <w:t>积</w:t>
      </w:r>
      <w:r>
        <w:rPr>
          <w:spacing w:val="-3"/>
          <w:w w:val="100"/>
        </w:rPr>
        <w:t>金</w:t>
      </w:r>
      <w:r>
        <w:rPr>
          <w:w w:val="100"/>
        </w:rPr>
        <w:t>转</w:t>
      </w:r>
    </w:p>
    <w:p>
      <w:pPr>
        <w:pStyle w:val="BodyText"/>
        <w:spacing w:line="240" w:lineRule="auto" w:before="66"/>
        <w:ind w:left="218" w:right="99"/>
        <w:jc w:val="left"/>
      </w:pPr>
      <w:r>
        <w:rPr>
          <w:spacing w:val="-8"/>
        </w:rPr>
        <w:t>增股本方案》，并于</w:t>
      </w:r>
      <w:r>
        <w:rPr>
          <w:spacing w:val="-50"/>
        </w:rPr>
        <w:t> </w:t>
      </w:r>
      <w:r>
        <w:rPr>
          <w:rFonts w:ascii="宋体" w:hAnsi="宋体" w:cs="宋体" w:eastAsia="宋体" w:hint="default"/>
        </w:rPr>
        <w:t>2015</w:t>
      </w:r>
      <w:r>
        <w:rPr>
          <w:rFonts w:ascii="宋体" w:hAnsi="宋体" w:cs="宋体" w:eastAsia="宋体" w:hint="default"/>
          <w:spacing w:val="-52"/>
        </w:rPr>
        <w:t> </w:t>
      </w:r>
      <w:r>
        <w:rPr/>
        <w:t>年</w:t>
      </w:r>
      <w:r>
        <w:rPr>
          <w:spacing w:val="-50"/>
        </w:rPr>
        <w:t> </w:t>
      </w:r>
      <w:r>
        <w:rPr>
          <w:rFonts w:ascii="宋体" w:hAnsi="宋体" w:cs="宋体" w:eastAsia="宋体" w:hint="default"/>
        </w:rPr>
        <w:t>4</w:t>
      </w:r>
      <w:r>
        <w:rPr>
          <w:rFonts w:ascii="宋体" w:hAnsi="宋体" w:cs="宋体" w:eastAsia="宋体" w:hint="default"/>
          <w:spacing w:val="-52"/>
        </w:rPr>
        <w:t> </w:t>
      </w:r>
      <w:r>
        <w:rPr/>
        <w:t>月</w:t>
      </w:r>
      <w:r>
        <w:rPr>
          <w:spacing w:val="-50"/>
        </w:rPr>
        <w:t> </w:t>
      </w:r>
      <w:r>
        <w:rPr>
          <w:rFonts w:ascii="宋体" w:hAnsi="宋体" w:cs="宋体" w:eastAsia="宋体" w:hint="default"/>
        </w:rPr>
        <w:t>24</w:t>
      </w:r>
      <w:r>
        <w:rPr>
          <w:rFonts w:ascii="宋体" w:hAnsi="宋体" w:cs="宋体" w:eastAsia="宋体" w:hint="default"/>
          <w:spacing w:val="-52"/>
        </w:rPr>
        <w:t> </w:t>
      </w:r>
      <w:r>
        <w:rPr>
          <w:spacing w:val="-5"/>
        </w:rPr>
        <w:t>日披露了《公司关于</w:t>
      </w:r>
      <w:r>
        <w:rPr>
          <w:spacing w:val="-49"/>
        </w:rPr>
        <w:t> </w:t>
      </w:r>
      <w:r>
        <w:rPr>
          <w:rFonts w:ascii="宋体" w:hAnsi="宋体" w:cs="宋体" w:eastAsia="宋体" w:hint="default"/>
        </w:rPr>
        <w:t>2014</w:t>
      </w:r>
      <w:r>
        <w:rPr>
          <w:rFonts w:ascii="宋体" w:hAnsi="宋体" w:cs="宋体" w:eastAsia="宋体" w:hint="default"/>
          <w:spacing w:val="-52"/>
        </w:rPr>
        <w:t> </w:t>
      </w:r>
      <w:r>
        <w:rPr/>
        <w:t>年度利润分配及资本公积金转增股</w:t>
      </w:r>
    </w:p>
    <w:p>
      <w:pPr>
        <w:pStyle w:val="BodyText"/>
        <w:spacing w:line="240" w:lineRule="auto" w:before="66"/>
        <w:ind w:left="218" w:right="99"/>
        <w:jc w:val="left"/>
      </w:pPr>
      <w:r>
        <w:rPr>
          <w:spacing w:val="-15"/>
        </w:rPr>
        <w:t>本实施公告》。公司以</w:t>
      </w:r>
      <w:r>
        <w:rPr>
          <w:spacing w:val="-48"/>
        </w:rPr>
        <w:t> </w:t>
      </w:r>
      <w:r>
        <w:rPr>
          <w:rFonts w:ascii="宋体" w:hAnsi="宋体" w:cs="宋体" w:eastAsia="宋体" w:hint="default"/>
        </w:rPr>
        <w:t>2014</w:t>
      </w:r>
      <w:r>
        <w:rPr>
          <w:rFonts w:ascii="宋体" w:hAnsi="宋体" w:cs="宋体" w:eastAsia="宋体" w:hint="default"/>
          <w:spacing w:val="-49"/>
        </w:rPr>
        <w:t> </w:t>
      </w:r>
      <w:r>
        <w:rPr/>
        <w:t>年末总股本</w:t>
      </w:r>
      <w:r>
        <w:rPr>
          <w:spacing w:val="-49"/>
        </w:rPr>
        <w:t> </w:t>
      </w:r>
      <w:r>
        <w:rPr>
          <w:rFonts w:ascii="宋体" w:hAnsi="宋体" w:cs="宋体" w:eastAsia="宋体" w:hint="default"/>
        </w:rPr>
        <w:t>1,171,419,007</w:t>
      </w:r>
      <w:r>
        <w:rPr>
          <w:rFonts w:ascii="宋体" w:hAnsi="宋体" w:cs="宋体" w:eastAsia="宋体" w:hint="default"/>
          <w:spacing w:val="-49"/>
        </w:rPr>
        <w:t> </w:t>
      </w:r>
      <w:r>
        <w:rPr>
          <w:spacing w:val="-8"/>
        </w:rPr>
        <w:t>股为基数，向全体股东每</w:t>
      </w:r>
      <w:r>
        <w:rPr>
          <w:spacing w:val="-48"/>
        </w:rPr>
        <w:t> </w:t>
      </w:r>
      <w:r>
        <w:rPr>
          <w:rFonts w:ascii="宋体" w:hAnsi="宋体" w:cs="宋体" w:eastAsia="宋体" w:hint="default"/>
        </w:rPr>
        <w:t>10</w:t>
      </w:r>
      <w:r>
        <w:rPr>
          <w:rFonts w:ascii="宋体" w:hAnsi="宋体" w:cs="宋体" w:eastAsia="宋体" w:hint="default"/>
          <w:spacing w:val="-52"/>
        </w:rPr>
        <w:t> </w:t>
      </w:r>
      <w:r>
        <w:rPr/>
        <w:t>股转增</w:t>
      </w:r>
      <w:r>
        <w:rPr>
          <w:spacing w:val="-49"/>
        </w:rPr>
        <w:t> </w:t>
      </w:r>
      <w:r>
        <w:rPr>
          <w:rFonts w:ascii="宋体" w:hAnsi="宋体" w:cs="宋体" w:eastAsia="宋体" w:hint="default"/>
        </w:rPr>
        <w:t>2</w:t>
      </w:r>
      <w:r>
        <w:rPr>
          <w:rFonts w:ascii="宋体" w:hAnsi="宋体" w:cs="宋体" w:eastAsia="宋体" w:hint="default"/>
          <w:spacing w:val="-52"/>
        </w:rPr>
        <w:t> </w:t>
      </w:r>
      <w:r>
        <w:rPr/>
        <w:t>股，</w:t>
      </w:r>
    </w:p>
    <w:p>
      <w:pPr>
        <w:pStyle w:val="BodyText"/>
        <w:spacing w:line="240" w:lineRule="auto" w:before="66"/>
        <w:ind w:left="218" w:right="2465"/>
        <w:jc w:val="left"/>
      </w:pPr>
      <w:r>
        <w:rPr/>
        <w:t>转增后公司限制性股票由</w:t>
      </w:r>
      <w:r>
        <w:rPr>
          <w:spacing w:val="-55"/>
        </w:rPr>
        <w:t> </w:t>
      </w:r>
      <w:r>
        <w:rPr>
          <w:rFonts w:ascii="宋体" w:hAnsi="宋体" w:cs="宋体" w:eastAsia="宋体" w:hint="default"/>
        </w:rPr>
        <w:t>7,164,657</w:t>
      </w:r>
      <w:r>
        <w:rPr>
          <w:rFonts w:ascii="宋体" w:hAnsi="宋体" w:cs="宋体" w:eastAsia="宋体" w:hint="default"/>
          <w:spacing w:val="-55"/>
        </w:rPr>
        <w:t> </w:t>
      </w:r>
      <w:r>
        <w:rPr/>
        <w:t>股变为</w:t>
      </w:r>
      <w:r>
        <w:rPr>
          <w:spacing w:val="-53"/>
        </w:rPr>
        <w:t> </w:t>
      </w:r>
      <w:r>
        <w:rPr>
          <w:rFonts w:ascii="宋体" w:hAnsi="宋体" w:cs="宋体" w:eastAsia="宋体" w:hint="default"/>
        </w:rPr>
        <w:t>8,597,588</w:t>
      </w:r>
      <w:r>
        <w:rPr>
          <w:rFonts w:ascii="宋体" w:hAnsi="宋体" w:cs="宋体" w:eastAsia="宋体" w:hint="default"/>
          <w:spacing w:val="-53"/>
        </w:rPr>
        <w:t> </w:t>
      </w:r>
      <w:r>
        <w:rPr>
          <w:spacing w:val="-3"/>
        </w:rPr>
        <w:t>股。</w:t>
      </w:r>
      <w:r>
        <w:rPr/>
      </w:r>
    </w:p>
    <w:p>
      <w:pPr>
        <w:spacing w:line="240" w:lineRule="auto" w:before="0"/>
        <w:rPr>
          <w:rFonts w:ascii="宋体" w:hAnsi="宋体" w:cs="宋体" w:eastAsia="宋体" w:hint="default"/>
          <w:sz w:val="14"/>
          <w:szCs w:val="14"/>
        </w:rPr>
      </w:pPr>
    </w:p>
    <w:p>
      <w:pPr>
        <w:pStyle w:val="BodyText"/>
        <w:spacing w:line="240" w:lineRule="auto"/>
        <w:ind w:left="625" w:right="99"/>
        <w:jc w:val="left"/>
      </w:pPr>
      <w:r>
        <w:rPr/>
        <w:t>公司于</w:t>
      </w:r>
      <w:r>
        <w:rPr>
          <w:spacing w:val="-50"/>
        </w:rPr>
        <w:t> </w:t>
      </w:r>
      <w:r>
        <w:rPr>
          <w:rFonts w:ascii="宋体" w:hAnsi="宋体" w:cs="宋体" w:eastAsia="宋体" w:hint="default"/>
        </w:rPr>
        <w:t>2015</w:t>
      </w:r>
      <w:r>
        <w:rPr>
          <w:rFonts w:ascii="宋体" w:hAnsi="宋体" w:cs="宋体" w:eastAsia="宋体" w:hint="default"/>
          <w:spacing w:val="-50"/>
        </w:rPr>
        <w:t> </w:t>
      </w:r>
      <w:r>
        <w:rPr/>
        <w:t>年</w:t>
      </w:r>
      <w:r>
        <w:rPr>
          <w:spacing w:val="-50"/>
        </w:rPr>
        <w:t> </w:t>
      </w:r>
      <w:r>
        <w:rPr>
          <w:rFonts w:ascii="宋体" w:hAnsi="宋体" w:cs="宋体" w:eastAsia="宋体" w:hint="default"/>
        </w:rPr>
        <w:t>8</w:t>
      </w:r>
      <w:r>
        <w:rPr>
          <w:rFonts w:ascii="宋体" w:hAnsi="宋体" w:cs="宋体" w:eastAsia="宋体" w:hint="default"/>
          <w:spacing w:val="-53"/>
        </w:rPr>
        <w:t> </w:t>
      </w:r>
      <w:r>
        <w:rPr/>
        <w:t>月</w:t>
      </w:r>
      <w:r>
        <w:rPr>
          <w:spacing w:val="-50"/>
        </w:rPr>
        <w:t> </w:t>
      </w:r>
      <w:r>
        <w:rPr>
          <w:rFonts w:ascii="宋体" w:hAnsi="宋体" w:cs="宋体" w:eastAsia="宋体" w:hint="default"/>
        </w:rPr>
        <w:t>25</w:t>
      </w:r>
      <w:r>
        <w:rPr>
          <w:rFonts w:ascii="宋体" w:hAnsi="宋体" w:cs="宋体" w:eastAsia="宋体" w:hint="default"/>
          <w:spacing w:val="-50"/>
        </w:rPr>
        <w:t> </w:t>
      </w:r>
      <w:r>
        <w:rPr/>
        <w:t>日披露了《公司关于非公开股票发行结果暨股份变动公告》，向</w:t>
      </w:r>
      <w:r>
        <w:rPr>
          <w:spacing w:val="-53"/>
        </w:rPr>
        <w:t> </w:t>
      </w:r>
      <w:r>
        <w:rPr>
          <w:rFonts w:ascii="宋体" w:hAnsi="宋体" w:cs="宋体" w:eastAsia="宋体" w:hint="default"/>
        </w:rPr>
        <w:t>7</w:t>
      </w:r>
      <w:r>
        <w:rPr>
          <w:rFonts w:ascii="宋体" w:hAnsi="宋体" w:cs="宋体" w:eastAsia="宋体" w:hint="default"/>
          <w:spacing w:val="-53"/>
        </w:rPr>
        <w:t> </w:t>
      </w:r>
      <w:r>
        <w:rPr/>
        <w:t>名</w:t>
      </w:r>
    </w:p>
    <w:p>
      <w:pPr>
        <w:pStyle w:val="BodyText"/>
        <w:spacing w:line="297" w:lineRule="auto" w:before="66"/>
        <w:ind w:left="218" w:right="226"/>
        <w:jc w:val="left"/>
      </w:pPr>
      <w:r>
        <w:rPr>
          <w:spacing w:val="-2"/>
          <w:w w:val="100"/>
        </w:rPr>
        <w:t>发行对象共计发行限售流通股</w:t>
      </w:r>
      <w:r>
        <w:rPr>
          <w:spacing w:val="-59"/>
          <w:w w:val="100"/>
        </w:rPr>
        <w:t> </w:t>
      </w:r>
      <w:r>
        <w:rPr>
          <w:rFonts w:ascii="宋体" w:hAnsi="宋体" w:cs="宋体" w:eastAsia="宋体" w:hint="default"/>
          <w:spacing w:val="-1"/>
          <w:w w:val="100"/>
        </w:rPr>
        <w:t>53,484,602</w:t>
      </w:r>
      <w:r>
        <w:rPr>
          <w:rFonts w:ascii="宋体" w:hAnsi="宋体" w:cs="宋体" w:eastAsia="宋体" w:hint="default"/>
          <w:spacing w:val="-59"/>
          <w:w w:val="100"/>
        </w:rPr>
        <w:t> </w:t>
      </w:r>
      <w:r>
        <w:rPr>
          <w:spacing w:val="-11"/>
          <w:w w:val="100"/>
        </w:rPr>
        <w:t>股，发行后限制性股票由</w:t>
      </w:r>
      <w:r>
        <w:rPr>
          <w:spacing w:val="-57"/>
          <w:w w:val="100"/>
        </w:rPr>
        <w:t> </w:t>
      </w:r>
      <w:r>
        <w:rPr>
          <w:rFonts w:ascii="宋体" w:hAnsi="宋体" w:cs="宋体" w:eastAsia="宋体" w:hint="default"/>
          <w:spacing w:val="-1"/>
          <w:w w:val="100"/>
        </w:rPr>
        <w:t>8,597,588</w:t>
      </w:r>
      <w:r>
        <w:rPr>
          <w:rFonts w:ascii="宋体" w:hAnsi="宋体" w:cs="宋体" w:eastAsia="宋体" w:hint="default"/>
          <w:spacing w:val="-57"/>
          <w:w w:val="100"/>
        </w:rPr>
        <w:t> </w:t>
      </w:r>
      <w:r>
        <w:rPr>
          <w:spacing w:val="-2"/>
          <w:w w:val="100"/>
        </w:rPr>
        <w:t>股变为</w:t>
      </w:r>
      <w:r>
        <w:rPr>
          <w:spacing w:val="-57"/>
          <w:w w:val="100"/>
        </w:rPr>
        <w:t> </w:t>
      </w:r>
      <w:r>
        <w:rPr>
          <w:rFonts w:ascii="宋体" w:hAnsi="宋体" w:cs="宋体" w:eastAsia="宋体" w:hint="default"/>
          <w:spacing w:val="-1"/>
          <w:w w:val="100"/>
        </w:rPr>
        <w:t>62,082,190</w:t>
      </w:r>
      <w:r>
        <w:rPr>
          <w:rFonts w:ascii="宋体" w:hAnsi="宋体" w:cs="宋体" w:eastAsia="宋体" w:hint="default"/>
          <w:w w:val="100"/>
        </w:rPr>
        <w:t> </w:t>
      </w:r>
      <w:r>
        <w:rPr/>
        <w:t>股。</w:t>
      </w:r>
    </w:p>
    <w:p>
      <w:pPr>
        <w:pStyle w:val="BodyText"/>
        <w:spacing w:line="240" w:lineRule="auto" w:before="66"/>
        <w:ind w:left="625" w:right="99"/>
        <w:jc w:val="left"/>
      </w:pPr>
      <w:r>
        <w:rPr/>
        <w:t>公司于</w:t>
      </w:r>
      <w:r>
        <w:rPr>
          <w:spacing w:val="-67"/>
        </w:rPr>
        <w:t> </w:t>
      </w:r>
      <w:r>
        <w:rPr>
          <w:rFonts w:ascii="宋体" w:hAnsi="宋体" w:cs="宋体" w:eastAsia="宋体" w:hint="default"/>
        </w:rPr>
        <w:t>2015</w:t>
      </w:r>
      <w:r>
        <w:rPr>
          <w:rFonts w:ascii="宋体" w:hAnsi="宋体" w:cs="宋体" w:eastAsia="宋体" w:hint="default"/>
          <w:spacing w:val="-67"/>
        </w:rPr>
        <w:t> </w:t>
      </w:r>
      <w:r>
        <w:rPr/>
        <w:t>年</w:t>
      </w:r>
      <w:r>
        <w:rPr>
          <w:spacing w:val="-67"/>
        </w:rPr>
        <w:t> </w:t>
      </w:r>
      <w:r>
        <w:rPr>
          <w:rFonts w:ascii="宋体" w:hAnsi="宋体" w:cs="宋体" w:eastAsia="宋体" w:hint="default"/>
        </w:rPr>
        <w:t>11</w:t>
      </w:r>
      <w:r>
        <w:rPr>
          <w:rFonts w:ascii="宋体" w:hAnsi="宋体" w:cs="宋体" w:eastAsia="宋体" w:hint="default"/>
          <w:spacing w:val="-66"/>
        </w:rPr>
        <w:t> </w:t>
      </w:r>
      <w:r>
        <w:rPr/>
        <w:t>月</w:t>
      </w:r>
      <w:r>
        <w:rPr>
          <w:spacing w:val="-67"/>
        </w:rPr>
        <w:t> </w:t>
      </w:r>
      <w:r>
        <w:rPr>
          <w:rFonts w:ascii="宋体" w:hAnsi="宋体" w:cs="宋体" w:eastAsia="宋体" w:hint="default"/>
        </w:rPr>
        <w:t>12</w:t>
      </w:r>
      <w:r>
        <w:rPr>
          <w:rFonts w:ascii="宋体" w:hAnsi="宋体" w:cs="宋体" w:eastAsia="宋体" w:hint="default"/>
          <w:spacing w:val="-69"/>
        </w:rPr>
        <w:t> </w:t>
      </w:r>
      <w:r>
        <w:rPr/>
        <w:t>日解锁了首次授予的第二期限制性股票以及预留授予的第一期限制性</w:t>
      </w:r>
    </w:p>
    <w:p>
      <w:pPr>
        <w:pStyle w:val="BodyText"/>
        <w:spacing w:line="348" w:lineRule="auto" w:before="66"/>
        <w:ind w:left="218" w:right="1180"/>
        <w:jc w:val="left"/>
        <w:rPr>
          <w:rFonts w:ascii="宋体" w:hAnsi="宋体" w:cs="宋体" w:eastAsia="宋体" w:hint="default"/>
        </w:rPr>
      </w:pPr>
      <w:r>
        <w:rPr/>
        <w:t>股票，共计</w:t>
      </w:r>
      <w:r>
        <w:rPr>
          <w:spacing w:val="-54"/>
        </w:rPr>
        <w:t> </w:t>
      </w:r>
      <w:r>
        <w:rPr>
          <w:rFonts w:ascii="宋体" w:hAnsi="宋体" w:cs="宋体" w:eastAsia="宋体" w:hint="default"/>
        </w:rPr>
        <w:t>4,088,418</w:t>
      </w:r>
      <w:r>
        <w:rPr>
          <w:rFonts w:ascii="宋体" w:hAnsi="宋体" w:cs="宋体" w:eastAsia="宋体" w:hint="default"/>
          <w:spacing w:val="-53"/>
        </w:rPr>
        <w:t> </w:t>
      </w:r>
      <w:r>
        <w:rPr/>
        <w:t>股限制性股票。解锁后，公司限制性股票变为</w:t>
      </w:r>
      <w:r>
        <w:rPr>
          <w:spacing w:val="-54"/>
        </w:rPr>
        <w:t> </w:t>
      </w:r>
      <w:r>
        <w:rPr>
          <w:rFonts w:ascii="宋体" w:hAnsi="宋体" w:cs="宋体" w:eastAsia="宋体" w:hint="default"/>
        </w:rPr>
        <w:t>57,993,772</w:t>
      </w:r>
      <w:r>
        <w:rPr>
          <w:rFonts w:ascii="宋体" w:hAnsi="宋体" w:cs="宋体" w:eastAsia="宋体" w:hint="default"/>
          <w:spacing w:val="-56"/>
        </w:rPr>
        <w:t> </w:t>
      </w:r>
      <w:r>
        <w:rPr/>
        <w:t>股。</w:t>
      </w:r>
      <w:r>
        <w:rPr>
          <w:w w:val="100"/>
        </w:rPr>
        <w:t> </w:t>
      </w:r>
      <w:r>
        <w:rPr>
          <w:rFonts w:ascii="宋体" w:hAnsi="宋体" w:cs="宋体" w:eastAsia="宋体" w:hint="default"/>
          <w:b/>
          <w:bCs/>
        </w:rPr>
        <w:t>二、</w:t>
      </w:r>
      <w:r>
        <w:rPr>
          <w:rFonts w:ascii="宋体" w:hAnsi="宋体" w:cs="宋体" w:eastAsia="宋体" w:hint="default"/>
          <w:b/>
          <w:bCs/>
          <w:spacing w:val="-74"/>
        </w:rPr>
        <w:t> </w:t>
      </w:r>
      <w:r>
        <w:rPr>
          <w:rFonts w:ascii="宋体" w:hAnsi="宋体" w:cs="宋体" w:eastAsia="宋体" w:hint="default"/>
          <w:b/>
          <w:bCs/>
        </w:rPr>
        <w:t>证券发行与上市情况</w:t>
      </w:r>
      <w:r>
        <w:rPr>
          <w:rFonts w:ascii="宋体" w:hAnsi="宋体" w:cs="宋体" w:eastAsia="宋体" w:hint="default"/>
        </w:rPr>
      </w:r>
    </w:p>
    <w:p>
      <w:pPr>
        <w:pStyle w:val="Heading2"/>
        <w:spacing w:line="266" w:lineRule="exact" w:before="0"/>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截至报告期内证券发行情况</w:t>
      </w:r>
      <w:r>
        <w:rPr>
          <w:b w:val="0"/>
          <w:bCs w:val="0"/>
        </w:rPr>
      </w:r>
    </w:p>
    <w:p>
      <w:pPr>
        <w:pStyle w:val="BodyText"/>
        <w:tabs>
          <w:tab w:pos="1051" w:val="left" w:leader="none"/>
        </w:tabs>
        <w:spacing w:line="240" w:lineRule="auto" w:before="32"/>
        <w:ind w:left="0" w:right="230"/>
        <w:jc w:val="right"/>
      </w:pPr>
      <w:r>
        <w:rPr>
          <w:spacing w:val="-1"/>
        </w:rPr>
        <w:t>单位：股</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35"/>
        <w:gridCol w:w="1201"/>
        <w:gridCol w:w="1178"/>
        <w:gridCol w:w="1265"/>
        <w:gridCol w:w="1267"/>
        <w:gridCol w:w="1265"/>
        <w:gridCol w:w="1138"/>
      </w:tblGrid>
      <w:tr>
        <w:trPr>
          <w:trHeight w:val="55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易数量</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281"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2015-8-21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30.85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53,484,602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2016-8-21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53,484,602</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因股票期权行权</w:t>
            </w:r>
          </w:p>
          <w:p>
            <w:pPr>
              <w:pStyle w:val="TableParagraph"/>
              <w:spacing w:line="237" w:lineRule="auto"/>
              <w:ind w:left="103" w:right="146"/>
              <w:jc w:val="both"/>
              <w:rPr>
                <w:rFonts w:ascii="宋体" w:hAnsi="宋体" w:cs="宋体" w:eastAsia="宋体" w:hint="default"/>
                <w:sz w:val="21"/>
                <w:szCs w:val="21"/>
              </w:rPr>
            </w:pPr>
            <w:r>
              <w:rPr>
                <w:rFonts w:ascii="宋体" w:hAnsi="宋体" w:cs="宋体" w:eastAsia="宋体" w:hint="default"/>
                <w:sz w:val="21"/>
                <w:szCs w:val="21"/>
              </w:rPr>
              <w:t>而向激励对象定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向发行的无限售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流通股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7" w:right="0"/>
              <w:jc w:val="left"/>
              <w:rPr>
                <w:rFonts w:ascii="宋体" w:hAnsi="宋体" w:cs="宋体" w:eastAsia="宋体" w:hint="default"/>
                <w:sz w:val="21"/>
                <w:szCs w:val="21"/>
              </w:rPr>
            </w:pPr>
            <w:r>
              <w:rPr>
                <w:rFonts w:ascii="宋体"/>
                <w:sz w:val="21"/>
              </w:rPr>
              <w:t>2015/9/9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404,640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2015/10/14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404,640</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因股票期权行权</w:t>
            </w:r>
          </w:p>
          <w:p>
            <w:pPr>
              <w:pStyle w:val="TableParagraph"/>
              <w:spacing w:line="237" w:lineRule="auto"/>
              <w:ind w:left="103" w:right="146"/>
              <w:jc w:val="both"/>
              <w:rPr>
                <w:rFonts w:ascii="宋体" w:hAnsi="宋体" w:cs="宋体" w:eastAsia="宋体" w:hint="default"/>
                <w:sz w:val="21"/>
                <w:szCs w:val="21"/>
              </w:rPr>
            </w:pPr>
            <w:r>
              <w:rPr>
                <w:rFonts w:ascii="宋体" w:hAnsi="宋体" w:cs="宋体" w:eastAsia="宋体" w:hint="default"/>
                <w:sz w:val="21"/>
                <w:szCs w:val="21"/>
              </w:rPr>
              <w:t>而向激励对象定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向发行的无限售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流通股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1" w:right="0"/>
              <w:jc w:val="left"/>
              <w:rPr>
                <w:rFonts w:ascii="宋体" w:hAnsi="宋体" w:cs="宋体" w:eastAsia="宋体" w:hint="default"/>
                <w:sz w:val="21"/>
                <w:szCs w:val="21"/>
              </w:rPr>
            </w:pPr>
            <w:r>
              <w:rPr>
                <w:rFonts w:ascii="宋体"/>
                <w:sz w:val="21"/>
              </w:rPr>
              <w:t>2015/12/9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8.31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4,342,919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2016/2/5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4,342,919</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因股票期权行权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2015/12/9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14.98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753,351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2016/2/5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753,351</w:t>
            </w:r>
          </w:p>
        </w:tc>
        <w:tc>
          <w:tcPr>
            <w:tcW w:w="11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335" w:top="1120" w:bottom="152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35"/>
        <w:gridCol w:w="1201"/>
        <w:gridCol w:w="1178"/>
        <w:gridCol w:w="1265"/>
        <w:gridCol w:w="1267"/>
        <w:gridCol w:w="1265"/>
        <w:gridCol w:w="1138"/>
      </w:tblGrid>
      <w:tr>
        <w:trPr>
          <w:trHeight w:val="828"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而向激励对象定</w:t>
            </w:r>
          </w:p>
          <w:p>
            <w:pPr>
              <w:pStyle w:val="TableParagraph"/>
              <w:spacing w:line="240" w:lineRule="auto"/>
              <w:ind w:left="103" w:right="146"/>
              <w:jc w:val="left"/>
              <w:rPr>
                <w:rFonts w:ascii="宋体" w:hAnsi="宋体" w:cs="宋体" w:eastAsia="宋体" w:hint="default"/>
                <w:sz w:val="21"/>
                <w:szCs w:val="21"/>
              </w:rPr>
            </w:pPr>
            <w:r>
              <w:rPr>
                <w:rFonts w:ascii="宋体" w:hAnsi="宋体" w:cs="宋体" w:eastAsia="宋体" w:hint="default"/>
                <w:sz w:val="21"/>
                <w:szCs w:val="21"/>
              </w:rPr>
              <w:t>向发行的无限售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流通股</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281" w:hRule="exact"/>
        </w:trPr>
        <w:tc>
          <w:tcPr>
            <w:tcW w:w="1735"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35"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其他衍生证券</w:t>
            </w:r>
          </w:p>
        </w:tc>
      </w:tr>
      <w:tr>
        <w:trPr>
          <w:trHeight w:val="281" w:hRule="exact"/>
        </w:trPr>
        <w:tc>
          <w:tcPr>
            <w:tcW w:w="1735"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35"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218" w:right="0"/>
        <w:jc w:val="left"/>
      </w:pPr>
      <w:r>
        <w:rPr/>
        <w:t>截至报告期内证券发行情况的说明（存续期内利率不同的债券，请分别说明）：</w:t>
      </w:r>
    </w:p>
    <w:p>
      <w:pPr>
        <w:pStyle w:val="BodyText"/>
        <w:spacing w:line="297" w:lineRule="auto" w:before="117"/>
        <w:ind w:left="218" w:right="328" w:firstLine="482"/>
        <w:jc w:val="both"/>
      </w:pPr>
      <w:r>
        <w:rPr>
          <w:spacing w:val="-3"/>
        </w:rPr>
        <w:t>（</w:t>
      </w:r>
      <w:r>
        <w:rPr>
          <w:rFonts w:ascii="宋体" w:hAnsi="宋体" w:cs="宋体" w:eastAsia="宋体" w:hint="default"/>
          <w:spacing w:val="-3"/>
        </w:rPr>
        <w:t>1</w:t>
      </w:r>
      <w:r>
        <w:rPr>
          <w:spacing w:val="-3"/>
        </w:rPr>
        <w:t>）公司于</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w:t>
      </w:r>
      <w:r>
        <w:rPr>
          <w:spacing w:val="-3"/>
        </w:rPr>
        <w:t>日召开第六届董事会</w:t>
      </w:r>
      <w:r>
        <w:rPr>
          <w:rFonts w:ascii="宋体" w:hAnsi="宋体" w:cs="宋体" w:eastAsia="宋体" w:hint="default"/>
          <w:spacing w:val="-3"/>
        </w:rPr>
        <w:t>2014</w:t>
      </w:r>
      <w:r>
        <w:rPr>
          <w:spacing w:val="-3"/>
        </w:rPr>
        <w:t>年第八次会议，审议通过了《公司关于公</w:t>
      </w:r>
      <w:r>
        <w:rPr>
          <w:w w:val="100"/>
        </w:rPr>
        <w:t> </w:t>
      </w:r>
      <w:r>
        <w:rPr>
          <w:spacing w:val="-1"/>
        </w:rPr>
        <w:t>司符合非公开发行股票条件的议案》、《公司非公开发行股票预案》等议案，并提交于</w:t>
      </w:r>
      <w:r>
        <w:rPr>
          <w:rFonts w:ascii="宋体" w:hAnsi="宋体" w:cs="宋体" w:eastAsia="宋体" w:hint="default"/>
          <w:spacing w:val="-1"/>
        </w:rPr>
        <w:t>2014</w:t>
      </w:r>
      <w:r>
        <w:rPr>
          <w:spacing w:val="-1"/>
        </w:rPr>
        <w:t>年</w:t>
      </w:r>
      <w:r>
        <w:rPr>
          <w:rFonts w:ascii="宋体" w:hAnsi="宋体" w:cs="宋体" w:eastAsia="宋体" w:hint="default"/>
          <w:spacing w:val="-1"/>
        </w:rPr>
        <w:t>12</w:t>
      </w:r>
      <w:r>
        <w:rPr>
          <w:rFonts w:ascii="宋体" w:hAnsi="宋体" w:cs="宋体" w:eastAsia="宋体" w:hint="default"/>
          <w:spacing w:val="-53"/>
        </w:rPr>
        <w:t> </w:t>
      </w:r>
      <w:r>
        <w:rPr>
          <w:spacing w:val="-1"/>
        </w:rPr>
        <w:t>月</w:t>
      </w:r>
      <w:r>
        <w:rPr>
          <w:rFonts w:ascii="宋体" w:hAnsi="宋体" w:cs="宋体" w:eastAsia="宋体" w:hint="default"/>
          <w:spacing w:val="-1"/>
        </w:rPr>
        <w:t>19</w:t>
      </w:r>
      <w:r>
        <w:rPr>
          <w:spacing w:val="-1"/>
        </w:rPr>
        <w:t>日召开的公司</w:t>
      </w:r>
      <w:r>
        <w:rPr>
          <w:rFonts w:ascii="宋体" w:hAnsi="宋体" w:cs="宋体" w:eastAsia="宋体" w:hint="default"/>
          <w:spacing w:val="-1"/>
        </w:rPr>
        <w:t>2014</w:t>
      </w:r>
      <w:r>
        <w:rPr>
          <w:spacing w:val="-1"/>
        </w:rPr>
        <w:t>年第二次临时股东大会审议通过。根据《公司非公开发行股票预案》，公</w:t>
      </w:r>
      <w:r>
        <w:rPr>
          <w:spacing w:val="-54"/>
        </w:rPr>
        <w:t> </w:t>
      </w:r>
      <w:r>
        <w:rPr>
          <w:spacing w:val="-54"/>
        </w:rPr>
      </w:r>
      <w:r>
        <w:rPr>
          <w:spacing w:val="-1"/>
        </w:rPr>
        <w:t>司本次非公开发行新股数量不超过</w:t>
      </w:r>
      <w:r>
        <w:rPr>
          <w:rFonts w:ascii="宋体" w:hAnsi="宋体" w:cs="宋体" w:eastAsia="宋体" w:hint="default"/>
          <w:spacing w:val="-1"/>
        </w:rPr>
        <w:t>98,576,122</w:t>
      </w:r>
      <w:r>
        <w:rPr>
          <w:spacing w:val="-1"/>
        </w:rPr>
        <w:t>股（含</w:t>
      </w:r>
      <w:r>
        <w:rPr>
          <w:rFonts w:ascii="宋体" w:hAnsi="宋体" w:cs="宋体" w:eastAsia="宋体" w:hint="default"/>
          <w:spacing w:val="-1"/>
        </w:rPr>
        <w:t>98,576,122</w:t>
      </w:r>
      <w:r>
        <w:rPr>
          <w:spacing w:val="-1"/>
        </w:rPr>
        <w:t>股），发行价格不低于定价基准</w:t>
      </w:r>
      <w:r>
        <w:rPr>
          <w:spacing w:val="-47"/>
        </w:rPr>
        <w:t> </w:t>
      </w:r>
      <w:r>
        <w:rPr>
          <w:spacing w:val="-47"/>
        </w:rPr>
      </w:r>
      <w:r>
        <w:rPr/>
        <w:t>日前</w:t>
      </w:r>
      <w:r>
        <w:rPr>
          <w:rFonts w:ascii="宋体" w:hAnsi="宋体" w:cs="宋体" w:eastAsia="宋体" w:hint="default"/>
        </w:rPr>
        <w:t>20</w:t>
      </w:r>
      <w:r>
        <w:rPr/>
        <w:t>个交易日公司股票交易均价的</w:t>
      </w:r>
      <w:r>
        <w:rPr>
          <w:rFonts w:ascii="宋体" w:hAnsi="宋体" w:cs="宋体" w:eastAsia="宋体" w:hint="default"/>
        </w:rPr>
        <w:t>90%</w:t>
      </w:r>
      <w:r>
        <w:rPr/>
        <w:t>，即发行价格不低于</w:t>
      </w:r>
      <w:r>
        <w:rPr>
          <w:rFonts w:ascii="宋体" w:hAnsi="宋体" w:cs="宋体" w:eastAsia="宋体" w:hint="default"/>
        </w:rPr>
        <w:t>18.26</w:t>
      </w:r>
      <w:r>
        <w:rPr/>
        <w:t>元</w:t>
      </w:r>
      <w:r>
        <w:rPr>
          <w:rFonts w:ascii="宋体" w:hAnsi="宋体" w:cs="宋体" w:eastAsia="宋体" w:hint="default"/>
        </w:rPr>
        <w:t>/</w:t>
      </w:r>
      <w:r>
        <w:rPr/>
        <w:t>股。</w:t>
      </w:r>
    </w:p>
    <w:p>
      <w:pPr>
        <w:pStyle w:val="BodyText"/>
        <w:spacing w:line="297" w:lineRule="auto" w:before="135"/>
        <w:ind w:left="218" w:right="323" w:firstLine="482"/>
        <w:jc w:val="both"/>
      </w:pPr>
      <w:r>
        <w:rPr/>
        <w:t>（</w:t>
      </w:r>
      <w:r>
        <w:rPr>
          <w:rFonts w:ascii="宋体" w:hAnsi="宋体" w:cs="宋体" w:eastAsia="宋体" w:hint="default"/>
        </w:rPr>
        <w:t>2</w:t>
      </w:r>
      <w:r>
        <w:rPr/>
        <w:t>）公司于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9</w:t>
      </w:r>
      <w:r>
        <w:rPr/>
        <w:t>日召开了第六届董事会第十四次会议，审议通过了《公司关于调整</w:t>
      </w:r>
      <w:r>
        <w:rPr>
          <w:w w:val="100"/>
        </w:rPr>
        <w:t> </w:t>
      </w:r>
      <w:r>
        <w:rPr>
          <w:spacing w:val="2"/>
        </w:rPr>
        <w:t>非公开发行股票发行底价和发行数量上限的议案》，调整后的底价为</w:t>
      </w:r>
      <w:r>
        <w:rPr>
          <w:rFonts w:ascii="宋体" w:hAnsi="宋体" w:cs="宋体" w:eastAsia="宋体" w:hint="default"/>
          <w:spacing w:val="2"/>
        </w:rPr>
        <w:t>14.97</w:t>
      </w:r>
      <w:r>
        <w:rPr>
          <w:spacing w:val="2"/>
        </w:rPr>
        <w:t>元</w:t>
      </w:r>
      <w:r>
        <w:rPr>
          <w:rFonts w:ascii="宋体" w:hAnsi="宋体" w:cs="宋体" w:eastAsia="宋体" w:hint="default"/>
          <w:spacing w:val="2"/>
        </w:rPr>
        <w:t>/</w:t>
      </w:r>
      <w:r>
        <w:rPr>
          <w:spacing w:val="2"/>
        </w:rPr>
        <w:t>股，数量上限为</w:t>
      </w:r>
      <w:r>
        <w:rPr>
          <w:spacing w:val="8"/>
        </w:rPr>
        <w:t> </w:t>
      </w:r>
      <w:r>
        <w:rPr>
          <w:rFonts w:ascii="宋体" w:hAnsi="宋体" w:cs="宋体" w:eastAsia="宋体" w:hint="default"/>
          <w:spacing w:val="-1"/>
        </w:rPr>
        <w:t>120,240,480</w:t>
      </w:r>
      <w:r>
        <w:rPr>
          <w:spacing w:val="-1"/>
        </w:rPr>
        <w:t>股（含</w:t>
      </w:r>
      <w:r>
        <w:rPr>
          <w:rFonts w:ascii="宋体" w:hAnsi="宋体" w:cs="宋体" w:eastAsia="宋体" w:hint="default"/>
          <w:spacing w:val="-1"/>
        </w:rPr>
        <w:t>120,240,480</w:t>
      </w:r>
      <w:r>
        <w:rPr>
          <w:spacing w:val="-1"/>
        </w:rPr>
        <w:t>股）。公司于</w:t>
      </w:r>
      <w:r>
        <w:rPr>
          <w:rFonts w:ascii="宋体" w:hAnsi="宋体" w:cs="宋体" w:eastAsia="宋体" w:hint="default"/>
          <w:spacing w:val="-1"/>
        </w:rPr>
        <w:t>2015</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8</w:t>
      </w:r>
      <w:r>
        <w:rPr>
          <w:spacing w:val="-1"/>
        </w:rPr>
        <w:t>日召开了第六届董事会第十八次会议，</w:t>
      </w:r>
      <w:r>
        <w:rPr>
          <w:spacing w:val="-44"/>
        </w:rPr>
        <w:t> </w:t>
      </w:r>
      <w:r>
        <w:rPr>
          <w:spacing w:val="-44"/>
        </w:rPr>
      </w:r>
      <w:r>
        <w:rPr>
          <w:spacing w:val="-1"/>
        </w:rPr>
        <w:t>审议通过了《公司关于调整非公开发行股票募集资金金额与发行数量的议案》，调整后的金额上</w:t>
      </w:r>
      <w:r>
        <w:rPr>
          <w:spacing w:val="-55"/>
        </w:rPr>
        <w:t> </w:t>
      </w:r>
      <w:r>
        <w:rPr>
          <w:spacing w:val="-55"/>
        </w:rPr>
      </w:r>
      <w:r>
        <w:rPr/>
        <w:t>限为</w:t>
      </w:r>
      <w:r>
        <w:rPr>
          <w:rFonts w:ascii="宋体" w:hAnsi="宋体" w:cs="宋体" w:eastAsia="宋体" w:hint="default"/>
        </w:rPr>
        <w:t>1,650,000,000</w:t>
      </w:r>
      <w:r>
        <w:rPr/>
        <w:t>元，数量上限为</w:t>
      </w:r>
      <w:r>
        <w:rPr>
          <w:rFonts w:ascii="宋体" w:hAnsi="宋体" w:cs="宋体" w:eastAsia="宋体" w:hint="default"/>
        </w:rPr>
        <w:t>110,220,440</w:t>
      </w:r>
      <w:r>
        <w:rPr/>
        <w:t>股（含</w:t>
      </w:r>
      <w:r>
        <w:rPr>
          <w:rFonts w:ascii="宋体" w:hAnsi="宋体" w:cs="宋体" w:eastAsia="宋体" w:hint="default"/>
        </w:rPr>
        <w:t>110,220,440</w:t>
      </w:r>
      <w:r>
        <w:rPr/>
        <w:t>股）。</w:t>
      </w:r>
    </w:p>
    <w:p>
      <w:pPr>
        <w:pStyle w:val="BodyText"/>
        <w:spacing w:line="240" w:lineRule="auto" w:before="133"/>
        <w:ind w:left="638" w:right="0"/>
        <w:jc w:val="left"/>
      </w:pPr>
      <w:r>
        <w:rPr>
          <w:w w:val="100"/>
        </w:rPr>
        <w:t>（</w:t>
      </w:r>
      <w:r>
        <w:rPr>
          <w:rFonts w:ascii="宋体" w:hAnsi="宋体" w:cs="宋体" w:eastAsia="宋体" w:hint="default"/>
          <w:spacing w:val="-3"/>
          <w:w w:val="100"/>
        </w:rPr>
        <w:t>3</w:t>
      </w:r>
      <w:r>
        <w:rPr>
          <w:spacing w:val="-92"/>
          <w:w w:val="100"/>
        </w:rPr>
        <w:t>）</w:t>
      </w:r>
      <w:r>
        <w:rPr>
          <w:spacing w:val="-3"/>
          <w:w w:val="100"/>
        </w:rPr>
        <w:t>公</w:t>
      </w:r>
      <w:r>
        <w:rPr>
          <w:w w:val="100"/>
        </w:rPr>
        <w:t>司</w:t>
      </w:r>
      <w:r>
        <w:rPr>
          <w:spacing w:val="-3"/>
          <w:w w:val="100"/>
        </w:rPr>
        <w:t>的</w:t>
      </w:r>
      <w:r>
        <w:rPr>
          <w:w w:val="100"/>
        </w:rPr>
        <w:t>本</w:t>
      </w:r>
      <w:r>
        <w:rPr>
          <w:spacing w:val="-3"/>
          <w:w w:val="100"/>
        </w:rPr>
        <w:t>次</w:t>
      </w:r>
      <w:r>
        <w:rPr>
          <w:w w:val="100"/>
        </w:rPr>
        <w:t>非</w:t>
      </w:r>
      <w:r>
        <w:rPr>
          <w:spacing w:val="-3"/>
          <w:w w:val="100"/>
        </w:rPr>
        <w:t>公</w:t>
      </w:r>
      <w:r>
        <w:rPr>
          <w:w w:val="100"/>
        </w:rPr>
        <w:t>开</w:t>
      </w:r>
      <w:r>
        <w:rPr>
          <w:spacing w:val="-3"/>
          <w:w w:val="100"/>
        </w:rPr>
        <w:t>发</w:t>
      </w:r>
      <w:r>
        <w:rPr>
          <w:w w:val="100"/>
        </w:rPr>
        <w:t>行股</w:t>
      </w:r>
      <w:r>
        <w:rPr>
          <w:spacing w:val="-3"/>
          <w:w w:val="100"/>
        </w:rPr>
        <w:t>票</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015</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52"/>
        </w:rPr>
        <w:t> </w:t>
      </w:r>
      <w:r>
        <w:rPr>
          <w:rFonts w:ascii="宋体" w:hAnsi="宋体" w:cs="宋体" w:eastAsia="宋体" w:hint="default"/>
          <w:w w:val="100"/>
        </w:rPr>
        <w:t>15</w:t>
      </w:r>
      <w:r>
        <w:rPr>
          <w:rFonts w:ascii="宋体" w:hAnsi="宋体" w:cs="宋体" w:eastAsia="宋体" w:hint="default"/>
          <w:spacing w:val="-55"/>
        </w:rPr>
        <w:t> </w:t>
      </w:r>
      <w:r>
        <w:rPr>
          <w:w w:val="100"/>
        </w:rPr>
        <w:t>日经</w:t>
      </w:r>
      <w:r>
        <w:rPr>
          <w:spacing w:val="-3"/>
          <w:w w:val="100"/>
        </w:rPr>
        <w:t>中</w:t>
      </w:r>
      <w:r>
        <w:rPr>
          <w:w w:val="100"/>
        </w:rPr>
        <w:t>国</w:t>
      </w:r>
      <w:r>
        <w:rPr>
          <w:spacing w:val="-3"/>
          <w:w w:val="100"/>
        </w:rPr>
        <w:t>证</w:t>
      </w:r>
      <w:r>
        <w:rPr>
          <w:w w:val="100"/>
        </w:rPr>
        <w:t>券</w:t>
      </w:r>
      <w:r>
        <w:rPr>
          <w:spacing w:val="-3"/>
          <w:w w:val="100"/>
        </w:rPr>
        <w:t>监</w:t>
      </w:r>
      <w:r>
        <w:rPr>
          <w:w w:val="100"/>
        </w:rPr>
        <w:t>督</w:t>
      </w:r>
      <w:r>
        <w:rPr>
          <w:spacing w:val="-3"/>
          <w:w w:val="100"/>
        </w:rPr>
        <w:t>管</w:t>
      </w:r>
      <w:r>
        <w:rPr>
          <w:w w:val="100"/>
        </w:rPr>
        <w:t>理</w:t>
      </w:r>
      <w:r>
        <w:rPr>
          <w:spacing w:val="-3"/>
          <w:w w:val="100"/>
        </w:rPr>
        <w:t>委</w:t>
      </w:r>
      <w:r>
        <w:rPr>
          <w:w w:val="100"/>
        </w:rPr>
        <w:t>员会</w:t>
      </w:r>
      <w:r>
        <w:rPr>
          <w:spacing w:val="-3"/>
          <w:w w:val="100"/>
        </w:rPr>
        <w:t>发</w:t>
      </w:r>
      <w:r>
        <w:rPr>
          <w:w w:val="100"/>
        </w:rPr>
        <w:t>行</w:t>
      </w:r>
      <w:r>
        <w:rPr>
          <w:spacing w:val="-3"/>
          <w:w w:val="100"/>
        </w:rPr>
        <w:t>审核</w:t>
      </w:r>
      <w:r>
        <w:rPr>
          <w:w w:val="100"/>
        </w:rPr>
        <w:t>委</w:t>
      </w:r>
    </w:p>
    <w:p>
      <w:pPr>
        <w:pStyle w:val="BodyText"/>
        <w:spacing w:line="297" w:lineRule="auto" w:before="66"/>
        <w:ind w:left="218" w:right="0"/>
        <w:jc w:val="left"/>
      </w:pPr>
      <w:r>
        <w:rPr>
          <w:spacing w:val="-7"/>
          <w:w w:val="100"/>
        </w:rPr>
        <w:t>员会审核工作会议审议无条件通过，并于</w:t>
      </w:r>
      <w:r>
        <w:rPr>
          <w:spacing w:val="-51"/>
          <w:w w:val="100"/>
        </w:rPr>
        <w:t> </w:t>
      </w:r>
      <w:r>
        <w:rPr>
          <w:rFonts w:ascii="宋体" w:hAnsi="宋体" w:cs="宋体" w:eastAsia="宋体" w:hint="default"/>
          <w:spacing w:val="-1"/>
          <w:w w:val="100"/>
        </w:rPr>
        <w:t>2015</w:t>
      </w:r>
      <w:r>
        <w:rPr>
          <w:rFonts w:ascii="宋体" w:hAnsi="宋体" w:cs="宋体" w:eastAsia="宋体" w:hint="default"/>
          <w:spacing w:val="-53"/>
          <w:w w:val="100"/>
        </w:rPr>
        <w:t> </w:t>
      </w:r>
      <w:r>
        <w:rPr>
          <w:w w:val="100"/>
        </w:rPr>
        <w:t>年</w:t>
      </w:r>
      <w:r>
        <w:rPr>
          <w:spacing w:val="-51"/>
          <w:w w:val="100"/>
        </w:rPr>
        <w:t> </w:t>
      </w:r>
      <w:r>
        <w:rPr>
          <w:rFonts w:ascii="宋体" w:hAnsi="宋体" w:cs="宋体" w:eastAsia="宋体" w:hint="default"/>
          <w:w w:val="100"/>
        </w:rPr>
        <w:t>6</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8</w:t>
      </w:r>
      <w:r>
        <w:rPr>
          <w:rFonts w:ascii="宋体" w:hAnsi="宋体" w:cs="宋体" w:eastAsia="宋体" w:hint="default"/>
          <w:spacing w:val="-51"/>
          <w:w w:val="100"/>
        </w:rPr>
        <w:t> </w:t>
      </w:r>
      <w:r>
        <w:rPr>
          <w:spacing w:val="-2"/>
          <w:w w:val="100"/>
        </w:rPr>
        <w:t>日收到中国证券监督管理委员会关于核准</w:t>
      </w:r>
      <w:r>
        <w:rPr>
          <w:w w:val="100"/>
        </w:rPr>
        <w:t> </w:t>
      </w:r>
      <w:r>
        <w:rPr/>
        <w:t>公司非公开发行股票的批复。</w:t>
      </w:r>
    </w:p>
    <w:p>
      <w:pPr>
        <w:pStyle w:val="BodyText"/>
        <w:spacing w:line="297" w:lineRule="auto" w:before="135"/>
        <w:ind w:left="218" w:right="328" w:firstLine="419"/>
        <w:jc w:val="both"/>
      </w:pPr>
      <w:r>
        <w:rPr/>
        <w:t>（</w:t>
      </w:r>
      <w:r>
        <w:rPr>
          <w:rFonts w:ascii="宋体" w:hAnsi="宋体" w:cs="宋体" w:eastAsia="宋体" w:hint="default"/>
        </w:rPr>
        <w:t>4</w:t>
      </w:r>
      <w:r>
        <w:rPr/>
        <w:t>）</w:t>
      </w:r>
      <w:r>
        <w:rPr>
          <w:rFonts w:ascii="宋体" w:hAnsi="宋体" w:cs="宋体" w:eastAsia="宋体" w:hint="default"/>
        </w:rPr>
        <w:t>2015 </w:t>
      </w:r>
      <w:r>
        <w:rPr/>
        <w:t>年 </w:t>
      </w:r>
      <w:r>
        <w:rPr>
          <w:rFonts w:ascii="宋体" w:hAnsi="宋体" w:cs="宋体" w:eastAsia="宋体" w:hint="default"/>
        </w:rPr>
        <w:t>8 </w:t>
      </w:r>
      <w:r>
        <w:rPr/>
        <w:t>月 </w:t>
      </w:r>
      <w:r>
        <w:rPr>
          <w:rFonts w:ascii="宋体" w:hAnsi="宋体" w:cs="宋体" w:eastAsia="宋体" w:hint="default"/>
        </w:rPr>
        <w:t>18 </w:t>
      </w:r>
      <w:r>
        <w:rPr/>
        <w:t>日，中喜会计师事务所（特殊普通合伙）出具了中喜验字</w:t>
      </w:r>
      <w:r>
        <w:rPr>
          <w:spacing w:val="6"/>
        </w:rPr>
        <w:t> </w:t>
      </w:r>
      <w:r>
        <w:rPr/>
        <w:t>（</w:t>
      </w:r>
      <w:r>
        <w:rPr>
          <w:rFonts w:ascii="宋体" w:hAnsi="宋体" w:cs="宋体" w:eastAsia="宋体" w:hint="default"/>
        </w:rPr>
        <w:t>2015</w:t>
      </w:r>
      <w:r>
        <w:rPr/>
        <w:t>）</w:t>
      </w:r>
      <w:r>
        <w:rPr>
          <w:w w:val="100"/>
        </w:rPr>
        <w:t> </w:t>
      </w:r>
      <w:r>
        <w:rPr/>
        <w:t>第 </w:t>
      </w:r>
      <w:r>
        <w:rPr>
          <w:rFonts w:ascii="宋体" w:hAnsi="宋体" w:cs="宋体" w:eastAsia="宋体" w:hint="default"/>
        </w:rPr>
        <w:t>0365 </w:t>
      </w:r>
      <w:r>
        <w:rPr>
          <w:spacing w:val="12"/>
        </w:rPr>
        <w:t>号《验资报告》，截至 </w:t>
      </w:r>
      <w:r>
        <w:rPr>
          <w:rFonts w:ascii="宋体" w:hAnsi="宋体" w:cs="宋体" w:eastAsia="宋体" w:hint="default"/>
        </w:rPr>
        <w:t>2015 </w:t>
      </w:r>
      <w:r>
        <w:rPr/>
        <w:t>年 </w:t>
      </w:r>
      <w:r>
        <w:rPr>
          <w:rFonts w:ascii="宋体" w:hAnsi="宋体" w:cs="宋体" w:eastAsia="宋体" w:hint="default"/>
        </w:rPr>
        <w:t>8 </w:t>
      </w:r>
      <w:r>
        <w:rPr/>
        <w:t>月 </w:t>
      </w:r>
      <w:r>
        <w:rPr>
          <w:rFonts w:ascii="宋体" w:hAnsi="宋体" w:cs="宋体" w:eastAsia="宋体" w:hint="default"/>
        </w:rPr>
        <w:t>18 </w:t>
      </w:r>
      <w:r>
        <w:rPr>
          <w:spacing w:val="13"/>
        </w:rPr>
        <w:t>日止，用友网络共计募集</w:t>
      </w:r>
      <w:r>
        <w:rPr>
          <w:spacing w:val="61"/>
        </w:rPr>
        <w:t> </w:t>
      </w:r>
      <w:r>
        <w:rPr>
          <w:spacing w:val="11"/>
        </w:rPr>
        <w:t>资金人民币</w:t>
      </w:r>
      <w:r>
        <w:rPr>
          <w:w w:val="100"/>
        </w:rPr>
        <w:t> </w:t>
      </w:r>
      <w:r>
        <w:rPr>
          <w:rFonts w:ascii="宋体" w:hAnsi="宋体" w:cs="宋体" w:eastAsia="宋体" w:hint="default"/>
        </w:rPr>
        <w:t>1,649,999,971.70 </w:t>
      </w:r>
      <w:r>
        <w:rPr>
          <w:spacing w:val="-6"/>
        </w:rPr>
        <w:t>元，扣除发行费用人民币 </w:t>
      </w:r>
      <w:r>
        <w:rPr>
          <w:rFonts w:ascii="宋体" w:hAnsi="宋体" w:cs="宋体" w:eastAsia="宋体" w:hint="default"/>
        </w:rPr>
        <w:t>33,850,000.00 </w:t>
      </w:r>
      <w:r>
        <w:rPr>
          <w:spacing w:val="-11"/>
        </w:rPr>
        <w:t>元，用友网</w:t>
      </w:r>
      <w:r>
        <w:rPr>
          <w:spacing w:val="22"/>
        </w:rPr>
        <w:t> </w:t>
      </w:r>
      <w:r>
        <w:rPr/>
        <w:t>络实际募集资金净额为</w:t>
      </w:r>
    </w:p>
    <w:p>
      <w:pPr>
        <w:pStyle w:val="BodyText"/>
        <w:spacing w:line="240" w:lineRule="auto" w:before="15"/>
        <w:ind w:left="218" w:right="0"/>
        <w:jc w:val="left"/>
      </w:pPr>
      <w:r>
        <w:rPr/>
        <w:t>人民币 </w:t>
      </w:r>
      <w:r>
        <w:rPr>
          <w:rFonts w:ascii="宋体" w:hAnsi="宋体" w:cs="宋体" w:eastAsia="宋体" w:hint="default"/>
        </w:rPr>
        <w:t>1,616,149,971.70 </w:t>
      </w:r>
      <w:r>
        <w:rPr>
          <w:spacing w:val="-6"/>
        </w:rPr>
        <w:t>元，其中，计入股本人民币 </w:t>
      </w:r>
      <w:r>
        <w:rPr>
          <w:rFonts w:ascii="宋体" w:hAnsi="宋体" w:cs="宋体" w:eastAsia="宋体" w:hint="default"/>
        </w:rPr>
        <w:t>53,484,602.00</w:t>
      </w:r>
      <w:r>
        <w:rPr>
          <w:rFonts w:ascii="宋体" w:hAnsi="宋体" w:cs="宋体" w:eastAsia="宋体" w:hint="default"/>
          <w:spacing w:val="38"/>
        </w:rPr>
        <w:t> </w:t>
      </w:r>
      <w:r>
        <w:rPr>
          <w:spacing w:val="-6"/>
        </w:rPr>
        <w:t>元，计入资本公积（股本</w:t>
      </w:r>
    </w:p>
    <w:p>
      <w:pPr>
        <w:pStyle w:val="BodyText"/>
        <w:spacing w:line="240" w:lineRule="auto" w:before="63"/>
        <w:ind w:left="218" w:right="0"/>
        <w:jc w:val="left"/>
      </w:pPr>
      <w:r>
        <w:rPr/>
        <w:t>溢价）人民币 </w:t>
      </w:r>
      <w:r>
        <w:rPr>
          <w:rFonts w:ascii="宋体" w:hAnsi="宋体" w:cs="宋体" w:eastAsia="宋体" w:hint="default"/>
        </w:rPr>
        <w:t>1,562,665,369.70</w:t>
      </w:r>
      <w:r>
        <w:rPr>
          <w:rFonts w:ascii="宋体" w:hAnsi="宋体" w:cs="宋体" w:eastAsia="宋体" w:hint="default"/>
          <w:spacing w:val="-1"/>
        </w:rPr>
        <w:t> </w:t>
      </w:r>
      <w:r>
        <w:rPr>
          <w:spacing w:val="-3"/>
        </w:rPr>
        <w:t>元。</w:t>
      </w:r>
      <w:r>
        <w:rPr/>
      </w:r>
    </w:p>
    <w:p>
      <w:pPr>
        <w:spacing w:line="240" w:lineRule="auto" w:before="3"/>
        <w:rPr>
          <w:rFonts w:ascii="宋体" w:hAnsi="宋体" w:cs="宋体" w:eastAsia="宋体" w:hint="default"/>
          <w:sz w:val="14"/>
          <w:szCs w:val="14"/>
        </w:rPr>
      </w:pPr>
    </w:p>
    <w:p>
      <w:pPr>
        <w:pStyle w:val="BodyText"/>
        <w:spacing w:line="297" w:lineRule="auto"/>
        <w:ind w:left="218" w:right="328" w:firstLine="419"/>
        <w:jc w:val="both"/>
      </w:pPr>
      <w:r>
        <w:rPr/>
        <w:t>（</w:t>
      </w:r>
      <w:r>
        <w:rPr>
          <w:rFonts w:ascii="宋体" w:hAnsi="宋体" w:cs="宋体" w:eastAsia="宋体" w:hint="default"/>
        </w:rPr>
        <w:t>5</w:t>
      </w:r>
      <w:r>
        <w:rPr/>
        <w:t>）</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8</w:t>
      </w:r>
      <w:r>
        <w:rPr>
          <w:rFonts w:ascii="宋体" w:hAnsi="宋体" w:cs="宋体" w:eastAsia="宋体" w:hint="default"/>
          <w:spacing w:val="-43"/>
        </w:rPr>
        <w:t> </w:t>
      </w:r>
      <w:r>
        <w:rPr/>
        <w:t>月</w:t>
      </w:r>
      <w:r>
        <w:rPr>
          <w:spacing w:val="-45"/>
        </w:rPr>
        <w:t> </w:t>
      </w:r>
      <w:r>
        <w:rPr>
          <w:rFonts w:ascii="宋体" w:hAnsi="宋体" w:cs="宋体" w:eastAsia="宋体" w:hint="default"/>
        </w:rPr>
        <w:t>21</w:t>
      </w:r>
      <w:r>
        <w:rPr>
          <w:rFonts w:ascii="宋体" w:hAnsi="宋体" w:cs="宋体" w:eastAsia="宋体" w:hint="default"/>
          <w:spacing w:val="-45"/>
        </w:rPr>
        <w:t> </w:t>
      </w:r>
      <w:r>
        <w:rPr/>
        <w:t>日，本次非公开发行新增股份</w:t>
      </w:r>
      <w:r>
        <w:rPr>
          <w:spacing w:val="-45"/>
        </w:rPr>
        <w:t> </w:t>
      </w:r>
      <w:r>
        <w:rPr>
          <w:rFonts w:ascii="宋体" w:hAnsi="宋体" w:cs="宋体" w:eastAsia="宋体" w:hint="default"/>
        </w:rPr>
        <w:t>53,484,602</w:t>
      </w:r>
      <w:r>
        <w:rPr>
          <w:rFonts w:ascii="宋体" w:hAnsi="宋体" w:cs="宋体" w:eastAsia="宋体" w:hint="default"/>
          <w:spacing w:val="-43"/>
        </w:rPr>
        <w:t> </w:t>
      </w:r>
      <w:r>
        <w:rPr/>
        <w:t>股在中国证券登记结算有限</w:t>
      </w:r>
      <w:r>
        <w:rPr>
          <w:w w:val="100"/>
        </w:rPr>
        <w:t> </w:t>
      </w:r>
      <w:r>
        <w:rPr/>
        <w:t>责任公司 上海分公司办理完毕登记托管手续。本次发行新增股份的性质为有限售条件流通</w:t>
      </w:r>
      <w:r>
        <w:rPr>
          <w:spacing w:val="8"/>
        </w:rPr>
        <w:t> </w:t>
      </w:r>
      <w:r>
        <w:rPr/>
        <w:t>股，</w:t>
      </w:r>
      <w:r>
        <w:rPr>
          <w:w w:val="100"/>
        </w:rPr>
        <w:t> </w:t>
      </w:r>
      <w:r>
        <w:rPr/>
        <w:t>本次发行对象认购的本次发行股份的预计上市可交易时间为 </w:t>
      </w:r>
      <w:r>
        <w:rPr>
          <w:rFonts w:ascii="宋体" w:hAnsi="宋体" w:cs="宋体" w:eastAsia="宋体" w:hint="default"/>
        </w:rPr>
        <w:t>2016</w:t>
      </w:r>
      <w:r>
        <w:rPr>
          <w:rFonts w:ascii="宋体" w:hAnsi="宋体" w:cs="宋体" w:eastAsia="宋体" w:hint="default"/>
          <w:spacing w:val="-2"/>
        </w:rPr>
        <w:t> </w:t>
      </w:r>
      <w:r>
        <w:rPr/>
        <w:t>年 </w:t>
      </w:r>
      <w:r>
        <w:rPr>
          <w:rFonts w:ascii="宋体" w:hAnsi="宋体" w:cs="宋体" w:eastAsia="宋体" w:hint="default"/>
        </w:rPr>
        <w:t>8</w:t>
      </w:r>
      <w:r>
        <w:rPr>
          <w:rFonts w:ascii="宋体" w:hAnsi="宋体" w:cs="宋体" w:eastAsia="宋体" w:hint="default"/>
          <w:spacing w:val="-2"/>
        </w:rPr>
        <w:t> </w:t>
      </w:r>
      <w:r>
        <w:rPr/>
        <w:t>月</w:t>
      </w:r>
      <w:r>
        <w:rPr>
          <w:spacing w:val="-2"/>
        </w:rPr>
        <w:t> </w:t>
      </w:r>
      <w:r>
        <w:rPr>
          <w:rFonts w:ascii="宋体" w:hAnsi="宋体" w:cs="宋体" w:eastAsia="宋体" w:hint="default"/>
        </w:rPr>
        <w:t>21</w:t>
      </w:r>
      <w:r>
        <w:rPr>
          <w:rFonts w:ascii="宋体" w:hAnsi="宋体" w:cs="宋体" w:eastAsia="宋体" w:hint="default"/>
          <w:spacing w:val="1"/>
        </w:rPr>
        <w:t> </w:t>
      </w:r>
      <w:r>
        <w:rPr/>
        <w:t>日。</w:t>
      </w:r>
      <w:r>
        <w:rPr>
          <w:rFonts w:ascii="宋体" w:hAnsi="宋体" w:cs="宋体" w:eastAsia="宋体" w:hint="default"/>
        </w:rPr>
        <w:t>2015</w:t>
      </w:r>
      <w:r>
        <w:rPr>
          <w:rFonts w:ascii="宋体" w:hAnsi="宋体" w:cs="宋体" w:eastAsia="宋体" w:hint="default"/>
          <w:spacing w:val="-33"/>
        </w:rPr>
        <w:t> </w:t>
      </w:r>
      <w:r>
        <w:rPr/>
        <w:t>年</w:t>
      </w:r>
      <w:r>
        <w:rPr>
          <w:spacing w:val="-31"/>
        </w:rPr>
        <w:t> </w:t>
      </w:r>
      <w:r>
        <w:rPr>
          <w:rFonts w:ascii="宋体" w:hAnsi="宋体" w:cs="宋体" w:eastAsia="宋体" w:hint="default"/>
        </w:rPr>
        <w:t>8</w:t>
      </w:r>
      <w:r>
        <w:rPr>
          <w:rFonts w:ascii="宋体" w:hAnsi="宋体" w:cs="宋体" w:eastAsia="宋体" w:hint="default"/>
          <w:spacing w:val="-33"/>
        </w:rPr>
        <w:t> </w:t>
      </w:r>
      <w:r>
        <w:rPr/>
        <w:t>月</w:t>
      </w:r>
    </w:p>
    <w:p>
      <w:pPr>
        <w:pStyle w:val="BodyText"/>
        <w:spacing w:line="403" w:lineRule="auto" w:before="15"/>
        <w:ind w:left="638" w:right="0" w:hanging="420"/>
        <w:jc w:val="left"/>
      </w:pPr>
      <w:r>
        <w:rPr>
          <w:rFonts w:ascii="宋体" w:hAnsi="宋体" w:cs="宋体" w:eastAsia="宋体" w:hint="default"/>
        </w:rPr>
        <w:t>25 </w:t>
      </w:r>
      <w:r>
        <w:rPr>
          <w:spacing w:val="-2"/>
        </w:rPr>
        <w:t>日，公司披露了《用友网络科技股份有限公司非公开发行股票发行结果暨股份变动公告》。</w:t>
      </w:r>
      <w:r>
        <w:rPr>
          <w:spacing w:val="-86"/>
        </w:rPr>
        <w:t> </w:t>
      </w:r>
      <w:r>
        <w:rPr>
          <w:spacing w:val="-86"/>
        </w:rPr>
      </w:r>
      <w:r>
        <w:rPr/>
        <w:t>本次非公开发行对象、配售股数及限售期如下：</w:t>
      </w: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514"/>
        <w:gridCol w:w="1865"/>
        <w:gridCol w:w="857"/>
        <w:gridCol w:w="1440"/>
        <w:gridCol w:w="1896"/>
        <w:gridCol w:w="1472"/>
        <w:gridCol w:w="1109"/>
      </w:tblGrid>
      <w:tr>
        <w:trPr>
          <w:trHeight w:val="792"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8"/>
              <w:ind w:left="103" w:right="187"/>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发行对象</w:t>
            </w:r>
            <w:r>
              <w:rPr>
                <w:rFonts w:ascii="宋体" w:hAnsi="宋体" w:cs="宋体" w:eastAsia="宋体" w:hint="default"/>
                <w:sz w:val="21"/>
                <w:szCs w:val="21"/>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8"/>
              <w:ind w:left="103" w:right="95"/>
              <w:jc w:val="left"/>
              <w:rPr>
                <w:rFonts w:ascii="宋体" w:hAnsi="宋体" w:cs="宋体" w:eastAsia="宋体" w:hint="default"/>
                <w:sz w:val="21"/>
                <w:szCs w:val="21"/>
              </w:rPr>
            </w:pPr>
            <w:r>
              <w:rPr>
                <w:rFonts w:ascii="宋体" w:hAnsi="宋体" w:cs="宋体" w:eastAsia="宋体" w:hint="default"/>
                <w:b/>
                <w:bCs/>
                <w:spacing w:val="3"/>
                <w:sz w:val="21"/>
                <w:szCs w:val="21"/>
              </w:rPr>
              <w:t>发行对</w:t>
            </w:r>
            <w:r>
              <w:rPr>
                <w:rFonts w:ascii="宋体" w:hAnsi="宋体" w:cs="宋体" w:eastAsia="宋体" w:hint="default"/>
                <w:b/>
                <w:bCs/>
                <w:spacing w:val="-102"/>
                <w:sz w:val="21"/>
                <w:szCs w:val="21"/>
              </w:rPr>
              <w:t> </w:t>
            </w:r>
            <w:r>
              <w:rPr>
                <w:rFonts w:ascii="宋体" w:hAnsi="宋体" w:cs="宋体" w:eastAsia="宋体" w:hint="default"/>
                <w:b/>
                <w:bCs/>
                <w:sz w:val="21"/>
                <w:szCs w:val="21"/>
              </w:rPr>
              <w:t>象类型</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b/>
                <w:bCs/>
                <w:sz w:val="21"/>
                <w:szCs w:val="21"/>
              </w:rPr>
              <w:t>配 售 股</w:t>
            </w:r>
            <w:r>
              <w:rPr>
                <w:rFonts w:ascii="宋体" w:hAnsi="宋体" w:cs="宋体" w:eastAsia="宋体" w:hint="default"/>
                <w:b/>
                <w:bCs/>
                <w:spacing w:val="64"/>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配售金额（元）</w:t>
            </w:r>
            <w:r>
              <w:rPr>
                <w:rFonts w:ascii="宋体" w:hAnsi="宋体" w:cs="宋体" w:eastAsia="宋体" w:hint="default"/>
                <w:sz w:val="21"/>
                <w:szCs w:val="21"/>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8"/>
              <w:ind w:left="103" w:right="50"/>
              <w:jc w:val="left"/>
              <w:rPr>
                <w:rFonts w:ascii="宋体" w:hAnsi="宋体" w:cs="宋体" w:eastAsia="宋体" w:hint="default"/>
                <w:sz w:val="21"/>
                <w:szCs w:val="21"/>
              </w:rPr>
            </w:pPr>
            <w:r>
              <w:rPr>
                <w:rFonts w:ascii="宋体" w:hAnsi="宋体" w:cs="宋体" w:eastAsia="宋体" w:hint="default"/>
                <w:b/>
                <w:bCs/>
                <w:spacing w:val="39"/>
                <w:sz w:val="21"/>
                <w:szCs w:val="21"/>
              </w:rPr>
              <w:t>占发行总量</w:t>
            </w:r>
            <w:r>
              <w:rPr>
                <w:rFonts w:ascii="宋体" w:hAnsi="宋体" w:cs="宋体" w:eastAsia="宋体" w:hint="default"/>
                <w:b/>
                <w:bCs/>
                <w:spacing w:val="-99"/>
                <w:sz w:val="21"/>
                <w:szCs w:val="21"/>
              </w:rPr>
              <w:t> </w:t>
            </w: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1"/>
                <w:szCs w:val="21"/>
              </w:rPr>
            </w:pPr>
            <w:r>
              <w:rPr>
                <w:rFonts w:ascii="宋体" w:hAnsi="宋体" w:cs="宋体" w:eastAsia="宋体" w:hint="default"/>
                <w:b/>
                <w:bCs/>
                <w:sz w:val="21"/>
                <w:szCs w:val="21"/>
              </w:rPr>
              <w:t>锁 定</w:t>
            </w:r>
            <w:r>
              <w:rPr>
                <w:rFonts w:ascii="宋体" w:hAnsi="宋体" w:cs="宋体" w:eastAsia="宋体" w:hint="default"/>
                <w:b/>
                <w:bCs/>
                <w:spacing w:val="47"/>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b/>
                <w:bCs/>
                <w:sz w:val="21"/>
                <w:szCs w:val="21"/>
              </w:rPr>
              <w:t>（月）</w:t>
            </w:r>
            <w:r>
              <w:rPr>
                <w:rFonts w:ascii="宋体" w:hAnsi="宋体" w:cs="宋体" w:eastAsia="宋体" w:hint="default"/>
                <w:sz w:val="21"/>
                <w:szCs w:val="21"/>
              </w:rPr>
            </w:r>
          </w:p>
        </w:tc>
      </w:tr>
      <w:tr>
        <w:trPr>
          <w:trHeight w:val="792"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b/>
                <w:w w:val="99"/>
                <w:sz w:val="21"/>
              </w:rPr>
              <w:t>1</w:t>
            </w:r>
            <w:r>
              <w:rPr>
                <w:rFonts w:ascii="宋体"/>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16"/>
              <w:ind w:left="103" w:right="70"/>
              <w:jc w:val="left"/>
              <w:rPr>
                <w:rFonts w:ascii="宋体" w:hAnsi="宋体" w:cs="宋体" w:eastAsia="宋体" w:hint="default"/>
                <w:sz w:val="21"/>
                <w:szCs w:val="21"/>
              </w:rPr>
            </w:pPr>
            <w:r>
              <w:rPr>
                <w:rFonts w:ascii="宋体" w:hAnsi="宋体" w:cs="宋体" w:eastAsia="宋体" w:hint="default"/>
                <w:spacing w:val="23"/>
                <w:sz w:val="21"/>
                <w:szCs w:val="21"/>
              </w:rPr>
              <w:t>上海原点资产管</w:t>
            </w:r>
            <w:r>
              <w:rPr>
                <w:rFonts w:ascii="宋体" w:hAnsi="宋体" w:cs="宋体" w:eastAsia="宋体" w:hint="default"/>
                <w:spacing w:val="-90"/>
                <w:sz w:val="21"/>
                <w:szCs w:val="21"/>
              </w:rPr>
              <w:t> </w:t>
            </w:r>
            <w:r>
              <w:rPr>
                <w:rFonts w:ascii="宋体" w:hAnsi="宋体" w:cs="宋体" w:eastAsia="宋体" w:hint="default"/>
                <w:sz w:val="21"/>
                <w:szCs w:val="21"/>
              </w:rPr>
              <w:t>理有限公司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16"/>
              <w:ind w:left="103" w:right="96"/>
              <w:jc w:val="left"/>
              <w:rPr>
                <w:rFonts w:ascii="宋体" w:hAnsi="宋体" w:cs="宋体" w:eastAsia="宋体" w:hint="default"/>
                <w:sz w:val="21"/>
                <w:szCs w:val="21"/>
              </w:rPr>
            </w:pPr>
            <w:r>
              <w:rPr>
                <w:rFonts w:ascii="宋体" w:hAnsi="宋体" w:cs="宋体" w:eastAsia="宋体" w:hint="default"/>
                <w:spacing w:val="2"/>
                <w:sz w:val="21"/>
                <w:szCs w:val="21"/>
              </w:rPr>
              <w:t>私募及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5,834,683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179,999,970.55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10.91%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12</w:t>
            </w:r>
          </w:p>
        </w:tc>
      </w:tr>
    </w:tbl>
    <w:p>
      <w:pPr>
        <w:spacing w:after="0" w:line="240" w:lineRule="auto"/>
        <w:jc w:val="left"/>
        <w:rPr>
          <w:rFonts w:ascii="宋体" w:hAnsi="宋体" w:cs="宋体" w:eastAsia="宋体" w:hint="default"/>
          <w:sz w:val="21"/>
          <w:szCs w:val="21"/>
        </w:rPr>
        <w:sectPr>
          <w:pgSz w:w="11910" w:h="16840"/>
          <w:pgMar w:header="0" w:footer="1335" w:top="1120" w:bottom="1520" w:left="1580" w:right="9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14"/>
        <w:gridCol w:w="1865"/>
        <w:gridCol w:w="857"/>
        <w:gridCol w:w="1440"/>
        <w:gridCol w:w="1896"/>
        <w:gridCol w:w="1472"/>
        <w:gridCol w:w="1109"/>
      </w:tblGrid>
      <w:tr>
        <w:trPr>
          <w:trHeight w:val="792"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b/>
                <w:w w:val="99"/>
                <w:sz w:val="21"/>
              </w:rPr>
              <w:t>2</w:t>
            </w:r>
            <w:r>
              <w:rPr>
                <w:rFonts w:ascii="宋体"/>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9"/>
              <w:ind w:left="103" w:right="70"/>
              <w:jc w:val="left"/>
              <w:rPr>
                <w:rFonts w:ascii="宋体" w:hAnsi="宋体" w:cs="宋体" w:eastAsia="宋体" w:hint="default"/>
                <w:sz w:val="21"/>
                <w:szCs w:val="21"/>
              </w:rPr>
            </w:pPr>
            <w:r>
              <w:rPr>
                <w:rFonts w:ascii="宋体" w:hAnsi="宋体" w:cs="宋体" w:eastAsia="宋体" w:hint="default"/>
                <w:spacing w:val="23"/>
                <w:sz w:val="21"/>
                <w:szCs w:val="21"/>
              </w:rPr>
              <w:t>财通基金管理有</w:t>
            </w:r>
            <w:r>
              <w:rPr>
                <w:rFonts w:ascii="宋体" w:hAnsi="宋体" w:cs="宋体" w:eastAsia="宋体" w:hint="default"/>
                <w:spacing w:val="-90"/>
                <w:sz w:val="21"/>
                <w:szCs w:val="21"/>
              </w:rPr>
              <w:t> </w:t>
            </w:r>
            <w:r>
              <w:rPr>
                <w:rFonts w:ascii="宋体" w:hAnsi="宋体" w:cs="宋体" w:eastAsia="宋体" w:hint="default"/>
                <w:sz w:val="21"/>
                <w:szCs w:val="21"/>
              </w:rPr>
              <w:t>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9"/>
              <w:ind w:left="103" w:right="96"/>
              <w:jc w:val="left"/>
              <w:rPr>
                <w:rFonts w:ascii="宋体" w:hAnsi="宋体" w:cs="宋体" w:eastAsia="宋体" w:hint="default"/>
                <w:sz w:val="21"/>
                <w:szCs w:val="21"/>
              </w:rPr>
            </w:pPr>
            <w:r>
              <w:rPr>
                <w:rFonts w:ascii="宋体" w:hAnsi="宋体" w:cs="宋体" w:eastAsia="宋体" w:hint="default"/>
                <w:spacing w:val="2"/>
                <w:sz w:val="21"/>
                <w:szCs w:val="21"/>
              </w:rPr>
              <w:t>基金公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22,003,241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678,799,984.85</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41.14%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12</w:t>
            </w:r>
          </w:p>
        </w:tc>
      </w:tr>
      <w:tr>
        <w:trPr>
          <w:trHeight w:val="790"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b/>
                <w:w w:val="99"/>
                <w:sz w:val="21"/>
              </w:rPr>
              <w:t>3</w:t>
            </w:r>
            <w:r>
              <w:rPr>
                <w:rFonts w:ascii="宋体"/>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16"/>
              <w:ind w:left="103" w:right="70"/>
              <w:jc w:val="left"/>
              <w:rPr>
                <w:rFonts w:ascii="宋体" w:hAnsi="宋体" w:cs="宋体" w:eastAsia="宋体" w:hint="default"/>
                <w:sz w:val="21"/>
                <w:szCs w:val="21"/>
              </w:rPr>
            </w:pPr>
            <w:r>
              <w:rPr>
                <w:rFonts w:ascii="宋体" w:hAnsi="宋体" w:cs="宋体" w:eastAsia="宋体" w:hint="default"/>
                <w:spacing w:val="23"/>
                <w:sz w:val="21"/>
                <w:szCs w:val="21"/>
              </w:rPr>
              <w:t>国华人寿保险股</w:t>
            </w:r>
            <w:r>
              <w:rPr>
                <w:rFonts w:ascii="宋体" w:hAnsi="宋体" w:cs="宋体" w:eastAsia="宋体" w:hint="default"/>
                <w:spacing w:val="-90"/>
                <w:sz w:val="21"/>
                <w:szCs w:val="21"/>
              </w:rPr>
              <w:t> </w:t>
            </w:r>
            <w:r>
              <w:rPr>
                <w:rFonts w:ascii="宋体" w:hAnsi="宋体" w:cs="宋体" w:eastAsia="宋体" w:hint="default"/>
                <w:sz w:val="21"/>
                <w:szCs w:val="21"/>
              </w:rPr>
              <w:t>份有限公司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16"/>
              <w:ind w:left="103" w:right="96"/>
              <w:jc w:val="left"/>
              <w:rPr>
                <w:rFonts w:ascii="宋体" w:hAnsi="宋体" w:cs="宋体" w:eastAsia="宋体" w:hint="default"/>
                <w:sz w:val="21"/>
                <w:szCs w:val="21"/>
              </w:rPr>
            </w:pPr>
            <w:r>
              <w:rPr>
                <w:rFonts w:ascii="宋体" w:hAnsi="宋体" w:cs="宋体" w:eastAsia="宋体" w:hint="default"/>
                <w:spacing w:val="2"/>
                <w:sz w:val="21"/>
                <w:szCs w:val="21"/>
              </w:rPr>
              <w:t>保险公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6,482,982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199,999,994.70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12.12%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12</w:t>
            </w:r>
          </w:p>
        </w:tc>
      </w:tr>
      <w:tr>
        <w:trPr>
          <w:trHeight w:val="876"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b/>
                <w:w w:val="99"/>
                <w:sz w:val="21"/>
              </w:rPr>
              <w:t>4</w:t>
            </w:r>
            <w:r>
              <w:rPr>
                <w:rFonts w:ascii="宋体"/>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9"/>
              <w:ind w:left="103" w:right="70"/>
              <w:jc w:val="left"/>
              <w:rPr>
                <w:rFonts w:ascii="宋体" w:hAnsi="宋体" w:cs="宋体" w:eastAsia="宋体" w:hint="default"/>
                <w:sz w:val="21"/>
                <w:szCs w:val="21"/>
              </w:rPr>
            </w:pPr>
            <w:r>
              <w:rPr>
                <w:rFonts w:ascii="宋体" w:hAnsi="宋体" w:cs="宋体" w:eastAsia="宋体" w:hint="default"/>
                <w:spacing w:val="23"/>
                <w:sz w:val="21"/>
                <w:szCs w:val="21"/>
              </w:rPr>
              <w:t>太平洋资产管理</w:t>
            </w:r>
            <w:r>
              <w:rPr>
                <w:rFonts w:ascii="宋体" w:hAnsi="宋体" w:cs="宋体" w:eastAsia="宋体" w:hint="default"/>
                <w:spacing w:val="-90"/>
                <w:sz w:val="21"/>
                <w:szCs w:val="21"/>
              </w:rPr>
              <w:t> </w:t>
            </w:r>
            <w:r>
              <w:rPr>
                <w:rFonts w:ascii="宋体" w:hAnsi="宋体" w:cs="宋体" w:eastAsia="宋体" w:hint="default"/>
                <w:sz w:val="21"/>
                <w:szCs w:val="21"/>
              </w:rPr>
              <w:t>有限责任公司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9"/>
              <w:ind w:left="103" w:right="96"/>
              <w:jc w:val="left"/>
              <w:rPr>
                <w:rFonts w:ascii="宋体" w:hAnsi="宋体" w:cs="宋体" w:eastAsia="宋体" w:hint="default"/>
                <w:sz w:val="21"/>
                <w:szCs w:val="21"/>
              </w:rPr>
            </w:pPr>
            <w:r>
              <w:rPr>
                <w:rFonts w:ascii="宋体" w:hAnsi="宋体" w:cs="宋体" w:eastAsia="宋体" w:hint="default"/>
                <w:spacing w:val="2"/>
                <w:sz w:val="21"/>
                <w:szCs w:val="21"/>
              </w:rPr>
              <w:t>保险公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sz w:val="21"/>
              </w:rPr>
              <w:t>5,348,460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sz w:val="21"/>
              </w:rPr>
              <w:t>164,999,991.00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sz w:val="21"/>
              </w:rPr>
              <w:t>10.00%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sz w:val="21"/>
              </w:rPr>
              <w:t>12</w:t>
            </w:r>
          </w:p>
        </w:tc>
      </w:tr>
      <w:tr>
        <w:trPr>
          <w:trHeight w:val="790"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b/>
                <w:w w:val="99"/>
                <w:sz w:val="21"/>
              </w:rPr>
              <w:t>5</w:t>
            </w:r>
            <w:r>
              <w:rPr>
                <w:rFonts w:ascii="宋体"/>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6"/>
              <w:ind w:left="103" w:right="70"/>
              <w:jc w:val="left"/>
              <w:rPr>
                <w:rFonts w:ascii="宋体" w:hAnsi="宋体" w:cs="宋体" w:eastAsia="宋体" w:hint="default"/>
                <w:sz w:val="21"/>
                <w:szCs w:val="21"/>
              </w:rPr>
            </w:pPr>
            <w:r>
              <w:rPr>
                <w:rFonts w:ascii="宋体" w:hAnsi="宋体" w:cs="宋体" w:eastAsia="宋体" w:hint="default"/>
                <w:spacing w:val="23"/>
                <w:sz w:val="21"/>
                <w:szCs w:val="21"/>
              </w:rPr>
              <w:t>平安大华基金管</w:t>
            </w:r>
            <w:r>
              <w:rPr>
                <w:rFonts w:ascii="宋体" w:hAnsi="宋体" w:cs="宋体" w:eastAsia="宋体" w:hint="default"/>
                <w:spacing w:val="-90"/>
                <w:sz w:val="21"/>
                <w:szCs w:val="21"/>
              </w:rPr>
              <w:t> </w:t>
            </w:r>
            <w:r>
              <w:rPr>
                <w:rFonts w:ascii="宋体" w:hAnsi="宋体" w:cs="宋体" w:eastAsia="宋体" w:hint="default"/>
                <w:sz w:val="21"/>
                <w:szCs w:val="21"/>
              </w:rPr>
              <w:t>理有限公司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6"/>
              <w:ind w:left="103" w:right="96"/>
              <w:jc w:val="left"/>
              <w:rPr>
                <w:rFonts w:ascii="宋体" w:hAnsi="宋体" w:cs="宋体" w:eastAsia="宋体" w:hint="default"/>
                <w:sz w:val="21"/>
                <w:szCs w:val="21"/>
              </w:rPr>
            </w:pPr>
            <w:r>
              <w:rPr>
                <w:rFonts w:ascii="宋体" w:hAnsi="宋体" w:cs="宋体" w:eastAsia="宋体" w:hint="default"/>
                <w:spacing w:val="2"/>
                <w:sz w:val="21"/>
                <w:szCs w:val="21"/>
              </w:rPr>
              <w:t>基金公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5,348,460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164,999,991.00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sz w:val="21"/>
              </w:rPr>
              <w:t>12</w:t>
            </w:r>
          </w:p>
        </w:tc>
      </w:tr>
      <w:tr>
        <w:trPr>
          <w:trHeight w:val="1133"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b/>
                <w:w w:val="99"/>
                <w:sz w:val="21"/>
              </w:rPr>
              <w:t>6</w:t>
            </w:r>
            <w:r>
              <w:rPr>
                <w:rFonts w:ascii="宋体"/>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17"/>
              <w:ind w:left="103" w:right="70"/>
              <w:jc w:val="both"/>
              <w:rPr>
                <w:rFonts w:ascii="宋体" w:hAnsi="宋体" w:cs="宋体" w:eastAsia="宋体" w:hint="default"/>
                <w:sz w:val="21"/>
                <w:szCs w:val="21"/>
              </w:rPr>
            </w:pPr>
            <w:r>
              <w:rPr>
                <w:rFonts w:ascii="宋体" w:hAnsi="宋体" w:cs="宋体" w:eastAsia="宋体" w:hint="default"/>
                <w:spacing w:val="23"/>
                <w:sz w:val="21"/>
                <w:szCs w:val="21"/>
              </w:rPr>
              <w:t>北京基业华商投</w:t>
            </w:r>
            <w:r>
              <w:rPr>
                <w:rFonts w:ascii="宋体" w:hAnsi="宋体" w:cs="宋体" w:eastAsia="宋体" w:hint="default"/>
                <w:spacing w:val="-90"/>
                <w:sz w:val="21"/>
                <w:szCs w:val="21"/>
              </w:rPr>
              <w:t> </w:t>
            </w:r>
            <w:r>
              <w:rPr>
                <w:rFonts w:ascii="宋体" w:hAnsi="宋体" w:cs="宋体" w:eastAsia="宋体" w:hint="default"/>
                <w:spacing w:val="8"/>
                <w:sz w:val="21"/>
                <w:szCs w:val="21"/>
              </w:rPr>
              <w:t>资管理中心</w:t>
            </w:r>
            <w:r>
              <w:rPr>
                <w:rFonts w:ascii="宋体" w:hAnsi="宋体" w:cs="宋体" w:eastAsia="宋体" w:hint="default"/>
                <w:spacing w:val="8"/>
                <w:sz w:val="21"/>
                <w:szCs w:val="21"/>
              </w:rPr>
              <w:t>(</w:t>
            </w:r>
            <w:r>
              <w:rPr>
                <w:rFonts w:ascii="宋体" w:hAnsi="宋体" w:cs="宋体" w:eastAsia="宋体" w:hint="default"/>
                <w:spacing w:val="8"/>
                <w:sz w:val="21"/>
                <w:szCs w:val="21"/>
              </w:rPr>
              <w:t>有限</w:t>
            </w:r>
            <w:r>
              <w:rPr>
                <w:rFonts w:ascii="宋体" w:hAnsi="宋体" w:cs="宋体" w:eastAsia="宋体" w:hint="default"/>
                <w:spacing w:val="-89"/>
                <w:sz w:val="21"/>
                <w:szCs w:val="21"/>
              </w:rPr>
              <w:t> </w:t>
            </w:r>
            <w:r>
              <w:rPr>
                <w:rFonts w:ascii="宋体" w:hAnsi="宋体" w:cs="宋体" w:eastAsia="宋体" w:hint="default"/>
                <w:sz w:val="21"/>
                <w:szCs w:val="21"/>
              </w:rPr>
              <w:t>合伙</w:t>
            </w:r>
            <w:r>
              <w:rPr>
                <w:rFonts w:ascii="宋体" w:hAnsi="宋体" w:cs="宋体" w:eastAsia="宋体" w:hint="default"/>
                <w:sz w:val="21"/>
                <w:szCs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97"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私募及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sz w:val="21"/>
              </w:rPr>
              <w:t>5,348,460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sz w:val="21"/>
              </w:rPr>
              <w:t>164,999,991.00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sz w:val="21"/>
              </w:rPr>
              <w:t>10.00%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sz w:val="21"/>
              </w:rPr>
              <w:t>12</w:t>
            </w:r>
          </w:p>
        </w:tc>
      </w:tr>
      <w:tr>
        <w:trPr>
          <w:trHeight w:val="1130" w:hRule="exact"/>
        </w:trPr>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b/>
                <w:w w:val="99"/>
                <w:sz w:val="21"/>
              </w:rPr>
              <w:t>7</w:t>
            </w:r>
            <w:r>
              <w:rPr>
                <w:rFonts w:ascii="宋体"/>
                <w:sz w:val="21"/>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16"/>
              <w:ind w:left="103" w:right="70"/>
              <w:jc w:val="both"/>
              <w:rPr>
                <w:rFonts w:ascii="宋体" w:hAnsi="宋体" w:cs="宋体" w:eastAsia="宋体" w:hint="default"/>
                <w:sz w:val="21"/>
                <w:szCs w:val="21"/>
              </w:rPr>
            </w:pPr>
            <w:r>
              <w:rPr>
                <w:rFonts w:ascii="宋体" w:hAnsi="宋体" w:cs="宋体" w:eastAsia="宋体" w:hint="default"/>
                <w:spacing w:val="23"/>
                <w:sz w:val="21"/>
                <w:szCs w:val="21"/>
              </w:rPr>
              <w:t>安徽省铁路建设</w:t>
            </w:r>
            <w:r>
              <w:rPr>
                <w:rFonts w:ascii="宋体" w:hAnsi="宋体" w:cs="宋体" w:eastAsia="宋体" w:hint="default"/>
                <w:spacing w:val="-90"/>
                <w:sz w:val="21"/>
                <w:szCs w:val="21"/>
              </w:rPr>
              <w:t> </w:t>
            </w:r>
            <w:r>
              <w:rPr>
                <w:rFonts w:ascii="宋体" w:hAnsi="宋体" w:cs="宋体" w:eastAsia="宋体" w:hint="default"/>
                <w:spacing w:val="23"/>
                <w:sz w:val="21"/>
                <w:szCs w:val="21"/>
              </w:rPr>
              <w:t>投资基金有限公</w:t>
            </w:r>
            <w:r>
              <w:rPr>
                <w:rFonts w:ascii="宋体" w:hAnsi="宋体" w:cs="宋体" w:eastAsia="宋体" w:hint="default"/>
                <w:spacing w:val="-90"/>
                <w:sz w:val="21"/>
                <w:szCs w:val="21"/>
              </w:rPr>
              <w:t> </w:t>
            </w:r>
            <w:r>
              <w:rPr>
                <w:rFonts w:ascii="宋体" w:hAnsi="宋体" w:cs="宋体" w:eastAsia="宋体" w:hint="default"/>
                <w:sz w:val="21"/>
                <w:szCs w:val="21"/>
              </w:rPr>
              <w:t>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95"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私募及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sz w:val="21"/>
              </w:rPr>
              <w:t>3,118,316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sz w:val="21"/>
              </w:rPr>
              <w:t>96,200,048.60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sz w:val="21"/>
              </w:rPr>
              <w:t>5.83%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sz w:val="21"/>
              </w:rPr>
              <w:t>12</w:t>
            </w:r>
          </w:p>
        </w:tc>
      </w:tr>
      <w:tr>
        <w:trPr>
          <w:trHeight w:val="451" w:hRule="exact"/>
        </w:trPr>
        <w:tc>
          <w:tcPr>
            <w:tcW w:w="32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sz w:val="21"/>
              </w:rPr>
              <w:t>53,484,602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sz w:val="21"/>
              </w:rPr>
              <w:t>1,649,999,971.70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sz w:val="21"/>
              </w:rPr>
              <w:t>100.00%</w:t>
            </w:r>
          </w:p>
        </w:tc>
        <w:tc>
          <w:tcPr>
            <w:tcW w:w="1109"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86"/>
        <w:ind w:left="640" w:right="0"/>
        <w:jc w:val="left"/>
        <w:rPr>
          <w:b w:val="0"/>
          <w:bCs w:val="0"/>
        </w:rPr>
      </w:pPr>
      <w:r>
        <w:rPr>
          <w:rFonts w:ascii="宋体" w:hAnsi="宋体" w:cs="宋体" w:eastAsia="宋体" w:hint="default"/>
        </w:rPr>
        <w:t>2</w:t>
      </w:r>
      <w:r>
        <w:rPr/>
        <w:t>、股票期权行权</w:t>
      </w:r>
      <w:r>
        <w:rPr>
          <w:b w:val="0"/>
          <w:bCs w:val="0"/>
        </w:rPr>
      </w:r>
    </w:p>
    <w:p>
      <w:pPr>
        <w:spacing w:line="240" w:lineRule="auto" w:before="11"/>
        <w:rPr>
          <w:rFonts w:ascii="宋体" w:hAnsi="宋体" w:cs="宋体" w:eastAsia="宋体" w:hint="default"/>
          <w:b/>
          <w:bCs/>
          <w:sz w:val="16"/>
          <w:szCs w:val="16"/>
        </w:rPr>
      </w:pPr>
    </w:p>
    <w:tbl>
      <w:tblPr>
        <w:tblW w:w="0" w:type="auto"/>
        <w:jc w:val="left"/>
        <w:tblInd w:w="198" w:type="dxa"/>
        <w:tblLayout w:type="fixed"/>
        <w:tblCellMar>
          <w:top w:w="0" w:type="dxa"/>
          <w:left w:w="0" w:type="dxa"/>
          <w:bottom w:w="0" w:type="dxa"/>
          <w:right w:w="0" w:type="dxa"/>
        </w:tblCellMar>
        <w:tblLook w:val="01E0"/>
      </w:tblPr>
      <w:tblGrid>
        <w:gridCol w:w="1942"/>
        <w:gridCol w:w="1162"/>
        <w:gridCol w:w="1042"/>
        <w:gridCol w:w="1263"/>
        <w:gridCol w:w="1265"/>
        <w:gridCol w:w="1263"/>
        <w:gridCol w:w="1006"/>
      </w:tblGrid>
      <w:tr>
        <w:trPr>
          <w:trHeight w:val="1131"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160"/>
              <w:ind w:left="103" w:right="564"/>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right="100"/>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16"/>
              <w:ind w:left="103" w:right="98"/>
              <w:jc w:val="both"/>
              <w:rPr>
                <w:rFonts w:ascii="宋体" w:hAnsi="宋体" w:cs="宋体" w:eastAsia="宋体" w:hint="default"/>
                <w:sz w:val="21"/>
                <w:szCs w:val="21"/>
              </w:rPr>
            </w:pPr>
            <w:r>
              <w:rPr>
                <w:rFonts w:ascii="宋体" w:hAnsi="宋体" w:cs="宋体" w:eastAsia="宋体" w:hint="default"/>
                <w:sz w:val="21"/>
                <w:szCs w:val="21"/>
              </w:rPr>
              <w:t>发 行</w:t>
            </w:r>
            <w:r>
              <w:rPr>
                <w:rFonts w:ascii="宋体" w:hAnsi="宋体" w:cs="宋体" w:eastAsia="宋体" w:hint="default"/>
                <w:spacing w:val="-14"/>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pacing w:val="-5"/>
                <w:sz w:val="21"/>
                <w:szCs w:val="21"/>
              </w:rPr>
              <w:t>格（或利</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率）</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95" w:lineRule="auto"/>
              <w:ind w:left="103" w:right="100"/>
              <w:jc w:val="left"/>
              <w:rPr>
                <w:rFonts w:ascii="宋体" w:hAnsi="宋体" w:cs="宋体" w:eastAsia="宋体" w:hint="default"/>
                <w:sz w:val="21"/>
                <w:szCs w:val="21"/>
              </w:rPr>
            </w:pPr>
            <w:r>
              <w:rPr>
                <w:rFonts w:ascii="宋体" w:hAnsi="宋体" w:cs="宋体" w:eastAsia="宋体" w:hint="default"/>
                <w:sz w:val="21"/>
                <w:szCs w:val="21"/>
              </w:rPr>
              <w:t>获</w:t>
            </w:r>
            <w:r>
              <w:rPr>
                <w:rFonts w:ascii="宋体" w:hAnsi="宋体" w:cs="宋体" w:eastAsia="宋体" w:hint="default"/>
                <w:spacing w:val="-38"/>
                <w:sz w:val="21"/>
                <w:szCs w:val="21"/>
              </w:rPr>
              <w:t> </w:t>
            </w:r>
            <w:r>
              <w:rPr>
                <w:rFonts w:ascii="宋体" w:hAnsi="宋体" w:cs="宋体" w:eastAsia="宋体" w:hint="default"/>
                <w:sz w:val="21"/>
                <w:szCs w:val="21"/>
              </w:rPr>
              <w:t>准</w:t>
            </w:r>
            <w:r>
              <w:rPr>
                <w:rFonts w:ascii="宋体" w:hAnsi="宋体" w:cs="宋体" w:eastAsia="宋体" w:hint="default"/>
                <w:spacing w:val="-38"/>
                <w:sz w:val="21"/>
                <w:szCs w:val="21"/>
              </w:rPr>
              <w:t> </w:t>
            </w:r>
            <w:r>
              <w:rPr>
                <w:rFonts w:ascii="宋体" w:hAnsi="宋体" w:cs="宋体" w:eastAsia="宋体" w:hint="default"/>
                <w:sz w:val="21"/>
                <w:szCs w:val="21"/>
              </w:rPr>
              <w:t>上</w:t>
            </w:r>
            <w:r>
              <w:rPr>
                <w:rFonts w:ascii="宋体" w:hAnsi="宋体" w:cs="宋体" w:eastAsia="宋体" w:hint="default"/>
                <w:spacing w:val="-35"/>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交易数量</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95" w:lineRule="auto"/>
              <w:ind w:left="103" w:right="19"/>
              <w:jc w:val="left"/>
              <w:rPr>
                <w:rFonts w:ascii="宋体" w:hAnsi="宋体" w:cs="宋体" w:eastAsia="宋体" w:hint="default"/>
                <w:sz w:val="21"/>
                <w:szCs w:val="21"/>
              </w:rPr>
            </w:pPr>
            <w:r>
              <w:rPr>
                <w:rFonts w:ascii="宋体" w:hAnsi="宋体" w:cs="宋体" w:eastAsia="宋体" w:hint="default"/>
                <w:spacing w:val="52"/>
                <w:sz w:val="21"/>
                <w:szCs w:val="21"/>
              </w:rPr>
              <w:t>交易终</w:t>
            </w:r>
            <w:r>
              <w:rPr>
                <w:rFonts w:ascii="宋体" w:hAnsi="宋体" w:cs="宋体" w:eastAsia="宋体" w:hint="default"/>
                <w:spacing w:val="-100"/>
                <w:sz w:val="21"/>
                <w:szCs w:val="21"/>
              </w:rPr>
              <w:t> </w:t>
            </w:r>
            <w:r>
              <w:rPr>
                <w:rFonts w:ascii="宋体" w:hAnsi="宋体" w:cs="宋体" w:eastAsia="宋体" w:hint="default"/>
                <w:sz w:val="21"/>
                <w:szCs w:val="21"/>
              </w:rPr>
              <w:t>止日期</w:t>
            </w:r>
          </w:p>
        </w:tc>
      </w:tr>
      <w:tr>
        <w:trPr>
          <w:trHeight w:val="451" w:hRule="exact"/>
        </w:trPr>
        <w:tc>
          <w:tcPr>
            <w:tcW w:w="894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14"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1133" w:hRule="exact"/>
        </w:trPr>
        <w:tc>
          <w:tcPr>
            <w:tcW w:w="1942" w:type="dxa"/>
            <w:tcBorders>
              <w:top w:val="single" w:sz="4" w:space="0" w:color="000000"/>
              <w:left w:val="single" w:sz="4" w:space="0" w:color="000000"/>
              <w:bottom w:val="single" w:sz="6" w:space="0" w:color="000000"/>
              <w:right w:val="single" w:sz="6" w:space="0" w:color="000000"/>
            </w:tcBorders>
          </w:tcPr>
          <w:p>
            <w:pPr>
              <w:pStyle w:val="TableParagraph"/>
              <w:spacing w:line="297" w:lineRule="auto" w:before="16"/>
              <w:ind w:left="103" w:right="95"/>
              <w:jc w:val="both"/>
              <w:rPr>
                <w:rFonts w:ascii="宋体" w:hAnsi="宋体" w:cs="宋体" w:eastAsia="宋体" w:hint="default"/>
                <w:sz w:val="21"/>
                <w:szCs w:val="21"/>
              </w:rPr>
            </w:pPr>
            <w:r>
              <w:rPr>
                <w:rFonts w:ascii="宋体" w:hAnsi="宋体" w:cs="宋体" w:eastAsia="宋体" w:hint="default"/>
                <w:spacing w:val="3"/>
                <w:sz w:val="21"/>
                <w:szCs w:val="21"/>
              </w:rPr>
              <w:t>因股票期权行权而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向激励对象定向发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行的无限售流通股</w:t>
            </w:r>
          </w:p>
        </w:tc>
        <w:tc>
          <w:tcPr>
            <w:tcW w:w="116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right="100"/>
              <w:jc w:val="center"/>
              <w:rPr>
                <w:rFonts w:ascii="宋体" w:hAnsi="宋体" w:cs="宋体" w:eastAsia="宋体" w:hint="default"/>
                <w:sz w:val="21"/>
                <w:szCs w:val="21"/>
              </w:rPr>
            </w:pPr>
            <w:r>
              <w:rPr>
                <w:rFonts w:ascii="宋体"/>
                <w:sz w:val="21"/>
              </w:rPr>
              <w:t>2015/9/9</w:t>
            </w:r>
          </w:p>
        </w:tc>
        <w:tc>
          <w:tcPr>
            <w:tcW w:w="104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8.31</w:t>
            </w:r>
          </w:p>
        </w:tc>
        <w:tc>
          <w:tcPr>
            <w:tcW w:w="126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404,640</w:t>
            </w:r>
          </w:p>
        </w:tc>
        <w:tc>
          <w:tcPr>
            <w:tcW w:w="126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left="98" w:right="0"/>
              <w:jc w:val="left"/>
              <w:rPr>
                <w:rFonts w:ascii="宋体" w:hAnsi="宋体" w:cs="宋体" w:eastAsia="宋体" w:hint="default"/>
                <w:sz w:val="21"/>
                <w:szCs w:val="21"/>
              </w:rPr>
            </w:pPr>
            <w:r>
              <w:rPr>
                <w:rFonts w:ascii="宋体"/>
                <w:sz w:val="21"/>
              </w:rPr>
              <w:t>2015/10/14</w:t>
            </w:r>
          </w:p>
        </w:tc>
        <w:tc>
          <w:tcPr>
            <w:tcW w:w="126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404,640</w:t>
            </w:r>
          </w:p>
        </w:tc>
        <w:tc>
          <w:tcPr>
            <w:tcW w:w="1006" w:type="dxa"/>
            <w:tcBorders>
              <w:top w:val="single" w:sz="4" w:space="0" w:color="000000"/>
              <w:left w:val="single" w:sz="6" w:space="0" w:color="000000"/>
              <w:bottom w:val="single" w:sz="6" w:space="0" w:color="000000"/>
              <w:right w:val="single" w:sz="4" w:space="0" w:color="000000"/>
            </w:tcBorders>
          </w:tcPr>
          <w:p>
            <w:pPr/>
          </w:p>
        </w:tc>
      </w:tr>
      <w:tr>
        <w:trPr>
          <w:trHeight w:val="1136" w:hRule="exact"/>
        </w:trPr>
        <w:tc>
          <w:tcPr>
            <w:tcW w:w="1942" w:type="dxa"/>
            <w:tcBorders>
              <w:top w:val="single" w:sz="6" w:space="0" w:color="000000"/>
              <w:left w:val="single" w:sz="4" w:space="0" w:color="000000"/>
              <w:bottom w:val="single" w:sz="6" w:space="0" w:color="000000"/>
              <w:right w:val="single" w:sz="6" w:space="0" w:color="000000"/>
            </w:tcBorders>
          </w:tcPr>
          <w:p>
            <w:pPr>
              <w:pStyle w:val="TableParagraph"/>
              <w:spacing w:line="297" w:lineRule="auto" w:before="16"/>
              <w:ind w:left="103" w:right="95"/>
              <w:jc w:val="both"/>
              <w:rPr>
                <w:rFonts w:ascii="宋体" w:hAnsi="宋体" w:cs="宋体" w:eastAsia="宋体" w:hint="default"/>
                <w:sz w:val="21"/>
                <w:szCs w:val="21"/>
              </w:rPr>
            </w:pPr>
            <w:r>
              <w:rPr>
                <w:rFonts w:ascii="宋体" w:hAnsi="宋体" w:cs="宋体" w:eastAsia="宋体" w:hint="default"/>
                <w:spacing w:val="3"/>
                <w:sz w:val="21"/>
                <w:szCs w:val="21"/>
              </w:rPr>
              <w:t>因股票期权行权而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向激励对象定向发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行的无限售流通股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left="3" w:right="0"/>
              <w:jc w:val="center"/>
              <w:rPr>
                <w:rFonts w:ascii="宋体" w:hAnsi="宋体" w:cs="宋体" w:eastAsia="宋体" w:hint="default"/>
                <w:sz w:val="21"/>
                <w:szCs w:val="21"/>
              </w:rPr>
            </w:pPr>
            <w:r>
              <w:rPr>
                <w:rFonts w:ascii="宋体"/>
                <w:sz w:val="21"/>
              </w:rPr>
              <w:t>2015/12/9</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8.31</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4,342,919</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left="98" w:right="0"/>
              <w:jc w:val="left"/>
              <w:rPr>
                <w:rFonts w:ascii="宋体" w:hAnsi="宋体" w:cs="宋体" w:eastAsia="宋体" w:hint="default"/>
                <w:sz w:val="21"/>
                <w:szCs w:val="21"/>
              </w:rPr>
            </w:pPr>
            <w:r>
              <w:rPr>
                <w:rFonts w:ascii="宋体"/>
                <w:sz w:val="21"/>
              </w:rPr>
              <w:t>2016/2/5</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4,342,919</w:t>
            </w:r>
          </w:p>
        </w:tc>
        <w:tc>
          <w:tcPr>
            <w:tcW w:w="1006" w:type="dxa"/>
            <w:tcBorders>
              <w:top w:val="single" w:sz="6" w:space="0" w:color="000000"/>
              <w:left w:val="single" w:sz="6" w:space="0" w:color="000000"/>
              <w:bottom w:val="single" w:sz="6" w:space="0" w:color="000000"/>
              <w:right w:val="single" w:sz="4" w:space="0" w:color="000000"/>
            </w:tcBorders>
          </w:tcPr>
          <w:p>
            <w:pPr/>
          </w:p>
        </w:tc>
      </w:tr>
      <w:tr>
        <w:trPr>
          <w:trHeight w:val="1135" w:hRule="exact"/>
        </w:trPr>
        <w:tc>
          <w:tcPr>
            <w:tcW w:w="1942" w:type="dxa"/>
            <w:tcBorders>
              <w:top w:val="single" w:sz="6" w:space="0" w:color="000000"/>
              <w:left w:val="single" w:sz="4" w:space="0" w:color="000000"/>
              <w:bottom w:val="single" w:sz="4" w:space="0" w:color="000000"/>
              <w:right w:val="single" w:sz="6" w:space="0" w:color="000000"/>
            </w:tcBorders>
          </w:tcPr>
          <w:p>
            <w:pPr>
              <w:pStyle w:val="TableParagraph"/>
              <w:spacing w:line="297" w:lineRule="auto" w:before="18"/>
              <w:ind w:left="103" w:right="95"/>
              <w:jc w:val="both"/>
              <w:rPr>
                <w:rFonts w:ascii="宋体" w:hAnsi="宋体" w:cs="宋体" w:eastAsia="宋体" w:hint="default"/>
                <w:sz w:val="21"/>
                <w:szCs w:val="21"/>
              </w:rPr>
            </w:pPr>
            <w:r>
              <w:rPr>
                <w:rFonts w:ascii="宋体" w:hAnsi="宋体" w:cs="宋体" w:eastAsia="宋体" w:hint="default"/>
                <w:spacing w:val="3"/>
                <w:sz w:val="21"/>
                <w:szCs w:val="21"/>
              </w:rPr>
              <w:t>因股票期权行权而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向激励对象定向发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行的无限售流通股</w:t>
            </w:r>
          </w:p>
        </w:tc>
        <w:tc>
          <w:tcPr>
            <w:tcW w:w="116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left="3" w:right="0"/>
              <w:jc w:val="center"/>
              <w:rPr>
                <w:rFonts w:ascii="宋体" w:hAnsi="宋体" w:cs="宋体" w:eastAsia="宋体" w:hint="default"/>
                <w:sz w:val="21"/>
                <w:szCs w:val="21"/>
              </w:rPr>
            </w:pPr>
            <w:r>
              <w:rPr>
                <w:rFonts w:ascii="宋体"/>
                <w:sz w:val="21"/>
              </w:rPr>
              <w:t>2015/12/9</w:t>
            </w:r>
          </w:p>
        </w:tc>
        <w:tc>
          <w:tcPr>
            <w:tcW w:w="104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14.98</w:t>
            </w:r>
          </w:p>
        </w:tc>
        <w:tc>
          <w:tcPr>
            <w:tcW w:w="126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753,351</w:t>
            </w:r>
          </w:p>
        </w:tc>
        <w:tc>
          <w:tcPr>
            <w:tcW w:w="126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left="98" w:right="0"/>
              <w:jc w:val="left"/>
              <w:rPr>
                <w:rFonts w:ascii="宋体" w:hAnsi="宋体" w:cs="宋体" w:eastAsia="宋体" w:hint="default"/>
                <w:sz w:val="21"/>
                <w:szCs w:val="21"/>
              </w:rPr>
            </w:pPr>
            <w:r>
              <w:rPr>
                <w:rFonts w:ascii="宋体"/>
                <w:sz w:val="21"/>
              </w:rPr>
              <w:t>2016/2/5</w:t>
            </w:r>
          </w:p>
        </w:tc>
        <w:tc>
          <w:tcPr>
            <w:tcW w:w="126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753,351</w:t>
            </w:r>
          </w:p>
        </w:tc>
        <w:tc>
          <w:tcPr>
            <w:tcW w:w="100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97" w:lineRule="auto" w:before="86"/>
        <w:ind w:left="218" w:right="325" w:firstLine="403"/>
        <w:jc w:val="left"/>
      </w:pPr>
      <w:r>
        <w:rPr>
          <w:spacing w:val="-7"/>
        </w:rPr>
        <w:t>（</w:t>
      </w:r>
      <w:r>
        <w:rPr>
          <w:rFonts w:ascii="宋体" w:hAnsi="宋体" w:cs="宋体" w:eastAsia="宋体" w:hint="default"/>
          <w:spacing w:val="-7"/>
        </w:rPr>
        <w:t>1</w:t>
      </w:r>
      <w:r>
        <w:rPr>
          <w:spacing w:val="-7"/>
        </w:rPr>
        <w:t>）公司于</w:t>
      </w:r>
      <w:r>
        <w:rPr>
          <w:spacing w:val="-48"/>
        </w:rPr>
        <w:t> </w:t>
      </w:r>
      <w:r>
        <w:rPr>
          <w:rFonts w:ascii="宋体" w:hAnsi="宋体" w:cs="宋体" w:eastAsia="宋体" w:hint="default"/>
        </w:rPr>
        <w:t>2015</w:t>
      </w:r>
      <w:r>
        <w:rPr>
          <w:rFonts w:ascii="宋体" w:hAnsi="宋体" w:cs="宋体" w:eastAsia="宋体" w:hint="default"/>
          <w:spacing w:val="-45"/>
        </w:rPr>
        <w:t> </w:t>
      </w:r>
      <w:r>
        <w:rPr/>
        <w:t>年</w:t>
      </w:r>
      <w:r>
        <w:rPr>
          <w:spacing w:val="-46"/>
        </w:rPr>
        <w:t> </w:t>
      </w:r>
      <w:r>
        <w:rPr>
          <w:rFonts w:ascii="宋体" w:hAnsi="宋体" w:cs="宋体" w:eastAsia="宋体" w:hint="default"/>
        </w:rPr>
        <w:t>10</w:t>
      </w:r>
      <w:r>
        <w:rPr>
          <w:rFonts w:ascii="宋体" w:hAnsi="宋体" w:cs="宋体" w:eastAsia="宋体" w:hint="default"/>
          <w:spacing w:val="-46"/>
        </w:rPr>
        <w:t> </w:t>
      </w:r>
      <w:r>
        <w:rPr/>
        <w:t>月</w:t>
      </w:r>
      <w:r>
        <w:rPr>
          <w:spacing w:val="-48"/>
        </w:rPr>
        <w:t> </w:t>
      </w:r>
      <w:r>
        <w:rPr>
          <w:rFonts w:ascii="宋体" w:hAnsi="宋体" w:cs="宋体" w:eastAsia="宋体" w:hint="default"/>
        </w:rPr>
        <w:t>9</w:t>
      </w:r>
      <w:r>
        <w:rPr>
          <w:rFonts w:ascii="宋体" w:hAnsi="宋体" w:cs="宋体" w:eastAsia="宋体" w:hint="default"/>
          <w:spacing w:val="-46"/>
        </w:rPr>
        <w:t> </w:t>
      </w:r>
      <w:r>
        <w:rPr>
          <w:spacing w:val="-3"/>
        </w:rPr>
        <w:t>日披露了《用友网络科技股份有限公司董事会关于股票期权行权</w:t>
      </w:r>
      <w:r>
        <w:rPr>
          <w:w w:val="100"/>
        </w:rPr>
        <w:t> </w:t>
      </w:r>
      <w:r>
        <w:rPr>
          <w:spacing w:val="-3"/>
        </w:rPr>
        <w:t>结果暨股份上市公告》（公告编号：临</w:t>
      </w:r>
      <w:r>
        <w:rPr>
          <w:spacing w:val="7"/>
        </w:rPr>
        <w:t> </w:t>
      </w:r>
      <w:r>
        <w:rPr>
          <w:rFonts w:ascii="宋体" w:hAnsi="宋体" w:cs="宋体" w:eastAsia="宋体" w:hint="default"/>
          <w:spacing w:val="-2"/>
        </w:rPr>
        <w:t>2015-063</w:t>
      </w:r>
      <w:r>
        <w:rPr>
          <w:spacing w:val="-2"/>
        </w:rPr>
        <w:t>），公司通过向激励对象定向发行人民币普通股</w:t>
      </w:r>
    </w:p>
    <w:p>
      <w:pPr>
        <w:pStyle w:val="BodyText"/>
        <w:spacing w:line="240" w:lineRule="auto" w:before="15"/>
        <w:ind w:left="218" w:right="0"/>
        <w:jc w:val="left"/>
      </w:pPr>
      <w:r>
        <w:rPr/>
        <w:t>（</w:t>
      </w:r>
      <w:r>
        <w:rPr>
          <w:rFonts w:ascii="宋体" w:hAnsi="宋体" w:cs="宋体" w:eastAsia="宋体" w:hint="default"/>
        </w:rPr>
        <w:t>A</w:t>
      </w:r>
      <w:r>
        <w:rPr>
          <w:rFonts w:ascii="宋体" w:hAnsi="宋体" w:cs="宋体" w:eastAsia="宋体" w:hint="default"/>
          <w:spacing w:val="-55"/>
        </w:rPr>
        <w:t> </w:t>
      </w:r>
      <w:r>
        <w:rPr/>
        <w:t>股）</w:t>
      </w:r>
      <w:r>
        <w:rPr>
          <w:rFonts w:ascii="宋体" w:hAnsi="宋体" w:cs="宋体" w:eastAsia="宋体" w:hint="default"/>
        </w:rPr>
        <w:t>404,640</w:t>
      </w:r>
      <w:r>
        <w:rPr>
          <w:rFonts w:ascii="宋体" w:hAnsi="宋体" w:cs="宋体" w:eastAsia="宋体" w:hint="default"/>
          <w:spacing w:val="-55"/>
        </w:rPr>
        <w:t> </w:t>
      </w:r>
      <w:r>
        <w:rPr/>
        <w:t>股，行权价格为</w:t>
      </w:r>
      <w:r>
        <w:rPr>
          <w:spacing w:val="-55"/>
        </w:rPr>
        <w:t> </w:t>
      </w:r>
      <w:r>
        <w:rPr>
          <w:rFonts w:ascii="宋体" w:hAnsi="宋体" w:cs="宋体" w:eastAsia="宋体" w:hint="default"/>
        </w:rPr>
        <w:t>8.31</w:t>
      </w:r>
      <w:r>
        <w:rPr>
          <w:rFonts w:ascii="宋体" w:hAnsi="宋体" w:cs="宋体" w:eastAsia="宋体" w:hint="default"/>
          <w:spacing w:val="-55"/>
        </w:rPr>
        <w:t> </w:t>
      </w:r>
      <w:r>
        <w:rPr/>
        <w:t>元</w:t>
      </w:r>
      <w:r>
        <w:rPr>
          <w:rFonts w:ascii="宋体" w:hAnsi="宋体" w:cs="宋体" w:eastAsia="宋体" w:hint="default"/>
        </w:rPr>
        <w:t>/</w:t>
      </w:r>
      <w:r>
        <w:rPr/>
        <w:t>股，变更后的公司总股本为</w:t>
      </w:r>
      <w:r>
        <w:rPr>
          <w:spacing w:val="-55"/>
        </w:rPr>
        <w:t> </w:t>
      </w:r>
      <w:r>
        <w:rPr>
          <w:rFonts w:ascii="宋体" w:hAnsi="宋体" w:cs="宋体" w:eastAsia="宋体" w:hint="default"/>
        </w:rPr>
        <w:t>1,459,592,050</w:t>
      </w:r>
      <w:r>
        <w:rPr>
          <w:rFonts w:ascii="宋体" w:hAnsi="宋体" w:cs="宋体" w:eastAsia="宋体" w:hint="default"/>
          <w:spacing w:val="-55"/>
        </w:rPr>
        <w:t> </w:t>
      </w:r>
      <w:r>
        <w:rPr/>
        <w:t>股。</w:t>
      </w:r>
    </w:p>
    <w:p>
      <w:pPr>
        <w:spacing w:line="240" w:lineRule="auto" w:before="3"/>
        <w:rPr>
          <w:rFonts w:ascii="宋体" w:hAnsi="宋体" w:cs="宋体" w:eastAsia="宋体" w:hint="default"/>
          <w:sz w:val="14"/>
          <w:szCs w:val="14"/>
        </w:rPr>
      </w:pPr>
    </w:p>
    <w:p>
      <w:pPr>
        <w:pStyle w:val="BodyText"/>
        <w:spacing w:line="295" w:lineRule="auto"/>
        <w:ind w:left="218" w:right="0" w:firstLine="419"/>
        <w:jc w:val="left"/>
        <w:rPr>
          <w:rFonts w:ascii="宋体" w:hAnsi="宋体" w:cs="宋体" w:eastAsia="宋体" w:hint="default"/>
        </w:rPr>
      </w:pPr>
      <w:r>
        <w:rPr/>
        <w:t>（</w:t>
      </w:r>
      <w:r>
        <w:rPr>
          <w:rFonts w:ascii="宋体" w:hAnsi="宋体" w:cs="宋体" w:eastAsia="宋体" w:hint="default"/>
        </w:rPr>
        <w:t>2</w:t>
      </w:r>
      <w:r>
        <w:rPr/>
        <w:t>）公司于</w:t>
      </w:r>
      <w:r>
        <w:rPr>
          <w:spacing w:val="-51"/>
        </w:rPr>
        <w:t> </w:t>
      </w:r>
      <w:r>
        <w:rPr>
          <w:rFonts w:ascii="宋体" w:hAnsi="宋体" w:cs="宋体" w:eastAsia="宋体" w:hint="default"/>
        </w:rPr>
        <w:t>2015</w:t>
      </w:r>
      <w:r>
        <w:rPr>
          <w:rFonts w:ascii="宋体" w:hAnsi="宋体" w:cs="宋体" w:eastAsia="宋体" w:hint="default"/>
          <w:spacing w:val="-53"/>
        </w:rPr>
        <w:t> </w:t>
      </w:r>
      <w:r>
        <w:rPr/>
        <w:t>年</w:t>
      </w:r>
      <w:r>
        <w:rPr>
          <w:spacing w:val="-51"/>
        </w:rPr>
        <w:t> </w:t>
      </w:r>
      <w:r>
        <w:rPr>
          <w:rFonts w:ascii="宋体" w:hAnsi="宋体" w:cs="宋体" w:eastAsia="宋体" w:hint="default"/>
        </w:rPr>
        <w:t>10</w:t>
      </w:r>
      <w:r>
        <w:rPr>
          <w:rFonts w:ascii="宋体" w:hAnsi="宋体" w:cs="宋体" w:eastAsia="宋体" w:hint="default"/>
          <w:spacing w:val="-54"/>
        </w:rPr>
        <w:t> </w:t>
      </w:r>
      <w:r>
        <w:rPr/>
        <w:t>月</w:t>
      </w:r>
      <w:r>
        <w:rPr>
          <w:spacing w:val="-51"/>
        </w:rPr>
        <w:t> </w:t>
      </w:r>
      <w:r>
        <w:rPr>
          <w:rFonts w:ascii="宋体" w:hAnsi="宋体" w:cs="宋体" w:eastAsia="宋体" w:hint="default"/>
        </w:rPr>
        <w:t>10</w:t>
      </w:r>
      <w:r>
        <w:rPr>
          <w:rFonts w:ascii="宋体" w:hAnsi="宋体" w:cs="宋体" w:eastAsia="宋体" w:hint="default"/>
          <w:spacing w:val="-54"/>
        </w:rPr>
        <w:t> </w:t>
      </w:r>
      <w:r>
        <w:rPr/>
        <w:t>日，公司第六届董事会第二十六次会议审议通过了《公司关于</w:t>
      </w:r>
      <w:r>
        <w:rPr>
          <w:w w:val="100"/>
        </w:rPr>
        <w:t> </w:t>
      </w:r>
      <w:r>
        <w:rPr/>
        <w:t>股权激励计划股票期权符合行权条件的议案》，公司通过向激励对象定向发行人民币普通股（</w:t>
      </w:r>
      <w:r>
        <w:rPr>
          <w:rFonts w:ascii="宋体" w:hAnsi="宋体" w:cs="宋体" w:eastAsia="宋体" w:hint="default"/>
        </w:rPr>
        <w:t>A</w:t>
      </w:r>
    </w:p>
    <w:p>
      <w:pPr>
        <w:spacing w:after="0" w:line="295" w:lineRule="auto"/>
        <w:jc w:val="left"/>
        <w:rPr>
          <w:rFonts w:ascii="宋体" w:hAnsi="宋体" w:cs="宋体" w:eastAsia="宋体" w:hint="default"/>
        </w:rPr>
        <w:sectPr>
          <w:pgSz w:w="11910" w:h="16840"/>
          <w:pgMar w:header="0" w:footer="1335" w:top="1120" w:bottom="1520" w:left="1580" w:right="940"/>
        </w:sectPr>
      </w:pPr>
    </w:p>
    <w:p>
      <w:pPr>
        <w:spacing w:line="240" w:lineRule="auto" w:before="4"/>
        <w:rPr>
          <w:rFonts w:ascii="宋体" w:hAnsi="宋体" w:cs="宋体" w:eastAsia="宋体" w:hint="default"/>
          <w:sz w:val="25"/>
          <w:szCs w:val="25"/>
        </w:rPr>
      </w:pPr>
    </w:p>
    <w:p>
      <w:pPr>
        <w:pStyle w:val="BodyText"/>
        <w:spacing w:line="240" w:lineRule="auto" w:before="36"/>
        <w:ind w:left="958" w:right="0"/>
        <w:jc w:val="left"/>
      </w:pPr>
      <w:r>
        <w:rPr/>
        <w:t>股）</w:t>
      </w:r>
      <w:r>
        <w:rPr>
          <w:rFonts w:ascii="宋体" w:hAnsi="宋体" w:cs="宋体" w:eastAsia="宋体" w:hint="default"/>
        </w:rPr>
        <w:t>5,096,270</w:t>
      </w:r>
      <w:r>
        <w:rPr>
          <w:rFonts w:ascii="宋体" w:hAnsi="宋体" w:cs="宋体" w:eastAsia="宋体" w:hint="default"/>
          <w:spacing w:val="-42"/>
        </w:rPr>
        <w:t> </w:t>
      </w:r>
      <w:r>
        <w:rPr/>
        <w:t>股，其中首次授予的第二期股票期权</w:t>
      </w:r>
      <w:r>
        <w:rPr>
          <w:spacing w:val="-41"/>
        </w:rPr>
        <w:t> </w:t>
      </w:r>
      <w:r>
        <w:rPr>
          <w:rFonts w:ascii="宋体" w:hAnsi="宋体" w:cs="宋体" w:eastAsia="宋体" w:hint="default"/>
        </w:rPr>
        <w:t>4,342,919</w:t>
      </w:r>
      <w:r>
        <w:rPr>
          <w:rFonts w:ascii="宋体" w:hAnsi="宋体" w:cs="宋体" w:eastAsia="宋体" w:hint="default"/>
          <w:spacing w:val="-44"/>
        </w:rPr>
        <w:t> </w:t>
      </w:r>
      <w:r>
        <w:rPr/>
        <w:t>股，行权价格</w:t>
      </w:r>
      <w:r>
        <w:rPr>
          <w:spacing w:val="-41"/>
        </w:rPr>
        <w:t> </w:t>
      </w:r>
      <w:r>
        <w:rPr>
          <w:rFonts w:ascii="宋体" w:hAnsi="宋体" w:cs="宋体" w:eastAsia="宋体" w:hint="default"/>
        </w:rPr>
        <w:t>8.31</w:t>
      </w:r>
      <w:r>
        <w:rPr>
          <w:rFonts w:ascii="宋体" w:hAnsi="宋体" w:cs="宋体" w:eastAsia="宋体" w:hint="default"/>
          <w:spacing w:val="-42"/>
        </w:rPr>
        <w:t> </w:t>
      </w:r>
      <w:r>
        <w:rPr/>
        <w:t>元</w:t>
      </w:r>
      <w:r>
        <w:rPr>
          <w:rFonts w:ascii="宋体" w:hAnsi="宋体" w:cs="宋体" w:eastAsia="宋体" w:hint="default"/>
        </w:rPr>
        <w:t>/</w:t>
      </w:r>
      <w:r>
        <w:rPr/>
        <w:t>股，预留</w:t>
      </w:r>
    </w:p>
    <w:p>
      <w:pPr>
        <w:pStyle w:val="BodyText"/>
        <w:spacing w:line="240" w:lineRule="auto" w:before="66"/>
        <w:ind w:left="958" w:right="0"/>
        <w:jc w:val="left"/>
      </w:pPr>
      <w:r>
        <w:rPr/>
        <w:t>第一期股票期权</w:t>
      </w:r>
      <w:r>
        <w:rPr>
          <w:spacing w:val="-52"/>
        </w:rPr>
        <w:t> </w:t>
      </w:r>
      <w:r>
        <w:rPr>
          <w:rFonts w:ascii="宋体" w:hAnsi="宋体" w:cs="宋体" w:eastAsia="宋体" w:hint="default"/>
        </w:rPr>
        <w:t>753,351</w:t>
      </w:r>
      <w:r>
        <w:rPr>
          <w:rFonts w:ascii="宋体" w:hAnsi="宋体" w:cs="宋体" w:eastAsia="宋体" w:hint="default"/>
          <w:spacing w:val="-54"/>
        </w:rPr>
        <w:t> </w:t>
      </w:r>
      <w:r>
        <w:rPr/>
        <w:t>股，行权价格</w:t>
      </w:r>
      <w:r>
        <w:rPr>
          <w:spacing w:val="-52"/>
        </w:rPr>
        <w:t> </w:t>
      </w:r>
      <w:r>
        <w:rPr>
          <w:rFonts w:ascii="宋体" w:hAnsi="宋体" w:cs="宋体" w:eastAsia="宋体" w:hint="default"/>
        </w:rPr>
        <w:t>14.98</w:t>
      </w:r>
      <w:r>
        <w:rPr>
          <w:rFonts w:ascii="宋体" w:hAnsi="宋体" w:cs="宋体" w:eastAsia="宋体" w:hint="default"/>
          <w:spacing w:val="-54"/>
        </w:rPr>
        <w:t> </w:t>
      </w:r>
      <w:r>
        <w:rPr/>
        <w:t>元</w:t>
      </w:r>
      <w:r>
        <w:rPr>
          <w:rFonts w:ascii="宋体" w:hAnsi="宋体" w:cs="宋体" w:eastAsia="宋体" w:hint="default"/>
        </w:rPr>
        <w:t>/</w:t>
      </w:r>
      <w:r>
        <w:rPr/>
        <w:t>股，变更后的公司总股本为</w:t>
      </w:r>
      <w:r>
        <w:rPr>
          <w:spacing w:val="-53"/>
        </w:rPr>
        <w:t> </w:t>
      </w:r>
      <w:r>
        <w:rPr>
          <w:rFonts w:ascii="宋体" w:hAnsi="宋体" w:cs="宋体" w:eastAsia="宋体" w:hint="default"/>
        </w:rPr>
        <w:t>1,464,688,320</w:t>
      </w:r>
      <w:r>
        <w:rPr>
          <w:rFonts w:ascii="宋体" w:hAnsi="宋体" w:cs="宋体" w:eastAsia="宋体" w:hint="default"/>
          <w:spacing w:val="-52"/>
        </w:rPr>
        <w:t> </w:t>
      </w:r>
      <w:r>
        <w:rPr/>
        <w:t>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line="312" w:lineRule="auto" w:before="0"/>
        <w:ind w:left="137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公司普通股股份总数及股东结构变动及公司资产和负债结构的变动情况</w:t>
      </w:r>
      <w:r>
        <w:rPr>
          <w:rFonts w:ascii="宋体" w:hAnsi="宋体" w:cs="宋体" w:eastAsia="宋体" w:hint="default"/>
          <w:b/>
          <w:bCs/>
          <w:w w:val="100"/>
          <w:sz w:val="21"/>
          <w:szCs w:val="21"/>
        </w:rPr>
        <w:t> </w:t>
      </w:r>
      <w:r>
        <w:rPr>
          <w:rFonts w:ascii="宋体" w:hAnsi="宋体" w:cs="宋体" w:eastAsia="宋体" w:hint="default"/>
          <w:spacing w:val="-2"/>
          <w:sz w:val="21"/>
          <w:szCs w:val="21"/>
        </w:rPr>
        <w:t>除上述“股份变动情况说明”所述情况外，公司无因送股、配股、吸收合并、可转换公司债</w:t>
      </w:r>
    </w:p>
    <w:p>
      <w:pPr>
        <w:pStyle w:val="BodyText"/>
        <w:spacing w:line="240" w:lineRule="auto" w:before="3"/>
        <w:ind w:left="958" w:right="0"/>
        <w:jc w:val="left"/>
      </w:pPr>
      <w:r>
        <w:rPr/>
        <w:t>券转股、减资、内部职工股或公司职工股上市或其他原因引起公司股份总数及结构变动的情况。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36"/>
        <w:ind w:left="958" w:right="0" w:firstLine="0"/>
        <w:jc w:val="left"/>
        <w:rPr>
          <w:rFonts w:ascii="宋体" w:hAnsi="宋体" w:cs="宋体" w:eastAsia="宋体" w:hint="default"/>
          <w:sz w:val="21"/>
          <w:szCs w:val="21"/>
        </w:rPr>
      </w:pPr>
      <w:r>
        <w:rPr>
          <w:rFonts w:ascii="Calibri" w:hAnsi="Calibri" w:cs="Calibri" w:eastAsia="Calibri" w:hint="default"/>
          <w:b/>
          <w:bCs/>
          <w:sz w:val="20"/>
          <w:szCs w:val="20"/>
        </w:rPr>
        <w:t>(</w:t>
      </w:r>
      <w:r>
        <w:rPr>
          <w:rFonts w:ascii="宋体" w:hAnsi="宋体" w:cs="宋体" w:eastAsia="宋体" w:hint="default"/>
          <w:b/>
          <w:bCs/>
          <w:sz w:val="20"/>
          <w:szCs w:val="20"/>
        </w:rPr>
        <w:t>三</w:t>
      </w:r>
      <w:r>
        <w:rPr>
          <w:rFonts w:ascii="Calibri" w:hAnsi="Calibri" w:cs="Calibri" w:eastAsia="Calibri" w:hint="default"/>
          <w:b/>
          <w:bCs/>
          <w:sz w:val="20"/>
          <w:szCs w:val="20"/>
        </w:rPr>
        <w:t>) </w:t>
      </w:r>
      <w:r>
        <w:rPr>
          <w:rFonts w:ascii="Calibri" w:hAnsi="Calibri" w:cs="Calibri" w:eastAsia="Calibri" w:hint="default"/>
          <w:b/>
          <w:bCs/>
          <w:spacing w:val="8"/>
          <w:sz w:val="20"/>
          <w:szCs w:val="20"/>
        </w:rPr>
        <w:t> </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pStyle w:val="BodyText"/>
        <w:tabs>
          <w:tab w:pos="1051" w:val="left" w:leader="none"/>
        </w:tabs>
        <w:spacing w:line="240" w:lineRule="auto" w:before="34"/>
        <w:ind w:left="0" w:right="1070"/>
        <w:jc w:val="right"/>
      </w:pPr>
      <w:r>
        <w:rPr>
          <w:spacing w:val="-1"/>
        </w:rPr>
        <w:t>单位：股</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3017"/>
        <w:gridCol w:w="3015"/>
        <w:gridCol w:w="3017"/>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内部职工股的发行日期</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内部职工股的发行价格（元）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内部职工股的发行数量</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center"/>
              <w:rPr>
                <w:rFonts w:ascii="宋体" w:hAnsi="宋体" w:cs="宋体" w:eastAsia="宋体" w:hint="default"/>
                <w:sz w:val="21"/>
                <w:szCs w:val="21"/>
              </w:rPr>
            </w:pPr>
            <w:r>
              <w:rPr>
                <w:rFonts w:ascii="宋体" w:hAnsi="宋体" w:cs="宋体" w:eastAsia="宋体" w:hint="default"/>
                <w:sz w:val="21"/>
                <w:szCs w:val="21"/>
              </w:rPr>
              <w:t>现存的内部职工股情况的说明</w:t>
            </w:r>
          </w:p>
        </w:tc>
        <w:tc>
          <w:tcPr>
            <w:tcW w:w="6032" w:type="dxa"/>
            <w:gridSpan w:val="2"/>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left="958" w:right="0"/>
        <w:jc w:val="left"/>
        <w:rPr>
          <w:b w:val="0"/>
          <w:bCs w:val="0"/>
        </w:rPr>
      </w:pPr>
      <w:r>
        <w:rPr/>
        <w:t>三、</w:t>
      </w:r>
      <w:r>
        <w:rPr>
          <w:spacing w:val="-80"/>
        </w:rPr>
        <w:t> </w:t>
      </w:r>
      <w:r>
        <w:rPr/>
        <w:t>股东和实际控制人情况</w:t>
      </w:r>
      <w:r>
        <w:rPr>
          <w:b w:val="0"/>
          <w:bCs w:val="0"/>
        </w:rPr>
      </w:r>
    </w:p>
    <w:p>
      <w:pPr>
        <w:pStyle w:val="Heading2"/>
        <w:spacing w:line="240" w:lineRule="auto" w:before="58"/>
        <w:ind w:left="95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84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95,408</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100,645</w:t>
            </w:r>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0" w:footer="1335" w:top="1120" w:bottom="1520" w:left="840" w:right="200"/>
        </w:sectPr>
      </w:pPr>
    </w:p>
    <w:p>
      <w:pPr>
        <w:pStyle w:val="Heading2"/>
        <w:spacing w:line="240" w:lineRule="auto"/>
        <w:ind w:left="95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465"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520" w:left="840" w:right="200"/>
          <w:cols w:num="2" w:equalWidth="0">
            <w:col w:w="8553" w:space="40"/>
            <w:col w:w="227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21"/>
        <w:gridCol w:w="1560"/>
        <w:gridCol w:w="1416"/>
        <w:gridCol w:w="852"/>
        <w:gridCol w:w="992"/>
        <w:gridCol w:w="425"/>
        <w:gridCol w:w="1418"/>
        <w:gridCol w:w="850"/>
      </w:tblGrid>
      <w:tr>
        <w:trPr>
          <w:trHeight w:val="283" w:hRule="exact"/>
        </w:trPr>
        <w:tc>
          <w:tcPr>
            <w:tcW w:w="1063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1" w:hRule="exact"/>
        </w:trPr>
        <w:tc>
          <w:tcPr>
            <w:tcW w:w="31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97" w:right="173"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64" w:right="20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92" w:type="dxa"/>
            <w:vMerge w:val="restart"/>
            <w:tcBorders>
              <w:top w:val="single" w:sz="4" w:space="0" w:color="000000"/>
              <w:left w:val="single" w:sz="4" w:space="0" w:color="000000"/>
              <w:right w:val="single" w:sz="4" w:space="0" w:color="000000"/>
            </w:tcBorders>
          </w:tcPr>
          <w:p>
            <w:pPr>
              <w:pStyle w:val="TableParagraph"/>
              <w:spacing w:line="237" w:lineRule="auto" w:before="110"/>
              <w:ind w:left="175" w:right="171"/>
              <w:jc w:val="both"/>
              <w:rPr>
                <w:rFonts w:ascii="宋体" w:hAnsi="宋体" w:cs="宋体" w:eastAsia="宋体" w:hint="default"/>
                <w:sz w:val="21"/>
                <w:szCs w:val="21"/>
              </w:rPr>
            </w:pPr>
            <w:r>
              <w:rPr>
                <w:rFonts w:ascii="宋体" w:hAnsi="宋体" w:cs="宋体" w:eastAsia="宋体" w:hint="default"/>
                <w:sz w:val="21"/>
                <w:szCs w:val="21"/>
              </w:rPr>
              <w:t>持有有</w:t>
            </w:r>
            <w:r>
              <w:rPr>
                <w:rFonts w:ascii="宋体" w:hAnsi="宋体" w:cs="宋体" w:eastAsia="宋体" w:hint="default"/>
                <w:spacing w:val="-102"/>
                <w:sz w:val="21"/>
                <w:szCs w:val="21"/>
              </w:rPr>
              <w:t> </w:t>
            </w: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08" w:right="207"/>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100" w:hRule="exact"/>
        </w:trPr>
        <w:tc>
          <w:tcPr>
            <w:tcW w:w="3121"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50" w:type="dxa"/>
            <w:vMerge/>
            <w:tcBorders>
              <w:left w:val="single" w:sz="4" w:space="0" w:color="000000"/>
              <w:bottom w:val="single" w:sz="4" w:space="0" w:color="000000"/>
              <w:right w:val="single" w:sz="4" w:space="0" w:color="000000"/>
            </w:tcBorders>
          </w:tcPr>
          <w:p>
            <w:pPr/>
          </w:p>
        </w:tc>
      </w:tr>
      <w:tr>
        <w:trPr>
          <w:trHeight w:val="82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74,915,144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419,281,579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28.63</w:t>
            </w: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8"/>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111,200,000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82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26,742,939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178,456,657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12.18</w:t>
            </w: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826"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上海益倍管理咨询有限公司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10,799,448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70,157,688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4.79</w:t>
            </w: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82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9,758,838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58,553,029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w:t>
            </w:r>
          </w:p>
        </w:tc>
        <w:tc>
          <w:tcPr>
            <w:tcW w:w="99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8"/>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bl>
    <w:p>
      <w:pPr>
        <w:spacing w:after="0" w:line="272" w:lineRule="exact"/>
        <w:jc w:val="left"/>
        <w:rPr>
          <w:rFonts w:ascii="宋体" w:hAnsi="宋体" w:cs="宋体" w:eastAsia="宋体" w:hint="default"/>
          <w:sz w:val="21"/>
          <w:szCs w:val="21"/>
        </w:rPr>
        <w:sectPr>
          <w:type w:val="continuous"/>
          <w:pgSz w:w="11910" w:h="16840"/>
          <w:pgMar w:top="1120" w:bottom="1520" w:left="84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3121"/>
        <w:gridCol w:w="1560"/>
        <w:gridCol w:w="271"/>
        <w:gridCol w:w="1145"/>
        <w:gridCol w:w="852"/>
        <w:gridCol w:w="590"/>
        <w:gridCol w:w="401"/>
        <w:gridCol w:w="425"/>
        <w:gridCol w:w="312"/>
        <w:gridCol w:w="1106"/>
        <w:gridCol w:w="850"/>
      </w:tblGrid>
      <w:tr>
        <w:trPr>
          <w:trHeight w:val="82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上海优富信息咨询有限公司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7,000,000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52" w:right="0"/>
              <w:jc w:val="left"/>
              <w:rPr>
                <w:rFonts w:ascii="宋体" w:hAnsi="宋体" w:cs="宋体" w:eastAsia="宋体" w:hint="default"/>
                <w:sz w:val="21"/>
                <w:szCs w:val="21"/>
              </w:rPr>
            </w:pPr>
            <w:r>
              <w:rPr>
                <w:rFonts w:ascii="宋体"/>
                <w:sz w:val="21"/>
              </w:rPr>
              <w:t>42,000,000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2.87</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29,174,447</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sz w:val="21"/>
              </w:rPr>
              <w:t>29,174,447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1.99</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马信琪</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sz w:val="21"/>
              </w:rPr>
              <w:t>20,000,000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1.37</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然人</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16,988,700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sz w:val="21"/>
              </w:rPr>
              <w:t>16,988,700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82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中国光大银行股份有限公司－</w:t>
            </w:r>
          </w:p>
          <w:p>
            <w:pPr>
              <w:pStyle w:val="TableParagraph"/>
              <w:spacing w:line="272" w:lineRule="exact" w:before="26"/>
              <w:ind w:left="103" w:right="272"/>
              <w:jc w:val="left"/>
              <w:rPr>
                <w:rFonts w:ascii="宋体" w:hAnsi="宋体" w:cs="宋体" w:eastAsia="宋体" w:hint="default"/>
                <w:sz w:val="21"/>
                <w:szCs w:val="21"/>
              </w:rPr>
            </w:pPr>
            <w:r>
              <w:rPr>
                <w:rFonts w:ascii="宋体" w:hAnsi="宋体" w:cs="宋体" w:eastAsia="宋体" w:hint="default"/>
                <w:spacing w:val="-2"/>
                <w:sz w:val="21"/>
                <w:szCs w:val="21"/>
              </w:rPr>
              <w:t>财通多策略精选混合型证券投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资基金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7,455,429</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7" w:right="0"/>
              <w:jc w:val="left"/>
              <w:rPr>
                <w:rFonts w:ascii="宋体" w:hAnsi="宋体" w:cs="宋体" w:eastAsia="宋体" w:hint="default"/>
                <w:sz w:val="21"/>
                <w:szCs w:val="21"/>
              </w:rPr>
            </w:pPr>
            <w:r>
              <w:rPr>
                <w:rFonts w:ascii="宋体"/>
                <w:sz w:val="21"/>
              </w:rPr>
              <w:t>7,455,429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0.51</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南方基金－农业银行－南方中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证金融资产管理计划</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6,571,700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6,571,700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大成基金－农业银行－大成中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证金融资产管理计划</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6,571,700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6,571,700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中欧基金－农业银行－中欧中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证金融资产管理计划</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6,571,700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6,571,700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银华基金－农业银行－银华中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证金融资产管理计划</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6,571,700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6,571,700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博时基金－农业银行－博时中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证金融资产管理计划</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6,571,700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7" w:right="0"/>
              <w:jc w:val="left"/>
              <w:rPr>
                <w:rFonts w:ascii="宋体" w:hAnsi="宋体" w:cs="宋体" w:eastAsia="宋体" w:hint="default"/>
                <w:sz w:val="21"/>
                <w:szCs w:val="21"/>
              </w:rPr>
            </w:pPr>
            <w:r>
              <w:rPr>
                <w:rFonts w:ascii="宋体"/>
                <w:sz w:val="21"/>
              </w:rPr>
              <w:t>6,571,700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0.45</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广发基金－农业银行－广发中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证金融资产管理计划</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6,571,700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6,571,700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工银瑞信基金－农业银行－工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银瑞信中证金融资产管理计划</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6,571,700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6,571,700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嘉实基金－农业银行－嘉实中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证金融资产管理计划</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6,571,700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6,571,700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华夏基金－农业银行－华夏中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证金融资产管理计划</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6,571,700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6,571,700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易方达基金－农业银行－易方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达中证金融资产管理计划</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6,571,700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6,571,700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0.45</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1063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1" w:hRule="exact"/>
        </w:trPr>
        <w:tc>
          <w:tcPr>
            <w:tcW w:w="4952"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588" w:type="dxa"/>
            <w:gridSpan w:val="3"/>
            <w:vMerge w:val="restart"/>
            <w:tcBorders>
              <w:top w:val="single" w:sz="4" w:space="0" w:color="000000"/>
              <w:left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持有无限售条件流通股的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30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4952" w:type="dxa"/>
            <w:gridSpan w:val="3"/>
            <w:vMerge/>
            <w:tcBorders>
              <w:left w:val="single" w:sz="4" w:space="0" w:color="000000"/>
              <w:bottom w:val="single" w:sz="4" w:space="0" w:color="000000"/>
              <w:right w:val="single" w:sz="4" w:space="0" w:color="000000"/>
            </w:tcBorders>
          </w:tcPr>
          <w:p>
            <w:pPr/>
          </w:p>
        </w:tc>
        <w:tc>
          <w:tcPr>
            <w:tcW w:w="2588" w:type="dxa"/>
            <w:gridSpan w:val="3"/>
            <w:vMerge/>
            <w:tcBorders>
              <w:left w:val="single" w:sz="4" w:space="0" w:color="000000"/>
              <w:bottom w:val="single" w:sz="4" w:space="0" w:color="000000"/>
              <w:right w:val="single" w:sz="4" w:space="0" w:color="000000"/>
            </w:tcBorders>
          </w:tcPr>
          <w:p>
            <w:pPr/>
          </w:p>
        </w:tc>
        <w:tc>
          <w:tcPr>
            <w:tcW w:w="11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5" w:hRule="exact"/>
        </w:trPr>
        <w:tc>
          <w:tcPr>
            <w:tcW w:w="4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0" w:right="0"/>
              <w:jc w:val="left"/>
              <w:rPr>
                <w:rFonts w:ascii="宋体" w:hAnsi="宋体" w:cs="宋体" w:eastAsia="宋体" w:hint="default"/>
                <w:sz w:val="21"/>
                <w:szCs w:val="21"/>
              </w:rPr>
            </w:pPr>
            <w:r>
              <w:rPr>
                <w:rFonts w:ascii="宋体"/>
                <w:sz w:val="21"/>
              </w:rPr>
              <w:t>419,281,579</w:t>
            </w:r>
          </w:p>
        </w:tc>
        <w:tc>
          <w:tcPr>
            <w:tcW w:w="11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sz w:val="21"/>
              </w:rPr>
              <w:t>419,281,579</w:t>
            </w:r>
          </w:p>
        </w:tc>
      </w:tr>
      <w:tr>
        <w:trPr>
          <w:trHeight w:val="554" w:hRule="exact"/>
        </w:trPr>
        <w:tc>
          <w:tcPr>
            <w:tcW w:w="4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0" w:right="0"/>
              <w:jc w:val="left"/>
              <w:rPr>
                <w:rFonts w:ascii="宋体" w:hAnsi="宋体" w:cs="宋体" w:eastAsia="宋体" w:hint="default"/>
                <w:sz w:val="21"/>
                <w:szCs w:val="21"/>
              </w:rPr>
            </w:pPr>
            <w:r>
              <w:rPr>
                <w:rFonts w:ascii="宋体"/>
                <w:sz w:val="21"/>
              </w:rPr>
              <w:t>178,456,657</w:t>
            </w:r>
          </w:p>
        </w:tc>
        <w:tc>
          <w:tcPr>
            <w:tcW w:w="11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sz w:val="21"/>
              </w:rPr>
              <w:t>178,456,657</w:t>
            </w:r>
          </w:p>
        </w:tc>
      </w:tr>
      <w:tr>
        <w:trPr>
          <w:trHeight w:val="554" w:hRule="exact"/>
        </w:trPr>
        <w:tc>
          <w:tcPr>
            <w:tcW w:w="4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上海益倍管理咨询有限公司</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23" w:right="0"/>
              <w:jc w:val="left"/>
              <w:rPr>
                <w:rFonts w:ascii="宋体" w:hAnsi="宋体" w:cs="宋体" w:eastAsia="宋体" w:hint="default"/>
                <w:sz w:val="21"/>
                <w:szCs w:val="21"/>
              </w:rPr>
            </w:pPr>
            <w:r>
              <w:rPr>
                <w:rFonts w:ascii="宋体"/>
                <w:sz w:val="21"/>
              </w:rPr>
              <w:t>70,157,688</w:t>
            </w:r>
          </w:p>
        </w:tc>
        <w:tc>
          <w:tcPr>
            <w:tcW w:w="11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1" w:right="0"/>
              <w:jc w:val="left"/>
              <w:rPr>
                <w:rFonts w:ascii="宋体" w:hAnsi="宋体" w:cs="宋体" w:eastAsia="宋体" w:hint="default"/>
                <w:sz w:val="21"/>
                <w:szCs w:val="21"/>
              </w:rPr>
            </w:pPr>
            <w:r>
              <w:rPr>
                <w:rFonts w:ascii="宋体"/>
                <w:sz w:val="21"/>
              </w:rPr>
              <w:t>70,157,688</w:t>
            </w:r>
          </w:p>
        </w:tc>
      </w:tr>
      <w:tr>
        <w:trPr>
          <w:trHeight w:val="557" w:hRule="exact"/>
        </w:trPr>
        <w:tc>
          <w:tcPr>
            <w:tcW w:w="4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23" w:right="0"/>
              <w:jc w:val="left"/>
              <w:rPr>
                <w:rFonts w:ascii="宋体" w:hAnsi="宋体" w:cs="宋体" w:eastAsia="宋体" w:hint="default"/>
                <w:sz w:val="21"/>
                <w:szCs w:val="21"/>
              </w:rPr>
            </w:pPr>
            <w:r>
              <w:rPr>
                <w:rFonts w:ascii="宋体"/>
                <w:sz w:val="21"/>
              </w:rPr>
              <w:t>58,553,029</w:t>
            </w:r>
          </w:p>
        </w:tc>
        <w:tc>
          <w:tcPr>
            <w:tcW w:w="11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1" w:right="0"/>
              <w:jc w:val="left"/>
              <w:rPr>
                <w:rFonts w:ascii="宋体" w:hAnsi="宋体" w:cs="宋体" w:eastAsia="宋体" w:hint="default"/>
                <w:sz w:val="21"/>
                <w:szCs w:val="21"/>
              </w:rPr>
            </w:pPr>
            <w:r>
              <w:rPr>
                <w:rFonts w:ascii="宋体"/>
                <w:sz w:val="21"/>
              </w:rPr>
              <w:t>58,553,029</w:t>
            </w:r>
          </w:p>
        </w:tc>
      </w:tr>
      <w:tr>
        <w:trPr>
          <w:trHeight w:val="554" w:hRule="exact"/>
        </w:trPr>
        <w:tc>
          <w:tcPr>
            <w:tcW w:w="4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上海优富信息咨询有限公司</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3" w:right="0"/>
              <w:jc w:val="left"/>
              <w:rPr>
                <w:rFonts w:ascii="宋体" w:hAnsi="宋体" w:cs="宋体" w:eastAsia="宋体" w:hint="default"/>
                <w:sz w:val="21"/>
                <w:szCs w:val="21"/>
              </w:rPr>
            </w:pPr>
            <w:r>
              <w:rPr>
                <w:rFonts w:ascii="宋体"/>
                <w:sz w:val="21"/>
              </w:rPr>
              <w:t>42,000,000</w:t>
            </w:r>
          </w:p>
        </w:tc>
        <w:tc>
          <w:tcPr>
            <w:tcW w:w="11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sz w:val="21"/>
              </w:rPr>
              <w:t>42,000,000</w:t>
            </w:r>
          </w:p>
        </w:tc>
      </w:tr>
      <w:tr>
        <w:trPr>
          <w:trHeight w:val="554" w:hRule="exact"/>
        </w:trPr>
        <w:tc>
          <w:tcPr>
            <w:tcW w:w="4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3" w:right="0"/>
              <w:jc w:val="left"/>
              <w:rPr>
                <w:rFonts w:ascii="宋体" w:hAnsi="宋体" w:cs="宋体" w:eastAsia="宋体" w:hint="default"/>
                <w:sz w:val="21"/>
                <w:szCs w:val="21"/>
              </w:rPr>
            </w:pPr>
            <w:r>
              <w:rPr>
                <w:rFonts w:ascii="宋体"/>
                <w:sz w:val="21"/>
              </w:rPr>
              <w:t>29,174,447</w:t>
            </w:r>
          </w:p>
        </w:tc>
        <w:tc>
          <w:tcPr>
            <w:tcW w:w="11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sz w:val="21"/>
              </w:rPr>
              <w:t>29,174,447</w:t>
            </w:r>
          </w:p>
        </w:tc>
      </w:tr>
      <w:tr>
        <w:trPr>
          <w:trHeight w:val="555" w:hRule="exact"/>
        </w:trPr>
        <w:tc>
          <w:tcPr>
            <w:tcW w:w="49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马信琪</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3" w:right="0"/>
              <w:jc w:val="left"/>
              <w:rPr>
                <w:rFonts w:ascii="宋体" w:hAnsi="宋体" w:cs="宋体" w:eastAsia="宋体" w:hint="default"/>
                <w:sz w:val="21"/>
                <w:szCs w:val="21"/>
              </w:rPr>
            </w:pPr>
            <w:r>
              <w:rPr>
                <w:rFonts w:ascii="宋体"/>
                <w:sz w:val="21"/>
              </w:rPr>
              <w:t>20,000,000</w:t>
            </w:r>
          </w:p>
        </w:tc>
        <w:tc>
          <w:tcPr>
            <w:tcW w:w="11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1" w:right="0"/>
              <w:jc w:val="left"/>
              <w:rPr>
                <w:rFonts w:ascii="宋体" w:hAnsi="宋体" w:cs="宋体" w:eastAsia="宋体" w:hint="default"/>
                <w:sz w:val="21"/>
                <w:szCs w:val="21"/>
              </w:rPr>
            </w:pPr>
            <w:r>
              <w:rPr>
                <w:rFonts w:ascii="宋体"/>
                <w:sz w:val="21"/>
              </w:rPr>
              <w:t>20,000,000</w:t>
            </w:r>
          </w:p>
        </w:tc>
      </w:tr>
    </w:tbl>
    <w:p>
      <w:pPr>
        <w:spacing w:after="0" w:line="241" w:lineRule="exact"/>
        <w:jc w:val="left"/>
        <w:rPr>
          <w:rFonts w:ascii="宋体" w:hAnsi="宋体" w:cs="宋体" w:eastAsia="宋体" w:hint="default"/>
          <w:sz w:val="21"/>
          <w:szCs w:val="21"/>
        </w:rPr>
        <w:sectPr>
          <w:pgSz w:w="11910" w:h="16840"/>
          <w:pgMar w:header="0" w:footer="1335" w:top="1120" w:bottom="1520" w:left="840" w:right="2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4952"/>
        <w:gridCol w:w="2588"/>
        <w:gridCol w:w="1138"/>
        <w:gridCol w:w="1956"/>
      </w:tblGrid>
      <w:tr>
        <w:trPr>
          <w:trHeight w:val="557"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16,988,700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16,988,700</w:t>
            </w:r>
          </w:p>
        </w:tc>
      </w:tr>
      <w:tr>
        <w:trPr>
          <w:trHeight w:val="554"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南方基金－农业银行－南方中证金融资产管理计划</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6,571,700</w:t>
            </w:r>
          </w:p>
        </w:tc>
      </w:tr>
      <w:tr>
        <w:trPr>
          <w:trHeight w:val="554"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大成基金－农业银行－大成中证金融资产管理计划</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6,571,700</w:t>
            </w:r>
          </w:p>
        </w:tc>
      </w:tr>
      <w:tr>
        <w:trPr>
          <w:trHeight w:val="554"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中欧基金－农业银行－中欧中证金融资产管理计划</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6,571,700</w:t>
            </w:r>
          </w:p>
        </w:tc>
      </w:tr>
      <w:tr>
        <w:trPr>
          <w:trHeight w:val="554"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银华基金－农业银行－银华中证金融资产管理计划</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6,571,700</w:t>
            </w:r>
          </w:p>
        </w:tc>
      </w:tr>
      <w:tr>
        <w:trPr>
          <w:trHeight w:val="554"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博时基金－农业银行－博时中证金融资产管理计划</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6,571,700</w:t>
            </w:r>
          </w:p>
        </w:tc>
      </w:tr>
      <w:tr>
        <w:trPr>
          <w:trHeight w:val="555"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广发基金－农业银行－广发中证金融资产管理计划</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6,571,700</w:t>
            </w:r>
          </w:p>
        </w:tc>
      </w:tr>
      <w:tr>
        <w:trPr>
          <w:trHeight w:val="554"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工银瑞信基金－农业银行－工银瑞信中证金融资产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管理计划</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6,571,700</w:t>
            </w:r>
          </w:p>
        </w:tc>
      </w:tr>
      <w:tr>
        <w:trPr>
          <w:trHeight w:val="554"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嘉实基金－农业银行－嘉实中证金融资产管理计划</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6,571,700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6,571,700</w:t>
            </w:r>
          </w:p>
        </w:tc>
      </w:tr>
      <w:tr>
        <w:trPr>
          <w:trHeight w:val="557"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华夏基金－农业银行－华夏中证金融资产管理计划</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6,571,700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6,571,700</w:t>
            </w:r>
          </w:p>
        </w:tc>
      </w:tr>
      <w:tr>
        <w:trPr>
          <w:trHeight w:val="554"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易方达基金－农业银行－易方达中证金融资产管理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6,571,700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6,571,700</w:t>
            </w:r>
          </w:p>
        </w:tc>
      </w:tr>
      <w:tr>
        <w:trPr>
          <w:trHeight w:val="555"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中国工商银行股份有限公司－富国中证工业</w:t>
            </w:r>
            <w:r>
              <w:rPr>
                <w:rFonts w:ascii="宋体" w:hAnsi="宋体" w:cs="宋体" w:eastAsia="宋体" w:hint="default"/>
                <w:spacing w:val="-54"/>
                <w:sz w:val="21"/>
                <w:szCs w:val="21"/>
              </w:rPr>
              <w:t> </w:t>
            </w:r>
            <w:r>
              <w:rPr>
                <w:rFonts w:ascii="宋体" w:hAnsi="宋体" w:cs="宋体" w:eastAsia="宋体" w:hint="default"/>
                <w:sz w:val="21"/>
                <w:szCs w:val="21"/>
              </w:rPr>
              <w:t>4.0</w:t>
            </w:r>
            <w:r>
              <w:rPr>
                <w:rFonts w:ascii="宋体" w:hAnsi="宋体" w:cs="宋体" w:eastAsia="宋体" w:hint="default"/>
                <w:spacing w:val="-54"/>
                <w:sz w:val="21"/>
                <w:szCs w:val="21"/>
              </w:rPr>
              <w:t> </w:t>
            </w:r>
            <w:r>
              <w:rPr>
                <w:rFonts w:ascii="宋体" w:hAnsi="宋体" w:cs="宋体" w:eastAsia="宋体" w:hint="default"/>
                <w:sz w:val="21"/>
                <w:szCs w:val="21"/>
              </w:rPr>
              <w:t>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数分级证券投资基金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5,547,122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5,547,122</w:t>
            </w:r>
          </w:p>
        </w:tc>
      </w:tr>
      <w:tr>
        <w:trPr>
          <w:trHeight w:val="3994"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6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97"/>
              <w:jc w:val="both"/>
              <w:rPr>
                <w:rFonts w:ascii="宋体" w:hAnsi="宋体" w:cs="宋体" w:eastAsia="宋体" w:hint="default"/>
                <w:sz w:val="21"/>
                <w:szCs w:val="21"/>
              </w:rPr>
            </w:pPr>
            <w:r>
              <w:rPr>
                <w:rFonts w:ascii="宋体" w:hAnsi="宋体" w:cs="宋体" w:eastAsia="宋体" w:hint="default"/>
                <w:spacing w:val="-2"/>
                <w:sz w:val="21"/>
                <w:szCs w:val="21"/>
              </w:rPr>
              <w:t>北京用友科技有限公司</w:t>
            </w:r>
            <w:r>
              <w:rPr>
                <w:rFonts w:ascii="宋体" w:hAnsi="宋体" w:cs="宋体" w:eastAsia="宋体" w:hint="default"/>
                <w:spacing w:val="-2"/>
                <w:sz w:val="21"/>
                <w:szCs w:val="21"/>
              </w:rPr>
              <w:t>(</w:t>
            </w:r>
            <w:r>
              <w:rPr>
                <w:rFonts w:ascii="宋体" w:hAnsi="宋体" w:cs="宋体" w:eastAsia="宋体" w:hint="default"/>
                <w:spacing w:val="-2"/>
                <w:sz w:val="21"/>
                <w:szCs w:val="21"/>
              </w:rPr>
              <w:t>简称“用友科技”</w:t>
            </w:r>
            <w:r>
              <w:rPr>
                <w:rFonts w:ascii="宋体" w:hAnsi="宋体" w:cs="宋体" w:eastAsia="宋体" w:hint="default"/>
                <w:spacing w:val="-2"/>
                <w:sz w:val="21"/>
                <w:szCs w:val="21"/>
              </w:rPr>
              <w:t>)</w:t>
            </w:r>
            <w:r>
              <w:rPr>
                <w:rFonts w:ascii="宋体" w:hAnsi="宋体" w:cs="宋体" w:eastAsia="宋体" w:hint="default"/>
                <w:spacing w:val="-2"/>
                <w:sz w:val="21"/>
                <w:szCs w:val="21"/>
              </w:rPr>
              <w:t>、上海用友科技</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咨询有限公司</w:t>
            </w:r>
            <w:r>
              <w:rPr>
                <w:rFonts w:ascii="宋体" w:hAnsi="宋体" w:cs="宋体" w:eastAsia="宋体" w:hint="default"/>
                <w:spacing w:val="-2"/>
                <w:sz w:val="21"/>
                <w:szCs w:val="21"/>
              </w:rPr>
              <w:t>(</w:t>
            </w:r>
            <w:r>
              <w:rPr>
                <w:rFonts w:ascii="宋体" w:hAnsi="宋体" w:cs="宋体" w:eastAsia="宋体" w:hint="default"/>
                <w:spacing w:val="-2"/>
                <w:sz w:val="21"/>
                <w:szCs w:val="21"/>
              </w:rPr>
              <w:t>简称“用友咨询”</w:t>
            </w:r>
            <w:r>
              <w:rPr>
                <w:rFonts w:ascii="宋体" w:hAnsi="宋体" w:cs="宋体" w:eastAsia="宋体" w:hint="default"/>
                <w:spacing w:val="-2"/>
                <w:sz w:val="21"/>
                <w:szCs w:val="21"/>
              </w:rPr>
              <w:t>)</w:t>
            </w:r>
            <w:r>
              <w:rPr>
                <w:rFonts w:ascii="宋体" w:hAnsi="宋体" w:cs="宋体" w:eastAsia="宋体" w:hint="default"/>
                <w:spacing w:val="-2"/>
                <w:sz w:val="21"/>
                <w:szCs w:val="21"/>
              </w:rPr>
              <w:t>和北京用友企业管理研究</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所有限公司</w:t>
            </w:r>
            <w:r>
              <w:rPr>
                <w:rFonts w:ascii="宋体" w:hAnsi="宋体" w:cs="宋体" w:eastAsia="宋体" w:hint="default"/>
                <w:spacing w:val="-2"/>
                <w:sz w:val="21"/>
                <w:szCs w:val="21"/>
              </w:rPr>
              <w:t>(</w:t>
            </w:r>
            <w:r>
              <w:rPr>
                <w:rFonts w:ascii="宋体" w:hAnsi="宋体" w:cs="宋体" w:eastAsia="宋体" w:hint="default"/>
                <w:spacing w:val="-2"/>
                <w:sz w:val="21"/>
                <w:szCs w:val="21"/>
              </w:rPr>
              <w:t>简称“用友研究所”</w:t>
            </w:r>
            <w:r>
              <w:rPr>
                <w:rFonts w:ascii="宋体" w:hAnsi="宋体" w:cs="宋体" w:eastAsia="宋体" w:hint="default"/>
                <w:spacing w:val="-2"/>
                <w:sz w:val="21"/>
                <w:szCs w:val="21"/>
              </w:rPr>
              <w:t>)</w:t>
            </w:r>
            <w:r>
              <w:rPr>
                <w:rFonts w:ascii="宋体" w:hAnsi="宋体" w:cs="宋体" w:eastAsia="宋体" w:hint="default"/>
                <w:spacing w:val="-2"/>
                <w:sz w:val="21"/>
                <w:szCs w:val="21"/>
              </w:rPr>
              <w:t>因受相同控股股东控制而</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存在关联关系，上海益倍管理咨询有限公司</w:t>
            </w:r>
            <w:r>
              <w:rPr>
                <w:rFonts w:ascii="宋体" w:hAnsi="宋体" w:cs="宋体" w:eastAsia="宋体" w:hint="default"/>
                <w:spacing w:val="2"/>
                <w:sz w:val="21"/>
                <w:szCs w:val="21"/>
              </w:rPr>
              <w:t>(</w:t>
            </w:r>
            <w:r>
              <w:rPr>
                <w:rFonts w:ascii="宋体" w:hAnsi="宋体" w:cs="宋体" w:eastAsia="宋体" w:hint="default"/>
                <w:spacing w:val="2"/>
                <w:sz w:val="21"/>
                <w:szCs w:val="21"/>
              </w:rPr>
              <w:t>简称“上海益</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6"/>
                <w:sz w:val="21"/>
                <w:szCs w:val="21"/>
              </w:rPr>
              <w:t>倍”</w:t>
            </w:r>
            <w:r>
              <w:rPr>
                <w:rFonts w:ascii="宋体" w:hAnsi="宋体" w:cs="宋体" w:eastAsia="宋体" w:hint="default"/>
                <w:spacing w:val="-6"/>
                <w:sz w:val="21"/>
                <w:szCs w:val="21"/>
              </w:rPr>
              <w:t>)</w:t>
            </w:r>
            <w:r>
              <w:rPr>
                <w:rFonts w:ascii="宋体" w:hAnsi="宋体" w:cs="宋体" w:eastAsia="宋体" w:hint="default"/>
                <w:spacing w:val="-6"/>
                <w:sz w:val="21"/>
                <w:szCs w:val="21"/>
              </w:rPr>
              <w:t>与上海优富信息咨询有限公司</w:t>
            </w:r>
            <w:r>
              <w:rPr>
                <w:rFonts w:ascii="宋体" w:hAnsi="宋体" w:cs="宋体" w:eastAsia="宋体" w:hint="default"/>
                <w:spacing w:val="-6"/>
                <w:sz w:val="21"/>
                <w:szCs w:val="21"/>
              </w:rPr>
              <w:t>(</w:t>
            </w:r>
            <w:r>
              <w:rPr>
                <w:rFonts w:ascii="宋体" w:hAnsi="宋体" w:cs="宋体" w:eastAsia="宋体" w:hint="default"/>
                <w:spacing w:val="-6"/>
                <w:sz w:val="21"/>
                <w:szCs w:val="21"/>
              </w:rPr>
              <w:t>简称“上海优富”</w:t>
            </w:r>
            <w:r>
              <w:rPr>
                <w:rFonts w:ascii="宋体" w:hAnsi="宋体" w:cs="宋体" w:eastAsia="宋体" w:hint="default"/>
                <w:spacing w:val="-6"/>
                <w:sz w:val="21"/>
                <w:szCs w:val="21"/>
              </w:rPr>
              <w:t>)</w:t>
            </w:r>
            <w:r>
              <w:rPr>
                <w:rFonts w:ascii="宋体" w:hAnsi="宋体" w:cs="宋体" w:eastAsia="宋体" w:hint="default"/>
                <w:spacing w:val="-6"/>
                <w:sz w:val="21"/>
                <w:szCs w:val="21"/>
              </w:rPr>
              <w:t>因其</w:t>
            </w:r>
            <w:r>
              <w:rPr>
                <w:rFonts w:ascii="宋体" w:hAnsi="宋体" w:cs="宋体" w:eastAsia="宋体" w:hint="default"/>
                <w:spacing w:val="-49"/>
                <w:sz w:val="21"/>
                <w:szCs w:val="21"/>
              </w:rPr>
              <w:t> </w:t>
            </w:r>
            <w:r>
              <w:rPr>
                <w:rFonts w:ascii="宋体" w:hAnsi="宋体" w:cs="宋体" w:eastAsia="宋体" w:hint="default"/>
                <w:spacing w:val="-2"/>
                <w:sz w:val="21"/>
                <w:szCs w:val="21"/>
              </w:rPr>
              <w:t>执行董事同时担任用友咨询与用友研究所的董事而分别与用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友咨询和用友研究所形成关联关系。上海益倍与上海优富因</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受不同控股股东控制而不存在关联关系，与用友科技因受不</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同控股股东控制也不存在关联关系。上述五家股东与其他股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东之间不存在关联关系。本公司不了解其他股东之间是否存</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在关联关系或是否是一致行动人。</w:t>
            </w:r>
          </w:p>
        </w:tc>
      </w:tr>
      <w:tr>
        <w:trPr>
          <w:trHeight w:val="283"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5682" w:type="dxa"/>
            <w:gridSpan w:val="3"/>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17"/>
          <w:szCs w:val="17"/>
        </w:rPr>
      </w:pPr>
    </w:p>
    <w:p>
      <w:pPr>
        <w:pStyle w:val="BodyText"/>
        <w:spacing w:line="273" w:lineRule="exact" w:before="36"/>
        <w:ind w:left="958" w:right="0"/>
        <w:jc w:val="left"/>
      </w:pPr>
      <w:r>
        <w:rPr/>
        <w:t>前十名有限售条件股东持股数量及限售条件</w:t>
      </w:r>
    </w:p>
    <w:p>
      <w:pPr>
        <w:pStyle w:val="BodyText"/>
        <w:spacing w:line="273" w:lineRule="exact"/>
        <w:ind w:left="0" w:right="1070"/>
        <w:jc w:val="right"/>
      </w:pPr>
      <w:r>
        <w:rPr>
          <w:spacing w:val="-1"/>
        </w:rPr>
        <w:t>单位：股</w:t>
      </w:r>
    </w:p>
    <w:p>
      <w:pPr>
        <w:spacing w:line="240" w:lineRule="auto" w:before="7"/>
        <w:rPr>
          <w:rFonts w:ascii="宋体" w:hAnsi="宋体" w:cs="宋体" w:eastAsia="宋体" w:hint="default"/>
          <w:sz w:val="2"/>
          <w:szCs w:val="2"/>
        </w:rPr>
      </w:pPr>
    </w:p>
    <w:tbl>
      <w:tblPr>
        <w:tblW w:w="0" w:type="auto"/>
        <w:jc w:val="left"/>
        <w:tblInd w:w="526" w:type="dxa"/>
        <w:tblLayout w:type="fixed"/>
        <w:tblCellMar>
          <w:top w:w="0" w:type="dxa"/>
          <w:left w:w="0" w:type="dxa"/>
          <w:bottom w:w="0" w:type="dxa"/>
          <w:right w:w="0" w:type="dxa"/>
        </w:tblCellMar>
        <w:tblLook w:val="01E0"/>
      </w:tblPr>
      <w:tblGrid>
        <w:gridCol w:w="970"/>
        <w:gridCol w:w="3322"/>
        <w:gridCol w:w="1637"/>
        <w:gridCol w:w="1202"/>
        <w:gridCol w:w="1193"/>
        <w:gridCol w:w="1601"/>
      </w:tblGrid>
      <w:tr>
        <w:trPr>
          <w:trHeight w:val="554" w:hRule="exact"/>
        </w:trPr>
        <w:tc>
          <w:tcPr>
            <w:tcW w:w="9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82" w:right="180"/>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交易情况</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826" w:hRule="exact"/>
        </w:trPr>
        <w:tc>
          <w:tcPr>
            <w:tcW w:w="970" w:type="dxa"/>
            <w:vMerge/>
            <w:tcBorders>
              <w:left w:val="single" w:sz="4" w:space="0" w:color="000000"/>
              <w:bottom w:val="single" w:sz="4" w:space="0" w:color="000000"/>
              <w:right w:val="single" w:sz="4" w:space="0" w:color="000000"/>
            </w:tcBorders>
          </w:tcPr>
          <w:p>
            <w:pPr/>
          </w:p>
        </w:tc>
        <w:tc>
          <w:tcPr>
            <w:tcW w:w="3322" w:type="dxa"/>
            <w:vMerge/>
            <w:tcBorders>
              <w:left w:val="single" w:sz="4" w:space="0" w:color="000000"/>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80" w:right="173" w:hanging="106"/>
              <w:jc w:val="left"/>
              <w:rPr>
                <w:rFonts w:ascii="宋体" w:hAnsi="宋体" w:cs="宋体" w:eastAsia="宋体" w:hint="default"/>
                <w:sz w:val="21"/>
                <w:szCs w:val="21"/>
              </w:rPr>
            </w:pPr>
            <w:r>
              <w:rPr>
                <w:rFonts w:ascii="宋体" w:hAnsi="宋体" w:cs="宋体" w:eastAsia="宋体" w:hint="default"/>
                <w:sz w:val="21"/>
                <w:szCs w:val="21"/>
              </w:rPr>
              <w:t>可上市交</w:t>
            </w:r>
            <w:r>
              <w:rPr>
                <w:rFonts w:ascii="宋体" w:hAnsi="宋体" w:cs="宋体" w:eastAsia="宋体" w:hint="default"/>
                <w:w w:val="100"/>
                <w:sz w:val="21"/>
                <w:szCs w:val="21"/>
              </w:rPr>
              <w:t> </w:t>
            </w:r>
            <w:r>
              <w:rPr>
                <w:rFonts w:ascii="宋体" w:hAnsi="宋体" w:cs="宋体" w:eastAsia="宋体" w:hint="default"/>
                <w:sz w:val="21"/>
                <w:szCs w:val="21"/>
              </w:rPr>
              <w:t>易时间</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sz w:val="21"/>
                <w:szCs w:val="21"/>
              </w:rPr>
              <w:t>新增可上</w:t>
            </w:r>
          </w:p>
          <w:p>
            <w:pPr>
              <w:pStyle w:val="TableParagraph"/>
              <w:spacing w:line="240" w:lineRule="auto"/>
              <w:ind w:left="273" w:right="168" w:hanging="104"/>
              <w:jc w:val="left"/>
              <w:rPr>
                <w:rFonts w:ascii="宋体" w:hAnsi="宋体" w:cs="宋体" w:eastAsia="宋体" w:hint="default"/>
                <w:sz w:val="21"/>
                <w:szCs w:val="21"/>
              </w:rPr>
            </w:pPr>
            <w:r>
              <w:rPr>
                <w:rFonts w:ascii="宋体" w:hAnsi="宋体" w:cs="宋体" w:eastAsia="宋体" w:hint="default"/>
                <w:sz w:val="21"/>
                <w:szCs w:val="21"/>
              </w:rPr>
              <w:t>市交易股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601"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335" w:top="1120" w:bottom="1520" w:left="840" w:right="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970"/>
        <w:gridCol w:w="3322"/>
        <w:gridCol w:w="1637"/>
        <w:gridCol w:w="1202"/>
        <w:gridCol w:w="1193"/>
        <w:gridCol w:w="1601"/>
      </w:tblGrid>
      <w:tr>
        <w:trPr>
          <w:trHeight w:val="828"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1</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中国光大银行股份有限公司</w:t>
            </w:r>
            <w:r>
              <w:rPr>
                <w:rFonts w:ascii="宋体" w:hAnsi="宋体" w:cs="宋体" w:eastAsia="宋体" w:hint="default"/>
                <w:sz w:val="21"/>
                <w:szCs w:val="21"/>
              </w:rPr>
              <w:t>-</w:t>
            </w:r>
            <w:r>
              <w:rPr>
                <w:rFonts w:ascii="宋体" w:hAnsi="宋体" w:cs="宋体" w:eastAsia="宋体" w:hint="default"/>
                <w:sz w:val="21"/>
                <w:szCs w:val="21"/>
              </w:rPr>
              <w:t>财通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多策略精选混合型证券投资基金</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7,455,429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6"/>
              <w:jc w:val="center"/>
              <w:rPr>
                <w:rFonts w:ascii="宋体" w:hAnsi="宋体" w:cs="宋体" w:eastAsia="宋体" w:hint="default"/>
                <w:sz w:val="21"/>
                <w:szCs w:val="21"/>
              </w:rPr>
            </w:pPr>
            <w:r>
              <w:rPr>
                <w:rFonts w:ascii="宋体"/>
                <w:sz w:val="21"/>
              </w:rPr>
              <w:t>2016/8/21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7,455,429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自发行之日起</w:t>
            </w:r>
          </w:p>
          <w:p>
            <w:pPr>
              <w:pStyle w:val="TableParagraph"/>
              <w:spacing w:line="240" w:lineRule="auto"/>
              <w:ind w:left="100" w:right="225"/>
              <w:jc w:val="left"/>
              <w:rPr>
                <w:rFonts w:ascii="宋体" w:hAnsi="宋体" w:cs="宋体" w:eastAsia="宋体" w:hint="default"/>
                <w:sz w:val="21"/>
                <w:szCs w:val="21"/>
              </w:rPr>
            </w:pPr>
            <w:r>
              <w:rPr>
                <w:rFonts w:ascii="宋体" w:hAnsi="宋体" w:cs="宋体" w:eastAsia="宋体" w:hint="default"/>
                <w:sz w:val="21"/>
                <w:szCs w:val="21"/>
              </w:rPr>
              <w:t>一年内不得上</w:t>
            </w:r>
            <w:r>
              <w:rPr>
                <w:rFonts w:ascii="宋体" w:hAnsi="宋体" w:cs="宋体" w:eastAsia="宋体" w:hint="default"/>
                <w:w w:val="100"/>
                <w:sz w:val="21"/>
                <w:szCs w:val="21"/>
              </w:rPr>
              <w:t> </w:t>
            </w:r>
            <w:r>
              <w:rPr>
                <w:rFonts w:ascii="宋体" w:hAnsi="宋体" w:cs="宋体" w:eastAsia="宋体" w:hint="default"/>
                <w:sz w:val="21"/>
                <w:szCs w:val="21"/>
              </w:rPr>
              <w:t>市买卖</w:t>
            </w:r>
          </w:p>
        </w:tc>
      </w:tr>
      <w:tr>
        <w:trPr>
          <w:trHeight w:val="828"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国华人寿保险股份有限公司</w:t>
            </w:r>
            <w:r>
              <w:rPr>
                <w:rFonts w:ascii="宋体" w:hAnsi="宋体" w:cs="宋体" w:eastAsia="宋体" w:hint="default"/>
                <w:sz w:val="21"/>
                <w:szCs w:val="21"/>
              </w:rPr>
              <w:t>-</w:t>
            </w:r>
            <w:r>
              <w:rPr>
                <w:rFonts w:ascii="宋体" w:hAnsi="宋体" w:cs="宋体" w:eastAsia="宋体" w:hint="default"/>
                <w:sz w:val="21"/>
                <w:szCs w:val="21"/>
              </w:rPr>
              <w:t>自有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6,482,982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sz w:val="21"/>
              </w:rPr>
              <w:t>2016/8/21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6,482,982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自发行之日起</w:t>
            </w:r>
          </w:p>
          <w:p>
            <w:pPr>
              <w:pStyle w:val="TableParagraph"/>
              <w:spacing w:line="272" w:lineRule="exact" w:before="27"/>
              <w:ind w:left="100" w:right="225"/>
              <w:jc w:val="left"/>
              <w:rPr>
                <w:rFonts w:ascii="宋体" w:hAnsi="宋体" w:cs="宋体" w:eastAsia="宋体" w:hint="default"/>
                <w:sz w:val="21"/>
                <w:szCs w:val="21"/>
              </w:rPr>
            </w:pPr>
            <w:r>
              <w:rPr>
                <w:rFonts w:ascii="宋体" w:hAnsi="宋体" w:cs="宋体" w:eastAsia="宋体" w:hint="default"/>
                <w:sz w:val="21"/>
                <w:szCs w:val="21"/>
              </w:rPr>
              <w:t>一年内不得上</w:t>
            </w:r>
            <w:r>
              <w:rPr>
                <w:rFonts w:ascii="宋体" w:hAnsi="宋体" w:cs="宋体" w:eastAsia="宋体" w:hint="default"/>
                <w:w w:val="100"/>
                <w:sz w:val="21"/>
                <w:szCs w:val="21"/>
              </w:rPr>
              <w:t> </w:t>
            </w:r>
            <w:r>
              <w:rPr>
                <w:rFonts w:ascii="宋体" w:hAnsi="宋体" w:cs="宋体" w:eastAsia="宋体" w:hint="default"/>
                <w:sz w:val="21"/>
                <w:szCs w:val="21"/>
              </w:rPr>
              <w:t>市买卖</w:t>
            </w:r>
          </w:p>
        </w:tc>
      </w:tr>
      <w:tr>
        <w:trPr>
          <w:trHeight w:val="82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上海原点资产管理有限公司</w:t>
            </w:r>
            <w:r>
              <w:rPr>
                <w:rFonts w:ascii="宋体" w:hAnsi="宋体" w:cs="宋体" w:eastAsia="宋体" w:hint="default"/>
                <w:sz w:val="21"/>
                <w:szCs w:val="21"/>
              </w:rPr>
              <w:t>-</w:t>
            </w:r>
            <w:r>
              <w:rPr>
                <w:rFonts w:ascii="宋体" w:hAnsi="宋体" w:cs="宋体" w:eastAsia="宋体" w:hint="default"/>
                <w:sz w:val="21"/>
                <w:szCs w:val="21"/>
              </w:rPr>
              <w:t>原点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号基金</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5,834,683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sz w:val="21"/>
              </w:rPr>
              <w:t>2016/8/21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5,834,683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自发行之日起</w:t>
            </w:r>
          </w:p>
          <w:p>
            <w:pPr>
              <w:pStyle w:val="TableParagraph"/>
              <w:spacing w:line="240" w:lineRule="auto"/>
              <w:ind w:left="100" w:right="225"/>
              <w:jc w:val="left"/>
              <w:rPr>
                <w:rFonts w:ascii="宋体" w:hAnsi="宋体" w:cs="宋体" w:eastAsia="宋体" w:hint="default"/>
                <w:sz w:val="21"/>
                <w:szCs w:val="21"/>
              </w:rPr>
            </w:pPr>
            <w:r>
              <w:rPr>
                <w:rFonts w:ascii="宋体" w:hAnsi="宋体" w:cs="宋体" w:eastAsia="宋体" w:hint="default"/>
                <w:sz w:val="21"/>
                <w:szCs w:val="21"/>
              </w:rPr>
              <w:t>一年内不得上</w:t>
            </w:r>
            <w:r>
              <w:rPr>
                <w:rFonts w:ascii="宋体" w:hAnsi="宋体" w:cs="宋体" w:eastAsia="宋体" w:hint="default"/>
                <w:w w:val="100"/>
                <w:sz w:val="21"/>
                <w:szCs w:val="21"/>
              </w:rPr>
              <w:t> </w:t>
            </w:r>
            <w:r>
              <w:rPr>
                <w:rFonts w:ascii="宋体" w:hAnsi="宋体" w:cs="宋体" w:eastAsia="宋体" w:hint="default"/>
                <w:sz w:val="21"/>
                <w:szCs w:val="21"/>
              </w:rPr>
              <w:t>市买卖</w:t>
            </w:r>
          </w:p>
        </w:tc>
      </w:tr>
      <w:tr>
        <w:trPr>
          <w:trHeight w:val="828"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平安大华基金</w:t>
            </w:r>
            <w:r>
              <w:rPr>
                <w:rFonts w:ascii="宋体" w:hAnsi="宋体" w:cs="宋体" w:eastAsia="宋体" w:hint="default"/>
                <w:sz w:val="21"/>
                <w:szCs w:val="21"/>
              </w:rPr>
              <w:t>-</w:t>
            </w:r>
            <w:r>
              <w:rPr>
                <w:rFonts w:ascii="宋体" w:hAnsi="宋体" w:cs="宋体" w:eastAsia="宋体" w:hint="default"/>
                <w:sz w:val="21"/>
                <w:szCs w:val="21"/>
              </w:rPr>
              <w:t>平安银行</w:t>
            </w:r>
            <w:r>
              <w:rPr>
                <w:rFonts w:ascii="宋体" w:hAnsi="宋体" w:cs="宋体" w:eastAsia="宋体" w:hint="default"/>
                <w:sz w:val="21"/>
                <w:szCs w:val="21"/>
              </w:rPr>
              <w:t>-</w:t>
            </w:r>
            <w:r>
              <w:rPr>
                <w:rFonts w:ascii="宋体" w:hAnsi="宋体" w:cs="宋体" w:eastAsia="宋体" w:hint="default"/>
                <w:sz w:val="21"/>
                <w:szCs w:val="21"/>
              </w:rPr>
              <w:t>中融国</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际信托</w:t>
            </w:r>
            <w:r>
              <w:rPr>
                <w:rFonts w:ascii="宋体" w:hAnsi="宋体" w:cs="宋体" w:eastAsia="宋体" w:hint="default"/>
                <w:sz w:val="21"/>
                <w:szCs w:val="21"/>
              </w:rPr>
              <w:t>-</w:t>
            </w:r>
            <w:r>
              <w:rPr>
                <w:rFonts w:ascii="宋体" w:hAnsi="宋体" w:cs="宋体" w:eastAsia="宋体" w:hint="default"/>
                <w:sz w:val="21"/>
                <w:szCs w:val="21"/>
              </w:rPr>
              <w:t>中融</w:t>
            </w:r>
            <w:r>
              <w:rPr>
                <w:rFonts w:ascii="宋体" w:hAnsi="宋体" w:cs="宋体" w:eastAsia="宋体" w:hint="default"/>
                <w:sz w:val="21"/>
                <w:szCs w:val="21"/>
              </w:rPr>
              <w:t>-</w:t>
            </w:r>
            <w:r>
              <w:rPr>
                <w:rFonts w:ascii="宋体" w:hAnsi="宋体" w:cs="宋体" w:eastAsia="宋体" w:hint="default"/>
                <w:sz w:val="21"/>
                <w:szCs w:val="21"/>
              </w:rPr>
              <w:t>稳达定增</w:t>
            </w:r>
            <w:r>
              <w:rPr>
                <w:rFonts w:ascii="宋体" w:hAnsi="宋体" w:cs="宋体" w:eastAsia="宋体" w:hint="default"/>
                <w:spacing w:val="-76"/>
                <w:sz w:val="21"/>
                <w:szCs w:val="21"/>
              </w:rPr>
              <w:t> </w:t>
            </w:r>
            <w:r>
              <w:rPr>
                <w:rFonts w:ascii="宋体" w:hAnsi="宋体" w:cs="宋体" w:eastAsia="宋体" w:hint="default"/>
                <w:sz w:val="21"/>
                <w:szCs w:val="21"/>
              </w:rPr>
              <w:t>1</w:t>
            </w:r>
            <w:r>
              <w:rPr>
                <w:rFonts w:ascii="宋体" w:hAnsi="宋体" w:cs="宋体" w:eastAsia="宋体" w:hint="default"/>
                <w:spacing w:val="-77"/>
                <w:sz w:val="21"/>
                <w:szCs w:val="21"/>
              </w:rPr>
              <w:t> </w:t>
            </w:r>
            <w:r>
              <w:rPr>
                <w:rFonts w:ascii="宋体" w:hAnsi="宋体" w:cs="宋体" w:eastAsia="宋体" w:hint="default"/>
                <w:sz w:val="21"/>
                <w:szCs w:val="21"/>
              </w:rPr>
              <w:t>号单一资</w:t>
            </w:r>
            <w:r>
              <w:rPr>
                <w:rFonts w:ascii="宋体" w:hAnsi="宋体" w:cs="宋体" w:eastAsia="宋体" w:hint="default"/>
                <w:w w:val="100"/>
                <w:sz w:val="21"/>
                <w:szCs w:val="21"/>
              </w:rPr>
              <w:t> </w:t>
            </w:r>
            <w:r>
              <w:rPr>
                <w:rFonts w:ascii="宋体" w:hAnsi="宋体" w:cs="宋体" w:eastAsia="宋体" w:hint="default"/>
                <w:sz w:val="21"/>
                <w:szCs w:val="21"/>
              </w:rPr>
              <w:t>金信托</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5,348,460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sz w:val="21"/>
              </w:rPr>
              <w:t>2016/8/21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5,348,460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自发行之日起</w:t>
            </w:r>
          </w:p>
          <w:p>
            <w:pPr>
              <w:pStyle w:val="TableParagraph"/>
              <w:spacing w:line="272" w:lineRule="exact" w:before="27"/>
              <w:ind w:left="100" w:right="225"/>
              <w:jc w:val="left"/>
              <w:rPr>
                <w:rFonts w:ascii="宋体" w:hAnsi="宋体" w:cs="宋体" w:eastAsia="宋体" w:hint="default"/>
                <w:sz w:val="21"/>
                <w:szCs w:val="21"/>
              </w:rPr>
            </w:pPr>
            <w:r>
              <w:rPr>
                <w:rFonts w:ascii="宋体" w:hAnsi="宋体" w:cs="宋体" w:eastAsia="宋体" w:hint="default"/>
                <w:sz w:val="21"/>
                <w:szCs w:val="21"/>
              </w:rPr>
              <w:t>一年内不得上</w:t>
            </w:r>
            <w:r>
              <w:rPr>
                <w:rFonts w:ascii="宋体" w:hAnsi="宋体" w:cs="宋体" w:eastAsia="宋体" w:hint="default"/>
                <w:w w:val="100"/>
                <w:sz w:val="21"/>
                <w:szCs w:val="21"/>
              </w:rPr>
              <w:t> </w:t>
            </w:r>
            <w:r>
              <w:rPr>
                <w:rFonts w:ascii="宋体" w:hAnsi="宋体" w:cs="宋体" w:eastAsia="宋体" w:hint="default"/>
                <w:sz w:val="21"/>
                <w:szCs w:val="21"/>
              </w:rPr>
              <w:t>市买卖</w:t>
            </w:r>
          </w:p>
        </w:tc>
      </w:tr>
      <w:tr>
        <w:trPr>
          <w:trHeight w:val="82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北京基业华商投资管理中心（有限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5,348,460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sz w:val="21"/>
              </w:rPr>
              <w:t>2016/8/21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5,348,460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自发行之日起</w:t>
            </w:r>
          </w:p>
          <w:p>
            <w:pPr>
              <w:pStyle w:val="TableParagraph"/>
              <w:spacing w:line="240" w:lineRule="auto"/>
              <w:ind w:left="100" w:right="225"/>
              <w:jc w:val="left"/>
              <w:rPr>
                <w:rFonts w:ascii="宋体" w:hAnsi="宋体" w:cs="宋体" w:eastAsia="宋体" w:hint="default"/>
                <w:sz w:val="21"/>
                <w:szCs w:val="21"/>
              </w:rPr>
            </w:pPr>
            <w:r>
              <w:rPr>
                <w:rFonts w:ascii="宋体" w:hAnsi="宋体" w:cs="宋体" w:eastAsia="宋体" w:hint="default"/>
                <w:sz w:val="21"/>
                <w:szCs w:val="21"/>
              </w:rPr>
              <w:t>一年内不得上</w:t>
            </w:r>
            <w:r>
              <w:rPr>
                <w:rFonts w:ascii="宋体" w:hAnsi="宋体" w:cs="宋体" w:eastAsia="宋体" w:hint="default"/>
                <w:w w:val="100"/>
                <w:sz w:val="21"/>
                <w:szCs w:val="21"/>
              </w:rPr>
              <w:t> </w:t>
            </w:r>
            <w:r>
              <w:rPr>
                <w:rFonts w:ascii="宋体" w:hAnsi="宋体" w:cs="宋体" w:eastAsia="宋体" w:hint="default"/>
                <w:sz w:val="21"/>
                <w:szCs w:val="21"/>
              </w:rPr>
              <w:t>市买卖</w:t>
            </w:r>
          </w:p>
        </w:tc>
      </w:tr>
      <w:tr>
        <w:trPr>
          <w:trHeight w:val="828"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6</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安徽省铁路建设投资基金有限公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3,118,316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
              <w:jc w:val="center"/>
              <w:rPr>
                <w:rFonts w:ascii="宋体" w:hAnsi="宋体" w:cs="宋体" w:eastAsia="宋体" w:hint="default"/>
                <w:sz w:val="21"/>
                <w:szCs w:val="21"/>
              </w:rPr>
            </w:pPr>
            <w:r>
              <w:rPr>
                <w:rFonts w:ascii="宋体"/>
                <w:sz w:val="21"/>
              </w:rPr>
              <w:t>2016/8/21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3,118,316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自发行之日起</w:t>
            </w:r>
          </w:p>
          <w:p>
            <w:pPr>
              <w:pStyle w:val="TableParagraph"/>
              <w:spacing w:line="240" w:lineRule="auto"/>
              <w:ind w:left="100" w:right="225"/>
              <w:jc w:val="left"/>
              <w:rPr>
                <w:rFonts w:ascii="宋体" w:hAnsi="宋体" w:cs="宋体" w:eastAsia="宋体" w:hint="default"/>
                <w:sz w:val="21"/>
                <w:szCs w:val="21"/>
              </w:rPr>
            </w:pPr>
            <w:r>
              <w:rPr>
                <w:rFonts w:ascii="宋体" w:hAnsi="宋体" w:cs="宋体" w:eastAsia="宋体" w:hint="default"/>
                <w:sz w:val="21"/>
                <w:szCs w:val="21"/>
              </w:rPr>
              <w:t>一年内不得上</w:t>
            </w:r>
            <w:r>
              <w:rPr>
                <w:rFonts w:ascii="宋体" w:hAnsi="宋体" w:cs="宋体" w:eastAsia="宋体" w:hint="default"/>
                <w:w w:val="100"/>
                <w:sz w:val="21"/>
                <w:szCs w:val="21"/>
              </w:rPr>
              <w:t> </w:t>
            </w:r>
            <w:r>
              <w:rPr>
                <w:rFonts w:ascii="宋体" w:hAnsi="宋体" w:cs="宋体" w:eastAsia="宋体" w:hint="default"/>
                <w:sz w:val="21"/>
                <w:szCs w:val="21"/>
              </w:rPr>
              <w:t>市买卖</w:t>
            </w:r>
          </w:p>
        </w:tc>
      </w:tr>
      <w:tr>
        <w:trPr>
          <w:trHeight w:val="828"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7</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中国太平洋财产保险股份有限公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传统</w:t>
            </w:r>
            <w:r>
              <w:rPr>
                <w:rFonts w:ascii="宋体" w:hAnsi="宋体" w:cs="宋体" w:eastAsia="宋体" w:hint="default"/>
                <w:sz w:val="21"/>
                <w:szCs w:val="21"/>
              </w:rPr>
              <w:t>-</w:t>
            </w:r>
            <w:r>
              <w:rPr>
                <w:rFonts w:ascii="宋体" w:hAnsi="宋体" w:cs="宋体" w:eastAsia="宋体" w:hint="default"/>
                <w:sz w:val="21"/>
                <w:szCs w:val="21"/>
              </w:rPr>
              <w:t>普通保险产品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-013C-CT001</w:t>
            </w:r>
            <w:r>
              <w:rPr>
                <w:rFonts w:ascii="宋体" w:hAnsi="宋体" w:cs="宋体" w:eastAsia="宋体" w:hint="default"/>
                <w:spacing w:val="-52"/>
                <w:sz w:val="21"/>
                <w:szCs w:val="21"/>
              </w:rPr>
              <w:t> </w:t>
            </w:r>
            <w:r>
              <w:rPr>
                <w:rFonts w:ascii="宋体" w:hAnsi="宋体" w:cs="宋体" w:eastAsia="宋体" w:hint="default"/>
                <w:sz w:val="21"/>
                <w:szCs w:val="21"/>
              </w:rPr>
              <w:t>沪</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1,786,386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sz w:val="21"/>
              </w:rPr>
              <w:t>2016/8/21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1,786,386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自发行之日起</w:t>
            </w:r>
          </w:p>
          <w:p>
            <w:pPr>
              <w:pStyle w:val="TableParagraph"/>
              <w:spacing w:line="272" w:lineRule="exact" w:before="27"/>
              <w:ind w:left="100" w:right="225"/>
              <w:jc w:val="left"/>
              <w:rPr>
                <w:rFonts w:ascii="宋体" w:hAnsi="宋体" w:cs="宋体" w:eastAsia="宋体" w:hint="default"/>
                <w:sz w:val="21"/>
                <w:szCs w:val="21"/>
              </w:rPr>
            </w:pPr>
            <w:r>
              <w:rPr>
                <w:rFonts w:ascii="宋体" w:hAnsi="宋体" w:cs="宋体" w:eastAsia="宋体" w:hint="default"/>
                <w:sz w:val="21"/>
                <w:szCs w:val="21"/>
              </w:rPr>
              <w:t>一年内不得上</w:t>
            </w:r>
            <w:r>
              <w:rPr>
                <w:rFonts w:ascii="宋体" w:hAnsi="宋体" w:cs="宋体" w:eastAsia="宋体" w:hint="default"/>
                <w:w w:val="100"/>
                <w:sz w:val="21"/>
                <w:szCs w:val="21"/>
              </w:rPr>
              <w:t> </w:t>
            </w:r>
            <w:r>
              <w:rPr>
                <w:rFonts w:ascii="宋体" w:hAnsi="宋体" w:cs="宋体" w:eastAsia="宋体" w:hint="default"/>
                <w:sz w:val="21"/>
                <w:szCs w:val="21"/>
              </w:rPr>
              <w:t>市买卖</w:t>
            </w:r>
          </w:p>
        </w:tc>
      </w:tr>
      <w:tr>
        <w:trPr>
          <w:trHeight w:val="82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中国太平洋保险股份有限公司</w:t>
            </w:r>
            <w:r>
              <w:rPr>
                <w:rFonts w:ascii="宋体" w:hAnsi="宋体" w:cs="宋体" w:eastAsia="宋体" w:hint="default"/>
                <w:sz w:val="21"/>
                <w:szCs w:val="21"/>
              </w:rPr>
              <w:t>-</w:t>
            </w:r>
            <w:r>
              <w:rPr>
                <w:rFonts w:ascii="宋体" w:hAnsi="宋体" w:cs="宋体" w:eastAsia="宋体" w:hint="default"/>
                <w:sz w:val="21"/>
                <w:szCs w:val="21"/>
              </w:rPr>
              <w:t>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红</w:t>
            </w:r>
            <w:r>
              <w:rPr>
                <w:rFonts w:ascii="宋体" w:hAnsi="宋体" w:cs="宋体" w:eastAsia="宋体" w:hint="default"/>
                <w:sz w:val="21"/>
                <w:szCs w:val="21"/>
              </w:rPr>
              <w:t>-</w:t>
            </w:r>
            <w:r>
              <w:rPr>
                <w:rFonts w:ascii="宋体" w:hAnsi="宋体" w:cs="宋体" w:eastAsia="宋体" w:hint="default"/>
                <w:sz w:val="21"/>
                <w:szCs w:val="21"/>
              </w:rPr>
              <w:t>个人分红</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1,781,037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sz w:val="21"/>
              </w:rPr>
              <w:t>2016/8/21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1,781,037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自发行之日起</w:t>
            </w:r>
          </w:p>
          <w:p>
            <w:pPr>
              <w:pStyle w:val="TableParagraph"/>
              <w:spacing w:line="240" w:lineRule="auto"/>
              <w:ind w:left="100" w:right="225"/>
              <w:jc w:val="left"/>
              <w:rPr>
                <w:rFonts w:ascii="宋体" w:hAnsi="宋体" w:cs="宋体" w:eastAsia="宋体" w:hint="default"/>
                <w:sz w:val="21"/>
                <w:szCs w:val="21"/>
              </w:rPr>
            </w:pPr>
            <w:r>
              <w:rPr>
                <w:rFonts w:ascii="宋体" w:hAnsi="宋体" w:cs="宋体" w:eastAsia="宋体" w:hint="default"/>
                <w:sz w:val="21"/>
                <w:szCs w:val="21"/>
              </w:rPr>
              <w:t>一年内不得上</w:t>
            </w:r>
            <w:r>
              <w:rPr>
                <w:rFonts w:ascii="宋体" w:hAnsi="宋体" w:cs="宋体" w:eastAsia="宋体" w:hint="default"/>
                <w:w w:val="100"/>
                <w:sz w:val="21"/>
                <w:szCs w:val="21"/>
              </w:rPr>
              <w:t> </w:t>
            </w:r>
            <w:r>
              <w:rPr>
                <w:rFonts w:ascii="宋体" w:hAnsi="宋体" w:cs="宋体" w:eastAsia="宋体" w:hint="default"/>
                <w:sz w:val="21"/>
                <w:szCs w:val="21"/>
              </w:rPr>
              <w:t>市买卖</w:t>
            </w:r>
          </w:p>
        </w:tc>
      </w:tr>
      <w:tr>
        <w:trPr>
          <w:trHeight w:val="828"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中国太平洋人寿保险股份有限公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传统</w:t>
            </w:r>
            <w:r>
              <w:rPr>
                <w:rFonts w:ascii="宋体" w:hAnsi="宋体" w:cs="宋体" w:eastAsia="宋体" w:hint="default"/>
                <w:sz w:val="21"/>
                <w:szCs w:val="21"/>
              </w:rPr>
              <w:t>-</w:t>
            </w:r>
            <w:r>
              <w:rPr>
                <w:rFonts w:ascii="宋体" w:hAnsi="宋体" w:cs="宋体" w:eastAsia="宋体" w:hint="default"/>
                <w:sz w:val="21"/>
                <w:szCs w:val="21"/>
              </w:rPr>
              <w:t>普通保险产品</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1,781,037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sz w:val="21"/>
              </w:rPr>
              <w:t>2016/8/21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1,781,037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自发行之日起</w:t>
            </w:r>
          </w:p>
          <w:p>
            <w:pPr>
              <w:pStyle w:val="TableParagraph"/>
              <w:spacing w:line="272" w:lineRule="exact" w:before="27"/>
              <w:ind w:left="100" w:right="225"/>
              <w:jc w:val="left"/>
              <w:rPr>
                <w:rFonts w:ascii="宋体" w:hAnsi="宋体" w:cs="宋体" w:eastAsia="宋体" w:hint="default"/>
                <w:sz w:val="21"/>
                <w:szCs w:val="21"/>
              </w:rPr>
            </w:pPr>
            <w:r>
              <w:rPr>
                <w:rFonts w:ascii="宋体" w:hAnsi="宋体" w:cs="宋体" w:eastAsia="宋体" w:hint="default"/>
                <w:sz w:val="21"/>
                <w:szCs w:val="21"/>
              </w:rPr>
              <w:t>一年内不得上</w:t>
            </w:r>
            <w:r>
              <w:rPr>
                <w:rFonts w:ascii="宋体" w:hAnsi="宋体" w:cs="宋体" w:eastAsia="宋体" w:hint="default"/>
                <w:w w:val="100"/>
                <w:sz w:val="21"/>
                <w:szCs w:val="21"/>
              </w:rPr>
              <w:t> </w:t>
            </w:r>
            <w:r>
              <w:rPr>
                <w:rFonts w:ascii="宋体" w:hAnsi="宋体" w:cs="宋体" w:eastAsia="宋体" w:hint="default"/>
                <w:sz w:val="21"/>
                <w:szCs w:val="21"/>
              </w:rPr>
              <w:t>市买卖</w:t>
            </w:r>
          </w:p>
        </w:tc>
      </w:tr>
      <w:tr>
        <w:trPr>
          <w:trHeight w:val="826"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财通基金</w:t>
            </w:r>
            <w:r>
              <w:rPr>
                <w:rFonts w:ascii="宋体" w:hAnsi="宋体" w:cs="宋体" w:eastAsia="宋体" w:hint="default"/>
                <w:sz w:val="21"/>
                <w:szCs w:val="21"/>
              </w:rPr>
              <w:t>-</w:t>
            </w:r>
            <w:r>
              <w:rPr>
                <w:rFonts w:ascii="宋体" w:hAnsi="宋体" w:cs="宋体" w:eastAsia="宋体" w:hint="default"/>
                <w:sz w:val="21"/>
                <w:szCs w:val="21"/>
              </w:rPr>
              <w:t>兴业银行</w:t>
            </w:r>
            <w:r>
              <w:rPr>
                <w:rFonts w:ascii="宋体" w:hAnsi="宋体" w:cs="宋体" w:eastAsia="宋体" w:hint="default"/>
                <w:sz w:val="21"/>
                <w:szCs w:val="21"/>
              </w:rPr>
              <w:t>-</w:t>
            </w:r>
            <w:r>
              <w:rPr>
                <w:rFonts w:ascii="宋体" w:hAnsi="宋体" w:cs="宋体" w:eastAsia="宋体" w:hint="default"/>
                <w:sz w:val="21"/>
                <w:szCs w:val="21"/>
              </w:rPr>
              <w:t>北京基业华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商投资管理中心（有限合伙）</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1,604,538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sz w:val="21"/>
              </w:rPr>
              <w:t>2016/8/21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1,604,538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自发行之日起</w:t>
            </w:r>
          </w:p>
          <w:p>
            <w:pPr>
              <w:pStyle w:val="TableParagraph"/>
              <w:spacing w:line="240" w:lineRule="auto"/>
              <w:ind w:left="100" w:right="225"/>
              <w:jc w:val="left"/>
              <w:rPr>
                <w:rFonts w:ascii="宋体" w:hAnsi="宋体" w:cs="宋体" w:eastAsia="宋体" w:hint="default"/>
                <w:sz w:val="21"/>
                <w:szCs w:val="21"/>
              </w:rPr>
            </w:pPr>
            <w:r>
              <w:rPr>
                <w:rFonts w:ascii="宋体" w:hAnsi="宋体" w:cs="宋体" w:eastAsia="宋体" w:hint="default"/>
                <w:sz w:val="21"/>
                <w:szCs w:val="21"/>
              </w:rPr>
              <w:t>一年内不得上</w:t>
            </w:r>
            <w:r>
              <w:rPr>
                <w:rFonts w:ascii="宋体" w:hAnsi="宋体" w:cs="宋体" w:eastAsia="宋体" w:hint="default"/>
                <w:w w:val="100"/>
                <w:sz w:val="21"/>
                <w:szCs w:val="21"/>
              </w:rPr>
              <w:t> </w:t>
            </w:r>
            <w:r>
              <w:rPr>
                <w:rFonts w:ascii="宋体" w:hAnsi="宋体" w:cs="宋体" w:eastAsia="宋体" w:hint="default"/>
                <w:sz w:val="21"/>
                <w:szCs w:val="21"/>
              </w:rPr>
              <w:t>市买卖</w:t>
            </w:r>
          </w:p>
        </w:tc>
      </w:tr>
      <w:tr>
        <w:trPr>
          <w:trHeight w:val="1272" w:hRule="exact"/>
        </w:trPr>
        <w:tc>
          <w:tcPr>
            <w:tcW w:w="4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6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97" w:lineRule="auto" w:before="88"/>
              <w:ind w:left="103" w:right="196"/>
              <w:jc w:val="both"/>
              <w:rPr>
                <w:rFonts w:ascii="宋体" w:hAnsi="宋体" w:cs="宋体" w:eastAsia="宋体" w:hint="default"/>
                <w:sz w:val="21"/>
                <w:szCs w:val="21"/>
              </w:rPr>
            </w:pPr>
            <w:r>
              <w:rPr>
                <w:rFonts w:ascii="宋体" w:hAnsi="宋体" w:cs="宋体" w:eastAsia="宋体" w:hint="default"/>
                <w:sz w:val="21"/>
                <w:szCs w:val="21"/>
              </w:rPr>
              <w:t>上述股东与公司五家发起人股东之间不存在关联关系或一</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致行动关系。本公司不了解上述股东之间是否存在关联关</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系或是否是一致行动人。</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tabs>
          <w:tab w:pos="1104" w:val="left" w:leader="none"/>
        </w:tabs>
        <w:spacing w:line="240" w:lineRule="auto"/>
        <w:ind w:left="53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spacing w:line="240" w:lineRule="auto" w:before="11"/>
        <w:rPr>
          <w:rFonts w:ascii="宋体" w:hAnsi="宋体" w:cs="宋体" w:eastAsia="宋体" w:hint="default"/>
          <w:b/>
          <w:bCs/>
          <w:sz w:val="4"/>
          <w:szCs w:val="4"/>
        </w:rPr>
      </w:pPr>
    </w:p>
    <w:tbl>
      <w:tblPr>
        <w:tblW w:w="0" w:type="auto"/>
        <w:jc w:val="left"/>
        <w:tblInd w:w="42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战略投资者或一般法人的名称</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sz w:val="21"/>
                <w:szCs w:val="21"/>
              </w:rPr>
              <w:t>约定持股起始日期</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约定持股终止日期</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战略投资者或一般法人参与配</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售新股约定持股期限的说明</w:t>
            </w:r>
          </w:p>
        </w:tc>
        <w:tc>
          <w:tcPr>
            <w:tcW w:w="6032"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335" w:top="1120" w:bottom="1520" w:left="1260" w:right="500"/>
        </w:sectPr>
      </w:pPr>
    </w:p>
    <w:p>
      <w:pPr>
        <w:spacing w:line="240" w:lineRule="auto" w:before="4"/>
        <w:rPr>
          <w:rFonts w:ascii="宋体" w:hAnsi="宋体" w:cs="宋体" w:eastAsia="宋体" w:hint="default"/>
          <w:b/>
          <w:bCs/>
          <w:sz w:val="25"/>
          <w:szCs w:val="25"/>
        </w:rPr>
      </w:pPr>
    </w:p>
    <w:p>
      <w:pPr>
        <w:pStyle w:val="Heading2"/>
        <w:spacing w:line="240" w:lineRule="auto"/>
        <w:ind w:right="2465"/>
        <w:jc w:val="left"/>
        <w:rPr>
          <w:b w:val="0"/>
          <w:bCs w:val="0"/>
        </w:rPr>
      </w:pPr>
      <w:r>
        <w:rPr/>
        <w:t>四、</w:t>
      </w:r>
      <w:r>
        <w:rPr>
          <w:spacing w:val="-79"/>
        </w:rPr>
        <w:t> </w:t>
      </w:r>
      <w:r>
        <w:rPr/>
        <w:t>控股股东及实际控制人情况</w:t>
      </w:r>
      <w:r>
        <w:rPr>
          <w:b w:val="0"/>
          <w:bCs w:val="0"/>
        </w:rPr>
      </w:r>
    </w:p>
    <w:p>
      <w:pPr>
        <w:pStyle w:val="Heading2"/>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10"/>
              <w:jc w:val="left"/>
              <w:rPr>
                <w:rFonts w:ascii="宋体" w:hAnsi="宋体" w:cs="宋体" w:eastAsia="宋体" w:hint="default"/>
                <w:sz w:val="21"/>
                <w:szCs w:val="21"/>
              </w:rPr>
            </w:pPr>
            <w:r>
              <w:rPr>
                <w:rFonts w:ascii="宋体" w:hAnsi="宋体" w:cs="宋体" w:eastAsia="宋体" w:hint="default"/>
                <w:spacing w:val="-5"/>
                <w:sz w:val="21"/>
                <w:szCs w:val="21"/>
              </w:rPr>
              <w:t>技术开发、技术转让、技术咨询、技术服务；企业管理咨询、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经济信息咨询；项目投资；投资管理</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pStyle w:val="Heading2"/>
        <w:tabs>
          <w:tab w:pos="637" w:val="left" w:leader="none"/>
        </w:tabs>
        <w:spacing w:line="240" w:lineRule="auto"/>
        <w:ind w:right="2465"/>
        <w:jc w:val="left"/>
        <w:rPr>
          <w:b w:val="0"/>
          <w:bCs w:val="0"/>
        </w:rPr>
      </w:pPr>
      <w:r>
        <w:rPr>
          <w:rFonts w:ascii="宋体" w:hAnsi="宋体" w:cs="宋体" w:eastAsia="宋体" w:hint="default"/>
          <w:w w:val="95"/>
        </w:rPr>
        <w:t>2</w:t>
        <w:tab/>
      </w:r>
      <w:r>
        <w:rPr/>
        <w:t>自然人</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79"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Heading2"/>
        <w:tabs>
          <w:tab w:pos="637" w:val="left" w:leader="none"/>
        </w:tabs>
        <w:spacing w:line="240" w:lineRule="auto"/>
        <w:ind w:right="2465"/>
        <w:jc w:val="left"/>
        <w:rPr>
          <w:b w:val="0"/>
          <w:bCs w:val="0"/>
        </w:rPr>
      </w:pPr>
      <w:r>
        <w:rPr>
          <w:rFonts w:ascii="宋体" w:hAnsi="宋体" w:cs="宋体" w:eastAsia="宋体" w:hint="default"/>
          <w:w w:val="95"/>
        </w:rPr>
        <w:t>3</w:t>
        <w:tab/>
      </w:r>
      <w:r>
        <w:rPr/>
        <w:t>公司不存在控股股东情况的特别说明</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2"/>
        <w:tabs>
          <w:tab w:pos="637" w:val="left" w:leader="none"/>
        </w:tabs>
        <w:spacing w:line="240" w:lineRule="auto"/>
        <w:ind w:right="2465"/>
        <w:jc w:val="left"/>
        <w:rPr>
          <w:b w:val="0"/>
          <w:bCs w:val="0"/>
        </w:rPr>
      </w:pPr>
      <w:r>
        <w:rPr>
          <w:rFonts w:ascii="宋体" w:hAnsi="宋体" w:cs="宋体" w:eastAsia="宋体" w:hint="default"/>
          <w:w w:val="95"/>
        </w:rPr>
        <w:t>4</w:t>
        <w:tab/>
      </w:r>
      <w:r>
        <w:rPr/>
        <w:t>报告期内控股股东变更情况索引及日期</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tabs>
          <w:tab w:pos="637" w:val="left" w:leader="none"/>
        </w:tabs>
        <w:spacing w:line="240" w:lineRule="auto"/>
        <w:ind w:right="246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spacing w:line="240" w:lineRule="auto" w:before="11"/>
        <w:rPr>
          <w:rFonts w:ascii="宋体" w:hAnsi="宋体" w:cs="宋体" w:eastAsia="宋体" w:hint="default"/>
          <w:b/>
          <w:bCs/>
          <w:sz w:val="6"/>
          <w:szCs w:val="6"/>
        </w:rPr>
      </w:pPr>
    </w:p>
    <w:p>
      <w:pPr>
        <w:spacing w:line="3317" w:lineRule="exact"/>
        <w:ind w:left="217"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4925492" cy="2106834"/>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1" cstate="print"/>
                    <a:stretch>
                      <a:fillRect/>
                    </a:stretch>
                  </pic:blipFill>
                  <pic:spPr>
                    <a:xfrm>
                      <a:off x="0" y="0"/>
                      <a:ext cx="4925492" cy="2106834"/>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11"/>
        <w:rPr>
          <w:rFonts w:ascii="宋体" w:hAnsi="宋体" w:cs="宋体" w:eastAsia="宋体" w:hint="default"/>
          <w:b/>
          <w:bCs/>
          <w:sz w:val="24"/>
          <w:szCs w:val="24"/>
        </w:rPr>
      </w:pPr>
    </w:p>
    <w:p>
      <w:pPr>
        <w:pStyle w:val="Heading2"/>
        <w:tabs>
          <w:tab w:pos="642" w:val="left" w:leader="none"/>
        </w:tabs>
        <w:spacing w:line="264" w:lineRule="auto" w:before="0"/>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335" w:top="1120" w:bottom="152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557"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Heading2"/>
        <w:tabs>
          <w:tab w:pos="642" w:val="left" w:leader="none"/>
        </w:tabs>
        <w:spacing w:line="240" w:lineRule="auto"/>
        <w:ind w:right="0"/>
        <w:jc w:val="left"/>
        <w:rPr>
          <w:b w:val="0"/>
          <w:bCs w:val="0"/>
        </w:rPr>
      </w:pPr>
      <w:r>
        <w:rPr>
          <w:rFonts w:ascii="宋体" w:hAnsi="宋体" w:cs="宋体" w:eastAsia="宋体" w:hint="default"/>
          <w:w w:val="95"/>
        </w:rPr>
        <w:t>2</w:t>
        <w:tab/>
      </w:r>
      <w:r>
        <w:rPr/>
        <w:t>自然人</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王文京</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
        </w:tc>
      </w:tr>
      <w:tr>
        <w:trPr>
          <w:trHeight w:val="127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0" w:right="79"/>
              <w:jc w:val="both"/>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年任公司董事长兼总裁，还担任畅捷通公司董事长、</w:t>
            </w:r>
            <w:r>
              <w:rPr>
                <w:rFonts w:ascii="宋体" w:hAnsi="宋体" w:cs="宋体" w:eastAsia="宋体" w:hint="default"/>
                <w:w w:val="100"/>
                <w:sz w:val="21"/>
                <w:szCs w:val="21"/>
              </w:rPr>
              <w:t> </w:t>
            </w:r>
            <w:r>
              <w:rPr>
                <w:rFonts w:ascii="宋体" w:hAnsi="宋体" w:cs="宋体" w:eastAsia="宋体" w:hint="default"/>
                <w:spacing w:val="-3"/>
                <w:sz w:val="21"/>
                <w:szCs w:val="21"/>
              </w:rPr>
              <w:t>用友政务公司董事长、用友烟草公司董事长、用友汽车公司</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董事长、用友新道公司执行董事等职务。</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畅捷通信息技术股份有限公司</w:t>
            </w:r>
          </w:p>
        </w:tc>
      </w:tr>
    </w:tbl>
    <w:p>
      <w:pPr>
        <w:spacing w:line="240" w:lineRule="auto" w:before="1"/>
        <w:rPr>
          <w:rFonts w:ascii="宋体" w:hAnsi="宋体" w:cs="宋体" w:eastAsia="宋体" w:hint="default"/>
          <w:b/>
          <w:bCs/>
          <w:sz w:val="29"/>
          <w:szCs w:val="29"/>
        </w:rPr>
      </w:pPr>
    </w:p>
    <w:p>
      <w:pPr>
        <w:pStyle w:val="Heading2"/>
        <w:tabs>
          <w:tab w:pos="642" w:val="left" w:leader="none"/>
        </w:tabs>
        <w:spacing w:line="240" w:lineRule="auto"/>
        <w:ind w:right="0"/>
        <w:jc w:val="left"/>
        <w:rPr>
          <w:b w:val="0"/>
          <w:bCs w:val="0"/>
        </w:rPr>
      </w:pPr>
      <w:r>
        <w:rPr>
          <w:rFonts w:ascii="宋体" w:hAnsi="宋体" w:cs="宋体" w:eastAsia="宋体" w:hint="default"/>
          <w:w w:val="95"/>
        </w:rPr>
        <w:t>3</w:t>
        <w:tab/>
      </w:r>
      <w:r>
        <w:rPr/>
        <w:t>公司不存在实际控制人情况的特别说明</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tabs>
          <w:tab w:pos="642" w:val="left" w:leader="none"/>
        </w:tabs>
        <w:spacing w:line="240" w:lineRule="auto"/>
        <w:ind w:right="0"/>
        <w:jc w:val="left"/>
        <w:rPr>
          <w:b w:val="0"/>
          <w:bCs w:val="0"/>
        </w:rPr>
      </w:pPr>
      <w:r>
        <w:rPr>
          <w:rFonts w:ascii="宋体" w:hAnsi="宋体" w:cs="宋体" w:eastAsia="宋体" w:hint="default"/>
          <w:w w:val="95"/>
        </w:rPr>
        <w:t>4</w:t>
        <w:tab/>
      </w:r>
      <w:r>
        <w:rPr/>
        <w:t>报告期内实际控制人变更情况索引及日期</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2"/>
        <w:tabs>
          <w:tab w:pos="642" w:val="left" w:leader="none"/>
        </w:tabs>
        <w:spacing w:line="240" w:lineRule="auto"/>
        <w:ind w:right="0"/>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spacing w:line="240" w:lineRule="auto" w:before="11"/>
        <w:rPr>
          <w:rFonts w:ascii="宋体" w:hAnsi="宋体" w:cs="宋体" w:eastAsia="宋体" w:hint="default"/>
          <w:b/>
          <w:bCs/>
          <w:sz w:val="6"/>
          <w:szCs w:val="6"/>
        </w:rPr>
      </w:pPr>
    </w:p>
    <w:p>
      <w:pPr>
        <w:spacing w:line="3393" w:lineRule="exact"/>
        <w:ind w:left="217"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5751326" cy="2154555"/>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2" cstate="print"/>
                    <a:stretch>
                      <a:fillRect/>
                    </a:stretch>
                  </pic:blipFill>
                  <pic:spPr>
                    <a:xfrm>
                      <a:off x="0" y="0"/>
                      <a:ext cx="5751326" cy="2154555"/>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9"/>
        <w:rPr>
          <w:rFonts w:ascii="宋体" w:hAnsi="宋体" w:cs="宋体" w:eastAsia="宋体" w:hint="default"/>
          <w:b/>
          <w:bCs/>
          <w:sz w:val="22"/>
          <w:szCs w:val="22"/>
        </w:rPr>
      </w:pPr>
    </w:p>
    <w:p>
      <w:pPr>
        <w:pStyle w:val="Heading2"/>
        <w:tabs>
          <w:tab w:pos="642" w:val="left" w:leader="none"/>
        </w:tabs>
        <w:spacing w:line="240" w:lineRule="auto" w:before="0"/>
        <w:ind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before="36"/>
        <w:ind w:left="218" w:right="0" w:firstLine="0"/>
        <w:jc w:val="left"/>
        <w:rPr>
          <w:rFonts w:ascii="宋体" w:hAnsi="宋体" w:cs="宋体" w:eastAsia="宋体" w:hint="default"/>
          <w:sz w:val="21"/>
          <w:szCs w:val="21"/>
        </w:rPr>
      </w:pPr>
      <w:r>
        <w:rPr>
          <w:rFonts w:ascii="Calibri" w:hAnsi="Calibri" w:cs="Calibri" w:eastAsia="Calibri" w:hint="default"/>
          <w:b/>
          <w:bCs/>
          <w:sz w:val="20"/>
          <w:szCs w:val="20"/>
        </w:rPr>
        <w:t>(</w:t>
      </w:r>
      <w:r>
        <w:rPr>
          <w:rFonts w:ascii="宋体" w:hAnsi="宋体" w:cs="宋体" w:eastAsia="宋体" w:hint="default"/>
          <w:b/>
          <w:bCs/>
          <w:sz w:val="20"/>
          <w:szCs w:val="20"/>
        </w:rPr>
        <w:t>三</w:t>
      </w:r>
      <w:r>
        <w:rPr>
          <w:rFonts w:ascii="Calibri" w:hAnsi="Calibri" w:cs="Calibri" w:eastAsia="Calibri" w:hint="default"/>
          <w:b/>
          <w:bCs/>
          <w:sz w:val="20"/>
          <w:szCs w:val="20"/>
        </w:rPr>
        <w:t>) </w:t>
      </w:r>
      <w:r>
        <w:rPr>
          <w:rFonts w:ascii="Calibri" w:hAnsi="Calibri" w:cs="Calibri" w:eastAsia="Calibri" w:hint="default"/>
          <w:b/>
          <w:bCs/>
          <w:spacing w:val="3"/>
          <w:sz w:val="20"/>
          <w:szCs w:val="20"/>
        </w:rPr>
        <w:t> </w:t>
      </w:r>
      <w:r>
        <w:rPr>
          <w:rFonts w:ascii="宋体" w:hAnsi="宋体" w:cs="宋体" w:eastAsia="宋体" w:hint="default"/>
          <w:b/>
          <w:bCs/>
          <w:sz w:val="21"/>
          <w:szCs w:val="21"/>
        </w:rPr>
        <w:t>控股股东及实际控制人其他情况介绍</w:t>
      </w:r>
      <w:r>
        <w:rPr>
          <w:rFonts w:ascii="宋体" w:hAnsi="宋体" w:cs="宋体" w:eastAsia="宋体" w:hint="default"/>
          <w:sz w:val="21"/>
          <w:szCs w:val="21"/>
        </w:rPr>
      </w:r>
    </w:p>
    <w:p>
      <w:pPr>
        <w:pStyle w:val="BodyText"/>
        <w:spacing w:line="288" w:lineRule="auto" w:before="92"/>
        <w:ind w:left="218" w:right="328" w:firstLine="419"/>
        <w:jc w:val="both"/>
      </w:pPr>
      <w:r>
        <w:rPr>
          <w:spacing w:val="-7"/>
        </w:rPr>
        <w:t>王文京先生，</w:t>
      </w:r>
      <w:r>
        <w:rPr>
          <w:rFonts w:ascii="Calibri" w:hAnsi="Calibri" w:cs="Calibri" w:eastAsia="Calibri" w:hint="default"/>
          <w:spacing w:val="-7"/>
        </w:rPr>
        <w:t>1964 </w:t>
      </w:r>
      <w:r>
        <w:rPr/>
        <w:t>年 </w:t>
      </w:r>
      <w:r>
        <w:rPr>
          <w:rFonts w:ascii="Calibri" w:hAnsi="Calibri" w:cs="Calibri" w:eastAsia="Calibri" w:hint="default"/>
        </w:rPr>
        <w:t>12 </w:t>
      </w:r>
      <w:r>
        <w:rPr>
          <w:spacing w:val="-8"/>
        </w:rPr>
        <w:t>月出生，经济学学士，</w:t>
      </w:r>
      <w:r>
        <w:rPr>
          <w:rFonts w:ascii="Calibri" w:hAnsi="Calibri" w:cs="Calibri" w:eastAsia="Calibri" w:hint="default"/>
          <w:spacing w:val="-8"/>
        </w:rPr>
        <w:t>1983</w:t>
      </w:r>
      <w:r>
        <w:rPr>
          <w:spacing w:val="-8"/>
        </w:rPr>
        <w:t>～</w:t>
      </w:r>
      <w:r>
        <w:rPr>
          <w:rFonts w:ascii="Calibri" w:hAnsi="Calibri" w:cs="Calibri" w:eastAsia="Calibri" w:hint="default"/>
          <w:spacing w:val="-8"/>
        </w:rPr>
        <w:t>1988</w:t>
      </w:r>
      <w:r>
        <w:rPr>
          <w:rFonts w:ascii="Calibri" w:hAnsi="Calibri" w:cs="Calibri" w:eastAsia="Calibri" w:hint="default"/>
          <w:spacing w:val="-13"/>
        </w:rPr>
        <w:t> </w:t>
      </w:r>
      <w:r>
        <w:rPr>
          <w:spacing w:val="-5"/>
        </w:rPr>
        <w:t>年在国务院某直属机关工作。</w:t>
      </w:r>
      <w:r>
        <w:rPr>
          <w:rFonts w:ascii="Calibri" w:hAnsi="Calibri" w:cs="Calibri" w:eastAsia="Calibri" w:hint="default"/>
          <w:spacing w:val="-5"/>
        </w:rPr>
        <w:t>1988</w:t>
      </w:r>
      <w:r>
        <w:rPr>
          <w:rFonts w:ascii="Calibri" w:hAnsi="Calibri" w:cs="Calibri" w:eastAsia="Calibri" w:hint="default"/>
          <w:w w:val="100"/>
        </w:rPr>
        <w:t> </w:t>
      </w:r>
      <w:r>
        <w:rPr>
          <w:spacing w:val="-6"/>
          <w:w w:val="100"/>
        </w:rPr>
        <w:t>年与苏启强先生共同出资创建用友软件服务社，曾任用友软件股份有限公司董事长、总裁等职务，</w:t>
      </w:r>
      <w:r>
        <w:rPr>
          <w:w w:val="100"/>
        </w:rPr>
        <w:t> </w:t>
      </w:r>
      <w:r>
        <w:rPr>
          <w:spacing w:val="-1"/>
        </w:rPr>
        <w:t>现任公司董事长兼总裁。王文京先生是中国软件行业协会副理事长、中华全国工商业联合会第十</w:t>
      </w:r>
      <w:r>
        <w:rPr>
          <w:spacing w:val="-55"/>
        </w:rPr>
        <w:t> </w:t>
      </w:r>
      <w:r>
        <w:rPr>
          <w:spacing w:val="-55"/>
        </w:rPr>
      </w:r>
      <w:r>
        <w:rPr/>
        <w:t>届执委会副主席、第九届、第十届、第十一届和第十二届全国人大代表。</w:t>
      </w:r>
    </w:p>
    <w:p>
      <w:pPr>
        <w:spacing w:after="0" w:line="288" w:lineRule="auto"/>
        <w:jc w:val="both"/>
        <w:sectPr>
          <w:pgSz w:w="11910" w:h="16840"/>
          <w:pgMar w:header="0" w:footer="1335" w:top="1120" w:bottom="1520" w:left="1580" w:right="940"/>
        </w:sectPr>
      </w:pPr>
    </w:p>
    <w:p>
      <w:pPr>
        <w:spacing w:line="240" w:lineRule="auto" w:before="4"/>
        <w:rPr>
          <w:rFonts w:ascii="宋体" w:hAnsi="宋体" w:cs="宋体" w:eastAsia="宋体" w:hint="default"/>
          <w:sz w:val="25"/>
          <w:szCs w:val="25"/>
        </w:rPr>
      </w:pPr>
    </w:p>
    <w:p>
      <w:pPr>
        <w:pStyle w:val="BodyText"/>
        <w:spacing w:line="297" w:lineRule="auto" w:before="36"/>
        <w:ind w:left="218" w:right="227" w:firstLine="419"/>
        <w:jc w:val="both"/>
      </w:pPr>
      <w:r>
        <w:rPr>
          <w:spacing w:val="-12"/>
          <w:w w:val="100"/>
        </w:rPr>
        <w:t>王文京先生曾荣获“中国优秀民营企业家”、“中国优秀民办科技实业家”、“优秀董事长”、</w:t>
      </w:r>
      <w:r>
        <w:rPr>
          <w:w w:val="100"/>
        </w:rPr>
        <w:t> </w:t>
      </w:r>
      <w:r>
        <w:rPr>
          <w:spacing w:val="-4"/>
        </w:rPr>
        <w:t>“全国劳动模范”、“优秀中国特色社会主义事业建设者”、“求是杰出青年”、</w:t>
      </w:r>
      <w:r>
        <w:rPr>
          <w:spacing w:val="29"/>
        </w:rPr>
        <w:t> </w:t>
      </w:r>
      <w:r>
        <w:rPr/>
        <w:t>“中国软件企</w:t>
      </w:r>
      <w:r>
        <w:rPr>
          <w:spacing w:val="-93"/>
        </w:rPr>
        <w:t> </w:t>
      </w:r>
      <w:r>
        <w:rPr>
          <w:spacing w:val="-93"/>
        </w:rPr>
      </w:r>
      <w:r>
        <w:rPr/>
        <w:t>业十大领军人物”、“中国年度经济人物”（</w:t>
      </w:r>
      <w:r>
        <w:rPr>
          <w:rFonts w:ascii="宋体" w:hAnsi="宋体" w:cs="宋体" w:eastAsia="宋体" w:hint="default"/>
        </w:rPr>
        <w:t>CCTV</w:t>
      </w:r>
      <w:r>
        <w:rPr>
          <w:rFonts w:ascii="宋体" w:hAnsi="宋体" w:cs="宋体" w:eastAsia="宋体" w:hint="default"/>
          <w:spacing w:val="-42"/>
        </w:rPr>
        <w:t> </w:t>
      </w:r>
      <w:r>
        <w:rPr>
          <w:rFonts w:ascii="宋体" w:hAnsi="宋体" w:cs="宋体" w:eastAsia="宋体" w:hint="default"/>
          <w:spacing w:val="-3"/>
        </w:rPr>
        <w:t>2001</w:t>
      </w:r>
      <w:r>
        <w:rPr>
          <w:spacing w:val="-3"/>
        </w:rPr>
        <w:t>’）、美国《商业周刊》评选的“亚洲之</w:t>
      </w:r>
      <w:r>
        <w:rPr>
          <w:spacing w:val="-99"/>
        </w:rPr>
        <w:t> </w:t>
      </w:r>
      <w:r>
        <w:rPr>
          <w:spacing w:val="-99"/>
        </w:rPr>
      </w:r>
      <w:r>
        <w:rPr/>
        <w:t>星”、“爱心捐助奖”等称号及荣誉。</w:t>
      </w:r>
    </w:p>
    <w:p>
      <w:pPr>
        <w:spacing w:line="240" w:lineRule="auto" w:before="8"/>
        <w:rPr>
          <w:rFonts w:ascii="宋体" w:hAnsi="宋体" w:cs="宋体" w:eastAsia="宋体" w:hint="default"/>
          <w:sz w:val="27"/>
          <w:szCs w:val="27"/>
        </w:rPr>
      </w:pPr>
    </w:p>
    <w:p>
      <w:pPr>
        <w:pStyle w:val="Heading2"/>
        <w:spacing w:line="240" w:lineRule="auto"/>
        <w:ind w:right="2465"/>
        <w:jc w:val="left"/>
        <w:rPr>
          <w:b w:val="0"/>
          <w:bCs w:val="0"/>
        </w:rPr>
      </w:pPr>
      <w:r>
        <w:rPr/>
        <w:t>五、</w:t>
      </w:r>
      <w:r>
        <w:rPr>
          <w:spacing w:val="-78"/>
        </w:rPr>
        <w:t> </w:t>
      </w:r>
      <w:r>
        <w:rPr/>
        <w:t>其他持股在百分之十以上的法人股东</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561"/>
        <w:gridCol w:w="1416"/>
        <w:gridCol w:w="1419"/>
        <w:gridCol w:w="1277"/>
        <w:gridCol w:w="1709"/>
      </w:tblGrid>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单位负责人或</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代码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主要经营业务或</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管理活动等情况</w:t>
            </w:r>
          </w:p>
        </w:tc>
      </w:tr>
      <w:tr>
        <w:trPr>
          <w:trHeight w:val="218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用</w:t>
            </w:r>
            <w:r>
              <w:rPr>
                <w:rFonts w:ascii="宋体" w:hAnsi="宋体" w:cs="宋体" w:eastAsia="宋体" w:hint="default"/>
                <w:spacing w:val="-69"/>
                <w:sz w:val="21"/>
                <w:szCs w:val="21"/>
              </w:rPr>
              <w:t> </w:t>
            </w:r>
            <w:r>
              <w:rPr>
                <w:rFonts w:ascii="宋体" w:hAnsi="宋体" w:cs="宋体" w:eastAsia="宋体" w:hint="default"/>
                <w:sz w:val="21"/>
                <w:szCs w:val="21"/>
              </w:rPr>
              <w:t>友</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19940513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60772100-7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22,932,980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从事计算机软硬</w:t>
            </w:r>
          </w:p>
          <w:p>
            <w:pPr>
              <w:pStyle w:val="TableParagraph"/>
              <w:spacing w:line="237" w:lineRule="auto" w:before="2"/>
              <w:ind w:left="103" w:right="-8"/>
              <w:jc w:val="both"/>
              <w:rPr>
                <w:rFonts w:ascii="宋体" w:hAnsi="宋体" w:cs="宋体" w:eastAsia="宋体" w:hint="default"/>
                <w:sz w:val="21"/>
                <w:szCs w:val="21"/>
              </w:rPr>
            </w:pPr>
            <w:r>
              <w:rPr>
                <w:rFonts w:ascii="宋体" w:hAnsi="宋体" w:cs="宋体" w:eastAsia="宋体" w:hint="default"/>
                <w:sz w:val="21"/>
                <w:szCs w:val="21"/>
              </w:rPr>
              <w:t>件技术领域内的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技术咨询，企业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管理咨询，投资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1"/>
                <w:w w:val="100"/>
                <w:sz w:val="21"/>
                <w:szCs w:val="21"/>
              </w:rPr>
              <w:t>管理，实业投资。</w:t>
            </w:r>
          </w:p>
          <w:p>
            <w:pPr>
              <w:pStyle w:val="TableParagraph"/>
              <w:spacing w:line="237" w:lineRule="auto" w:before="1"/>
              <w:ind w:left="103" w:right="97"/>
              <w:jc w:val="both"/>
              <w:rPr>
                <w:rFonts w:ascii="宋体" w:hAnsi="宋体" w:cs="宋体" w:eastAsia="宋体" w:hint="default"/>
                <w:sz w:val="21"/>
                <w:szCs w:val="21"/>
              </w:rPr>
            </w:pPr>
            <w:r>
              <w:rPr>
                <w:rFonts w:ascii="宋体" w:hAnsi="宋体" w:cs="宋体" w:eastAsia="宋体" w:hint="default"/>
                <w:sz w:val="21"/>
                <w:szCs w:val="21"/>
              </w:rPr>
              <w:t>（企业涉及行政</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许可的，凭许可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证经营）</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7382"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right="2465"/>
        <w:jc w:val="left"/>
        <w:rPr>
          <w:b w:val="0"/>
          <w:bCs w:val="0"/>
        </w:rPr>
      </w:pPr>
      <w:r>
        <w:rPr/>
        <w:t>六、</w:t>
      </w:r>
      <w:r>
        <w:rPr>
          <w:spacing w:val="-77"/>
        </w:rPr>
        <w:t> </w:t>
      </w:r>
      <w:r>
        <w:rPr/>
        <w:t>股份限制减持情况说明</w:t>
      </w:r>
      <w:r>
        <w:rPr>
          <w:b w:val="0"/>
          <w:bCs w:val="0"/>
        </w:rPr>
      </w:r>
    </w:p>
    <w:p>
      <w:pPr>
        <w:pStyle w:val="BodyText"/>
        <w:spacing w:line="240" w:lineRule="auto" w:before="58"/>
        <w:ind w:left="218" w:right="2465"/>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tabs>
          <w:tab w:pos="4279" w:val="left" w:leader="none"/>
        </w:tabs>
        <w:spacing w:line="240" w:lineRule="auto"/>
        <w:ind w:left="3019" w:right="2465"/>
        <w:jc w:val="left"/>
        <w:rPr>
          <w:b w:val="0"/>
          <w:bCs w:val="0"/>
        </w:rPr>
      </w:pPr>
      <w:bookmarkStart w:name="_TOC_250005" w:id="7"/>
      <w:r>
        <w:rPr>
          <w:w w:val="95"/>
        </w:rPr>
        <w:t>第七节</w:t>
        <w:tab/>
      </w:r>
      <w:r>
        <w:rPr/>
        <w:t>优先股相关情况</w:t>
      </w:r>
      <w:bookmarkEnd w:id="7"/>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218" w:right="2465"/>
        <w:jc w:val="left"/>
      </w:pPr>
      <w:r>
        <w:rPr/>
        <w:t>□适用</w:t>
      </w:r>
      <w:r>
        <w:rPr>
          <w:spacing w:val="-1"/>
        </w:rPr>
        <w:t> </w:t>
      </w:r>
      <w:r>
        <w:rPr/>
        <w:t>√不适用</w:t>
      </w:r>
    </w:p>
    <w:p>
      <w:pPr>
        <w:spacing w:after="0" w:line="240" w:lineRule="auto"/>
        <w:jc w:val="left"/>
        <w:sectPr>
          <w:pgSz w:w="11910" w:h="16840"/>
          <w:pgMar w:header="0" w:footer="1335" w:top="1120" w:bottom="1520" w:left="1580" w:right="10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3"/>
          <w:footerReference w:type="default" r:id="rId24"/>
          <w:pgSz w:w="16840" w:h="11910" w:orient="landscape"/>
          <w:pgMar w:header="880" w:footer="1336" w:top="1120" w:bottom="1520" w:left="1300" w:right="1200"/>
          <w:pgNumType w:start="62"/>
        </w:sectPr>
      </w:pPr>
    </w:p>
    <w:p>
      <w:pPr>
        <w:pStyle w:val="Heading2"/>
        <w:spacing w:line="240" w:lineRule="auto"/>
        <w:ind w:left="224" w:right="-16"/>
        <w:jc w:val="left"/>
        <w:rPr>
          <w:b w:val="0"/>
          <w:bCs w:val="0"/>
        </w:rPr>
      </w:pPr>
      <w:r>
        <w:rPr/>
        <w:t>一、持股变动情况及报酬情况</w:t>
      </w:r>
      <w:r>
        <w:rPr>
          <w:b w:val="0"/>
          <w:bCs w:val="0"/>
        </w:rPr>
      </w:r>
    </w:p>
    <w:p>
      <w:pPr>
        <w:pStyle w:val="Heading2"/>
        <w:spacing w:line="240" w:lineRule="auto" w:before="56"/>
        <w:ind w:left="224" w:right="-1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9"/>
        </w:rPr>
        <w:t> </w:t>
      </w:r>
      <w:r>
        <w:rPr/>
        <w:t>现任及报告期内离任董事、监事和高级管理人员持股变动及报酬情况</w:t>
      </w:r>
      <w:r>
        <w:rPr>
          <w:b w:val="0"/>
          <w:bCs w:val="0"/>
        </w:rPr>
      </w:r>
    </w:p>
    <w:p>
      <w:pPr>
        <w:pStyle w:val="BodyText"/>
        <w:spacing w:line="240" w:lineRule="auto" w:before="32"/>
        <w:ind w:left="224"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52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61"/>
        <w:gridCol w:w="1162"/>
        <w:gridCol w:w="857"/>
        <w:gridCol w:w="857"/>
        <w:gridCol w:w="1222"/>
        <w:gridCol w:w="1217"/>
        <w:gridCol w:w="1162"/>
        <w:gridCol w:w="1159"/>
        <w:gridCol w:w="1361"/>
        <w:gridCol w:w="1176"/>
        <w:gridCol w:w="1416"/>
        <w:gridCol w:w="1448"/>
      </w:tblGrid>
      <w:tr>
        <w:trPr>
          <w:trHeight w:val="110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5" w:right="182" w:hanging="212"/>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3" w:right="180"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0" w:right="151"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0" w:right="149"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1" w:right="144"/>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1" w:right="158"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9" w:right="170"/>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11" w:right="187"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69"/>
                <w:sz w:val="21"/>
                <w:szCs w:val="21"/>
              </w:rPr>
              <w:t> </w:t>
            </w:r>
            <w:r>
              <w:rPr>
                <w:rFonts w:ascii="宋体" w:hAnsi="宋体" w:cs="宋体" w:eastAsia="宋体" w:hint="default"/>
                <w:sz w:val="21"/>
                <w:szCs w:val="21"/>
              </w:rPr>
              <w:t>事</w:t>
            </w:r>
            <w:r>
              <w:rPr>
                <w:rFonts w:ascii="宋体" w:hAnsi="宋体" w:cs="宋体" w:eastAsia="宋体" w:hint="default"/>
                <w:spacing w:val="-71"/>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1,881,335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2,042,368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2014/4/8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1,156,235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1,177,482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21,247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积</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9"/>
                <w:w w:val="100"/>
                <w:sz w:val="21"/>
                <w:szCs w:val="21"/>
              </w:rPr>
              <w:t>金转增、二</w:t>
            </w:r>
            <w:r>
              <w:rPr>
                <w:rFonts w:ascii="宋体" w:hAnsi="宋体" w:cs="宋体" w:eastAsia="宋体" w:hint="default"/>
                <w:w w:val="100"/>
                <w:sz w:val="21"/>
                <w:szCs w:val="21"/>
              </w:rPr>
              <w:t> </w:t>
            </w:r>
            <w:r>
              <w:rPr>
                <w:rFonts w:ascii="宋体" w:hAnsi="宋体" w:cs="宋体" w:eastAsia="宋体" w:hint="default"/>
                <w:sz w:val="21"/>
                <w:szCs w:val="21"/>
              </w:rPr>
              <w:t>级</w:t>
            </w:r>
            <w:r>
              <w:rPr>
                <w:rFonts w:ascii="宋体" w:hAnsi="宋体" w:cs="宋体" w:eastAsia="宋体" w:hint="default"/>
                <w:spacing w:val="-64"/>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场</w:t>
            </w:r>
            <w:r>
              <w:rPr>
                <w:rFonts w:ascii="宋体" w:hAnsi="宋体" w:cs="宋体" w:eastAsia="宋体" w:hint="default"/>
                <w:spacing w:val="-66"/>
                <w:sz w:val="21"/>
                <w:szCs w:val="21"/>
              </w:rPr>
              <w:t> </w:t>
            </w:r>
            <w:r>
              <w:rPr>
                <w:rFonts w:ascii="宋体" w:hAnsi="宋体" w:cs="宋体" w:eastAsia="宋体" w:hint="default"/>
                <w:sz w:val="21"/>
                <w:szCs w:val="21"/>
              </w:rPr>
              <w:t>买</w:t>
            </w:r>
            <w:r>
              <w:rPr>
                <w:rFonts w:ascii="宋体" w:hAnsi="宋体" w:cs="宋体" w:eastAsia="宋体" w:hint="default"/>
                <w:w w:val="100"/>
                <w:sz w:val="21"/>
                <w:szCs w:val="21"/>
              </w:rPr>
              <w:t> </w:t>
            </w:r>
            <w:r>
              <w:rPr>
                <w:rFonts w:ascii="宋体" w:hAnsi="宋体" w:cs="宋体" w:eastAsia="宋体" w:hint="default"/>
                <w:sz w:val="21"/>
                <w:szCs w:val="21"/>
              </w:rPr>
              <w:t>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1,916,500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吴晓求</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58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2014/4/8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4</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80,000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李绍唐</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80,000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黄锦辉</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80,000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于扬</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2014/4/8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80,000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汪超涌</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2015/4/9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许建钢</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pacing w:val="-69"/>
                <w:sz w:val="21"/>
                <w:szCs w:val="21"/>
              </w:rPr>
              <w:t> </w:t>
            </w:r>
            <w:r>
              <w:rPr>
                <w:rFonts w:ascii="宋体" w:hAnsi="宋体" w:cs="宋体" w:eastAsia="宋体" w:hint="default"/>
                <w:sz w:val="21"/>
                <w:szCs w:val="21"/>
              </w:rPr>
              <w:t>事</w:t>
            </w:r>
            <w:r>
              <w:rPr>
                <w:rFonts w:ascii="宋体" w:hAnsi="宋体" w:cs="宋体" w:eastAsia="宋体" w:hint="default"/>
                <w:spacing w:val="-71"/>
                <w:sz w:val="21"/>
                <w:szCs w:val="21"/>
              </w:rPr>
              <w:t> </w:t>
            </w:r>
            <w:r>
              <w:rPr>
                <w:rFonts w:ascii="宋体" w:hAnsi="宋体" w:cs="宋体" w:eastAsia="宋体" w:hint="default"/>
                <w:sz w:val="21"/>
                <w:szCs w:val="21"/>
              </w:rPr>
              <w:t>会</w:t>
            </w:r>
            <w:r>
              <w:rPr>
                <w:rFonts w:ascii="宋体" w:hAnsi="宋体" w:cs="宋体" w:eastAsia="宋体" w:hint="default"/>
                <w:spacing w:val="-69"/>
                <w:sz w:val="21"/>
                <w:szCs w:val="21"/>
              </w:rPr>
              <w:t> </w:t>
            </w:r>
            <w:r>
              <w:rPr>
                <w:rFonts w:ascii="宋体" w:hAnsi="宋体" w:cs="宋体" w:eastAsia="宋体" w:hint="default"/>
                <w:sz w:val="21"/>
                <w:szCs w:val="21"/>
              </w:rPr>
              <w:t>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198,255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216,906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18,651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积</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9"/>
                <w:w w:val="100"/>
                <w:sz w:val="21"/>
                <w:szCs w:val="21"/>
              </w:rPr>
              <w:t>金转增、二</w:t>
            </w:r>
            <w:r>
              <w:rPr>
                <w:rFonts w:ascii="宋体" w:hAnsi="宋体" w:cs="宋体" w:eastAsia="宋体" w:hint="default"/>
                <w:w w:val="100"/>
                <w:sz w:val="21"/>
                <w:szCs w:val="21"/>
              </w:rPr>
              <w:t> </w:t>
            </w:r>
            <w:r>
              <w:rPr>
                <w:rFonts w:ascii="宋体" w:hAnsi="宋体" w:cs="宋体" w:eastAsia="宋体" w:hint="default"/>
                <w:sz w:val="21"/>
                <w:szCs w:val="21"/>
              </w:rPr>
              <w:t>级</w:t>
            </w:r>
            <w:r>
              <w:rPr>
                <w:rFonts w:ascii="宋体" w:hAnsi="宋体" w:cs="宋体" w:eastAsia="宋体" w:hint="default"/>
                <w:spacing w:val="-64"/>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场</w:t>
            </w:r>
            <w:r>
              <w:rPr>
                <w:rFonts w:ascii="宋体" w:hAnsi="宋体" w:cs="宋体" w:eastAsia="宋体" w:hint="default"/>
                <w:spacing w:val="-66"/>
                <w:sz w:val="21"/>
                <w:szCs w:val="21"/>
              </w:rPr>
              <w:t> </w:t>
            </w:r>
            <w:r>
              <w:rPr>
                <w:rFonts w:ascii="宋体" w:hAnsi="宋体" w:cs="宋体" w:eastAsia="宋体" w:hint="default"/>
                <w:sz w:val="21"/>
                <w:szCs w:val="21"/>
              </w:rPr>
              <w:t>买</w:t>
            </w:r>
            <w:r>
              <w:rPr>
                <w:rFonts w:ascii="宋体" w:hAnsi="宋体" w:cs="宋体" w:eastAsia="宋体" w:hint="default"/>
                <w:w w:val="100"/>
                <w:sz w:val="21"/>
                <w:szCs w:val="21"/>
              </w:rPr>
              <w:t> </w:t>
            </w:r>
            <w:r>
              <w:rPr>
                <w:rFonts w:ascii="宋体" w:hAnsi="宋体" w:cs="宋体" w:eastAsia="宋体" w:hint="default"/>
                <w:sz w:val="21"/>
                <w:szCs w:val="21"/>
              </w:rPr>
              <w:t>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1,052,178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高志勇</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章珂</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2014/4/8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章培林</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执行总裁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568,434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643,441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75,007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积</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9"/>
                <w:w w:val="100"/>
                <w:sz w:val="21"/>
                <w:szCs w:val="21"/>
              </w:rPr>
              <w:t>金转增、二</w:t>
            </w:r>
            <w:r>
              <w:rPr>
                <w:rFonts w:ascii="宋体" w:hAnsi="宋体" w:cs="宋体" w:eastAsia="宋体" w:hint="default"/>
                <w:w w:val="100"/>
                <w:sz w:val="21"/>
                <w:szCs w:val="21"/>
              </w:rPr>
              <w:t> </w:t>
            </w:r>
            <w:r>
              <w:rPr>
                <w:rFonts w:ascii="宋体" w:hAnsi="宋体" w:cs="宋体" w:eastAsia="宋体" w:hint="default"/>
                <w:sz w:val="21"/>
                <w:szCs w:val="21"/>
              </w:rPr>
              <w:t>级</w:t>
            </w:r>
            <w:r>
              <w:rPr>
                <w:rFonts w:ascii="宋体" w:hAnsi="宋体" w:cs="宋体" w:eastAsia="宋体" w:hint="default"/>
                <w:spacing w:val="-64"/>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场</w:t>
            </w:r>
            <w:r>
              <w:rPr>
                <w:rFonts w:ascii="宋体" w:hAnsi="宋体" w:cs="宋体" w:eastAsia="宋体" w:hint="default"/>
                <w:spacing w:val="-66"/>
                <w:sz w:val="21"/>
                <w:szCs w:val="21"/>
              </w:rPr>
              <w:t> </w:t>
            </w:r>
            <w:r>
              <w:rPr>
                <w:rFonts w:ascii="宋体" w:hAnsi="宋体" w:cs="宋体" w:eastAsia="宋体" w:hint="default"/>
                <w:sz w:val="21"/>
                <w:szCs w:val="21"/>
              </w:rPr>
              <w:t>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1,621,020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52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61"/>
        <w:gridCol w:w="1162"/>
        <w:gridCol w:w="857"/>
        <w:gridCol w:w="857"/>
        <w:gridCol w:w="1222"/>
        <w:gridCol w:w="1217"/>
        <w:gridCol w:w="1162"/>
        <w:gridCol w:w="1159"/>
        <w:gridCol w:w="1361"/>
        <w:gridCol w:w="1176"/>
        <w:gridCol w:w="1416"/>
        <w:gridCol w:w="1448"/>
      </w:tblGrid>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卖</w:t>
            </w:r>
            <w:r>
              <w:rPr>
                <w:rFonts w:ascii="宋体" w:hAnsi="宋体" w:cs="宋体" w:eastAsia="宋体" w:hint="default"/>
                <w:spacing w:val="-92"/>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票</w:t>
            </w:r>
            <w:r>
              <w:rPr>
                <w:rFonts w:ascii="宋体" w:hAnsi="宋体" w:cs="宋体" w:eastAsia="宋体" w:hint="default"/>
                <w:w w:val="100"/>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权行权</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郑雨林</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427,758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454,990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27,232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积</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9"/>
                <w:w w:val="100"/>
                <w:sz w:val="21"/>
                <w:szCs w:val="21"/>
              </w:rPr>
              <w:t>金转增、二</w:t>
            </w:r>
            <w:r>
              <w:rPr>
                <w:rFonts w:ascii="宋体" w:hAnsi="宋体" w:cs="宋体" w:eastAsia="宋体" w:hint="default"/>
                <w:w w:val="100"/>
                <w:sz w:val="21"/>
                <w:szCs w:val="21"/>
              </w:rPr>
              <w:t> </w:t>
            </w:r>
            <w:r>
              <w:rPr>
                <w:rFonts w:ascii="宋体" w:hAnsi="宋体" w:cs="宋体" w:eastAsia="宋体" w:hint="default"/>
                <w:sz w:val="21"/>
                <w:szCs w:val="21"/>
              </w:rPr>
              <w:t>级</w:t>
            </w:r>
            <w:r>
              <w:rPr>
                <w:rFonts w:ascii="宋体" w:hAnsi="宋体" w:cs="宋体" w:eastAsia="宋体" w:hint="default"/>
                <w:spacing w:val="-64"/>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场</w:t>
            </w:r>
            <w:r>
              <w:rPr>
                <w:rFonts w:ascii="宋体" w:hAnsi="宋体" w:cs="宋体" w:eastAsia="宋体" w:hint="default"/>
                <w:spacing w:val="-66"/>
                <w:sz w:val="21"/>
                <w:szCs w:val="21"/>
              </w:rPr>
              <w:t> </w:t>
            </w:r>
            <w:r>
              <w:rPr>
                <w:rFonts w:ascii="宋体" w:hAnsi="宋体" w:cs="宋体" w:eastAsia="宋体" w:hint="default"/>
                <w:sz w:val="21"/>
                <w:szCs w:val="21"/>
              </w:rPr>
              <w:t>买</w:t>
            </w:r>
            <w:r>
              <w:rPr>
                <w:rFonts w:ascii="宋体" w:hAnsi="宋体" w:cs="宋体" w:eastAsia="宋体" w:hint="default"/>
                <w:w w:val="100"/>
                <w:sz w:val="21"/>
                <w:szCs w:val="21"/>
              </w:rPr>
              <w:t> </w:t>
            </w:r>
            <w:r>
              <w:rPr>
                <w:rFonts w:ascii="宋体" w:hAnsi="宋体" w:cs="宋体" w:eastAsia="宋体" w:hint="default"/>
                <w:spacing w:val="-19"/>
                <w:w w:val="100"/>
                <w:sz w:val="21"/>
                <w:szCs w:val="21"/>
              </w:rPr>
              <w:t>卖、股票期</w:t>
            </w:r>
            <w:r>
              <w:rPr>
                <w:rFonts w:ascii="宋体" w:hAnsi="宋体" w:cs="宋体" w:eastAsia="宋体" w:hint="default"/>
                <w:w w:val="100"/>
                <w:sz w:val="21"/>
                <w:szCs w:val="21"/>
              </w:rPr>
              <w:t> </w:t>
            </w:r>
            <w:r>
              <w:rPr>
                <w:rFonts w:ascii="宋体" w:hAnsi="宋体" w:cs="宋体" w:eastAsia="宋体" w:hint="default"/>
                <w:sz w:val="21"/>
                <w:szCs w:val="21"/>
              </w:rPr>
              <w:t>权行权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1,981,760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严绍业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2014/3/17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105,512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138,854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33,342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积</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9"/>
                <w:w w:val="100"/>
                <w:sz w:val="21"/>
                <w:szCs w:val="21"/>
              </w:rPr>
              <w:t>金转增、二</w:t>
            </w:r>
            <w:r>
              <w:rPr>
                <w:rFonts w:ascii="宋体" w:hAnsi="宋体" w:cs="宋体" w:eastAsia="宋体" w:hint="default"/>
                <w:w w:val="100"/>
                <w:sz w:val="21"/>
                <w:szCs w:val="21"/>
              </w:rPr>
              <w:t> </w:t>
            </w:r>
            <w:r>
              <w:rPr>
                <w:rFonts w:ascii="宋体" w:hAnsi="宋体" w:cs="宋体" w:eastAsia="宋体" w:hint="default"/>
                <w:sz w:val="21"/>
                <w:szCs w:val="21"/>
              </w:rPr>
              <w:t>级</w:t>
            </w:r>
            <w:r>
              <w:rPr>
                <w:rFonts w:ascii="宋体" w:hAnsi="宋体" w:cs="宋体" w:eastAsia="宋体" w:hint="default"/>
                <w:spacing w:val="-64"/>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场</w:t>
            </w:r>
            <w:r>
              <w:rPr>
                <w:rFonts w:ascii="宋体" w:hAnsi="宋体" w:cs="宋体" w:eastAsia="宋体" w:hint="default"/>
                <w:spacing w:val="-66"/>
                <w:sz w:val="21"/>
                <w:szCs w:val="21"/>
              </w:rPr>
              <w:t> </w:t>
            </w:r>
            <w:r>
              <w:rPr>
                <w:rFonts w:ascii="宋体" w:hAnsi="宋体" w:cs="宋体" w:eastAsia="宋体" w:hint="default"/>
                <w:sz w:val="21"/>
                <w:szCs w:val="21"/>
              </w:rPr>
              <w:t>买</w:t>
            </w:r>
            <w:r>
              <w:rPr>
                <w:rFonts w:ascii="宋体" w:hAnsi="宋体" w:cs="宋体" w:eastAsia="宋体" w:hint="default"/>
                <w:w w:val="100"/>
                <w:sz w:val="21"/>
                <w:szCs w:val="21"/>
              </w:rPr>
              <w:t> </w:t>
            </w:r>
            <w:r>
              <w:rPr>
                <w:rFonts w:ascii="宋体" w:hAnsi="宋体" w:cs="宋体" w:eastAsia="宋体" w:hint="default"/>
                <w:spacing w:val="-19"/>
                <w:w w:val="100"/>
                <w:sz w:val="21"/>
                <w:szCs w:val="21"/>
              </w:rPr>
              <w:t>卖、股票期</w:t>
            </w:r>
            <w:r>
              <w:rPr>
                <w:rFonts w:ascii="宋体" w:hAnsi="宋体" w:cs="宋体" w:eastAsia="宋体" w:hint="default"/>
                <w:w w:val="100"/>
                <w:sz w:val="21"/>
                <w:szCs w:val="21"/>
              </w:rPr>
              <w:t> </w:t>
            </w:r>
            <w:r>
              <w:rPr>
                <w:rFonts w:ascii="宋体" w:hAnsi="宋体" w:cs="宋体" w:eastAsia="宋体" w:hint="default"/>
                <w:sz w:val="21"/>
                <w:szCs w:val="21"/>
              </w:rPr>
              <w:t>权行权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1,233,860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陈巧红</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779,031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937,237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158,206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积</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19"/>
                <w:w w:val="100"/>
                <w:sz w:val="21"/>
                <w:szCs w:val="21"/>
              </w:rPr>
              <w:t>金转增、二</w:t>
            </w:r>
            <w:r>
              <w:rPr>
                <w:rFonts w:ascii="宋体" w:hAnsi="宋体" w:cs="宋体" w:eastAsia="宋体" w:hint="default"/>
                <w:w w:val="100"/>
                <w:sz w:val="21"/>
                <w:szCs w:val="21"/>
              </w:rPr>
              <w:t> </w:t>
            </w:r>
            <w:r>
              <w:rPr>
                <w:rFonts w:ascii="宋体" w:hAnsi="宋体" w:cs="宋体" w:eastAsia="宋体" w:hint="default"/>
                <w:sz w:val="21"/>
                <w:szCs w:val="21"/>
              </w:rPr>
              <w:t>级</w:t>
            </w:r>
            <w:r>
              <w:rPr>
                <w:rFonts w:ascii="宋体" w:hAnsi="宋体" w:cs="宋体" w:eastAsia="宋体" w:hint="default"/>
                <w:spacing w:val="-64"/>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场</w:t>
            </w:r>
            <w:r>
              <w:rPr>
                <w:rFonts w:ascii="宋体" w:hAnsi="宋体" w:cs="宋体" w:eastAsia="宋体" w:hint="default"/>
                <w:spacing w:val="-66"/>
                <w:sz w:val="21"/>
                <w:szCs w:val="21"/>
              </w:rPr>
              <w:t> </w:t>
            </w:r>
            <w:r>
              <w:rPr>
                <w:rFonts w:ascii="宋体" w:hAnsi="宋体" w:cs="宋体" w:eastAsia="宋体" w:hint="default"/>
                <w:sz w:val="21"/>
                <w:szCs w:val="21"/>
              </w:rPr>
              <w:t>买</w:t>
            </w:r>
            <w:r>
              <w:rPr>
                <w:rFonts w:ascii="宋体" w:hAnsi="宋体" w:cs="宋体" w:eastAsia="宋体" w:hint="default"/>
                <w:w w:val="100"/>
                <w:sz w:val="21"/>
                <w:szCs w:val="21"/>
              </w:rPr>
              <w:t> </w:t>
            </w:r>
            <w:r>
              <w:rPr>
                <w:rFonts w:ascii="宋体" w:hAnsi="宋体" w:cs="宋体" w:eastAsia="宋体" w:hint="default"/>
                <w:spacing w:val="-19"/>
                <w:w w:val="100"/>
                <w:sz w:val="21"/>
                <w:szCs w:val="21"/>
              </w:rPr>
              <w:t>卖、股票期</w:t>
            </w:r>
            <w:r>
              <w:rPr>
                <w:rFonts w:ascii="宋体" w:hAnsi="宋体" w:cs="宋体" w:eastAsia="宋体" w:hint="default"/>
                <w:w w:val="100"/>
                <w:sz w:val="21"/>
                <w:szCs w:val="21"/>
              </w:rPr>
              <w:t> </w:t>
            </w:r>
            <w:r>
              <w:rPr>
                <w:rFonts w:ascii="宋体" w:hAnsi="宋体" w:cs="宋体" w:eastAsia="宋体" w:hint="default"/>
                <w:sz w:val="21"/>
                <w:szCs w:val="21"/>
              </w:rPr>
              <w:t>权行权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1,209,496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王家亮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2014/3/17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w w:val="100"/>
                <w:sz w:val="21"/>
              </w:rPr>
              <w:t>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1,377,440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欧阳青</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491,580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620,136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128,556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积</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9"/>
                <w:w w:val="100"/>
                <w:sz w:val="21"/>
                <w:szCs w:val="21"/>
              </w:rPr>
              <w:t>金转增、股</w:t>
            </w:r>
            <w:r>
              <w:rPr>
                <w:rFonts w:ascii="宋体" w:hAnsi="宋体" w:cs="宋体" w:eastAsia="宋体" w:hint="default"/>
                <w:w w:val="100"/>
                <w:sz w:val="21"/>
                <w:szCs w:val="21"/>
              </w:rPr>
              <w:t> </w:t>
            </w:r>
            <w:r>
              <w:rPr>
                <w:rFonts w:ascii="宋体" w:hAnsi="宋体" w:cs="宋体" w:eastAsia="宋体" w:hint="default"/>
                <w:sz w:val="21"/>
                <w:szCs w:val="21"/>
              </w:rPr>
              <w:t>票</w:t>
            </w:r>
            <w:r>
              <w:rPr>
                <w:rFonts w:ascii="宋体" w:hAnsi="宋体" w:cs="宋体" w:eastAsia="宋体" w:hint="default"/>
                <w:spacing w:val="-64"/>
                <w:sz w:val="21"/>
                <w:szCs w:val="21"/>
              </w:rPr>
              <w:t> </w:t>
            </w:r>
            <w:r>
              <w:rPr>
                <w:rFonts w:ascii="宋体" w:hAnsi="宋体" w:cs="宋体" w:eastAsia="宋体" w:hint="default"/>
                <w:sz w:val="21"/>
                <w:szCs w:val="21"/>
              </w:rPr>
              <w:t>期</w:t>
            </w:r>
            <w:r>
              <w:rPr>
                <w:rFonts w:ascii="宋体" w:hAnsi="宋体" w:cs="宋体" w:eastAsia="宋体" w:hint="default"/>
                <w:spacing w:val="-66"/>
                <w:sz w:val="21"/>
                <w:szCs w:val="21"/>
              </w:rPr>
              <w:t> </w:t>
            </w:r>
            <w:r>
              <w:rPr>
                <w:rFonts w:ascii="宋体" w:hAnsi="宋体" w:cs="宋体" w:eastAsia="宋体" w:hint="default"/>
                <w:sz w:val="21"/>
                <w:szCs w:val="21"/>
              </w:rPr>
              <w:t>权</w:t>
            </w:r>
            <w:r>
              <w:rPr>
                <w:rFonts w:ascii="宋体" w:hAnsi="宋体" w:cs="宋体" w:eastAsia="宋体" w:hint="default"/>
                <w:spacing w:val="-66"/>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1,389,826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谢志华</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258,600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319,080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60,480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积</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19"/>
                <w:w w:val="100"/>
                <w:sz w:val="21"/>
                <w:szCs w:val="21"/>
              </w:rPr>
              <w:t>金转增、二</w:t>
            </w:r>
            <w:r>
              <w:rPr>
                <w:rFonts w:ascii="宋体" w:hAnsi="宋体" w:cs="宋体" w:eastAsia="宋体" w:hint="default"/>
                <w:w w:val="100"/>
                <w:sz w:val="21"/>
                <w:szCs w:val="21"/>
              </w:rPr>
              <w:t> </w:t>
            </w:r>
            <w:r>
              <w:rPr>
                <w:rFonts w:ascii="宋体" w:hAnsi="宋体" w:cs="宋体" w:eastAsia="宋体" w:hint="default"/>
                <w:sz w:val="21"/>
                <w:szCs w:val="21"/>
              </w:rPr>
              <w:t>级</w:t>
            </w:r>
            <w:r>
              <w:rPr>
                <w:rFonts w:ascii="宋体" w:hAnsi="宋体" w:cs="宋体" w:eastAsia="宋体" w:hint="default"/>
                <w:spacing w:val="-64"/>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场</w:t>
            </w:r>
            <w:r>
              <w:rPr>
                <w:rFonts w:ascii="宋体" w:hAnsi="宋体" w:cs="宋体" w:eastAsia="宋体" w:hint="default"/>
                <w:spacing w:val="-66"/>
                <w:sz w:val="21"/>
                <w:szCs w:val="21"/>
              </w:rPr>
              <w:t> </w:t>
            </w:r>
            <w:r>
              <w:rPr>
                <w:rFonts w:ascii="宋体" w:hAnsi="宋体" w:cs="宋体" w:eastAsia="宋体" w:hint="default"/>
                <w:sz w:val="21"/>
                <w:szCs w:val="21"/>
              </w:rPr>
              <w:t>买</w:t>
            </w:r>
            <w:r>
              <w:rPr>
                <w:rFonts w:ascii="宋体" w:hAnsi="宋体" w:cs="宋体" w:eastAsia="宋体" w:hint="default"/>
                <w:w w:val="100"/>
                <w:sz w:val="21"/>
                <w:szCs w:val="21"/>
              </w:rPr>
              <w:t> </w:t>
            </w:r>
            <w:r>
              <w:rPr>
                <w:rFonts w:ascii="宋体" w:hAnsi="宋体" w:cs="宋体" w:eastAsia="宋体" w:hint="default"/>
                <w:spacing w:val="-19"/>
                <w:w w:val="100"/>
                <w:sz w:val="21"/>
                <w:szCs w:val="21"/>
              </w:rPr>
              <w:t>卖、股票期</w:t>
            </w:r>
            <w:r>
              <w:rPr>
                <w:rFonts w:ascii="宋体" w:hAnsi="宋体" w:cs="宋体" w:eastAsia="宋体" w:hint="default"/>
                <w:w w:val="100"/>
                <w:sz w:val="21"/>
                <w:szCs w:val="21"/>
              </w:rPr>
              <w:t> </w:t>
            </w:r>
            <w:r>
              <w:rPr>
                <w:rFonts w:ascii="宋体" w:hAnsi="宋体" w:cs="宋体" w:eastAsia="宋体" w:hint="default"/>
                <w:sz w:val="21"/>
                <w:szCs w:val="21"/>
              </w:rPr>
              <w:t>权行权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1,624,686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胡彬</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157,400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211,388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53,988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积</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19"/>
                <w:w w:val="100"/>
                <w:sz w:val="21"/>
                <w:szCs w:val="21"/>
              </w:rPr>
              <w:t>金转增、二</w:t>
            </w:r>
            <w:r>
              <w:rPr>
                <w:rFonts w:ascii="宋体" w:hAnsi="宋体" w:cs="宋体" w:eastAsia="宋体" w:hint="default"/>
                <w:w w:val="100"/>
                <w:sz w:val="21"/>
                <w:szCs w:val="21"/>
              </w:rPr>
              <w:t> </w:t>
            </w:r>
            <w:r>
              <w:rPr>
                <w:rFonts w:ascii="宋体" w:hAnsi="宋体" w:cs="宋体" w:eastAsia="宋体" w:hint="default"/>
                <w:sz w:val="21"/>
                <w:szCs w:val="21"/>
              </w:rPr>
              <w:t>级</w:t>
            </w:r>
            <w:r>
              <w:rPr>
                <w:rFonts w:ascii="宋体" w:hAnsi="宋体" w:cs="宋体" w:eastAsia="宋体" w:hint="default"/>
                <w:spacing w:val="-64"/>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场</w:t>
            </w:r>
            <w:r>
              <w:rPr>
                <w:rFonts w:ascii="宋体" w:hAnsi="宋体" w:cs="宋体" w:eastAsia="宋体" w:hint="default"/>
                <w:spacing w:val="-66"/>
                <w:sz w:val="21"/>
                <w:szCs w:val="21"/>
              </w:rPr>
              <w:t> </w:t>
            </w:r>
            <w:r>
              <w:rPr>
                <w:rFonts w:ascii="宋体" w:hAnsi="宋体" w:cs="宋体" w:eastAsia="宋体" w:hint="default"/>
                <w:sz w:val="21"/>
                <w:szCs w:val="21"/>
              </w:rPr>
              <w:t>买</w:t>
            </w:r>
            <w:r>
              <w:rPr>
                <w:rFonts w:ascii="宋体" w:hAnsi="宋体" w:cs="宋体" w:eastAsia="宋体" w:hint="default"/>
                <w:w w:val="100"/>
                <w:sz w:val="21"/>
                <w:szCs w:val="21"/>
              </w:rPr>
              <w:t> </w:t>
            </w:r>
            <w:r>
              <w:rPr>
                <w:rFonts w:ascii="宋体" w:hAnsi="宋体" w:cs="宋体" w:eastAsia="宋体" w:hint="default"/>
                <w:spacing w:val="-19"/>
                <w:w w:val="100"/>
                <w:sz w:val="21"/>
                <w:szCs w:val="21"/>
              </w:rPr>
              <w:t>卖、股票期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1,184,062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pgSz w:w="16840" w:h="11910" w:orient="landscape"/>
          <w:pgMar w:header="880" w:footer="1336" w:top="1120" w:bottom="152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61"/>
        <w:gridCol w:w="1162"/>
        <w:gridCol w:w="857"/>
        <w:gridCol w:w="857"/>
        <w:gridCol w:w="1222"/>
        <w:gridCol w:w="1217"/>
        <w:gridCol w:w="1162"/>
        <w:gridCol w:w="1159"/>
        <w:gridCol w:w="1361"/>
        <w:gridCol w:w="1176"/>
        <w:gridCol w:w="1416"/>
        <w:gridCol w:w="1448"/>
      </w:tblGrid>
      <w:tr>
        <w:trPr>
          <w:trHeight w:val="281" w:hRule="exact"/>
        </w:trPr>
        <w:tc>
          <w:tcPr>
            <w:tcW w:w="10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权行权</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徐宝东</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sz w:val="21"/>
              </w:rPr>
              <w:t>2014/3/17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256,480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280,216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23,736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积</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19"/>
                <w:w w:val="100"/>
                <w:sz w:val="21"/>
                <w:szCs w:val="21"/>
              </w:rPr>
              <w:t>金转增、二</w:t>
            </w:r>
            <w:r>
              <w:rPr>
                <w:rFonts w:ascii="宋体" w:hAnsi="宋体" w:cs="宋体" w:eastAsia="宋体" w:hint="default"/>
                <w:w w:val="100"/>
                <w:sz w:val="21"/>
                <w:szCs w:val="21"/>
              </w:rPr>
              <w:t> </w:t>
            </w:r>
            <w:r>
              <w:rPr>
                <w:rFonts w:ascii="宋体" w:hAnsi="宋体" w:cs="宋体" w:eastAsia="宋体" w:hint="default"/>
                <w:sz w:val="21"/>
                <w:szCs w:val="21"/>
              </w:rPr>
              <w:t>级</w:t>
            </w:r>
            <w:r>
              <w:rPr>
                <w:rFonts w:ascii="宋体" w:hAnsi="宋体" w:cs="宋体" w:eastAsia="宋体" w:hint="default"/>
                <w:spacing w:val="-64"/>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场</w:t>
            </w:r>
            <w:r>
              <w:rPr>
                <w:rFonts w:ascii="宋体" w:hAnsi="宋体" w:cs="宋体" w:eastAsia="宋体" w:hint="default"/>
                <w:spacing w:val="-66"/>
                <w:sz w:val="21"/>
                <w:szCs w:val="21"/>
              </w:rPr>
              <w:t> </w:t>
            </w:r>
            <w:r>
              <w:rPr>
                <w:rFonts w:ascii="宋体" w:hAnsi="宋体" w:cs="宋体" w:eastAsia="宋体" w:hint="default"/>
                <w:sz w:val="21"/>
                <w:szCs w:val="21"/>
              </w:rPr>
              <w:t>买</w:t>
            </w:r>
            <w:r>
              <w:rPr>
                <w:rFonts w:ascii="宋体" w:hAnsi="宋体" w:cs="宋体" w:eastAsia="宋体" w:hint="default"/>
                <w:w w:val="100"/>
                <w:sz w:val="21"/>
                <w:szCs w:val="21"/>
              </w:rPr>
              <w:t> </w:t>
            </w:r>
            <w:r>
              <w:rPr>
                <w:rFonts w:ascii="宋体" w:hAnsi="宋体" w:cs="宋体" w:eastAsia="宋体" w:hint="default"/>
                <w:spacing w:val="-19"/>
                <w:w w:val="100"/>
                <w:sz w:val="21"/>
                <w:szCs w:val="21"/>
              </w:rPr>
              <w:t>卖、股票期</w:t>
            </w:r>
            <w:r>
              <w:rPr>
                <w:rFonts w:ascii="宋体" w:hAnsi="宋体" w:cs="宋体" w:eastAsia="宋体" w:hint="default"/>
                <w:w w:val="100"/>
                <w:sz w:val="21"/>
                <w:szCs w:val="21"/>
              </w:rPr>
              <w:t> </w:t>
            </w:r>
            <w:r>
              <w:rPr>
                <w:rFonts w:ascii="宋体" w:hAnsi="宋体" w:cs="宋体" w:eastAsia="宋体" w:hint="default"/>
                <w:sz w:val="21"/>
                <w:szCs w:val="21"/>
              </w:rPr>
              <w:t>权行权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1,779,546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10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李宏伟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sz w:val="21"/>
              </w:rPr>
              <w:t>2014/3/17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104,880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43,880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积</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19"/>
                <w:w w:val="100"/>
                <w:sz w:val="21"/>
                <w:szCs w:val="21"/>
              </w:rPr>
              <w:t>金转增、股</w:t>
            </w:r>
            <w:r>
              <w:rPr>
                <w:rFonts w:ascii="宋体" w:hAnsi="宋体" w:cs="宋体" w:eastAsia="宋体" w:hint="default"/>
                <w:w w:val="100"/>
                <w:sz w:val="21"/>
                <w:szCs w:val="21"/>
              </w:rPr>
              <w:t> </w:t>
            </w:r>
            <w:r>
              <w:rPr>
                <w:rFonts w:ascii="宋体" w:hAnsi="宋体" w:cs="宋体" w:eastAsia="宋体" w:hint="default"/>
                <w:sz w:val="21"/>
                <w:szCs w:val="21"/>
              </w:rPr>
              <w:t>票</w:t>
            </w:r>
            <w:r>
              <w:rPr>
                <w:rFonts w:ascii="宋体" w:hAnsi="宋体" w:cs="宋体" w:eastAsia="宋体" w:hint="default"/>
                <w:spacing w:val="-64"/>
                <w:sz w:val="21"/>
                <w:szCs w:val="21"/>
              </w:rPr>
              <w:t> </w:t>
            </w:r>
            <w:r>
              <w:rPr>
                <w:rFonts w:ascii="宋体" w:hAnsi="宋体" w:cs="宋体" w:eastAsia="宋体" w:hint="default"/>
                <w:sz w:val="21"/>
                <w:szCs w:val="21"/>
              </w:rPr>
              <w:t>期</w:t>
            </w:r>
            <w:r>
              <w:rPr>
                <w:rFonts w:ascii="宋体" w:hAnsi="宋体" w:cs="宋体" w:eastAsia="宋体" w:hint="default"/>
                <w:spacing w:val="-66"/>
                <w:sz w:val="21"/>
                <w:szCs w:val="21"/>
              </w:rPr>
              <w:t> </w:t>
            </w:r>
            <w:r>
              <w:rPr>
                <w:rFonts w:ascii="宋体" w:hAnsi="宋体" w:cs="宋体" w:eastAsia="宋体" w:hint="default"/>
                <w:sz w:val="21"/>
                <w:szCs w:val="21"/>
              </w:rPr>
              <w:t>权</w:t>
            </w:r>
            <w:r>
              <w:rPr>
                <w:rFonts w:ascii="宋体" w:hAnsi="宋体" w:cs="宋体" w:eastAsia="宋体" w:hint="default"/>
                <w:spacing w:val="-66"/>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721,270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任志刚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sz w:val="21"/>
              </w:rPr>
              <w:t>2014/3/17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70,200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25,200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积</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19"/>
                <w:w w:val="100"/>
                <w:sz w:val="21"/>
                <w:szCs w:val="21"/>
              </w:rPr>
              <w:t>金转增、股</w:t>
            </w:r>
            <w:r>
              <w:rPr>
                <w:rFonts w:ascii="宋体" w:hAnsi="宋体" w:cs="宋体" w:eastAsia="宋体" w:hint="default"/>
                <w:w w:val="100"/>
                <w:sz w:val="21"/>
                <w:szCs w:val="21"/>
              </w:rPr>
              <w:t> </w:t>
            </w:r>
            <w:r>
              <w:rPr>
                <w:rFonts w:ascii="宋体" w:hAnsi="宋体" w:cs="宋体" w:eastAsia="宋体" w:hint="default"/>
                <w:sz w:val="21"/>
                <w:szCs w:val="21"/>
              </w:rPr>
              <w:t>票</w:t>
            </w:r>
            <w:r>
              <w:rPr>
                <w:rFonts w:ascii="宋体" w:hAnsi="宋体" w:cs="宋体" w:eastAsia="宋体" w:hint="default"/>
                <w:spacing w:val="-64"/>
                <w:sz w:val="21"/>
                <w:szCs w:val="21"/>
              </w:rPr>
              <w:t> </w:t>
            </w:r>
            <w:r>
              <w:rPr>
                <w:rFonts w:ascii="宋体" w:hAnsi="宋体" w:cs="宋体" w:eastAsia="宋体" w:hint="default"/>
                <w:sz w:val="21"/>
                <w:szCs w:val="21"/>
              </w:rPr>
              <w:t>期</w:t>
            </w:r>
            <w:r>
              <w:rPr>
                <w:rFonts w:ascii="宋体" w:hAnsi="宋体" w:cs="宋体" w:eastAsia="宋体" w:hint="default"/>
                <w:spacing w:val="-66"/>
                <w:sz w:val="21"/>
                <w:szCs w:val="21"/>
              </w:rPr>
              <w:t> </w:t>
            </w:r>
            <w:r>
              <w:rPr>
                <w:rFonts w:ascii="宋体" w:hAnsi="宋体" w:cs="宋体" w:eastAsia="宋体" w:hint="default"/>
                <w:sz w:val="21"/>
                <w:szCs w:val="21"/>
              </w:rPr>
              <w:t>权</w:t>
            </w:r>
            <w:r>
              <w:rPr>
                <w:rFonts w:ascii="宋体" w:hAnsi="宋体" w:cs="宋体" w:eastAsia="宋体" w:hint="default"/>
                <w:spacing w:val="-66"/>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1,295,967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季学庆</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sz w:val="21"/>
              </w:rPr>
              <w:t>2014/3/17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49,680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22,680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积</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19"/>
                <w:w w:val="100"/>
                <w:sz w:val="21"/>
                <w:szCs w:val="21"/>
              </w:rPr>
              <w:t>金转增、股</w:t>
            </w:r>
            <w:r>
              <w:rPr>
                <w:rFonts w:ascii="宋体" w:hAnsi="宋体" w:cs="宋体" w:eastAsia="宋体" w:hint="default"/>
                <w:w w:val="100"/>
                <w:sz w:val="21"/>
                <w:szCs w:val="21"/>
              </w:rPr>
              <w:t> </w:t>
            </w:r>
            <w:r>
              <w:rPr>
                <w:rFonts w:ascii="宋体" w:hAnsi="宋体" w:cs="宋体" w:eastAsia="宋体" w:hint="default"/>
                <w:sz w:val="21"/>
                <w:szCs w:val="21"/>
              </w:rPr>
              <w:t>票</w:t>
            </w:r>
            <w:r>
              <w:rPr>
                <w:rFonts w:ascii="宋体" w:hAnsi="宋体" w:cs="宋体" w:eastAsia="宋体" w:hint="default"/>
                <w:spacing w:val="-64"/>
                <w:sz w:val="21"/>
                <w:szCs w:val="21"/>
              </w:rPr>
              <w:t> </w:t>
            </w:r>
            <w:r>
              <w:rPr>
                <w:rFonts w:ascii="宋体" w:hAnsi="宋体" w:cs="宋体" w:eastAsia="宋体" w:hint="default"/>
                <w:sz w:val="21"/>
                <w:szCs w:val="21"/>
              </w:rPr>
              <w:t>期</w:t>
            </w:r>
            <w:r>
              <w:rPr>
                <w:rFonts w:ascii="宋体" w:hAnsi="宋体" w:cs="宋体" w:eastAsia="宋体" w:hint="default"/>
                <w:spacing w:val="-66"/>
                <w:sz w:val="21"/>
                <w:szCs w:val="21"/>
              </w:rPr>
              <w:t> </w:t>
            </w:r>
            <w:r>
              <w:rPr>
                <w:rFonts w:ascii="宋体" w:hAnsi="宋体" w:cs="宋体" w:eastAsia="宋体" w:hint="default"/>
                <w:sz w:val="21"/>
                <w:szCs w:val="21"/>
              </w:rPr>
              <w:t>权</w:t>
            </w:r>
            <w:r>
              <w:rPr>
                <w:rFonts w:ascii="宋体" w:hAnsi="宋体" w:cs="宋体" w:eastAsia="宋体" w:hint="default"/>
                <w:spacing w:val="-66"/>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854,701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10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陈强兵</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sz w:val="21"/>
              </w:rPr>
              <w:t>2015/1/30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35,280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18,480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积</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19"/>
                <w:w w:val="100"/>
                <w:sz w:val="21"/>
                <w:szCs w:val="21"/>
              </w:rPr>
              <w:t>金转增、股</w:t>
            </w:r>
            <w:r>
              <w:rPr>
                <w:rFonts w:ascii="宋体" w:hAnsi="宋体" w:cs="宋体" w:eastAsia="宋体" w:hint="default"/>
                <w:w w:val="100"/>
                <w:sz w:val="21"/>
                <w:szCs w:val="21"/>
              </w:rPr>
              <w:t> </w:t>
            </w:r>
            <w:r>
              <w:rPr>
                <w:rFonts w:ascii="宋体" w:hAnsi="宋体" w:cs="宋体" w:eastAsia="宋体" w:hint="default"/>
                <w:sz w:val="21"/>
                <w:szCs w:val="21"/>
              </w:rPr>
              <w:t>票</w:t>
            </w:r>
            <w:r>
              <w:rPr>
                <w:rFonts w:ascii="宋体" w:hAnsi="宋体" w:cs="宋体" w:eastAsia="宋体" w:hint="default"/>
                <w:spacing w:val="-64"/>
                <w:sz w:val="21"/>
                <w:szCs w:val="21"/>
              </w:rPr>
              <w:t> </w:t>
            </w:r>
            <w:r>
              <w:rPr>
                <w:rFonts w:ascii="宋体" w:hAnsi="宋体" w:cs="宋体" w:eastAsia="宋体" w:hint="default"/>
                <w:sz w:val="21"/>
                <w:szCs w:val="21"/>
              </w:rPr>
              <w:t>期</w:t>
            </w:r>
            <w:r>
              <w:rPr>
                <w:rFonts w:ascii="宋体" w:hAnsi="宋体" w:cs="宋体" w:eastAsia="宋体" w:hint="default"/>
                <w:spacing w:val="-66"/>
                <w:sz w:val="21"/>
                <w:szCs w:val="21"/>
              </w:rPr>
              <w:t> </w:t>
            </w:r>
            <w:r>
              <w:rPr>
                <w:rFonts w:ascii="宋体" w:hAnsi="宋体" w:cs="宋体" w:eastAsia="宋体" w:hint="default"/>
                <w:sz w:val="21"/>
                <w:szCs w:val="21"/>
              </w:rPr>
              <w:t>权</w:t>
            </w:r>
            <w:r>
              <w:rPr>
                <w:rFonts w:ascii="宋体" w:hAnsi="宋体" w:cs="宋体" w:eastAsia="宋体" w:hint="default"/>
                <w:spacing w:val="-66"/>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2,052,264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sz w:val="21"/>
              </w:rPr>
              <w:t>2015/1/30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21,320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40,272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18,952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积</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19"/>
                <w:w w:val="100"/>
                <w:sz w:val="21"/>
                <w:szCs w:val="21"/>
              </w:rPr>
              <w:t>金转增、股</w:t>
            </w:r>
            <w:r>
              <w:rPr>
                <w:rFonts w:ascii="宋体" w:hAnsi="宋体" w:cs="宋体" w:eastAsia="宋体" w:hint="default"/>
                <w:w w:val="100"/>
                <w:sz w:val="21"/>
                <w:szCs w:val="21"/>
              </w:rPr>
              <w:t> </w:t>
            </w:r>
            <w:r>
              <w:rPr>
                <w:rFonts w:ascii="宋体" w:hAnsi="宋体" w:cs="宋体" w:eastAsia="宋体" w:hint="default"/>
                <w:sz w:val="21"/>
                <w:szCs w:val="21"/>
              </w:rPr>
              <w:t>票</w:t>
            </w:r>
            <w:r>
              <w:rPr>
                <w:rFonts w:ascii="宋体" w:hAnsi="宋体" w:cs="宋体" w:eastAsia="宋体" w:hint="default"/>
                <w:spacing w:val="-64"/>
                <w:sz w:val="21"/>
                <w:szCs w:val="21"/>
              </w:rPr>
              <w:t> </w:t>
            </w:r>
            <w:r>
              <w:rPr>
                <w:rFonts w:ascii="宋体" w:hAnsi="宋体" w:cs="宋体" w:eastAsia="宋体" w:hint="default"/>
                <w:sz w:val="21"/>
                <w:szCs w:val="21"/>
              </w:rPr>
              <w:t>期</w:t>
            </w:r>
            <w:r>
              <w:rPr>
                <w:rFonts w:ascii="宋体" w:hAnsi="宋体" w:cs="宋体" w:eastAsia="宋体" w:hint="default"/>
                <w:spacing w:val="-66"/>
                <w:sz w:val="21"/>
                <w:szCs w:val="21"/>
              </w:rPr>
              <w:t> </w:t>
            </w:r>
            <w:r>
              <w:rPr>
                <w:rFonts w:ascii="宋体" w:hAnsi="宋体" w:cs="宋体" w:eastAsia="宋体" w:hint="default"/>
                <w:sz w:val="21"/>
                <w:szCs w:val="21"/>
              </w:rPr>
              <w:t>权</w:t>
            </w:r>
            <w:r>
              <w:rPr>
                <w:rFonts w:ascii="宋体" w:hAnsi="宋体" w:cs="宋体" w:eastAsia="宋体" w:hint="default"/>
                <w:spacing w:val="-66"/>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811,812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4,570,405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5,300,042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729,637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26,350,091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pStyle w:val="BodyText"/>
        <w:spacing w:line="240" w:lineRule="auto" w:before="86"/>
        <w:ind w:left="224" w:right="0"/>
        <w:jc w:val="left"/>
      </w:pPr>
      <w:r>
        <w:rPr/>
        <w:t>注</w:t>
      </w:r>
      <w:r>
        <w:rPr>
          <w:spacing w:val="-54"/>
        </w:rPr>
        <w:t> </w:t>
      </w:r>
      <w:r>
        <w:rPr>
          <w:rFonts w:ascii="宋体" w:hAnsi="宋体" w:cs="宋体" w:eastAsia="宋体" w:hint="default"/>
        </w:rPr>
        <w:t>1</w:t>
      </w:r>
      <w:r>
        <w:rPr/>
        <w:t>：任期至公司</w:t>
      </w:r>
      <w:r>
        <w:rPr>
          <w:spacing w:val="-55"/>
        </w:rPr>
        <w:t> </w:t>
      </w:r>
      <w:r>
        <w:rPr>
          <w:rFonts w:ascii="宋体" w:hAnsi="宋体" w:cs="宋体" w:eastAsia="宋体" w:hint="default"/>
        </w:rPr>
        <w:t>2016</w:t>
      </w:r>
      <w:r>
        <w:rPr>
          <w:rFonts w:ascii="宋体" w:hAnsi="宋体" w:cs="宋体" w:eastAsia="宋体" w:hint="default"/>
          <w:spacing w:val="-57"/>
        </w:rPr>
        <w:t> </w:t>
      </w:r>
      <w:r>
        <w:rPr/>
        <w:t>年年度股东大会选举出新一届董事会、监事会之日止。</w:t>
      </w:r>
    </w:p>
    <w:p>
      <w:pPr>
        <w:spacing w:line="240" w:lineRule="auto" w:before="3"/>
        <w:rPr>
          <w:rFonts w:ascii="宋体" w:hAnsi="宋体" w:cs="宋体" w:eastAsia="宋体" w:hint="default"/>
          <w:sz w:val="14"/>
          <w:szCs w:val="14"/>
        </w:rPr>
      </w:pPr>
    </w:p>
    <w:p>
      <w:pPr>
        <w:pStyle w:val="BodyText"/>
        <w:spacing w:line="240" w:lineRule="auto"/>
        <w:ind w:left="224" w:right="0"/>
        <w:jc w:val="left"/>
      </w:pPr>
      <w:r>
        <w:rPr/>
        <w:t>注</w:t>
      </w:r>
      <w:r>
        <w:rPr>
          <w:spacing w:val="-54"/>
        </w:rPr>
        <w:t> </w:t>
      </w:r>
      <w:r>
        <w:rPr>
          <w:rFonts w:ascii="宋体" w:hAnsi="宋体" w:cs="宋体" w:eastAsia="宋体" w:hint="default"/>
        </w:rPr>
        <w:t>2</w:t>
      </w:r>
      <w:r>
        <w:rPr/>
        <w:t>：任期至公司</w:t>
      </w:r>
      <w:r>
        <w:rPr>
          <w:spacing w:val="-55"/>
        </w:rPr>
        <w:t> </w:t>
      </w:r>
      <w:r>
        <w:rPr>
          <w:rFonts w:ascii="宋体" w:hAnsi="宋体" w:cs="宋体" w:eastAsia="宋体" w:hint="default"/>
        </w:rPr>
        <w:t>2016</w:t>
      </w:r>
      <w:r>
        <w:rPr>
          <w:rFonts w:ascii="宋体" w:hAnsi="宋体" w:cs="宋体" w:eastAsia="宋体" w:hint="default"/>
          <w:spacing w:val="-57"/>
        </w:rPr>
        <w:t> </w:t>
      </w:r>
      <w:r>
        <w:rPr/>
        <w:t>年年度股东大会选举出的新一届董事会聘任公司高级管理人员之日止。</w:t>
      </w:r>
    </w:p>
    <w:p>
      <w:pPr>
        <w:spacing w:line="240" w:lineRule="auto" w:before="3"/>
        <w:rPr>
          <w:rFonts w:ascii="宋体" w:hAnsi="宋体" w:cs="宋体" w:eastAsia="宋体" w:hint="default"/>
          <w:sz w:val="14"/>
          <w:szCs w:val="14"/>
        </w:rPr>
      </w:pPr>
    </w:p>
    <w:p>
      <w:pPr>
        <w:pStyle w:val="BodyText"/>
        <w:spacing w:line="240" w:lineRule="auto"/>
        <w:ind w:left="224" w:right="0"/>
        <w:jc w:val="left"/>
      </w:pPr>
      <w:r>
        <w:rPr/>
        <w:t>注</w:t>
      </w:r>
      <w:r>
        <w:rPr>
          <w:spacing w:val="-35"/>
        </w:rPr>
        <w:t> </w:t>
      </w:r>
      <w:r>
        <w:rPr>
          <w:rFonts w:ascii="宋体" w:hAnsi="宋体" w:cs="宋体" w:eastAsia="宋体" w:hint="default"/>
          <w:spacing w:val="-10"/>
        </w:rPr>
        <w:t>3</w:t>
      </w:r>
      <w:r>
        <w:rPr>
          <w:spacing w:val="-10"/>
        </w:rPr>
        <w:t>：公司已于</w:t>
      </w:r>
      <w:r>
        <w:rPr>
          <w:spacing w:val="-37"/>
        </w:rPr>
        <w:t> </w:t>
      </w:r>
      <w:r>
        <w:rPr>
          <w:rFonts w:ascii="宋体" w:hAnsi="宋体" w:cs="宋体" w:eastAsia="宋体" w:hint="default"/>
        </w:rPr>
        <w:t>2016</w:t>
      </w:r>
      <w:r>
        <w:rPr>
          <w:rFonts w:ascii="宋体" w:hAnsi="宋体" w:cs="宋体" w:eastAsia="宋体" w:hint="default"/>
          <w:spacing w:val="-37"/>
        </w:rPr>
        <w:t> </w:t>
      </w:r>
      <w:r>
        <w:rPr/>
        <w:t>年</w:t>
      </w:r>
      <w:r>
        <w:rPr>
          <w:spacing w:val="-39"/>
        </w:rPr>
        <w:t> </w:t>
      </w:r>
      <w:r>
        <w:rPr>
          <w:rFonts w:ascii="宋体" w:hAnsi="宋体" w:cs="宋体" w:eastAsia="宋体" w:hint="default"/>
        </w:rPr>
        <w:t>1</w:t>
      </w:r>
      <w:r>
        <w:rPr>
          <w:rFonts w:ascii="宋体" w:hAnsi="宋体" w:cs="宋体" w:eastAsia="宋体" w:hint="default"/>
          <w:spacing w:val="-39"/>
        </w:rPr>
        <w:t> </w:t>
      </w:r>
      <w:r>
        <w:rPr/>
        <w:t>月</w:t>
      </w:r>
      <w:r>
        <w:rPr>
          <w:spacing w:val="-37"/>
        </w:rPr>
        <w:t> </w:t>
      </w:r>
      <w:r>
        <w:rPr>
          <w:rFonts w:ascii="宋体" w:hAnsi="宋体" w:cs="宋体" w:eastAsia="宋体" w:hint="default"/>
        </w:rPr>
        <w:t>15</w:t>
      </w:r>
      <w:r>
        <w:rPr>
          <w:rFonts w:ascii="宋体" w:hAnsi="宋体" w:cs="宋体" w:eastAsia="宋体" w:hint="default"/>
          <w:spacing w:val="-39"/>
        </w:rPr>
        <w:t> </w:t>
      </w:r>
      <w:r>
        <w:rPr>
          <w:spacing w:val="-4"/>
        </w:rPr>
        <w:t>日召开的第六届董事会第三十二次会议，免去王家亮先生的高级副总裁兼财务总监职务、李宏伟先生的高级副总裁职务。</w:t>
      </w:r>
    </w:p>
    <w:p>
      <w:pPr>
        <w:spacing w:after="0" w:line="240" w:lineRule="auto"/>
        <w:jc w:val="left"/>
        <w:sectPr>
          <w:pgSz w:w="16840" w:h="11910" w:orient="landscape"/>
          <w:pgMar w:header="880" w:footer="1336" w:top="1120" w:bottom="1520" w:left="1300" w:right="1200"/>
        </w:sectPr>
      </w:pPr>
    </w:p>
    <w:p>
      <w:pPr>
        <w:pStyle w:val="BodyText"/>
        <w:spacing w:line="297" w:lineRule="auto" w:before="120"/>
        <w:ind w:left="224" w:right="0"/>
        <w:jc w:val="left"/>
      </w:pPr>
      <w:r>
        <w:rPr/>
        <w:t>注</w:t>
      </w:r>
      <w:r>
        <w:rPr>
          <w:spacing w:val="-47"/>
        </w:rPr>
        <w:t> </w:t>
      </w:r>
      <w:r>
        <w:rPr>
          <w:rFonts w:ascii="宋体" w:hAnsi="宋体" w:cs="宋体" w:eastAsia="宋体" w:hint="default"/>
        </w:rPr>
        <w:t>4</w:t>
      </w:r>
      <w:r>
        <w:rPr/>
        <w:t>：公司已于</w:t>
      </w:r>
      <w:r>
        <w:rPr>
          <w:spacing w:val="-51"/>
        </w:rPr>
        <w:t> </w:t>
      </w:r>
      <w:r>
        <w:rPr>
          <w:rFonts w:ascii="宋体" w:hAnsi="宋体" w:cs="宋体" w:eastAsia="宋体" w:hint="default"/>
        </w:rPr>
        <w:t>2015</w:t>
      </w:r>
      <w:r>
        <w:rPr>
          <w:rFonts w:ascii="宋体" w:hAnsi="宋体" w:cs="宋体" w:eastAsia="宋体" w:hint="default"/>
          <w:spacing w:val="-50"/>
        </w:rPr>
        <w:t> </w:t>
      </w:r>
      <w:r>
        <w:rPr/>
        <w:t>年</w:t>
      </w:r>
      <w:r>
        <w:rPr>
          <w:spacing w:val="-48"/>
        </w:rPr>
        <w:t> </w:t>
      </w:r>
      <w:r>
        <w:rPr>
          <w:rFonts w:ascii="宋体" w:hAnsi="宋体" w:cs="宋体" w:eastAsia="宋体" w:hint="default"/>
        </w:rPr>
        <w:t>3</w:t>
      </w:r>
      <w:r>
        <w:rPr>
          <w:rFonts w:ascii="宋体" w:hAnsi="宋体" w:cs="宋体" w:eastAsia="宋体" w:hint="default"/>
          <w:spacing w:val="-50"/>
        </w:rPr>
        <w:t> </w:t>
      </w:r>
      <w:r>
        <w:rPr/>
        <w:t>月</w:t>
      </w:r>
      <w:r>
        <w:rPr>
          <w:spacing w:val="-48"/>
        </w:rPr>
        <w:t> </w:t>
      </w:r>
      <w:r>
        <w:rPr>
          <w:rFonts w:ascii="宋体" w:hAnsi="宋体" w:cs="宋体" w:eastAsia="宋体" w:hint="default"/>
        </w:rPr>
        <w:t>20</w:t>
      </w:r>
      <w:r>
        <w:rPr>
          <w:rFonts w:ascii="宋体" w:hAnsi="宋体" w:cs="宋体" w:eastAsia="宋体" w:hint="default"/>
          <w:spacing w:val="-50"/>
        </w:rPr>
        <w:t> </w:t>
      </w:r>
      <w:r>
        <w:rPr/>
        <w:t>日披露了《用友网络科技股份有限公司关于独立董事辞职的公告》，吴晓求先生自</w:t>
      </w:r>
      <w:r>
        <w:rPr>
          <w:spacing w:val="-50"/>
        </w:rPr>
        <w:t> </w:t>
      </w:r>
      <w:r>
        <w:rPr>
          <w:rFonts w:ascii="宋体" w:hAnsi="宋体" w:cs="宋体" w:eastAsia="宋体" w:hint="default"/>
        </w:rPr>
        <w:t>2015</w:t>
      </w:r>
      <w:r>
        <w:rPr>
          <w:rFonts w:ascii="宋体" w:hAnsi="宋体" w:cs="宋体" w:eastAsia="宋体" w:hint="default"/>
          <w:spacing w:val="-50"/>
        </w:rPr>
        <w:t> </w:t>
      </w:r>
      <w:r>
        <w:rPr/>
        <w:t>年</w:t>
      </w:r>
      <w:r>
        <w:rPr>
          <w:spacing w:val="-48"/>
        </w:rPr>
        <w:t> </w:t>
      </w:r>
      <w:r>
        <w:rPr>
          <w:rFonts w:ascii="宋体" w:hAnsi="宋体" w:cs="宋体" w:eastAsia="宋体" w:hint="default"/>
        </w:rPr>
        <w:t>3</w:t>
      </w:r>
      <w:r>
        <w:rPr>
          <w:rFonts w:ascii="宋体" w:hAnsi="宋体" w:cs="宋体" w:eastAsia="宋体" w:hint="default"/>
          <w:spacing w:val="-50"/>
        </w:rPr>
        <w:t> </w:t>
      </w:r>
      <w:r>
        <w:rPr/>
        <w:t>月</w:t>
      </w:r>
      <w:r>
        <w:rPr>
          <w:spacing w:val="-48"/>
        </w:rPr>
        <w:t> </w:t>
      </w:r>
      <w:r>
        <w:rPr>
          <w:rFonts w:ascii="宋体" w:hAnsi="宋体" w:cs="宋体" w:eastAsia="宋体" w:hint="default"/>
        </w:rPr>
        <w:t>19</w:t>
      </w:r>
      <w:r>
        <w:rPr>
          <w:rFonts w:ascii="宋体" w:hAnsi="宋体" w:cs="宋体" w:eastAsia="宋体" w:hint="default"/>
          <w:spacing w:val="-48"/>
        </w:rPr>
        <w:t> </w:t>
      </w:r>
      <w:r>
        <w:rPr/>
        <w:t>日起不再担任公司独</w:t>
      </w:r>
      <w:r>
        <w:rPr>
          <w:w w:val="100"/>
        </w:rPr>
        <w:t> </w:t>
      </w:r>
      <w:r>
        <w:rPr/>
        <w:t>立董事。</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27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93"/>
              <w:jc w:val="both"/>
              <w:rPr>
                <w:rFonts w:ascii="宋体" w:hAnsi="宋体" w:cs="宋体" w:eastAsia="宋体" w:hint="default"/>
                <w:sz w:val="21"/>
                <w:szCs w:val="21"/>
              </w:rPr>
            </w:pPr>
            <w:r>
              <w:rPr>
                <w:rFonts w:ascii="宋体" w:hAnsi="宋体" w:cs="宋体" w:eastAsia="宋体" w:hint="default"/>
                <w:sz w:val="21"/>
                <w:szCs w:val="21"/>
              </w:rPr>
              <w:t>董事长兼总裁王文京先生，</w:t>
            </w:r>
            <w:r>
              <w:rPr>
                <w:rFonts w:ascii="宋体" w:hAnsi="宋体" w:cs="宋体" w:eastAsia="宋体" w:hint="default"/>
                <w:sz w:val="21"/>
                <w:szCs w:val="21"/>
              </w:rPr>
              <w:t>1988</w:t>
            </w:r>
            <w:r>
              <w:rPr>
                <w:rFonts w:ascii="宋体" w:hAnsi="宋体" w:cs="宋体" w:eastAsia="宋体" w:hint="default"/>
                <w:spacing w:val="-15"/>
                <w:sz w:val="21"/>
                <w:szCs w:val="21"/>
              </w:rPr>
              <w:t> </w:t>
            </w:r>
            <w:r>
              <w:rPr>
                <w:rFonts w:ascii="宋体" w:hAnsi="宋体" w:cs="宋体" w:eastAsia="宋体" w:hint="default"/>
                <w:sz w:val="21"/>
                <w:szCs w:val="21"/>
              </w:rPr>
              <w:t>年创建用友公司，曾任公司董事长、总裁等职务，目前还担任畅捷通信息技术股份有限公司董事长、北</w:t>
            </w:r>
            <w:r>
              <w:rPr>
                <w:rFonts w:ascii="宋体" w:hAnsi="宋体" w:cs="宋体" w:eastAsia="宋体" w:hint="default"/>
                <w:w w:val="100"/>
                <w:sz w:val="21"/>
                <w:szCs w:val="21"/>
              </w:rPr>
              <w:t> </w:t>
            </w:r>
            <w:r>
              <w:rPr>
                <w:rFonts w:ascii="宋体" w:hAnsi="宋体" w:cs="宋体" w:eastAsia="宋体" w:hint="default"/>
                <w:sz w:val="21"/>
                <w:szCs w:val="21"/>
              </w:rPr>
              <w:t>京用友政务软件有限公司董事长、厦门用友烟草软件有限责任公司董事长、用友汽车信息科技（上海）有限公司董事长、用友新道科技</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有限公司执行董事等职务。</w:t>
            </w:r>
          </w:p>
        </w:tc>
      </w:tr>
      <w:tr>
        <w:trPr>
          <w:trHeight w:val="12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86"/>
              <w:ind w:left="103" w:right="93"/>
              <w:jc w:val="both"/>
              <w:rPr>
                <w:rFonts w:ascii="宋体" w:hAnsi="宋体" w:cs="宋体" w:eastAsia="宋体" w:hint="default"/>
                <w:sz w:val="21"/>
                <w:szCs w:val="21"/>
              </w:rPr>
            </w:pPr>
            <w:r>
              <w:rPr>
                <w:rFonts w:ascii="宋体" w:hAnsi="宋体" w:cs="宋体" w:eastAsia="宋体" w:hint="default"/>
                <w:sz w:val="21"/>
                <w:szCs w:val="21"/>
              </w:rPr>
              <w:t>副董事长郭新平先生，</w:t>
            </w:r>
            <w:r>
              <w:rPr>
                <w:rFonts w:ascii="Times New Roman" w:hAnsi="Times New Roman" w:cs="Times New Roman" w:eastAsia="Times New Roman" w:hint="default"/>
                <w:sz w:val="21"/>
                <w:szCs w:val="21"/>
              </w:rPr>
              <w:t>1989</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年加入用友，曾任公司副董事长、总裁、财务总监等职务，目前还担任畅捷通信息技术股份有限公司监事会</w:t>
            </w:r>
            <w:r>
              <w:rPr>
                <w:rFonts w:ascii="宋体" w:hAnsi="宋体" w:cs="宋体" w:eastAsia="宋体" w:hint="default"/>
                <w:w w:val="100"/>
                <w:sz w:val="21"/>
                <w:szCs w:val="21"/>
              </w:rPr>
              <w:t> </w:t>
            </w:r>
            <w:r>
              <w:rPr>
                <w:rFonts w:ascii="宋体" w:hAnsi="宋体" w:cs="宋体" w:eastAsia="宋体" w:hint="default"/>
                <w:sz w:val="21"/>
                <w:szCs w:val="21"/>
              </w:rPr>
              <w:t>主席、北京用友政务软件有限公司董事、厦门用友烟草软件有限责任公司董事、用友医疗卫生信息系统有限公司监事、北京用友审计软</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件有限公司董事长、北京用友幸福投资管理有限公司监事等职务。</w:t>
            </w:r>
          </w:p>
        </w:tc>
      </w:tr>
      <w:tr>
        <w:trPr>
          <w:trHeight w:val="127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88"/>
              <w:ind w:left="103" w:right="94"/>
              <w:jc w:val="both"/>
              <w:rPr>
                <w:rFonts w:ascii="宋体" w:hAnsi="宋体" w:cs="宋体" w:eastAsia="宋体" w:hint="default"/>
                <w:sz w:val="21"/>
                <w:szCs w:val="21"/>
              </w:rPr>
            </w:pPr>
            <w:r>
              <w:rPr>
                <w:rFonts w:ascii="宋体" w:hAnsi="宋体" w:cs="宋体" w:eastAsia="宋体" w:hint="default"/>
                <w:sz w:val="21"/>
                <w:szCs w:val="21"/>
              </w:rPr>
              <w:t>董事吴政平先生，</w:t>
            </w:r>
            <w:r>
              <w:rPr>
                <w:rFonts w:ascii="Times New Roman" w:hAnsi="Times New Roman" w:cs="Times New Roman" w:eastAsia="Times New Roman" w:hint="default"/>
                <w:sz w:val="21"/>
                <w:szCs w:val="21"/>
              </w:rPr>
              <w:t>1992</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年加入用友，曾任公司董事、执行副总裁、高级副总裁、财务总监和行政总监等职务，目前还担任畅捷通信息技</w:t>
            </w:r>
            <w:r>
              <w:rPr>
                <w:rFonts w:ascii="宋体" w:hAnsi="宋体" w:cs="宋体" w:eastAsia="宋体" w:hint="default"/>
                <w:w w:val="100"/>
                <w:sz w:val="21"/>
                <w:szCs w:val="21"/>
              </w:rPr>
              <w:t> </w:t>
            </w:r>
            <w:r>
              <w:rPr>
                <w:rFonts w:ascii="宋体" w:hAnsi="宋体" w:cs="宋体" w:eastAsia="宋体" w:hint="default"/>
                <w:sz w:val="21"/>
                <w:szCs w:val="21"/>
              </w:rPr>
              <w:t>术股份有限公司董事、北京用友政务软件有限公司董事、厦门用友烟草软件有限责任公司董事、用友医疗卫生信息系统有限公司执行董</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事、北京用友审计软件有限公司监事、北京用友幸福投资管理有限公司执行董事等职务。</w:t>
            </w:r>
          </w:p>
        </w:tc>
      </w:tr>
      <w:tr>
        <w:trPr>
          <w:trHeight w:val="93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李绍唐</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94"/>
              <w:jc w:val="left"/>
              <w:rPr>
                <w:rFonts w:ascii="宋体" w:hAnsi="宋体" w:cs="宋体" w:eastAsia="宋体" w:hint="default"/>
                <w:sz w:val="21"/>
                <w:szCs w:val="21"/>
              </w:rPr>
            </w:pPr>
            <w:r>
              <w:rPr>
                <w:rFonts w:ascii="宋体" w:hAnsi="宋体" w:cs="宋体" w:eastAsia="宋体" w:hint="default"/>
                <w:sz w:val="21"/>
                <w:szCs w:val="21"/>
              </w:rPr>
              <w:t>独立董事李绍唐先生，曾任 </w:t>
            </w:r>
            <w:r>
              <w:rPr>
                <w:rFonts w:ascii="宋体" w:hAnsi="宋体" w:cs="宋体" w:eastAsia="宋体" w:hint="default"/>
                <w:sz w:val="21"/>
                <w:szCs w:val="21"/>
              </w:rPr>
              <w:t>IBM</w:t>
            </w:r>
            <w:r>
              <w:rPr>
                <w:rFonts w:ascii="宋体" w:hAnsi="宋体" w:cs="宋体" w:eastAsia="宋体" w:hint="default"/>
                <w:spacing w:val="-17"/>
                <w:sz w:val="21"/>
                <w:szCs w:val="21"/>
              </w:rPr>
              <w:t> </w:t>
            </w:r>
            <w:r>
              <w:rPr>
                <w:rFonts w:ascii="宋体" w:hAnsi="宋体" w:cs="宋体" w:eastAsia="宋体" w:hint="default"/>
                <w:sz w:val="21"/>
                <w:szCs w:val="21"/>
              </w:rPr>
              <w:t>台湾分公司协理，北京甲骨文软件系统有限公司华东暨华西区董事总经理，中国多普达通讯有限公司首</w:t>
            </w:r>
            <w:r>
              <w:rPr>
                <w:rFonts w:ascii="宋体" w:hAnsi="宋体" w:cs="宋体" w:eastAsia="宋体" w:hint="default"/>
                <w:w w:val="100"/>
                <w:sz w:val="21"/>
                <w:szCs w:val="21"/>
              </w:rPr>
              <w:t> </w:t>
            </w:r>
            <w:r>
              <w:rPr>
                <w:rFonts w:ascii="宋体" w:hAnsi="宋体" w:cs="宋体" w:eastAsia="宋体" w:hint="default"/>
                <w:spacing w:val="-2"/>
                <w:sz w:val="21"/>
                <w:szCs w:val="21"/>
              </w:rPr>
              <w:t>席执行官兼总裁，连营科技股份有限公司总经理，晶赞光电股份有限公司首席执行官，</w:t>
            </w:r>
            <w:r>
              <w:rPr>
                <w:rFonts w:ascii="宋体" w:hAnsi="宋体" w:cs="宋体" w:eastAsia="宋体" w:hint="default"/>
                <w:spacing w:val="-2"/>
                <w:sz w:val="21"/>
                <w:szCs w:val="21"/>
              </w:rPr>
              <w:t>1111</w:t>
            </w:r>
            <w:r>
              <w:rPr>
                <w:rFonts w:ascii="宋体" w:hAnsi="宋体" w:cs="宋体" w:eastAsia="宋体" w:hint="default"/>
                <w:spacing w:val="52"/>
                <w:sz w:val="21"/>
                <w:szCs w:val="21"/>
              </w:rPr>
              <w:t> </w:t>
            </w:r>
            <w:r>
              <w:rPr>
                <w:rFonts w:ascii="宋体" w:hAnsi="宋体" w:cs="宋体" w:eastAsia="宋体" w:hint="default"/>
                <w:spacing w:val="-2"/>
                <w:sz w:val="21"/>
                <w:szCs w:val="21"/>
              </w:rPr>
              <w:t>人力银行执行长（</w:t>
            </w:r>
            <w:r>
              <w:rPr>
                <w:rFonts w:ascii="宋体" w:hAnsi="宋体" w:cs="宋体" w:eastAsia="宋体" w:hint="default"/>
                <w:spacing w:val="-2"/>
                <w:sz w:val="21"/>
                <w:szCs w:val="21"/>
              </w:rPr>
              <w:t>CEO</w:t>
            </w:r>
            <w:r>
              <w:rPr>
                <w:rFonts w:ascii="宋体" w:hAnsi="宋体" w:cs="宋体" w:eastAsia="宋体" w:hint="default"/>
                <w:spacing w:val="-2"/>
                <w:sz w:val="21"/>
                <w:szCs w:val="21"/>
              </w:rPr>
              <w:t>）等职务。</w:t>
            </w:r>
          </w:p>
        </w:tc>
      </w:tr>
      <w:tr>
        <w:trPr>
          <w:trHeight w:val="195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黄锦辉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93"/>
              <w:jc w:val="both"/>
              <w:rPr>
                <w:rFonts w:ascii="宋体" w:hAnsi="宋体" w:cs="宋体" w:eastAsia="宋体" w:hint="default"/>
                <w:sz w:val="21"/>
                <w:szCs w:val="21"/>
              </w:rPr>
            </w:pPr>
            <w:r>
              <w:rPr>
                <w:rFonts w:ascii="宋体" w:hAnsi="宋体" w:cs="宋体" w:eastAsia="宋体" w:hint="default"/>
                <w:sz w:val="21"/>
                <w:szCs w:val="21"/>
              </w:rPr>
              <w:t>独立董事黄锦辉先生，</w:t>
            </w:r>
            <w:r>
              <w:rPr>
                <w:rFonts w:ascii="宋体" w:hAnsi="宋体" w:cs="宋体" w:eastAsia="宋体" w:hint="default"/>
                <w:sz w:val="21"/>
                <w:szCs w:val="21"/>
              </w:rPr>
              <w:t>1964</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10</w:t>
            </w:r>
            <w:r>
              <w:rPr>
                <w:rFonts w:ascii="宋体" w:hAnsi="宋体" w:cs="宋体" w:eastAsia="宋体" w:hint="default"/>
                <w:spacing w:val="-37"/>
                <w:sz w:val="21"/>
                <w:szCs w:val="21"/>
              </w:rPr>
              <w:t> </w:t>
            </w:r>
            <w:r>
              <w:rPr>
                <w:rFonts w:ascii="宋体" w:hAnsi="宋体" w:cs="宋体" w:eastAsia="宋体" w:hint="default"/>
                <w:spacing w:val="-3"/>
                <w:sz w:val="21"/>
                <w:szCs w:val="21"/>
              </w:rPr>
              <w:t>月出生，工商管理博士学位，澳大利亚资深注册会计师、国际注册管理咨询师、中国注册会计师、中国</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注册资产评估师、中国注册税务师、高级会计师，同时具有司法鉴定资格。</w:t>
            </w:r>
            <w:r>
              <w:rPr>
                <w:rFonts w:ascii="宋体" w:hAnsi="宋体" w:cs="宋体" w:eastAsia="宋体" w:hint="default"/>
                <w:sz w:val="21"/>
                <w:szCs w:val="21"/>
              </w:rPr>
              <w:t>1983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z w:val="21"/>
                <w:szCs w:val="21"/>
              </w:rPr>
              <w:t>-1993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月先后在外经贸部、中国成套设备进</w:t>
            </w:r>
            <w:r>
              <w:rPr>
                <w:rFonts w:ascii="宋体" w:hAnsi="宋体" w:cs="宋体" w:eastAsia="宋体" w:hint="default"/>
                <w:w w:val="100"/>
                <w:sz w:val="21"/>
                <w:szCs w:val="21"/>
              </w:rPr>
              <w:t> </w:t>
            </w:r>
            <w:r>
              <w:rPr>
                <w:rFonts w:ascii="宋体" w:hAnsi="宋体" w:cs="宋体" w:eastAsia="宋体" w:hint="default"/>
                <w:sz w:val="21"/>
                <w:szCs w:val="21"/>
              </w:rPr>
              <w:t>出口</w:t>
            </w:r>
            <w:r>
              <w:rPr>
                <w:rFonts w:ascii="宋体" w:hAnsi="宋体" w:cs="宋体" w:eastAsia="宋体" w:hint="default"/>
                <w:sz w:val="21"/>
                <w:szCs w:val="21"/>
              </w:rPr>
              <w:t>(</w:t>
            </w:r>
            <w:r>
              <w:rPr>
                <w:rFonts w:ascii="宋体" w:hAnsi="宋体" w:cs="宋体" w:eastAsia="宋体" w:hint="default"/>
                <w:sz w:val="21"/>
                <w:szCs w:val="21"/>
              </w:rPr>
              <w:t>集团</w:t>
            </w:r>
            <w:r>
              <w:rPr>
                <w:rFonts w:ascii="宋体" w:hAnsi="宋体" w:cs="宋体" w:eastAsia="宋体" w:hint="default"/>
                <w:sz w:val="21"/>
                <w:szCs w:val="21"/>
              </w:rPr>
              <w:t>)</w:t>
            </w:r>
            <w:r>
              <w:rPr>
                <w:rFonts w:ascii="宋体" w:hAnsi="宋体" w:cs="宋体" w:eastAsia="宋体" w:hint="default"/>
                <w:sz w:val="21"/>
                <w:szCs w:val="21"/>
              </w:rPr>
              <w:t>总公司及其海外机构任职，</w:t>
            </w:r>
            <w:r>
              <w:rPr>
                <w:rFonts w:ascii="宋体" w:hAnsi="宋体" w:cs="宋体" w:eastAsia="宋体" w:hint="default"/>
                <w:sz w:val="21"/>
                <w:szCs w:val="21"/>
              </w:rPr>
              <w:t>1994</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月加盟利安达会计师事务所有限责任公司，历任部门经理、副主任会计师、董事长兼主</w:t>
            </w:r>
            <w:r>
              <w:rPr>
                <w:rFonts w:ascii="宋体" w:hAnsi="宋体" w:cs="宋体" w:eastAsia="宋体" w:hint="default"/>
                <w:w w:val="100"/>
                <w:sz w:val="21"/>
                <w:szCs w:val="21"/>
              </w:rPr>
              <w:t> </w:t>
            </w:r>
            <w:r>
              <w:rPr>
                <w:rFonts w:ascii="宋体" w:hAnsi="宋体" w:cs="宋体" w:eastAsia="宋体" w:hint="default"/>
                <w:sz w:val="21"/>
                <w:szCs w:val="21"/>
              </w:rPr>
              <w:t>任会计师，现任利安达会计师事务所（特殊普通合伙）首席合伙人兼主任会计师，利安达国际董事局主席、董事长。现担任中华全国工</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商业联合会执委、中华民营企业联合会副会长、中国注册会计师协会理事等十多项社会职务。</w:t>
            </w:r>
          </w:p>
        </w:tc>
      </w:tr>
      <w:tr>
        <w:trPr>
          <w:trHeight w:val="81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于扬</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88"/>
              <w:ind w:left="103" w:right="93"/>
              <w:jc w:val="left"/>
              <w:rPr>
                <w:rFonts w:ascii="宋体" w:hAnsi="宋体" w:cs="宋体" w:eastAsia="宋体" w:hint="default"/>
                <w:sz w:val="21"/>
                <w:szCs w:val="21"/>
              </w:rPr>
            </w:pPr>
            <w:r>
              <w:rPr>
                <w:rFonts w:ascii="宋体" w:hAnsi="宋体" w:cs="宋体" w:eastAsia="宋体" w:hint="default"/>
                <w:sz w:val="21"/>
                <w:szCs w:val="21"/>
              </w:rPr>
              <w:t>独立董事于扬先生，</w:t>
            </w:r>
            <w:r>
              <w:rPr>
                <w:rFonts w:ascii="宋体" w:hAnsi="宋体" w:cs="宋体" w:eastAsia="宋体" w:hint="default"/>
                <w:sz w:val="21"/>
                <w:szCs w:val="21"/>
              </w:rPr>
              <w:t>1968</w:t>
            </w:r>
            <w:r>
              <w:rPr>
                <w:rFonts w:ascii="宋体" w:hAnsi="宋体" w:cs="宋体" w:eastAsia="宋体" w:hint="default"/>
                <w:spacing w:val="-15"/>
                <w:sz w:val="21"/>
                <w:szCs w:val="21"/>
              </w:rPr>
              <w:t> </w:t>
            </w:r>
            <w:r>
              <w:rPr>
                <w:rFonts w:ascii="宋体" w:hAnsi="宋体" w:cs="宋体" w:eastAsia="宋体" w:hint="default"/>
                <w:sz w:val="21"/>
                <w:szCs w:val="21"/>
              </w:rPr>
              <w:t>年出生，学士学位，现任北京易观网络信息咨询有限公司的董事长兼首席执行官，还任浙江日报报业集团学术</w:t>
            </w:r>
            <w:r>
              <w:rPr>
                <w:rFonts w:ascii="宋体" w:hAnsi="宋体" w:cs="宋体" w:eastAsia="宋体" w:hint="default"/>
                <w:w w:val="100"/>
                <w:sz w:val="21"/>
                <w:szCs w:val="21"/>
              </w:rPr>
              <w:t> </w:t>
            </w:r>
            <w:r>
              <w:rPr>
                <w:rFonts w:ascii="宋体" w:hAnsi="宋体" w:cs="宋体" w:eastAsia="宋体" w:hint="default"/>
                <w:sz w:val="21"/>
                <w:szCs w:val="21"/>
              </w:rPr>
              <w:t>委员会委员，爱心衣橱理事，中国科学院研究生青年发展关怀计划名誉导师，上海信息化企业协会发起人，亚杰商会创业导师，中关村</w:t>
            </w:r>
          </w:p>
        </w:tc>
      </w:tr>
    </w:tbl>
    <w:p>
      <w:pPr>
        <w:spacing w:after="0" w:line="295" w:lineRule="auto"/>
        <w:jc w:val="left"/>
        <w:rPr>
          <w:rFonts w:ascii="宋体" w:hAnsi="宋体" w:cs="宋体" w:eastAsia="宋体" w:hint="default"/>
          <w:sz w:val="21"/>
          <w:szCs w:val="21"/>
        </w:rPr>
        <w:sectPr>
          <w:pgSz w:w="16840" w:h="11910" w:orient="landscape"/>
          <w:pgMar w:header="880" w:footer="1336" w:top="1120" w:bottom="152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470"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金种子蒲公英孵化器创业导师，北京航空航天大学软件学院移动计算机专业指导专家等。</w:t>
            </w:r>
          </w:p>
        </w:tc>
      </w:tr>
      <w:tr>
        <w:trPr>
          <w:trHeight w:val="12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汪超涌</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94"/>
              <w:jc w:val="both"/>
              <w:rPr>
                <w:rFonts w:ascii="宋体" w:hAnsi="宋体" w:cs="宋体" w:eastAsia="宋体" w:hint="default"/>
                <w:sz w:val="21"/>
                <w:szCs w:val="21"/>
              </w:rPr>
            </w:pPr>
            <w:r>
              <w:rPr>
                <w:rFonts w:ascii="宋体" w:hAnsi="宋体" w:cs="宋体" w:eastAsia="宋体" w:hint="default"/>
                <w:sz w:val="21"/>
                <w:szCs w:val="21"/>
              </w:rPr>
              <w:t>独立董事汪超涌先生，</w:t>
            </w:r>
            <w:r>
              <w:rPr>
                <w:rFonts w:ascii="宋体" w:hAnsi="宋体" w:cs="宋体" w:eastAsia="宋体" w:hint="default"/>
                <w:sz w:val="21"/>
                <w:szCs w:val="21"/>
              </w:rPr>
              <w:t>1965</w:t>
            </w:r>
            <w:r>
              <w:rPr>
                <w:rFonts w:ascii="宋体" w:hAnsi="宋体" w:cs="宋体" w:eastAsia="宋体" w:hint="default"/>
                <w:spacing w:val="-15"/>
                <w:sz w:val="21"/>
                <w:szCs w:val="21"/>
              </w:rPr>
              <w:t> </w:t>
            </w:r>
            <w:r>
              <w:rPr>
                <w:rFonts w:ascii="宋体" w:hAnsi="宋体" w:cs="宋体" w:eastAsia="宋体" w:hint="default"/>
                <w:sz w:val="21"/>
                <w:szCs w:val="21"/>
              </w:rPr>
              <w:t>年出生，硕士学位，现任信中利投资集团公司董事长，还任中国企业家协会全国理事会理事，中国国际经济</w:t>
            </w:r>
            <w:r>
              <w:rPr>
                <w:rFonts w:ascii="宋体" w:hAnsi="宋体" w:cs="宋体" w:eastAsia="宋体" w:hint="default"/>
                <w:w w:val="100"/>
                <w:sz w:val="21"/>
                <w:szCs w:val="21"/>
              </w:rPr>
              <w:t> </w:t>
            </w:r>
            <w:r>
              <w:rPr>
                <w:rFonts w:ascii="宋体" w:hAnsi="宋体" w:cs="宋体" w:eastAsia="宋体" w:hint="default"/>
                <w:sz w:val="21"/>
                <w:szCs w:val="21"/>
              </w:rPr>
              <w:t>技术合作促进会副理事长，中科院人才交流开发中心金融投资专家，中华创业投资协会理事、首任秘书长等。曾任国家开发银行高级顾</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问，美国摩根士丹利亚洲区副总裁兼北京代表处首席代表。</w:t>
            </w:r>
          </w:p>
        </w:tc>
      </w:tr>
      <w:tr>
        <w:trPr>
          <w:trHeight w:val="59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许建钢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监事会主席许建钢先生，</w:t>
            </w:r>
            <w:r>
              <w:rPr>
                <w:rFonts w:ascii="宋体" w:hAnsi="宋体" w:cs="宋体" w:eastAsia="宋体" w:hint="default"/>
                <w:sz w:val="21"/>
                <w:szCs w:val="21"/>
              </w:rPr>
              <w:t>2001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月加入用友，曾任公司业务发展总监、产业发展总监、副总裁等职务。</w:t>
            </w:r>
          </w:p>
        </w:tc>
      </w:tr>
      <w:tr>
        <w:trPr>
          <w:trHeight w:val="93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1"/>
                <w:szCs w:val="21"/>
              </w:rPr>
            </w:pPr>
            <w:r>
              <w:rPr>
                <w:rFonts w:ascii="宋体" w:hAnsi="宋体" w:cs="宋体" w:eastAsia="宋体" w:hint="default"/>
                <w:sz w:val="21"/>
                <w:szCs w:val="21"/>
              </w:rPr>
              <w:t>章珂</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89"/>
              <w:ind w:left="103" w:right="104"/>
              <w:jc w:val="left"/>
              <w:rPr>
                <w:rFonts w:ascii="宋体" w:hAnsi="宋体" w:cs="宋体" w:eastAsia="宋体" w:hint="default"/>
                <w:sz w:val="21"/>
                <w:szCs w:val="21"/>
              </w:rPr>
            </w:pPr>
            <w:r>
              <w:rPr>
                <w:rFonts w:ascii="宋体" w:hAnsi="宋体" w:cs="宋体" w:eastAsia="宋体" w:hint="default"/>
                <w:sz w:val="21"/>
                <w:szCs w:val="21"/>
              </w:rPr>
              <w:t>监事章珂先生，管理学博士，曾任公司副总裁、董事会秘书等职务，现任上海兰基斯软件有限公司执行董事、北京如临其境科技有限公</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司董事、上海爱都创意网络科技有限公司董事等职务。</w:t>
            </w:r>
          </w:p>
        </w:tc>
      </w:tr>
      <w:tr>
        <w:trPr>
          <w:trHeight w:val="127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高志勇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104"/>
              <w:jc w:val="both"/>
              <w:rPr>
                <w:rFonts w:ascii="宋体" w:hAnsi="宋体" w:cs="宋体" w:eastAsia="宋体" w:hint="default"/>
                <w:sz w:val="21"/>
                <w:szCs w:val="21"/>
              </w:rPr>
            </w:pPr>
            <w:r>
              <w:rPr>
                <w:rFonts w:ascii="宋体" w:hAnsi="宋体" w:cs="宋体" w:eastAsia="宋体" w:hint="default"/>
                <w:sz w:val="21"/>
                <w:szCs w:val="21"/>
              </w:rPr>
              <w:t>监事高志勇先生，经济学学士，注册会计师、注册税务师、高级会计师，曾任信诚会计师事务所董事长兼主任会计师、岳华会计师事务</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所税务合伙人、北青传媒股份有限公司独立监事，现任北京用友科技有限公司董事长助理、北京注册会计师协会专家委员会委员、中央</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国家机关政府采购中心评标委员、财政部企业内部控制标准委员会咨询专家、湘潭市政府特聘经济顾问等职务。</w:t>
            </w:r>
          </w:p>
        </w:tc>
      </w:tr>
      <w:tr>
        <w:trPr>
          <w:trHeight w:val="93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章培林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86"/>
              <w:ind w:left="103" w:right="95"/>
              <w:jc w:val="left"/>
              <w:rPr>
                <w:rFonts w:ascii="宋体" w:hAnsi="宋体" w:cs="宋体" w:eastAsia="宋体" w:hint="default"/>
                <w:sz w:val="21"/>
                <w:szCs w:val="21"/>
              </w:rPr>
            </w:pPr>
            <w:r>
              <w:rPr>
                <w:rFonts w:ascii="宋体" w:hAnsi="宋体" w:cs="宋体" w:eastAsia="宋体" w:hint="default"/>
                <w:sz w:val="21"/>
                <w:szCs w:val="21"/>
              </w:rPr>
              <w:t>执行总裁章培林先生，</w:t>
            </w:r>
            <w:r>
              <w:rPr>
                <w:rFonts w:ascii="Times New Roman" w:hAnsi="Times New Roman" w:cs="Times New Roman" w:eastAsia="Times New Roman" w:hint="default"/>
                <w:sz w:val="21"/>
                <w:szCs w:val="21"/>
              </w:rPr>
              <w:t>2001 </w:t>
            </w:r>
            <w:r>
              <w:rPr>
                <w:rFonts w:ascii="宋体" w:hAnsi="宋体" w:cs="宋体" w:eastAsia="宋体" w:hint="default"/>
                <w:sz w:val="21"/>
                <w:szCs w:val="21"/>
              </w:rPr>
              <w:t>年加入用友，曾任公司副总经理、副总裁、高级副总裁、执行副总裁兼财务总监等职务。</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公司召开第六届董事会第三十二次会议，聘任章培林先生为公司财务总监。</w:t>
            </w:r>
          </w:p>
        </w:tc>
      </w:tr>
      <w:tr>
        <w:trPr>
          <w:trHeight w:val="59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郑雨林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高级副总裁郑雨林先生，</w:t>
            </w:r>
            <w:r>
              <w:rPr>
                <w:rFonts w:ascii="宋体" w:hAnsi="宋体" w:cs="宋体" w:eastAsia="宋体" w:hint="default"/>
                <w:spacing w:val="-5"/>
                <w:sz w:val="21"/>
                <w:szCs w:val="21"/>
              </w:rPr>
              <w:t> </w:t>
            </w:r>
            <w:r>
              <w:rPr>
                <w:rFonts w:ascii="宋体" w:hAnsi="宋体" w:cs="宋体" w:eastAsia="宋体" w:hint="default"/>
                <w:sz w:val="21"/>
                <w:szCs w:val="21"/>
              </w:rPr>
              <w:t>2001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月加入用友，曾任公司产品管理总部总经理、副总裁、高级副总裁等职务。</w:t>
            </w:r>
          </w:p>
        </w:tc>
      </w:tr>
      <w:tr>
        <w:trPr>
          <w:trHeight w:val="93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严绍业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5"/>
              <w:jc w:val="left"/>
              <w:rPr>
                <w:rFonts w:ascii="宋体" w:hAnsi="宋体" w:cs="宋体" w:eastAsia="宋体" w:hint="default"/>
                <w:sz w:val="21"/>
                <w:szCs w:val="21"/>
              </w:rPr>
            </w:pPr>
            <w:r>
              <w:rPr>
                <w:rFonts w:ascii="宋体" w:hAnsi="宋体" w:cs="宋体" w:eastAsia="宋体" w:hint="default"/>
                <w:spacing w:val="-3"/>
                <w:sz w:val="21"/>
                <w:szCs w:val="21"/>
              </w:rPr>
              <w:t>高级副总裁严绍业先生，</w:t>
            </w:r>
            <w:r>
              <w:rPr>
                <w:rFonts w:ascii="宋体" w:hAnsi="宋体" w:cs="宋体" w:eastAsia="宋体" w:hint="default"/>
                <w:spacing w:val="-3"/>
                <w:sz w:val="21"/>
                <w:szCs w:val="21"/>
              </w:rPr>
              <w:t>1963</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8</w:t>
            </w:r>
            <w:r>
              <w:rPr>
                <w:rFonts w:ascii="宋体" w:hAnsi="宋体" w:cs="宋体" w:eastAsia="宋体" w:hint="default"/>
                <w:spacing w:val="-40"/>
                <w:sz w:val="21"/>
                <w:szCs w:val="21"/>
              </w:rPr>
              <w:t> </w:t>
            </w:r>
            <w:r>
              <w:rPr>
                <w:rFonts w:ascii="宋体" w:hAnsi="宋体" w:cs="宋体" w:eastAsia="宋体" w:hint="default"/>
                <w:spacing w:val="-5"/>
                <w:sz w:val="21"/>
                <w:szCs w:val="21"/>
              </w:rPr>
              <w:t>月出生，经济学硕士。</w:t>
            </w:r>
            <w:r>
              <w:rPr>
                <w:rFonts w:ascii="宋体" w:hAnsi="宋体" w:cs="宋体" w:eastAsia="宋体" w:hint="default"/>
                <w:spacing w:val="-5"/>
                <w:sz w:val="21"/>
                <w:szCs w:val="21"/>
              </w:rPr>
              <w:t>2003</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pacing w:val="-3"/>
                <w:sz w:val="21"/>
                <w:szCs w:val="21"/>
              </w:rPr>
              <w:t>月加入用友，曾任北京用友政务软件有限公司总经理、公司品牌总监、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公司监事、副总裁、高级副总裁等职务。</w:t>
            </w:r>
          </w:p>
        </w:tc>
      </w:tr>
      <w:tr>
        <w:trPr>
          <w:trHeight w:val="59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陈巧红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pacing w:val="-2"/>
                <w:sz w:val="21"/>
                <w:szCs w:val="21"/>
              </w:rPr>
              <w:t>高级副总裁陈巧红女士，</w:t>
            </w:r>
            <w:r>
              <w:rPr>
                <w:rFonts w:ascii="宋体" w:hAnsi="宋体" w:cs="宋体" w:eastAsia="宋体" w:hint="default"/>
                <w:spacing w:val="-2"/>
                <w:sz w:val="21"/>
                <w:szCs w:val="21"/>
              </w:rPr>
              <w:t>1992</w:t>
            </w:r>
            <w:r>
              <w:rPr>
                <w:rFonts w:ascii="宋体" w:hAnsi="宋体" w:cs="宋体" w:eastAsia="宋体" w:hint="default"/>
                <w:spacing w:val="50"/>
                <w:sz w:val="21"/>
                <w:szCs w:val="21"/>
              </w:rPr>
              <w:t> </w:t>
            </w:r>
            <w:r>
              <w:rPr>
                <w:rFonts w:ascii="宋体" w:hAnsi="宋体" w:cs="宋体" w:eastAsia="宋体" w:hint="default"/>
                <w:spacing w:val="-2"/>
                <w:sz w:val="21"/>
                <w:szCs w:val="21"/>
              </w:rPr>
              <w:t>年加入用友，曾任公司总裁助理兼政府及行业大客户总部总经理、副总裁、高级副总裁等职务。</w:t>
            </w:r>
          </w:p>
        </w:tc>
      </w:tr>
      <w:tr>
        <w:trPr>
          <w:trHeight w:val="81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王家亮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86"/>
              <w:ind w:left="103" w:right="94"/>
              <w:jc w:val="left"/>
              <w:rPr>
                <w:rFonts w:ascii="宋体" w:hAnsi="宋体" w:cs="宋体" w:eastAsia="宋体" w:hint="default"/>
                <w:sz w:val="21"/>
                <w:szCs w:val="21"/>
              </w:rPr>
            </w:pPr>
            <w:r>
              <w:rPr>
                <w:rFonts w:ascii="宋体" w:hAnsi="宋体" w:cs="宋体" w:eastAsia="宋体" w:hint="default"/>
                <w:sz w:val="21"/>
                <w:szCs w:val="21"/>
              </w:rPr>
              <w:t>高级副总裁兼财务总监王家亮先生，</w:t>
            </w:r>
            <w:r>
              <w:rPr>
                <w:rFonts w:ascii="Times New Roman" w:hAnsi="Times New Roman" w:cs="Times New Roman" w:eastAsia="Times New Roman" w:hint="default"/>
                <w:sz w:val="21"/>
                <w:szCs w:val="21"/>
              </w:rPr>
              <w:t>1991 </w:t>
            </w:r>
            <w:r>
              <w:rPr>
                <w:rFonts w:ascii="宋体" w:hAnsi="宋体" w:cs="宋体" w:eastAsia="宋体" w:hint="default"/>
                <w:sz w:val="21"/>
                <w:szCs w:val="21"/>
              </w:rPr>
              <w:t>年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月起曾先后就职于中国财政部、担任美国贝迪印刷（北京）有限公司财务经理、芬兰圣维</w:t>
            </w:r>
            <w:r>
              <w:rPr>
                <w:rFonts w:ascii="宋体" w:hAnsi="宋体" w:cs="宋体" w:eastAsia="宋体" w:hint="default"/>
                <w:w w:val="100"/>
                <w:sz w:val="21"/>
                <w:szCs w:val="21"/>
              </w:rPr>
              <w:t> </w:t>
            </w:r>
            <w:r>
              <w:rPr>
                <w:rFonts w:ascii="宋体" w:hAnsi="宋体" w:cs="宋体" w:eastAsia="宋体" w:hint="default"/>
                <w:sz w:val="21"/>
                <w:szCs w:val="21"/>
              </w:rPr>
              <w:t>可福斯（北京）科技有限公司财务总监、科博莱汽车（北京）科技有限公司亚太区首席财务官、冀东发展集团有限公司财务总监等职。</w:t>
            </w:r>
          </w:p>
        </w:tc>
      </w:tr>
    </w:tbl>
    <w:p>
      <w:pPr>
        <w:spacing w:after="0" w:line="280" w:lineRule="auto"/>
        <w:jc w:val="left"/>
        <w:rPr>
          <w:rFonts w:ascii="宋体" w:hAnsi="宋体" w:cs="宋体" w:eastAsia="宋体" w:hint="default"/>
          <w:sz w:val="21"/>
          <w:szCs w:val="21"/>
        </w:rPr>
        <w:sectPr>
          <w:pgSz w:w="16840" w:h="11910" w:orient="landscape"/>
          <w:pgMar w:header="880" w:footer="1336" w:top="1120" w:bottom="152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470"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月加入用友。</w:t>
            </w:r>
          </w:p>
        </w:tc>
      </w:tr>
      <w:tr>
        <w:trPr>
          <w:trHeight w:val="59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欧阳青</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高级副总裁兼董事会秘书欧阳青先生，</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月加入用友，曾任公司副总裁、高级副总裁、董事会秘书。</w:t>
            </w:r>
          </w:p>
        </w:tc>
      </w:tr>
      <w:tr>
        <w:trPr>
          <w:trHeight w:val="93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谢志华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86"/>
              <w:ind w:left="103" w:right="81"/>
              <w:jc w:val="left"/>
              <w:rPr>
                <w:rFonts w:ascii="宋体" w:hAnsi="宋体" w:cs="宋体" w:eastAsia="宋体" w:hint="default"/>
                <w:sz w:val="21"/>
                <w:szCs w:val="21"/>
              </w:rPr>
            </w:pPr>
            <w:r>
              <w:rPr>
                <w:rFonts w:ascii="宋体" w:hAnsi="宋体" w:cs="宋体" w:eastAsia="宋体" w:hint="default"/>
                <w:sz w:val="21"/>
                <w:szCs w:val="21"/>
              </w:rPr>
              <w:t>高级副总裁谢志华先生，</w:t>
            </w:r>
            <w:r>
              <w:rPr>
                <w:rFonts w:ascii="Times New Roman" w:hAnsi="Times New Roman" w:cs="Times New Roman" w:eastAsia="Times New Roman" w:hint="default"/>
                <w:sz w:val="21"/>
                <w:szCs w:val="21"/>
              </w:rPr>
              <w:t>1998 </w:t>
            </w:r>
            <w:r>
              <w:rPr>
                <w:rFonts w:ascii="宋体" w:hAnsi="宋体" w:cs="宋体" w:eastAsia="宋体" w:hint="default"/>
                <w:sz w:val="21"/>
                <w:szCs w:val="21"/>
              </w:rPr>
              <w:t>年加入用友，曾任公司研发工程师、开发部经理、</w:t>
            </w:r>
            <w:r>
              <w:rPr>
                <w:rFonts w:ascii="Times New Roman" w:hAnsi="Times New Roman" w:cs="Times New Roman" w:eastAsia="Times New Roman" w:hint="default"/>
                <w:sz w:val="21"/>
                <w:szCs w:val="21"/>
              </w:rPr>
              <w:t>NC </w:t>
            </w:r>
            <w:r>
              <w:rPr>
                <w:rFonts w:ascii="宋体" w:hAnsi="宋体" w:cs="宋体" w:eastAsia="宋体" w:hint="default"/>
                <w:sz w:val="21"/>
                <w:szCs w:val="21"/>
              </w:rPr>
              <w:t>事业部副总经理、</w:t>
            </w:r>
            <w:r>
              <w:rPr>
                <w:rFonts w:ascii="Times New Roman" w:hAnsi="Times New Roman" w:cs="Times New Roman" w:eastAsia="Times New Roman" w:hint="default"/>
                <w:sz w:val="21"/>
                <w:szCs w:val="21"/>
              </w:rPr>
              <w:t>NC</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产品本部总经理、助理总裁、</w:t>
            </w:r>
            <w:r>
              <w:rPr>
                <w:rFonts w:ascii="宋体" w:hAnsi="宋体" w:cs="宋体" w:eastAsia="宋体" w:hint="default"/>
                <w:w w:val="100"/>
                <w:sz w:val="21"/>
                <w:szCs w:val="21"/>
              </w:rPr>
              <w:t> </w:t>
            </w:r>
            <w:r>
              <w:rPr>
                <w:rFonts w:ascii="宋体" w:hAnsi="宋体" w:cs="宋体" w:eastAsia="宋体" w:hint="default"/>
                <w:sz w:val="21"/>
                <w:szCs w:val="21"/>
              </w:rPr>
              <w:t>副总裁、高级副总裁等职务。</w:t>
            </w:r>
          </w:p>
        </w:tc>
      </w:tr>
      <w:tr>
        <w:trPr>
          <w:trHeight w:val="59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胡彬</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高级副总裁胡彬先生，</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月加入用友，曾任公司副总裁、高级副总裁等职务。</w:t>
            </w:r>
          </w:p>
        </w:tc>
      </w:tr>
      <w:tr>
        <w:trPr>
          <w:trHeight w:val="9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李宏伟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95"/>
              <w:jc w:val="left"/>
              <w:rPr>
                <w:rFonts w:ascii="宋体" w:hAnsi="宋体" w:cs="宋体" w:eastAsia="宋体" w:hint="default"/>
                <w:sz w:val="21"/>
                <w:szCs w:val="21"/>
              </w:rPr>
            </w:pPr>
            <w:r>
              <w:rPr>
                <w:rFonts w:ascii="宋体" w:hAnsi="宋体" w:cs="宋体" w:eastAsia="宋体" w:hint="default"/>
                <w:sz w:val="21"/>
                <w:szCs w:val="21"/>
              </w:rPr>
              <w:t>高级副总裁李宏伟先生， </w:t>
            </w:r>
            <w:r>
              <w:rPr>
                <w:rFonts w:ascii="宋体" w:hAnsi="宋体" w:cs="宋体" w:eastAsia="宋体" w:hint="default"/>
                <w:sz w:val="21"/>
                <w:szCs w:val="21"/>
              </w:rPr>
              <w:t>1995 </w:t>
            </w:r>
            <w:r>
              <w:rPr>
                <w:rFonts w:ascii="宋体" w:hAnsi="宋体" w:cs="宋体" w:eastAsia="宋体" w:hint="default"/>
                <w:spacing w:val="-3"/>
                <w:sz w:val="21"/>
                <w:szCs w:val="21"/>
              </w:rPr>
              <w:t>年加入用友，曾任公司浙江大区总经理、公司助理总裁、上海分公司总经理、公司副总裁、高级副总裁等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职务。</w:t>
            </w:r>
          </w:p>
        </w:tc>
      </w:tr>
      <w:tr>
        <w:trPr>
          <w:trHeight w:val="59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徐宝东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高级副总裁徐宝东先生， </w:t>
            </w:r>
            <w:r>
              <w:rPr>
                <w:rFonts w:ascii="宋体" w:hAnsi="宋体" w:cs="宋体" w:eastAsia="宋体" w:hint="default"/>
                <w:sz w:val="21"/>
                <w:szCs w:val="21"/>
              </w:rPr>
              <w:t>2007</w:t>
            </w:r>
            <w:r>
              <w:rPr>
                <w:rFonts w:ascii="宋体" w:hAnsi="宋体" w:cs="宋体" w:eastAsia="宋体" w:hint="default"/>
                <w:spacing w:val="-62"/>
                <w:sz w:val="21"/>
                <w:szCs w:val="21"/>
              </w:rPr>
              <w:t> </w:t>
            </w:r>
            <w:r>
              <w:rPr>
                <w:rFonts w:ascii="宋体" w:hAnsi="宋体" w:cs="宋体" w:eastAsia="宋体" w:hint="default"/>
                <w:sz w:val="21"/>
                <w:szCs w:val="21"/>
              </w:rPr>
              <w:t>年加入用友，曾任公司助理总裁、山东区总经理、公司副总裁、高级副总裁等职务。</w:t>
            </w:r>
          </w:p>
        </w:tc>
      </w:tr>
      <w:tr>
        <w:trPr>
          <w:trHeight w:val="59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任志刚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pacing w:val="-2"/>
                <w:sz w:val="21"/>
                <w:szCs w:val="21"/>
              </w:rPr>
              <w:t>高级副总裁任志刚先生，</w:t>
            </w:r>
            <w:r>
              <w:rPr>
                <w:rFonts w:ascii="宋体" w:hAnsi="宋体" w:cs="宋体" w:eastAsia="宋体" w:hint="default"/>
                <w:spacing w:val="-2"/>
                <w:sz w:val="21"/>
                <w:szCs w:val="21"/>
              </w:rPr>
              <w:t>1996</w:t>
            </w:r>
            <w:r>
              <w:rPr>
                <w:rFonts w:ascii="宋体" w:hAnsi="宋体" w:cs="宋体" w:eastAsia="宋体" w:hint="default"/>
                <w:spacing w:val="58"/>
                <w:sz w:val="21"/>
                <w:szCs w:val="21"/>
              </w:rPr>
              <w:t> </w:t>
            </w:r>
            <w:r>
              <w:rPr>
                <w:rFonts w:ascii="宋体" w:hAnsi="宋体" w:cs="宋体" w:eastAsia="宋体" w:hint="default"/>
                <w:spacing w:val="-2"/>
                <w:sz w:val="21"/>
                <w:szCs w:val="21"/>
              </w:rPr>
              <w:t>年加入用友，曾任公司地区市场代表、子公司总经理、山东区总经理、公司副总裁、高级副总裁等职务。</w:t>
            </w:r>
          </w:p>
        </w:tc>
      </w:tr>
      <w:tr>
        <w:trPr>
          <w:trHeight w:val="59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季学庆</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pacing w:val="-2"/>
                <w:sz w:val="21"/>
                <w:szCs w:val="21"/>
              </w:rPr>
              <w:t>高级副总裁季学庆先生，</w:t>
            </w:r>
            <w:r>
              <w:rPr>
                <w:rFonts w:ascii="宋体" w:hAnsi="宋体" w:cs="宋体" w:eastAsia="宋体" w:hint="default"/>
                <w:spacing w:val="-2"/>
                <w:sz w:val="21"/>
                <w:szCs w:val="21"/>
              </w:rPr>
              <w:t>1996</w:t>
            </w:r>
            <w:r>
              <w:rPr>
                <w:rFonts w:ascii="宋体" w:hAnsi="宋体" w:cs="宋体" w:eastAsia="宋体" w:hint="default"/>
                <w:spacing w:val="52"/>
                <w:sz w:val="21"/>
                <w:szCs w:val="21"/>
              </w:rPr>
              <w:t> </w:t>
            </w:r>
            <w:r>
              <w:rPr>
                <w:rFonts w:ascii="宋体" w:hAnsi="宋体" w:cs="宋体" w:eastAsia="宋体" w:hint="default"/>
                <w:spacing w:val="-2"/>
                <w:sz w:val="21"/>
                <w:szCs w:val="21"/>
              </w:rPr>
              <w:t>年加入用友，曾任公司上海分公司总经理、华东大区总经理、公司副总裁、高级副总裁等职务。</w:t>
            </w:r>
          </w:p>
        </w:tc>
      </w:tr>
      <w:tr>
        <w:trPr>
          <w:trHeight w:val="93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陈强兵</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88"/>
              <w:ind w:left="103" w:right="86"/>
              <w:jc w:val="left"/>
              <w:rPr>
                <w:rFonts w:ascii="宋体" w:hAnsi="宋体" w:cs="宋体" w:eastAsia="宋体" w:hint="default"/>
                <w:sz w:val="21"/>
                <w:szCs w:val="21"/>
              </w:rPr>
            </w:pPr>
            <w:r>
              <w:rPr>
                <w:rFonts w:ascii="宋体" w:hAnsi="宋体" w:cs="宋体" w:eastAsia="宋体" w:hint="default"/>
                <w:sz w:val="21"/>
                <w:szCs w:val="21"/>
              </w:rPr>
              <w:t>陈强兵先生，</w:t>
            </w:r>
            <w:r>
              <w:rPr>
                <w:rFonts w:ascii="宋体" w:hAnsi="宋体" w:cs="宋体" w:eastAsia="宋体" w:hint="default"/>
                <w:sz w:val="21"/>
                <w:szCs w:val="21"/>
              </w:rPr>
              <w:t>1976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月出生，学士。</w:t>
            </w:r>
            <w:r>
              <w:rPr>
                <w:rFonts w:ascii="宋体" w:hAnsi="宋体" w:cs="宋体" w:eastAsia="宋体" w:hint="default"/>
                <w:sz w:val="21"/>
                <w:szCs w:val="21"/>
              </w:rPr>
              <w:t>2000</w:t>
            </w:r>
            <w:r>
              <w:rPr>
                <w:rFonts w:ascii="宋体" w:hAnsi="宋体" w:cs="宋体" w:eastAsia="宋体" w:hint="default"/>
                <w:spacing w:val="-56"/>
                <w:sz w:val="21"/>
                <w:szCs w:val="21"/>
              </w:rPr>
              <w:t> </w:t>
            </w:r>
            <w:r>
              <w:rPr>
                <w:rFonts w:ascii="宋体" w:hAnsi="宋体" w:cs="宋体" w:eastAsia="宋体" w:hint="default"/>
                <w:sz w:val="21"/>
                <w:szCs w:val="21"/>
              </w:rPr>
              <w:t>年加入用友，曾任分公司销售经理、分支机构管理总部负责人、分公司总经理、助理总裁、</w:t>
            </w:r>
            <w:r>
              <w:rPr>
                <w:rFonts w:ascii="宋体" w:hAnsi="宋体" w:cs="宋体" w:eastAsia="宋体" w:hint="default"/>
                <w:w w:val="100"/>
                <w:sz w:val="21"/>
                <w:szCs w:val="21"/>
              </w:rPr>
              <w:t> </w:t>
            </w:r>
            <w:r>
              <w:rPr>
                <w:rFonts w:ascii="宋体" w:hAnsi="宋体" w:cs="宋体" w:eastAsia="宋体" w:hint="default"/>
                <w:sz w:val="21"/>
                <w:szCs w:val="21"/>
              </w:rPr>
              <w:t>副总裁、高级副总裁等职务。</w:t>
            </w:r>
          </w:p>
        </w:tc>
      </w:tr>
      <w:tr>
        <w:trPr>
          <w:trHeight w:val="93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王健</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96"/>
              <w:jc w:val="left"/>
              <w:rPr>
                <w:rFonts w:ascii="宋体" w:hAnsi="宋体" w:cs="宋体" w:eastAsia="宋体" w:hint="default"/>
                <w:sz w:val="21"/>
                <w:szCs w:val="21"/>
              </w:rPr>
            </w:pPr>
            <w:r>
              <w:rPr>
                <w:rFonts w:ascii="宋体" w:hAnsi="宋体" w:cs="宋体" w:eastAsia="宋体" w:hint="default"/>
                <w:sz w:val="21"/>
                <w:szCs w:val="21"/>
              </w:rPr>
              <w:t>王健先生，</w:t>
            </w:r>
            <w:r>
              <w:rPr>
                <w:rFonts w:ascii="宋体" w:hAnsi="宋体" w:cs="宋体" w:eastAsia="宋体" w:hint="default"/>
                <w:sz w:val="21"/>
                <w:szCs w:val="21"/>
              </w:rPr>
              <w:t>1966</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月出生，硕士。</w:t>
            </w:r>
            <w:r>
              <w:rPr>
                <w:rFonts w:ascii="宋体" w:hAnsi="宋体" w:cs="宋体" w:eastAsia="宋体" w:hint="default"/>
                <w:sz w:val="21"/>
                <w:szCs w:val="21"/>
              </w:rPr>
              <w:t>2001</w:t>
            </w:r>
            <w:r>
              <w:rPr>
                <w:rFonts w:ascii="宋体" w:hAnsi="宋体" w:cs="宋体" w:eastAsia="宋体" w:hint="default"/>
                <w:spacing w:val="-59"/>
                <w:sz w:val="21"/>
                <w:szCs w:val="21"/>
              </w:rPr>
              <w:t> </w:t>
            </w:r>
            <w:r>
              <w:rPr>
                <w:rFonts w:ascii="宋体" w:hAnsi="宋体" w:cs="宋体" w:eastAsia="宋体" w:hint="default"/>
                <w:sz w:val="21"/>
                <w:szCs w:val="21"/>
              </w:rPr>
              <w:t>年加入用友，曾任公司制造产品经理、制造行业事业部总经理、大型企业解决方案业务本部总</w:t>
            </w:r>
            <w:r>
              <w:rPr>
                <w:rFonts w:ascii="宋体" w:hAnsi="宋体" w:cs="宋体" w:eastAsia="宋体" w:hint="default"/>
                <w:w w:val="100"/>
                <w:sz w:val="21"/>
                <w:szCs w:val="21"/>
              </w:rPr>
              <w:t> </w:t>
            </w:r>
            <w:r>
              <w:rPr>
                <w:rFonts w:ascii="宋体" w:hAnsi="宋体" w:cs="宋体" w:eastAsia="宋体" w:hint="default"/>
                <w:sz w:val="21"/>
                <w:szCs w:val="21"/>
              </w:rPr>
              <w:t>经理，助理总裁、副总裁、高级副总裁等职务。</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224" w:right="0"/>
        <w:jc w:val="left"/>
      </w:pPr>
      <w:r>
        <w:rPr/>
        <w:t>其它情况说明</w:t>
      </w:r>
    </w:p>
    <w:p>
      <w:pPr>
        <w:spacing w:after="0" w:line="240" w:lineRule="auto"/>
        <w:jc w:val="left"/>
        <w:sectPr>
          <w:pgSz w:w="16840" w:h="11910" w:orient="landscape"/>
          <w:pgMar w:header="880" w:footer="1336" w:top="1120" w:bottom="1520" w:left="1300" w:right="1220"/>
        </w:sectPr>
      </w:pPr>
    </w:p>
    <w:p>
      <w:pPr>
        <w:pStyle w:val="Heading2"/>
        <w:spacing w:line="240" w:lineRule="auto" w:before="120"/>
        <w:ind w:left="224"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BodyText"/>
        <w:spacing w:line="240" w:lineRule="auto" w:before="29"/>
        <w:ind w:left="224"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224" w:right="0"/>
        <w:jc w:val="left"/>
      </w:pPr>
      <w:r>
        <w:rPr/>
        <w:t>单位</w:t>
      </w:r>
      <w:r>
        <w:rPr>
          <w:rFonts w:ascii="宋体" w:hAnsi="宋体" w:cs="宋体" w:eastAsia="宋体" w:hint="default"/>
        </w:rPr>
        <w:t>:</w:t>
      </w:r>
      <w:r>
        <w:rPr/>
        <w:t>股</w:t>
      </w:r>
    </w:p>
    <w:p>
      <w:pPr>
        <w:spacing w:after="0" w:line="240" w:lineRule="auto"/>
        <w:jc w:val="left"/>
        <w:sectPr>
          <w:pgSz w:w="16840" w:h="11910" w:orient="landscape"/>
          <w:pgMar w:header="880" w:footer="1336" w:top="1120" w:bottom="1520" w:left="1300" w:right="1220"/>
          <w:cols w:num="2" w:equalWidth="0">
            <w:col w:w="6127" w:space="7013"/>
            <w:col w:w="1180"/>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44"/>
        <w:gridCol w:w="1421"/>
        <w:gridCol w:w="1695"/>
        <w:gridCol w:w="1702"/>
        <w:gridCol w:w="1704"/>
        <w:gridCol w:w="1699"/>
        <w:gridCol w:w="1561"/>
        <w:gridCol w:w="1558"/>
        <w:gridCol w:w="1508"/>
      </w:tblGrid>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03"/>
              <w:jc w:val="right"/>
              <w:rPr>
                <w:rFonts w:ascii="宋体" w:hAnsi="宋体" w:cs="宋体" w:eastAsia="宋体" w:hint="default"/>
                <w:sz w:val="21"/>
                <w:szCs w:val="21"/>
              </w:rPr>
            </w:pPr>
            <w:r>
              <w:rPr>
                <w:rFonts w:ascii="宋体" w:hAnsi="宋体" w:cs="宋体" w:eastAsia="宋体" w:hint="default"/>
                <w:sz w:val="21"/>
                <w:szCs w:val="21"/>
              </w:rPr>
              <w:t>姓名</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27" w:right="101" w:hanging="420"/>
              <w:jc w:val="left"/>
              <w:rPr>
                <w:rFonts w:ascii="宋体" w:hAnsi="宋体" w:cs="宋体" w:eastAsia="宋体" w:hint="default"/>
                <w:sz w:val="21"/>
                <w:szCs w:val="21"/>
              </w:rPr>
            </w:pPr>
            <w:r>
              <w:rPr>
                <w:rFonts w:ascii="宋体" w:hAnsi="宋体" w:cs="宋体" w:eastAsia="宋体" w:hint="default"/>
                <w:sz w:val="21"/>
                <w:szCs w:val="21"/>
              </w:rPr>
              <w:t>年初持有股票期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权数量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21" w:right="103" w:hanging="209"/>
              <w:jc w:val="left"/>
              <w:rPr>
                <w:rFonts w:ascii="宋体" w:hAnsi="宋体" w:cs="宋体" w:eastAsia="宋体" w:hint="default"/>
                <w:sz w:val="21"/>
                <w:szCs w:val="21"/>
              </w:rPr>
            </w:pPr>
            <w:r>
              <w:rPr>
                <w:rFonts w:ascii="宋体" w:hAnsi="宋体" w:cs="宋体" w:eastAsia="宋体" w:hint="default"/>
                <w:sz w:val="21"/>
                <w:szCs w:val="21"/>
              </w:rPr>
              <w:t>报告期新授予股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票期权数量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638" w:right="106" w:hanging="526"/>
              <w:jc w:val="left"/>
              <w:rPr>
                <w:rFonts w:ascii="宋体" w:hAnsi="宋体" w:cs="宋体" w:eastAsia="宋体" w:hint="default"/>
                <w:sz w:val="21"/>
                <w:szCs w:val="21"/>
              </w:rPr>
            </w:pPr>
            <w:r>
              <w:rPr>
                <w:rFonts w:ascii="宋体" w:hAnsi="宋体" w:cs="宋体" w:eastAsia="宋体" w:hint="default"/>
                <w:sz w:val="21"/>
                <w:szCs w:val="21"/>
              </w:rPr>
              <w:t>报告期内可行权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24" w:right="105" w:hanging="317"/>
              <w:jc w:val="left"/>
              <w:rPr>
                <w:rFonts w:ascii="宋体" w:hAnsi="宋体" w:cs="宋体" w:eastAsia="宋体" w:hint="default"/>
                <w:sz w:val="21"/>
                <w:szCs w:val="21"/>
              </w:rPr>
            </w:pPr>
            <w:r>
              <w:rPr>
                <w:rFonts w:ascii="宋体" w:hAnsi="宋体" w:cs="宋体" w:eastAsia="宋体" w:hint="default"/>
                <w:sz w:val="21"/>
                <w:szCs w:val="21"/>
              </w:rPr>
              <w:t>报告期股票期权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行权股份</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股票期权行权</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pacing w:val="-4"/>
                <w:sz w:val="21"/>
                <w:szCs w:val="21"/>
              </w:rPr>
              <w:t>价格</w:t>
            </w:r>
            <w:r>
              <w:rPr>
                <w:rFonts w:ascii="宋体" w:hAnsi="宋体" w:cs="宋体" w:eastAsia="宋体" w:hint="default"/>
                <w:spacing w:val="-4"/>
                <w:sz w:val="21"/>
                <w:szCs w:val="21"/>
              </w:rPr>
              <w:t>(</w:t>
            </w:r>
            <w:r>
              <w:rPr>
                <w:rFonts w:ascii="宋体" w:hAnsi="宋体" w:cs="宋体" w:eastAsia="宋体" w:hint="default"/>
                <w:spacing w:val="-4"/>
                <w:sz w:val="21"/>
                <w:szCs w:val="21"/>
              </w:rPr>
              <w:t>元</w:t>
            </w:r>
            <w:r>
              <w:rPr>
                <w:rFonts w:ascii="宋体" w:hAnsi="宋体" w:cs="宋体" w:eastAsia="宋体" w:hint="default"/>
                <w:spacing w:val="-4"/>
                <w:sz w:val="21"/>
                <w:szCs w:val="21"/>
              </w:rPr>
              <w:t>)</w:t>
            </w:r>
            <w:r>
              <w:rPr>
                <w:rFonts w:ascii="宋体" w:hAnsi="宋体" w:cs="宋体" w:eastAsia="宋体" w:hint="default"/>
                <w:spacing w:val="-4"/>
                <w:sz w:val="21"/>
                <w:szCs w:val="21"/>
              </w:rPr>
              <w:t>（注</w:t>
            </w:r>
            <w:r>
              <w:rPr>
                <w:rFonts w:ascii="宋体" w:hAnsi="宋体" w:cs="宋体" w:eastAsia="宋体" w:hint="default"/>
                <w:spacing w:val="-4"/>
                <w:sz w:val="21"/>
                <w:szCs w:val="21"/>
              </w:rPr>
              <w:t>1</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期末持有股票</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pacing w:val="-5"/>
                <w:sz w:val="21"/>
                <w:szCs w:val="21"/>
              </w:rPr>
              <w:t>期权数量（注</w:t>
            </w:r>
            <w:r>
              <w:rPr>
                <w:rFonts w:ascii="宋体" w:hAnsi="宋体" w:cs="宋体" w:eastAsia="宋体" w:hint="default"/>
                <w:spacing w:val="-5"/>
                <w:sz w:val="21"/>
                <w:szCs w:val="21"/>
              </w:rPr>
              <w:t>2</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章培林</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执行总裁</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100,800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70,560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40,320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8.31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60,480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郑雨林</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
              <w:jc w:val="right"/>
              <w:rPr>
                <w:rFonts w:ascii="宋体" w:hAnsi="宋体" w:cs="宋体" w:eastAsia="宋体" w:hint="default"/>
                <w:sz w:val="21"/>
                <w:szCs w:val="21"/>
              </w:rPr>
            </w:pPr>
            <w:r>
              <w:rPr>
                <w:rFonts w:ascii="宋体"/>
                <w:sz w:val="21"/>
              </w:rPr>
              <w:t>79,200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z w:val="21"/>
              </w:rPr>
              <w:t>55,440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z w:val="21"/>
              </w:rPr>
              <w:t>31,680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
              <w:jc w:val="right"/>
              <w:rPr>
                <w:rFonts w:ascii="宋体" w:hAnsi="宋体" w:cs="宋体" w:eastAsia="宋体" w:hint="default"/>
                <w:sz w:val="21"/>
                <w:szCs w:val="21"/>
              </w:rPr>
            </w:pPr>
            <w:r>
              <w:rPr>
                <w:rFonts w:ascii="宋体"/>
                <w:sz w:val="21"/>
              </w:rPr>
              <w:t>8.31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z w:val="21"/>
              </w:rPr>
              <w:t>47,520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严绍业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75,600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52,920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30,240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8.31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45,360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陈巧红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50,400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50,400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8.31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21,600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欧阳青</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p>
            <w:pPr>
              <w:pStyle w:val="TableParagraph"/>
              <w:spacing w:line="272" w:lineRule="exact" w:before="27"/>
              <w:ind w:left="103" w:right="252"/>
              <w:jc w:val="left"/>
              <w:rPr>
                <w:rFonts w:ascii="宋体" w:hAnsi="宋体" w:cs="宋体" w:eastAsia="宋体" w:hint="default"/>
                <w:sz w:val="21"/>
                <w:szCs w:val="21"/>
              </w:rPr>
            </w:pPr>
            <w:r>
              <w:rPr>
                <w:rFonts w:ascii="宋体" w:hAnsi="宋体" w:cs="宋体" w:eastAsia="宋体" w:hint="default"/>
                <w:sz w:val="21"/>
                <w:szCs w:val="21"/>
              </w:rPr>
              <w:t>兼董事会秘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书</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75,600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52,920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30,240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8.31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45,360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王家亮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兼财务总监</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28,800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14.98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43,200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谢志华</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86,400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60,480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34,560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8.31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51,840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73,440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51,408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51,408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8.31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22,032</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徐宝东</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75,600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52,920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30,240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8.31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45,360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李宏伟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79,200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55,440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31,680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8.31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47,520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任志刚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19,440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9,720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16,200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8.31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3,240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季学庆</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43,200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30,240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17,280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8.31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25,920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陈强兵</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30,240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15,120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15,120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z w:val="21"/>
              </w:rPr>
              <w:t>8.31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15,120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
              <w:jc w:val="right"/>
              <w:rPr>
                <w:rFonts w:ascii="宋体" w:hAnsi="宋体" w:cs="宋体" w:eastAsia="宋体" w:hint="default"/>
                <w:sz w:val="21"/>
                <w:szCs w:val="21"/>
              </w:rPr>
            </w:pPr>
            <w:r>
              <w:rPr>
                <w:rFonts w:ascii="宋体"/>
                <w:sz w:val="21"/>
              </w:rPr>
              <w:t>29,376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z w:val="21"/>
              </w:rPr>
              <w:t>14,688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z w:val="21"/>
              </w:rPr>
              <w:t>14,688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
              <w:jc w:val="right"/>
              <w:rPr>
                <w:rFonts w:ascii="宋体" w:hAnsi="宋体" w:cs="宋体" w:eastAsia="宋体" w:hint="default"/>
                <w:sz w:val="21"/>
                <w:szCs w:val="21"/>
              </w:rPr>
            </w:pPr>
            <w:r>
              <w:rPr>
                <w:rFonts w:ascii="宋体"/>
                <w:sz w:val="21"/>
              </w:rPr>
              <w:t>8.31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sz w:val="21"/>
              </w:rPr>
              <w:t>14,688</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1"/>
                <w:szCs w:val="21"/>
              </w:rPr>
            </w:pPr>
            <w:r>
              <w:rPr>
                <w:rFonts w:ascii="宋体"/>
                <w:w w:val="100"/>
                <w:sz w:val="21"/>
              </w:rPr>
              <w:t>/</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912,096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8"/>
              <w:jc w:val="right"/>
              <w:rPr>
                <w:rFonts w:ascii="宋体" w:hAnsi="宋体" w:cs="宋体" w:eastAsia="宋体" w:hint="default"/>
                <w:sz w:val="21"/>
                <w:szCs w:val="21"/>
              </w:rPr>
            </w:pPr>
            <w:r>
              <w:rPr>
                <w:rFonts w:ascii="宋体"/>
                <w:spacing w:val="-1"/>
                <w:sz w:val="21"/>
              </w:rPr>
              <w:t>601,056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394,056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center"/>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pacing w:val="-1"/>
                <w:sz w:val="21"/>
              </w:rPr>
              <w:t>489,240</w:t>
            </w:r>
            <w:r>
              <w:rPr>
                <w:rFonts w:ascii="宋体"/>
                <w:sz w:val="21"/>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36"/>
        <w:ind w:left="0" w:right="215"/>
        <w:jc w:val="right"/>
      </w:pPr>
      <w:r>
        <w:rPr>
          <w:spacing w:val="-1"/>
        </w:rPr>
        <w:t>单位</w:t>
      </w:r>
      <w:r>
        <w:rPr>
          <w:rFonts w:ascii="宋体" w:hAnsi="宋体" w:cs="宋体" w:eastAsia="宋体" w:hint="default"/>
          <w:spacing w:val="-1"/>
        </w:rPr>
        <w:t>:</w:t>
      </w:r>
      <w:r>
        <w:rPr>
          <w:spacing w:val="-1"/>
        </w:rPr>
        <w:t>股</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44"/>
        <w:gridCol w:w="1416"/>
        <w:gridCol w:w="1705"/>
        <w:gridCol w:w="1697"/>
        <w:gridCol w:w="1560"/>
        <w:gridCol w:w="1702"/>
        <w:gridCol w:w="1702"/>
        <w:gridCol w:w="1558"/>
        <w:gridCol w:w="1508"/>
      </w:tblGrid>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27" w:right="106" w:hanging="315"/>
              <w:jc w:val="left"/>
              <w:rPr>
                <w:rFonts w:ascii="宋体" w:hAnsi="宋体" w:cs="宋体" w:eastAsia="宋体" w:hint="default"/>
                <w:sz w:val="21"/>
                <w:szCs w:val="21"/>
              </w:rPr>
            </w:pPr>
            <w:r>
              <w:rPr>
                <w:rFonts w:ascii="宋体" w:hAnsi="宋体" w:cs="宋体" w:eastAsia="宋体" w:hint="default"/>
                <w:sz w:val="21"/>
                <w:szCs w:val="21"/>
              </w:rPr>
              <w:t>年初持有限制性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股票数量</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3" w:right="103" w:hanging="106"/>
              <w:jc w:val="left"/>
              <w:rPr>
                <w:rFonts w:ascii="宋体" w:hAnsi="宋体" w:cs="宋体" w:eastAsia="宋体" w:hint="default"/>
                <w:sz w:val="21"/>
                <w:szCs w:val="21"/>
              </w:rPr>
            </w:pPr>
            <w:r>
              <w:rPr>
                <w:rFonts w:ascii="宋体" w:hAnsi="宋体" w:cs="宋体" w:eastAsia="宋体" w:hint="default"/>
                <w:sz w:val="21"/>
                <w:szCs w:val="21"/>
              </w:rPr>
              <w:t>报告期新授予限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制性股票数量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限制性股票的</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授予价格</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已解锁股份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未解锁股份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期末持有限制</w:t>
            </w:r>
          </w:p>
          <w:p>
            <w:pPr>
              <w:pStyle w:val="TableParagraph"/>
              <w:spacing w:line="240" w:lineRule="auto"/>
              <w:ind w:left="511" w:right="139" w:hanging="368"/>
              <w:jc w:val="left"/>
              <w:rPr>
                <w:rFonts w:ascii="宋体" w:hAnsi="宋体" w:cs="宋体" w:eastAsia="宋体" w:hint="default"/>
                <w:sz w:val="21"/>
                <w:szCs w:val="21"/>
              </w:rPr>
            </w:pPr>
            <w:r>
              <w:rPr>
                <w:rFonts w:ascii="宋体" w:hAnsi="宋体" w:cs="宋体" w:eastAsia="宋体" w:hint="default"/>
                <w:sz w:val="21"/>
                <w:szCs w:val="21"/>
              </w:rPr>
              <w:t>性股票数量（</w:t>
            </w:r>
            <w:r>
              <w:rPr>
                <w:rFonts w:ascii="宋体" w:hAnsi="宋体" w:cs="宋体" w:eastAsia="宋体" w:hint="default"/>
                <w:w w:val="100"/>
                <w:sz w:val="21"/>
                <w:szCs w:val="21"/>
              </w:rPr>
              <w:t> </w:t>
            </w:r>
            <w:r>
              <w:rPr>
                <w:rFonts w:ascii="宋体" w:hAnsi="宋体" w:cs="宋体" w:eastAsia="宋体" w:hint="default"/>
                <w:sz w:val="21"/>
                <w:szCs w:val="21"/>
              </w:rPr>
              <w:t>注</w:t>
            </w:r>
            <w:r>
              <w:rPr>
                <w:rFonts w:ascii="宋体" w:hAnsi="宋体" w:cs="宋体" w:eastAsia="宋体" w:hint="default"/>
                <w:sz w:val="21"/>
                <w:szCs w:val="21"/>
              </w:rPr>
              <w:t>2</w:t>
            </w:r>
            <w:r>
              <w:rPr>
                <w:rFonts w:ascii="宋体" w:hAnsi="宋体" w:cs="宋体" w:eastAsia="宋体" w:hint="default"/>
                <w:sz w:val="21"/>
                <w:szCs w:val="21"/>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bl>
    <w:p>
      <w:pPr>
        <w:spacing w:after="0" w:line="273" w:lineRule="exact"/>
        <w:jc w:val="center"/>
        <w:rPr>
          <w:rFonts w:ascii="宋体" w:hAnsi="宋体" w:cs="宋体" w:eastAsia="宋体" w:hint="default"/>
          <w:sz w:val="21"/>
          <w:szCs w:val="21"/>
        </w:rPr>
        <w:sectPr>
          <w:type w:val="continuous"/>
          <w:pgSz w:w="16840" w:h="11910" w:orient="landscape"/>
          <w:pgMar w:top="1120" w:bottom="152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244"/>
        <w:gridCol w:w="1416"/>
        <w:gridCol w:w="1705"/>
        <w:gridCol w:w="1697"/>
        <w:gridCol w:w="1560"/>
        <w:gridCol w:w="1702"/>
        <w:gridCol w:w="1702"/>
        <w:gridCol w:w="1558"/>
        <w:gridCol w:w="1508"/>
      </w:tblGrid>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章培林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执行总裁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40,320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20,160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郑雨林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31,680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15,840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严绍业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30,240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15,120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陈巧红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28,800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14,400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欧阳青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66"/>
                <w:sz w:val="21"/>
                <w:szCs w:val="21"/>
              </w:rPr>
              <w:t> </w:t>
            </w: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r>
              <w:rPr>
                <w:rFonts w:ascii="宋体" w:hAnsi="宋体" w:cs="宋体" w:eastAsia="宋体" w:hint="default"/>
                <w:spacing w:val="-69"/>
                <w:sz w:val="21"/>
                <w:szCs w:val="21"/>
              </w:rPr>
              <w:t> </w:t>
            </w:r>
            <w:r>
              <w:rPr>
                <w:rFonts w:ascii="宋体" w:hAnsi="宋体" w:cs="宋体" w:eastAsia="宋体" w:hint="default"/>
                <w:sz w:val="21"/>
                <w:szCs w:val="21"/>
              </w:rPr>
              <w:t>裁</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兼</w:t>
            </w:r>
            <w:r>
              <w:rPr>
                <w:rFonts w:ascii="宋体" w:hAnsi="宋体" w:cs="宋体" w:eastAsia="宋体" w:hint="default"/>
                <w:spacing w:val="-69"/>
                <w:sz w:val="21"/>
                <w:szCs w:val="21"/>
              </w:rPr>
              <w:t> </w:t>
            </w:r>
            <w:r>
              <w:rPr>
                <w:rFonts w:ascii="宋体" w:hAnsi="宋体" w:cs="宋体" w:eastAsia="宋体" w:hint="default"/>
                <w:sz w:val="21"/>
                <w:szCs w:val="21"/>
              </w:rPr>
              <w:t>董</w:t>
            </w:r>
            <w:r>
              <w:rPr>
                <w:rFonts w:ascii="宋体" w:hAnsi="宋体" w:cs="宋体" w:eastAsia="宋体" w:hint="default"/>
                <w:spacing w:val="-66"/>
                <w:sz w:val="21"/>
                <w:szCs w:val="21"/>
              </w:rPr>
              <w:t> </w:t>
            </w:r>
            <w:r>
              <w:rPr>
                <w:rFonts w:ascii="宋体" w:hAnsi="宋体" w:cs="宋体" w:eastAsia="宋体" w:hint="default"/>
                <w:sz w:val="21"/>
                <w:szCs w:val="21"/>
              </w:rPr>
              <w:t>事</w:t>
            </w:r>
            <w:r>
              <w:rPr>
                <w:rFonts w:ascii="宋体" w:hAnsi="宋体" w:cs="宋体" w:eastAsia="宋体" w:hint="default"/>
                <w:spacing w:val="-69"/>
                <w:sz w:val="21"/>
                <w:szCs w:val="21"/>
              </w:rPr>
              <w:t> </w:t>
            </w:r>
            <w:r>
              <w:rPr>
                <w:rFonts w:ascii="宋体" w:hAnsi="宋体" w:cs="宋体" w:eastAsia="宋体" w:hint="default"/>
                <w:sz w:val="21"/>
                <w:szCs w:val="21"/>
              </w:rPr>
              <w:t>会</w:t>
            </w:r>
            <w:r>
              <w:rPr>
                <w:rFonts w:ascii="宋体" w:hAnsi="宋体" w:cs="宋体" w:eastAsia="宋体" w:hint="default"/>
                <w:spacing w:val="-69"/>
                <w:sz w:val="21"/>
                <w:szCs w:val="21"/>
              </w:rPr>
              <w:t> </w:t>
            </w:r>
            <w:r>
              <w:rPr>
                <w:rFonts w:ascii="宋体" w:hAnsi="宋体" w:cs="宋体" w:eastAsia="宋体" w:hint="default"/>
                <w:sz w:val="21"/>
                <w:szCs w:val="21"/>
              </w:rPr>
              <w:t>秘</w:t>
            </w:r>
            <w:r>
              <w:rPr>
                <w:rFonts w:ascii="宋体" w:hAnsi="宋体" w:cs="宋体" w:eastAsia="宋体" w:hint="default"/>
                <w:w w:val="100"/>
                <w:sz w:val="21"/>
                <w:szCs w:val="21"/>
              </w:rPr>
              <w:t> </w:t>
            </w:r>
            <w:r>
              <w:rPr>
                <w:rFonts w:ascii="宋体" w:hAnsi="宋体" w:cs="宋体" w:eastAsia="宋体" w:hint="default"/>
                <w:sz w:val="21"/>
                <w:szCs w:val="21"/>
              </w:rPr>
              <w:t>书</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30,240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15,120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王家亮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66"/>
                <w:sz w:val="21"/>
                <w:szCs w:val="21"/>
              </w:rPr>
              <w:t> </w:t>
            </w:r>
            <w:r>
              <w:rPr>
                <w:rFonts w:ascii="宋体" w:hAnsi="宋体" w:cs="宋体" w:eastAsia="宋体" w:hint="default"/>
                <w:sz w:val="21"/>
                <w:szCs w:val="21"/>
              </w:rPr>
              <w:t>副</w:t>
            </w:r>
            <w:r>
              <w:rPr>
                <w:rFonts w:ascii="宋体" w:hAnsi="宋体" w:cs="宋体" w:eastAsia="宋体" w:hint="default"/>
                <w:spacing w:val="-69"/>
                <w:sz w:val="21"/>
                <w:szCs w:val="21"/>
              </w:rPr>
              <w:t> </w:t>
            </w:r>
            <w:r>
              <w:rPr>
                <w:rFonts w:ascii="宋体" w:hAnsi="宋体" w:cs="宋体" w:eastAsia="宋体" w:hint="default"/>
                <w:sz w:val="21"/>
                <w:szCs w:val="21"/>
              </w:rPr>
              <w:t>总</w:t>
            </w:r>
            <w:r>
              <w:rPr>
                <w:rFonts w:ascii="宋体" w:hAnsi="宋体" w:cs="宋体" w:eastAsia="宋体" w:hint="default"/>
                <w:spacing w:val="-69"/>
                <w:sz w:val="21"/>
                <w:szCs w:val="21"/>
              </w:rPr>
              <w:t> </w:t>
            </w:r>
            <w:r>
              <w:rPr>
                <w:rFonts w:ascii="宋体" w:hAnsi="宋体" w:cs="宋体" w:eastAsia="宋体" w:hint="default"/>
                <w:sz w:val="21"/>
                <w:szCs w:val="21"/>
              </w:rPr>
              <w:t>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兼财务总监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谢志华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34,560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17,280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29,376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14,688</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徐宝东</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30,240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15,120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李宏伟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31,680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15,840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任志刚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21,600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10,800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季学庆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17,280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8,640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陈强兵</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20,160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10,080</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19,584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9,792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9,792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9,792</w:t>
            </w: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365,760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182,880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182,880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182,880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78" w:lineRule="auto" w:before="86"/>
        <w:ind w:left="224" w:right="213" w:firstLine="420"/>
        <w:jc w:val="both"/>
      </w:pPr>
      <w:r>
        <w:rPr/>
        <w:t>注</w:t>
      </w:r>
      <w:r>
        <w:rPr>
          <w:spacing w:val="-37"/>
        </w:rPr>
        <w:t> </w:t>
      </w:r>
      <w:r>
        <w:rPr>
          <w:rFonts w:ascii="Calibri" w:hAnsi="Calibri" w:cs="Calibri" w:eastAsia="Calibri" w:hint="default"/>
          <w:spacing w:val="-5"/>
        </w:rPr>
        <w:t>1</w:t>
      </w:r>
      <w:r>
        <w:rPr>
          <w:spacing w:val="-5"/>
        </w:rPr>
        <w:t>：公司于</w:t>
      </w:r>
      <w:r>
        <w:rPr>
          <w:spacing w:val="-40"/>
        </w:rPr>
        <w:t> </w:t>
      </w:r>
      <w:r>
        <w:rPr>
          <w:rFonts w:ascii="Calibri" w:hAnsi="Calibri" w:cs="Calibri" w:eastAsia="Calibri" w:hint="default"/>
        </w:rPr>
        <w:t>2015</w:t>
      </w:r>
      <w:r>
        <w:rPr>
          <w:rFonts w:ascii="Calibri" w:hAnsi="Calibri" w:cs="Calibri" w:eastAsia="Calibri" w:hint="default"/>
          <w:spacing w:val="20"/>
        </w:rPr>
        <w:t> </w:t>
      </w:r>
      <w:r>
        <w:rPr/>
        <w:t>年</w:t>
      </w:r>
      <w:r>
        <w:rPr>
          <w:spacing w:val="-37"/>
        </w:rPr>
        <w:t> </w:t>
      </w:r>
      <w:r>
        <w:rPr>
          <w:rFonts w:ascii="Calibri" w:hAnsi="Calibri" w:cs="Calibri" w:eastAsia="Calibri" w:hint="default"/>
        </w:rPr>
        <w:t>4</w:t>
      </w:r>
      <w:r>
        <w:rPr>
          <w:rFonts w:ascii="Calibri" w:hAnsi="Calibri" w:cs="Calibri" w:eastAsia="Calibri" w:hint="default"/>
          <w:spacing w:val="18"/>
        </w:rPr>
        <w:t> </w:t>
      </w:r>
      <w:r>
        <w:rPr/>
        <w:t>月</w:t>
      </w:r>
      <w:r>
        <w:rPr>
          <w:spacing w:val="-40"/>
        </w:rPr>
        <w:t> </w:t>
      </w:r>
      <w:r>
        <w:rPr>
          <w:rFonts w:ascii="Calibri" w:hAnsi="Calibri" w:cs="Calibri" w:eastAsia="Calibri" w:hint="default"/>
        </w:rPr>
        <w:t>9</w:t>
      </w:r>
      <w:r>
        <w:rPr>
          <w:rFonts w:ascii="Calibri" w:hAnsi="Calibri" w:cs="Calibri" w:eastAsia="Calibri" w:hint="default"/>
          <w:spacing w:val="22"/>
        </w:rPr>
        <w:t> </w:t>
      </w:r>
      <w:r>
        <w:rPr>
          <w:spacing w:val="-3"/>
        </w:rPr>
        <w:t>日召开的第六届董事会第十四次会议，审议通过了《公司关于调整股票期权数量与行权价格和限制性股票数量与授予价</w:t>
      </w:r>
      <w:r>
        <w:rPr>
          <w:w w:val="100"/>
        </w:rPr>
        <w:t> </w:t>
      </w:r>
      <w:r>
        <w:rPr>
          <w:spacing w:val="-2"/>
        </w:rPr>
        <w:t>格的议案》，根据《股权激励计划（草案修订稿）》的有关规定，对公司股权激励计划股票期权的行权价格进行调整，调整后的首次授予的股票期权的</w:t>
      </w:r>
      <w:r>
        <w:rPr>
          <w:spacing w:val="22"/>
        </w:rPr>
        <w:t> </w:t>
      </w:r>
      <w:r>
        <w:rPr>
          <w:spacing w:val="22"/>
        </w:rPr>
      </w:r>
      <w:r>
        <w:rPr/>
        <w:t>行权价格为</w:t>
      </w:r>
      <w:r>
        <w:rPr>
          <w:spacing w:val="-40"/>
        </w:rPr>
        <w:t> </w:t>
      </w:r>
      <w:r>
        <w:rPr>
          <w:rFonts w:ascii="Calibri" w:hAnsi="Calibri" w:cs="Calibri" w:eastAsia="Calibri" w:hint="default"/>
        </w:rPr>
        <w:t>8.31</w:t>
      </w:r>
      <w:r>
        <w:rPr>
          <w:rFonts w:ascii="Calibri" w:hAnsi="Calibri" w:cs="Calibri" w:eastAsia="Calibri" w:hint="default"/>
          <w:spacing w:val="19"/>
        </w:rPr>
        <w:t> </w:t>
      </w:r>
      <w:r>
        <w:rPr/>
        <w:t>元</w:t>
      </w:r>
      <w:r>
        <w:rPr>
          <w:rFonts w:ascii="Calibri" w:hAnsi="Calibri" w:cs="Calibri" w:eastAsia="Calibri" w:hint="default"/>
        </w:rPr>
        <w:t>/</w:t>
      </w:r>
      <w:r>
        <w:rPr/>
        <w:t>股；首次授予的限制性股票的授予价格为</w:t>
      </w:r>
      <w:r>
        <w:rPr>
          <w:spacing w:val="-40"/>
        </w:rPr>
        <w:t> </w:t>
      </w:r>
      <w:r>
        <w:rPr>
          <w:rFonts w:ascii="Calibri" w:hAnsi="Calibri" w:cs="Calibri" w:eastAsia="Calibri" w:hint="default"/>
        </w:rPr>
        <w:t>4.69</w:t>
      </w:r>
      <w:r>
        <w:rPr>
          <w:rFonts w:ascii="Calibri" w:hAnsi="Calibri" w:cs="Calibri" w:eastAsia="Calibri" w:hint="default"/>
          <w:spacing w:val="19"/>
        </w:rPr>
        <w:t> </w:t>
      </w:r>
      <w:r>
        <w:rPr/>
        <w:t>元</w:t>
      </w:r>
      <w:r>
        <w:rPr>
          <w:rFonts w:ascii="Calibri" w:hAnsi="Calibri" w:cs="Calibri" w:eastAsia="Calibri" w:hint="default"/>
        </w:rPr>
        <w:t>/</w:t>
      </w:r>
      <w:r>
        <w:rPr/>
        <w:t>股；预留股票期权的行权价格为</w:t>
      </w:r>
      <w:r>
        <w:rPr>
          <w:spacing w:val="-40"/>
        </w:rPr>
        <w:t> </w:t>
      </w:r>
      <w:r>
        <w:rPr>
          <w:rFonts w:ascii="Calibri" w:hAnsi="Calibri" w:cs="Calibri" w:eastAsia="Calibri" w:hint="default"/>
        </w:rPr>
        <w:t>14.98</w:t>
      </w:r>
      <w:r>
        <w:rPr>
          <w:rFonts w:ascii="Calibri" w:hAnsi="Calibri" w:cs="Calibri" w:eastAsia="Calibri" w:hint="default"/>
          <w:spacing w:val="17"/>
        </w:rPr>
        <w:t> </w:t>
      </w:r>
      <w:r>
        <w:rPr/>
        <w:t>元</w:t>
      </w:r>
      <w:r>
        <w:rPr>
          <w:rFonts w:ascii="Calibri" w:hAnsi="Calibri" w:cs="Calibri" w:eastAsia="Calibri" w:hint="default"/>
        </w:rPr>
        <w:t>/</w:t>
      </w:r>
      <w:r>
        <w:rPr/>
        <w:t>股；预留限制性股票的授予价格为</w:t>
      </w:r>
      <w:r>
        <w:rPr>
          <w:spacing w:val="-40"/>
        </w:rPr>
        <w:t> </w:t>
      </w:r>
      <w:r>
        <w:rPr>
          <w:rFonts w:ascii="Calibri" w:hAnsi="Calibri" w:cs="Calibri" w:eastAsia="Calibri" w:hint="default"/>
        </w:rPr>
        <w:t>8.76</w:t>
      </w:r>
      <w:r>
        <w:rPr>
          <w:rFonts w:ascii="Calibri" w:hAnsi="Calibri" w:cs="Calibri" w:eastAsia="Calibri" w:hint="default"/>
          <w:w w:val="100"/>
        </w:rPr>
        <w:t> </w:t>
      </w:r>
      <w:r>
        <w:rPr/>
        <w:t>元</w:t>
      </w:r>
      <w:r>
        <w:rPr>
          <w:rFonts w:ascii="Calibri" w:hAnsi="Calibri" w:cs="Calibri" w:eastAsia="Calibri" w:hint="default"/>
        </w:rPr>
        <w:t>/</w:t>
      </w:r>
      <w:r>
        <w:rPr/>
        <w:t>股。</w:t>
      </w:r>
    </w:p>
    <w:p>
      <w:pPr>
        <w:pStyle w:val="BodyText"/>
        <w:spacing w:line="240" w:lineRule="auto" w:before="118"/>
        <w:ind w:left="644" w:right="0"/>
        <w:jc w:val="left"/>
      </w:pPr>
      <w:r>
        <w:rPr/>
        <w:t>注</w:t>
      </w:r>
      <w:r>
        <w:rPr>
          <w:spacing w:val="-50"/>
        </w:rPr>
        <w:t> </w:t>
      </w:r>
      <w:r>
        <w:rPr>
          <w:rFonts w:ascii="Calibri" w:hAnsi="Calibri" w:cs="Calibri" w:eastAsia="Calibri" w:hint="default"/>
          <w:spacing w:val="-4"/>
        </w:rPr>
        <w:t>2</w:t>
      </w:r>
      <w:r>
        <w:rPr>
          <w:spacing w:val="-4"/>
        </w:rPr>
        <w:t>：根据公司于</w:t>
      </w:r>
      <w:r>
        <w:rPr>
          <w:spacing w:val="-50"/>
        </w:rPr>
        <w:t> </w:t>
      </w:r>
      <w:r>
        <w:rPr>
          <w:rFonts w:ascii="Calibri" w:hAnsi="Calibri" w:cs="Calibri" w:eastAsia="Calibri" w:hint="default"/>
        </w:rPr>
        <w:t>2015</w:t>
      </w:r>
      <w:r>
        <w:rPr>
          <w:rFonts w:ascii="Calibri" w:hAnsi="Calibri" w:cs="Calibri" w:eastAsia="Calibri" w:hint="default"/>
          <w:spacing w:val="7"/>
        </w:rPr>
        <w:t> </w:t>
      </w:r>
      <w:r>
        <w:rPr/>
        <w:t>年</w:t>
      </w:r>
      <w:r>
        <w:rPr>
          <w:spacing w:val="-52"/>
        </w:rPr>
        <w:t> </w:t>
      </w:r>
      <w:r>
        <w:rPr>
          <w:rFonts w:ascii="Calibri" w:hAnsi="Calibri" w:cs="Calibri" w:eastAsia="Calibri" w:hint="default"/>
        </w:rPr>
        <w:t>4</w:t>
      </w:r>
      <w:r>
        <w:rPr>
          <w:rFonts w:ascii="Calibri" w:hAnsi="Calibri" w:cs="Calibri" w:eastAsia="Calibri" w:hint="default"/>
          <w:spacing w:val="9"/>
        </w:rPr>
        <w:t> </w:t>
      </w:r>
      <w:r>
        <w:rPr/>
        <w:t>月</w:t>
      </w:r>
      <w:r>
        <w:rPr>
          <w:spacing w:val="-52"/>
        </w:rPr>
        <w:t> </w:t>
      </w:r>
      <w:r>
        <w:rPr>
          <w:rFonts w:ascii="Calibri" w:hAnsi="Calibri" w:cs="Calibri" w:eastAsia="Calibri" w:hint="default"/>
        </w:rPr>
        <w:t>9</w:t>
      </w:r>
      <w:r>
        <w:rPr>
          <w:rFonts w:ascii="Calibri" w:hAnsi="Calibri" w:cs="Calibri" w:eastAsia="Calibri" w:hint="default"/>
          <w:spacing w:val="7"/>
        </w:rPr>
        <w:t> </w:t>
      </w:r>
      <w:r>
        <w:rPr/>
        <w:t>日召开的</w:t>
      </w:r>
      <w:r>
        <w:rPr>
          <w:spacing w:val="-52"/>
        </w:rPr>
        <w:t> </w:t>
      </w:r>
      <w:r>
        <w:rPr>
          <w:rFonts w:ascii="Calibri" w:hAnsi="Calibri" w:cs="Calibri" w:eastAsia="Calibri" w:hint="default"/>
        </w:rPr>
        <w:t>2014</w:t>
      </w:r>
      <w:r>
        <w:rPr>
          <w:rFonts w:ascii="Calibri" w:hAnsi="Calibri" w:cs="Calibri" w:eastAsia="Calibri" w:hint="default"/>
          <w:spacing w:val="9"/>
        </w:rPr>
        <w:t> </w:t>
      </w:r>
      <w:r>
        <w:rPr>
          <w:spacing w:val="-3"/>
        </w:rPr>
        <w:t>年度股东大会决议通过的《公司</w:t>
      </w:r>
      <w:r>
        <w:rPr>
          <w:spacing w:val="-50"/>
        </w:rPr>
        <w:t> </w:t>
      </w:r>
      <w:r>
        <w:rPr>
          <w:rFonts w:ascii="Calibri" w:hAnsi="Calibri" w:cs="Calibri" w:eastAsia="Calibri" w:hint="default"/>
        </w:rPr>
        <w:t>2014</w:t>
      </w:r>
      <w:r>
        <w:rPr>
          <w:rFonts w:ascii="Calibri" w:hAnsi="Calibri" w:cs="Calibri" w:eastAsia="Calibri" w:hint="default"/>
          <w:spacing w:val="7"/>
        </w:rPr>
        <w:t> </w:t>
      </w:r>
      <w:r>
        <w:rPr>
          <w:spacing w:val="-4"/>
        </w:rPr>
        <w:t>年度资本公积金转增股本方案》，并于</w:t>
      </w:r>
      <w:r>
        <w:rPr>
          <w:spacing w:val="-52"/>
        </w:rPr>
        <w:t> </w:t>
      </w:r>
      <w:r>
        <w:rPr>
          <w:rFonts w:ascii="Calibri" w:hAnsi="Calibri" w:cs="Calibri" w:eastAsia="Calibri" w:hint="default"/>
        </w:rPr>
        <w:t>2015</w:t>
      </w:r>
      <w:r>
        <w:rPr>
          <w:rFonts w:ascii="Calibri" w:hAnsi="Calibri" w:cs="Calibri" w:eastAsia="Calibri" w:hint="default"/>
          <w:spacing w:val="7"/>
        </w:rPr>
        <w:t> </w:t>
      </w:r>
      <w:r>
        <w:rPr/>
        <w:t>年</w:t>
      </w:r>
      <w:r>
        <w:rPr>
          <w:spacing w:val="-50"/>
        </w:rPr>
        <w:t> </w:t>
      </w:r>
      <w:r>
        <w:rPr>
          <w:rFonts w:ascii="Calibri" w:hAnsi="Calibri" w:cs="Calibri" w:eastAsia="Calibri" w:hint="default"/>
        </w:rPr>
        <w:t>4</w:t>
      </w:r>
      <w:r>
        <w:rPr>
          <w:rFonts w:ascii="Calibri" w:hAnsi="Calibri" w:cs="Calibri" w:eastAsia="Calibri" w:hint="default"/>
          <w:spacing w:val="6"/>
        </w:rPr>
        <w:t> </w:t>
      </w:r>
      <w:r>
        <w:rPr/>
        <w:t>月</w:t>
      </w:r>
      <w:r>
        <w:rPr>
          <w:spacing w:val="-52"/>
        </w:rPr>
        <w:t> </w:t>
      </w:r>
      <w:r>
        <w:rPr>
          <w:rFonts w:ascii="Calibri" w:hAnsi="Calibri" w:cs="Calibri" w:eastAsia="Calibri" w:hint="default"/>
        </w:rPr>
        <w:t>23</w:t>
      </w:r>
      <w:r>
        <w:rPr>
          <w:rFonts w:ascii="Calibri" w:hAnsi="Calibri" w:cs="Calibri" w:eastAsia="Calibri" w:hint="default"/>
          <w:spacing w:val="7"/>
        </w:rPr>
        <w:t> </w:t>
      </w:r>
      <w:r>
        <w:rPr/>
        <w:t>日发布</w:t>
      </w:r>
    </w:p>
    <w:p>
      <w:pPr>
        <w:pStyle w:val="BodyText"/>
        <w:spacing w:line="271" w:lineRule="auto" w:before="39"/>
        <w:ind w:left="224" w:right="0"/>
        <w:jc w:val="left"/>
      </w:pPr>
      <w:r>
        <w:rPr/>
        <w:t>的《公司关于</w:t>
      </w:r>
      <w:r>
        <w:rPr>
          <w:spacing w:val="-57"/>
        </w:rPr>
        <w:t> </w:t>
      </w:r>
      <w:r>
        <w:rPr>
          <w:rFonts w:ascii="Calibri" w:hAnsi="Calibri" w:cs="Calibri" w:eastAsia="Calibri" w:hint="default"/>
        </w:rPr>
        <w:t>2014</w:t>
      </w:r>
      <w:r>
        <w:rPr>
          <w:rFonts w:ascii="Calibri" w:hAnsi="Calibri" w:cs="Calibri" w:eastAsia="Calibri" w:hint="default"/>
          <w:spacing w:val="2"/>
        </w:rPr>
        <w:t> </w:t>
      </w:r>
      <w:r>
        <w:rPr/>
        <w:t>年度利润分配及资本公积金转增股本实施公告》，公司决定向全体股东每</w:t>
      </w:r>
      <w:r>
        <w:rPr>
          <w:spacing w:val="-57"/>
        </w:rPr>
        <w:t> </w:t>
      </w:r>
      <w:r>
        <w:rPr>
          <w:rFonts w:ascii="Calibri" w:hAnsi="Calibri" w:cs="Calibri" w:eastAsia="Calibri" w:hint="default"/>
        </w:rPr>
        <w:t>10</w:t>
      </w:r>
      <w:r>
        <w:rPr>
          <w:rFonts w:ascii="Calibri" w:hAnsi="Calibri" w:cs="Calibri" w:eastAsia="Calibri" w:hint="default"/>
          <w:spacing w:val="4"/>
        </w:rPr>
        <w:t> </w:t>
      </w:r>
      <w:r>
        <w:rPr/>
        <w:t>股转增</w:t>
      </w:r>
      <w:r>
        <w:rPr>
          <w:spacing w:val="-55"/>
        </w:rPr>
        <w:t> </w:t>
      </w:r>
      <w:r>
        <w:rPr>
          <w:rFonts w:ascii="Calibri" w:hAnsi="Calibri" w:cs="Calibri" w:eastAsia="Calibri" w:hint="default"/>
        </w:rPr>
        <w:t>2</w:t>
      </w:r>
      <w:r>
        <w:rPr>
          <w:rFonts w:ascii="Calibri" w:hAnsi="Calibri" w:cs="Calibri" w:eastAsia="Calibri" w:hint="default"/>
          <w:spacing w:val="4"/>
        </w:rPr>
        <w:t> </w:t>
      </w:r>
      <w:r>
        <w:rPr/>
        <w:t>股，激励对象持有的股票期权与限制性股票数</w:t>
      </w:r>
      <w:r>
        <w:rPr>
          <w:w w:val="100"/>
        </w:rPr>
        <w:t> </w:t>
      </w:r>
      <w:r>
        <w:rPr/>
        <w:t>量相应调整。</w:t>
      </w:r>
    </w:p>
    <w:p>
      <w:pPr>
        <w:spacing w:after="0" w:line="271" w:lineRule="auto"/>
        <w:jc w:val="left"/>
        <w:sectPr>
          <w:pgSz w:w="16840" w:h="11910" w:orient="landscape"/>
          <w:pgMar w:header="880" w:footer="1336" w:top="1120" w:bottom="1520" w:left="1300" w:right="1220"/>
        </w:sectPr>
      </w:pPr>
    </w:p>
    <w:p>
      <w:pPr>
        <w:pStyle w:val="Heading2"/>
        <w:spacing w:line="240" w:lineRule="auto" w:before="120"/>
        <w:ind w:left="224" w:right="0"/>
        <w:jc w:val="left"/>
        <w:rPr>
          <w:b w:val="0"/>
          <w:bCs w:val="0"/>
        </w:rPr>
      </w:pPr>
      <w:r>
        <w:rPr/>
        <w:t>二、现任及报告期内离任董事、监事和高级管理人员的任职情况</w:t>
      </w:r>
      <w:r>
        <w:rPr>
          <w:b w:val="0"/>
          <w:bCs w:val="0"/>
        </w:rPr>
      </w:r>
    </w:p>
    <w:p>
      <w:pPr>
        <w:spacing w:before="56"/>
        <w:ind w:left="224" w:right="0" w:firstLine="0"/>
        <w:jc w:val="left"/>
        <w:rPr>
          <w:rFonts w:ascii="宋体" w:hAnsi="宋体" w:cs="宋体" w:eastAsia="宋体" w:hint="default"/>
          <w:sz w:val="21"/>
          <w:szCs w:val="21"/>
        </w:rPr>
      </w:pPr>
      <w:r>
        <w:rPr>
          <w:rFonts w:ascii="Calibri" w:hAnsi="Calibri" w:cs="Calibri" w:eastAsia="Calibri" w:hint="default"/>
          <w:b/>
          <w:bCs/>
          <w:sz w:val="20"/>
          <w:szCs w:val="20"/>
        </w:rPr>
        <w:t>(</w:t>
      </w:r>
      <w:r>
        <w:rPr>
          <w:rFonts w:ascii="宋体" w:hAnsi="宋体" w:cs="宋体" w:eastAsia="宋体" w:hint="default"/>
          <w:b/>
          <w:bCs/>
          <w:sz w:val="20"/>
          <w:szCs w:val="20"/>
        </w:rPr>
        <w:t>一</w:t>
      </w:r>
      <w:r>
        <w:rPr>
          <w:rFonts w:ascii="Calibri" w:hAnsi="Calibri" w:cs="Calibri" w:eastAsia="Calibri" w:hint="default"/>
          <w:b/>
          <w:bCs/>
          <w:sz w:val="20"/>
          <w:szCs w:val="20"/>
        </w:rPr>
        <w:t>) </w:t>
      </w:r>
      <w:r>
        <w:rPr>
          <w:rFonts w:ascii="Calibri" w:hAnsi="Calibri" w:cs="Calibri" w:eastAsia="Calibri" w:hint="default"/>
          <w:b/>
          <w:bCs/>
          <w:spacing w:val="11"/>
          <w:sz w:val="20"/>
          <w:szCs w:val="20"/>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pStyle w:val="BodyText"/>
        <w:spacing w:line="240" w:lineRule="auto" w:before="34"/>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2015-6-15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2018-6-14</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2015-6-15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2018-6-14</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2015-6-15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2018-6-14</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上海益倍管理咨询有限公司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2015-6-15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2018-6-14</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2015-6-15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2018-6-14</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上海优富信息咨询有限公司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2015-6-15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2018-6-14</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2015-6-15</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2018-6-14</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厦门用友烟草软件有限责任公司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2014-8-22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2017-8-21</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畅捷通信息技术股份有限公司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2013-3-17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2016-3-16</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用友汽车信息科技（上海）有限公司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2013-6-21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2016-6-20</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北京伟库电子商务科技有限公司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2016-4-2</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北京用友政务软件有限公司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2013-11-10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2016-11-9</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北京用友薪福社云科技有限公司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2016-1-29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2019-1-28</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2015-7-3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2018-7-2</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用友云达信息技术服务（南昌）有限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2015-12-27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2018-12-26</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北京用友审计软件有限公司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2015-9-25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2018-9-24</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上海秉钧网络科技股份有限公司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2015-11-5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2018-11-4</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用友新道科技有限公司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2014-4-30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2017-4-30</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tabs>
                <w:tab w:pos="938" w:val="left" w:leader="none"/>
                <w:tab w:pos="2507" w:val="left" w:leader="none"/>
              </w:tabs>
              <w:spacing w:line="241" w:lineRule="exact"/>
              <w:ind w:left="103" w:right="0"/>
              <w:jc w:val="left"/>
              <w:rPr>
                <w:rFonts w:ascii="宋体" w:hAnsi="宋体" w:cs="宋体" w:eastAsia="宋体" w:hint="default"/>
                <w:sz w:val="21"/>
                <w:szCs w:val="21"/>
              </w:rPr>
            </w:pPr>
            <w:r>
              <w:rPr>
                <w:rFonts w:ascii="宋体"/>
                <w:sz w:val="21"/>
              </w:rPr>
              <w:t>YONYOU</w:t>
              <w:tab/>
            </w:r>
            <w:r>
              <w:rPr>
                <w:rFonts w:ascii="宋体"/>
                <w:spacing w:val="-1"/>
                <w:sz w:val="21"/>
              </w:rPr>
              <w:t>INTERNATIONAL</w:t>
              <w:tab/>
              <w:t>HOLDINGS.,</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2016-4-2</w:t>
            </w:r>
          </w:p>
        </w:tc>
      </w:tr>
    </w:tbl>
    <w:p>
      <w:pPr>
        <w:spacing w:after="0" w:line="241" w:lineRule="exact"/>
        <w:jc w:val="left"/>
        <w:rPr>
          <w:rFonts w:ascii="宋体" w:hAnsi="宋体" w:cs="宋体" w:eastAsia="宋体" w:hint="default"/>
          <w:sz w:val="21"/>
          <w:szCs w:val="21"/>
        </w:rPr>
        <w:sectPr>
          <w:pgSz w:w="16840" w:h="11910" w:orient="landscape"/>
          <w:pgMar w:header="880" w:footer="1336" w:top="1120" w:bottom="152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LTD.</w:t>
            </w:r>
          </w:p>
        </w:tc>
        <w:tc>
          <w:tcPr>
            <w:tcW w:w="2835" w:type="dxa"/>
            <w:tcBorders>
              <w:top w:val="single" w:sz="4" w:space="0" w:color="000000"/>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tabs>
                <w:tab w:pos="1149" w:val="left" w:leader="none"/>
                <w:tab w:pos="2404" w:val="left" w:leader="none"/>
              </w:tabs>
              <w:spacing w:line="240" w:lineRule="exact"/>
              <w:ind w:left="103" w:right="0"/>
              <w:jc w:val="left"/>
              <w:rPr>
                <w:rFonts w:ascii="宋体" w:hAnsi="宋体" w:cs="宋体" w:eastAsia="宋体" w:hint="default"/>
                <w:sz w:val="21"/>
                <w:szCs w:val="21"/>
              </w:rPr>
            </w:pPr>
            <w:r>
              <w:rPr>
                <w:rFonts w:ascii="宋体"/>
                <w:sz w:val="21"/>
              </w:rPr>
              <w:t>WECOO</w:t>
              <w:tab/>
            </w:r>
            <w:r>
              <w:rPr>
                <w:rFonts w:ascii="宋体"/>
                <w:spacing w:val="-1"/>
                <w:sz w:val="21"/>
              </w:rPr>
              <w:t>NETWORK</w:t>
              <w:tab/>
              <w:t>TECHNOLOGES</w:t>
            </w:r>
          </w:p>
          <w:p>
            <w:pPr>
              <w:pStyle w:val="TableParagraph"/>
              <w:spacing w:line="274" w:lineRule="exact"/>
              <w:ind w:left="103" w:right="0"/>
              <w:jc w:val="left"/>
              <w:rPr>
                <w:rFonts w:ascii="宋体" w:hAnsi="宋体" w:cs="宋体" w:eastAsia="宋体" w:hint="default"/>
                <w:sz w:val="21"/>
                <w:szCs w:val="21"/>
              </w:rPr>
            </w:pPr>
            <w:r>
              <w:rPr>
                <w:rFonts w:ascii="宋体"/>
                <w:sz w:val="21"/>
              </w:rPr>
              <w:t>CO.,LTD.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2018-6-27</w:t>
            </w:r>
          </w:p>
        </w:tc>
      </w:tr>
      <w:tr>
        <w:trPr>
          <w:trHeight w:val="557"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tabs>
                <w:tab w:pos="1202" w:val="left" w:leader="none"/>
                <w:tab w:pos="2822" w:val="left" w:leader="none"/>
              </w:tabs>
              <w:spacing w:line="241" w:lineRule="exact"/>
              <w:ind w:left="103" w:right="0"/>
              <w:jc w:val="left"/>
              <w:rPr>
                <w:rFonts w:ascii="宋体" w:hAnsi="宋体" w:cs="宋体" w:eastAsia="宋体" w:hint="default"/>
                <w:sz w:val="21"/>
                <w:szCs w:val="21"/>
              </w:rPr>
            </w:pPr>
            <w:r>
              <w:rPr>
                <w:rFonts w:ascii="宋体"/>
                <w:sz w:val="21"/>
              </w:rPr>
              <w:t>YONYOU</w:t>
              <w:tab/>
            </w:r>
            <w:r>
              <w:rPr>
                <w:rFonts w:ascii="宋体"/>
                <w:spacing w:val="-1"/>
                <w:sz w:val="21"/>
              </w:rPr>
              <w:t>(SINGAPORE)</w:t>
              <w:tab/>
              <w:t>PRIVATE</w:t>
            </w:r>
          </w:p>
          <w:p>
            <w:pPr>
              <w:pStyle w:val="TableParagraph"/>
              <w:spacing w:line="273" w:lineRule="exact"/>
              <w:ind w:left="103" w:right="0"/>
              <w:jc w:val="left"/>
              <w:rPr>
                <w:rFonts w:ascii="宋体" w:hAnsi="宋体" w:cs="宋体" w:eastAsia="宋体" w:hint="default"/>
                <w:sz w:val="21"/>
                <w:szCs w:val="21"/>
              </w:rPr>
            </w:pPr>
            <w:r>
              <w:rPr>
                <w:rFonts w:ascii="宋体"/>
                <w:sz w:val="21"/>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2013-8-27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2016-8-26</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tabs>
                <w:tab w:pos="1082" w:val="left" w:leader="none"/>
                <w:tab w:pos="1953" w:val="left" w:leader="none"/>
                <w:tab w:pos="2824" w:val="left" w:leader="none"/>
              </w:tabs>
              <w:spacing w:line="239" w:lineRule="exact"/>
              <w:ind w:left="103" w:right="0"/>
              <w:jc w:val="left"/>
              <w:rPr>
                <w:rFonts w:ascii="宋体" w:hAnsi="宋体" w:cs="宋体" w:eastAsia="宋体" w:hint="default"/>
                <w:sz w:val="21"/>
                <w:szCs w:val="21"/>
              </w:rPr>
            </w:pPr>
            <w:r>
              <w:rPr>
                <w:rFonts w:ascii="宋体"/>
                <w:sz w:val="21"/>
              </w:rPr>
              <w:t>YONYOU</w:t>
              <w:tab/>
            </w:r>
            <w:r>
              <w:rPr>
                <w:rFonts w:ascii="宋体"/>
                <w:spacing w:val="-1"/>
                <w:sz w:val="21"/>
              </w:rPr>
              <w:t>(HONG</w:t>
              <w:tab/>
              <w:t>KONG)</w:t>
              <w:tab/>
              <w:t>COMPANY</w:t>
            </w:r>
          </w:p>
          <w:p>
            <w:pPr>
              <w:pStyle w:val="TableParagraph"/>
              <w:spacing w:line="273" w:lineRule="exact"/>
              <w:ind w:left="103" w:right="0"/>
              <w:jc w:val="left"/>
              <w:rPr>
                <w:rFonts w:ascii="宋体" w:hAnsi="宋体" w:cs="宋体" w:eastAsia="宋体" w:hint="default"/>
                <w:sz w:val="21"/>
                <w:szCs w:val="21"/>
              </w:rPr>
            </w:pPr>
            <w:r>
              <w:rPr>
                <w:rFonts w:ascii="宋体"/>
                <w:sz w:val="21"/>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2015-6-27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2018-6-26</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tabs>
                <w:tab w:pos="1010" w:val="left" w:leader="none"/>
                <w:tab w:pos="2128" w:val="left" w:leader="none"/>
                <w:tab w:pos="3138" w:val="left" w:leader="none"/>
              </w:tabs>
              <w:spacing w:line="239" w:lineRule="exact"/>
              <w:ind w:left="103" w:right="0"/>
              <w:jc w:val="left"/>
              <w:rPr>
                <w:rFonts w:ascii="宋体" w:hAnsi="宋体" w:cs="宋体" w:eastAsia="宋体" w:hint="default"/>
                <w:sz w:val="21"/>
                <w:szCs w:val="21"/>
              </w:rPr>
            </w:pPr>
            <w:r>
              <w:rPr>
                <w:rFonts w:ascii="宋体"/>
                <w:sz w:val="21"/>
              </w:rPr>
              <w:t>YONYOU</w:t>
              <w:tab/>
            </w:r>
            <w:r>
              <w:rPr>
                <w:rFonts w:ascii="宋体"/>
                <w:spacing w:val="-1"/>
                <w:sz w:val="21"/>
              </w:rPr>
              <w:t>SOFTWARE</w:t>
              <w:tab/>
              <w:t>(MACAU)</w:t>
              <w:tab/>
              <w:t>CO.,</w:t>
            </w:r>
          </w:p>
          <w:p>
            <w:pPr>
              <w:pStyle w:val="TableParagraph"/>
              <w:spacing w:line="273" w:lineRule="exact"/>
              <w:ind w:left="103" w:right="0"/>
              <w:jc w:val="left"/>
              <w:rPr>
                <w:rFonts w:ascii="宋体" w:hAnsi="宋体" w:cs="宋体" w:eastAsia="宋体" w:hint="default"/>
                <w:sz w:val="21"/>
                <w:szCs w:val="21"/>
              </w:rPr>
            </w:pPr>
            <w:r>
              <w:rPr>
                <w:rFonts w:ascii="宋体"/>
                <w:sz w:val="21"/>
              </w:rPr>
              <w:t>LTD.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2013-3-17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2016-3-16</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Yonyou (Canada) Company</w:t>
            </w:r>
            <w:r>
              <w:rPr>
                <w:rFonts w:ascii="宋体"/>
                <w:spacing w:val="-3"/>
                <w:sz w:val="21"/>
              </w:rPr>
              <w:t> </w:t>
            </w:r>
            <w:r>
              <w:rPr>
                <w:rFonts w:ascii="宋体"/>
                <w:sz w:val="21"/>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2015-7-20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2018-7-19</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用友医疗卫生信息系统有限公司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2013-4-19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2016-4-18</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用友优普信息技术有限公司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2014-2-25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2017-2-24</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用友移动通信技术服务有限公司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2017-3-3</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深圳前海用友力合金融服务有限公司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2014-8-15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2017-8-14</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北京畅捷通支付技术有限公司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2013-7-29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2016-7-28</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三亚用友软件科技有限公司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2016-3-11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2019-3-10</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用友（南昌）产业基地发展有限公司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2018-9-6</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三亚用友软件科技有限公司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2016-2-11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2019-2-10</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北京用友政务软件有限公司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2013-11-10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2016-11-9</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厦门用友烟草软件有限责任公司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2014-8-21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2017-8-21</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畅捷通信息技术股份有限公司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2013-3-17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2016-3-16</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tabs>
                <w:tab w:pos="1202" w:val="left" w:leader="none"/>
                <w:tab w:pos="2822" w:val="left" w:leader="none"/>
              </w:tabs>
              <w:spacing w:line="239" w:lineRule="exact"/>
              <w:ind w:left="103" w:right="0"/>
              <w:jc w:val="left"/>
              <w:rPr>
                <w:rFonts w:ascii="宋体" w:hAnsi="宋体" w:cs="宋体" w:eastAsia="宋体" w:hint="default"/>
                <w:sz w:val="21"/>
                <w:szCs w:val="21"/>
              </w:rPr>
            </w:pPr>
            <w:r>
              <w:rPr>
                <w:rFonts w:ascii="宋体"/>
                <w:sz w:val="21"/>
              </w:rPr>
              <w:t>YONYOU</w:t>
              <w:tab/>
            </w:r>
            <w:r>
              <w:rPr>
                <w:rFonts w:ascii="宋体"/>
                <w:spacing w:val="-1"/>
                <w:sz w:val="21"/>
              </w:rPr>
              <w:t>(SINGAPORE)</w:t>
              <w:tab/>
              <w:t>PRIVATE</w:t>
            </w:r>
          </w:p>
          <w:p>
            <w:pPr>
              <w:pStyle w:val="TableParagraph"/>
              <w:spacing w:line="273" w:lineRule="exact"/>
              <w:ind w:left="103" w:right="0"/>
              <w:jc w:val="left"/>
              <w:rPr>
                <w:rFonts w:ascii="宋体" w:hAnsi="宋体" w:cs="宋体" w:eastAsia="宋体" w:hint="default"/>
                <w:sz w:val="21"/>
                <w:szCs w:val="21"/>
              </w:rPr>
            </w:pPr>
            <w:r>
              <w:rPr>
                <w:rFonts w:ascii="宋体"/>
                <w:sz w:val="21"/>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2013-8-27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2016-8-26</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tabs>
                <w:tab w:pos="1082" w:val="left" w:leader="none"/>
                <w:tab w:pos="1953" w:val="left" w:leader="none"/>
                <w:tab w:pos="2824" w:val="left" w:leader="none"/>
              </w:tabs>
              <w:spacing w:line="239" w:lineRule="exact"/>
              <w:ind w:left="103" w:right="0"/>
              <w:jc w:val="left"/>
              <w:rPr>
                <w:rFonts w:ascii="宋体" w:hAnsi="宋体" w:cs="宋体" w:eastAsia="宋体" w:hint="default"/>
                <w:sz w:val="21"/>
                <w:szCs w:val="21"/>
              </w:rPr>
            </w:pPr>
            <w:r>
              <w:rPr>
                <w:rFonts w:ascii="宋体"/>
                <w:sz w:val="21"/>
              </w:rPr>
              <w:t>YONYOU</w:t>
              <w:tab/>
            </w:r>
            <w:r>
              <w:rPr>
                <w:rFonts w:ascii="宋体"/>
                <w:spacing w:val="-1"/>
                <w:sz w:val="21"/>
              </w:rPr>
              <w:t>(HONG</w:t>
              <w:tab/>
              <w:t>KONG)</w:t>
              <w:tab/>
              <w:t>COMPANY</w:t>
            </w:r>
          </w:p>
          <w:p>
            <w:pPr>
              <w:pStyle w:val="TableParagraph"/>
              <w:spacing w:line="273" w:lineRule="exact"/>
              <w:ind w:left="103" w:right="0"/>
              <w:jc w:val="left"/>
              <w:rPr>
                <w:rFonts w:ascii="宋体" w:hAnsi="宋体" w:cs="宋体" w:eastAsia="宋体" w:hint="default"/>
                <w:sz w:val="21"/>
                <w:szCs w:val="21"/>
              </w:rPr>
            </w:pPr>
            <w:r>
              <w:rPr>
                <w:rFonts w:ascii="宋体"/>
                <w:sz w:val="21"/>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2009-6-27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2018-6-26</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北京用友幸福投资管理有限公司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2013-5-12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2016-5-11</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用友移动通信技术服务有限公司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2014-3-4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2017-3-3</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深圳前海用友力合金融服务有限公司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2014-8-15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2017-8-15</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北京畅捷通支付技术有限公司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2013-7-29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2016-7-28</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上海秉钧网络科技股份有限公司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2015-11-5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2018-11-4</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用友汽车信息科技（上海）有限公司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2013-6-21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2016-6-20</w:t>
            </w:r>
          </w:p>
        </w:tc>
      </w:tr>
    </w:tbl>
    <w:p>
      <w:pPr>
        <w:spacing w:after="0" w:line="241" w:lineRule="exact"/>
        <w:jc w:val="left"/>
        <w:rPr>
          <w:rFonts w:ascii="宋体" w:hAnsi="宋体" w:cs="宋体" w:eastAsia="宋体" w:hint="default"/>
          <w:sz w:val="21"/>
          <w:szCs w:val="21"/>
        </w:rPr>
        <w:sectPr>
          <w:pgSz w:w="16840" w:h="11910" w:orient="landscape"/>
          <w:pgMar w:header="880" w:footer="1336" w:top="1120" w:bottom="152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用友新道科技有限公司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2014-4-30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2017-4-30</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用友医疗卫生信息系统有限公司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2018-9-16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2018-9-15</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北京用友幸福投资管理有限公司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2013-5-12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2016-5-11</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用友智慧健康研究院镇江有限公司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2014-9-15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2017-9-14</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北京用友创新投资中心（有限合伙）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委派代表</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2013-7-19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2016-7-18</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北京用友政务软件有限公司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2013-11-10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2016-11-9</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厦门用友烟草软件有限责任公司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2014-8-21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2017-8-20</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畅捷通信息技术股份有限公司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2013-3-17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2016-3-16</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北京伟库电子商务科技有限公司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2016-3-5</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北京用友审计软件有限公司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2015-3-8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2018-3-7</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用友（南昌）产业基地发展有限公司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2018-9-6</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三亚用友软件科技有限公司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2016-2-11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2019-2-10</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湖南用友软件有限公司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2015-9-15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2018-9-14</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内蒙古用友软件有限公司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2015-1-22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2018-1-21</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上海秉钧网络科技股份有限公司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2015-11-5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2018-11-4</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用友移动通信技术服务有限公司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2017-3-3</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深圳前海用友力合金融服务有限公司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2014-8-15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2017-8-15</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用友汽车信息科技（上海）有限公司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2013-6-21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2016-6-20</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2018-7-2</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2"/>
        <w:spacing w:line="240" w:lineRule="auto"/>
        <w:ind w:left="224" w:right="0"/>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207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86"/>
              <w:ind w:left="103" w:right="55"/>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、公司按年度对公司董事、监事和高级管理人员的业绩和履行职责情况进行考评并进行可比企业董事、</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监事和高级管理人员报酬调查。</w:t>
            </w:r>
          </w:p>
          <w:p>
            <w:pPr>
              <w:pStyle w:val="TableParagraph"/>
              <w:spacing w:line="240" w:lineRule="auto" w:before="15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、公司根据绩效考评结果和报酬调查结果，确定有竞争力的年薪报酬和薪酬结构。</w:t>
            </w:r>
          </w:p>
          <w:p>
            <w:pPr>
              <w:pStyle w:val="TableParagraph"/>
              <w:spacing w:line="280" w:lineRule="auto" w:before="170"/>
              <w:ind w:left="103" w:right="98"/>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、公司董事、监事和高级管理人员奖金报酬与公司经营业绩结果直接挂钩。公司每年年初审定批准公司</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年度经营计划和业绩目标，年度结束后根据实际业绩结果完成情况，核定批准公司董事、监事和高级管</w:t>
            </w:r>
          </w:p>
        </w:tc>
      </w:tr>
    </w:tbl>
    <w:p>
      <w:pPr>
        <w:spacing w:after="0" w:line="280" w:lineRule="auto"/>
        <w:jc w:val="left"/>
        <w:rPr>
          <w:rFonts w:ascii="宋体" w:hAnsi="宋体" w:cs="宋体" w:eastAsia="宋体" w:hint="default"/>
          <w:sz w:val="21"/>
          <w:szCs w:val="21"/>
        </w:rPr>
        <w:sectPr>
          <w:pgSz w:w="16840" w:h="11910" w:orient="landscape"/>
          <w:pgMar w:header="880" w:footer="1336" w:top="1120" w:bottom="1520" w:left="1300" w:right="1220"/>
        </w:sectPr>
      </w:pPr>
    </w:p>
    <w:p>
      <w:pPr>
        <w:spacing w:line="240" w:lineRule="auto" w:before="10"/>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1270" w:hRule="exact"/>
        </w:trPr>
        <w:tc>
          <w:tcPr>
            <w:tcW w:w="4362" w:type="dxa"/>
            <w:tcBorders>
              <w:top w:val="single" w:sz="4" w:space="0" w:color="000000"/>
              <w:left w:val="single" w:sz="4" w:space="0" w:color="000000"/>
              <w:bottom w:val="single" w:sz="4" w:space="0" w:color="000000"/>
              <w:right w:val="single" w:sz="4" w:space="0" w:color="000000"/>
            </w:tcBorders>
          </w:tcPr>
          <w:p>
            <w:pP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理人员的奖金数。公司董事、监事的薪酬方案及薪酬情况，需提交公司董事会、监事会审议后，报股东</w:t>
            </w:r>
          </w:p>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大会审议批准。公司高级管理人员的薪酬方案及薪酬情况，需提交公司董事会审议批准。</w:t>
            </w: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、独立董事实行年度津贴制，由公司董事会确定年度津贴标准议案，报经股东大会批准执行。</w:t>
            </w:r>
          </w:p>
        </w:tc>
      </w:tr>
      <w:tr>
        <w:trPr>
          <w:trHeight w:val="93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88"/>
              <w:ind w:left="103" w:right="101"/>
              <w:jc w:val="left"/>
              <w:rPr>
                <w:rFonts w:ascii="宋体" w:hAnsi="宋体" w:cs="宋体" w:eastAsia="宋体" w:hint="default"/>
                <w:sz w:val="21"/>
                <w:szCs w:val="21"/>
              </w:rPr>
            </w:pPr>
            <w:r>
              <w:rPr>
                <w:rFonts w:ascii="宋体" w:hAnsi="宋体" w:cs="宋体" w:eastAsia="宋体" w:hint="default"/>
                <w:sz w:val="21"/>
                <w:szCs w:val="21"/>
              </w:rPr>
              <w:t>公司董事、监事、高级管理人员报酬确定依据主要是年度绩效考评结果、公司年度业绩完成率和可比企</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业董事、监事、高级管理人员报酬行情。</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报告期内，董事、监事和高级管理人员应付报酬合计</w:t>
            </w:r>
            <w:r>
              <w:rPr>
                <w:rFonts w:ascii="宋体" w:hAnsi="宋体" w:cs="宋体" w:eastAsia="宋体" w:hint="default"/>
                <w:spacing w:val="-55"/>
                <w:sz w:val="21"/>
                <w:szCs w:val="21"/>
              </w:rPr>
              <w:t> </w:t>
            </w:r>
            <w:r>
              <w:rPr>
                <w:rFonts w:ascii="宋体" w:hAnsi="宋体" w:cs="宋体" w:eastAsia="宋体" w:hint="default"/>
                <w:sz w:val="21"/>
                <w:szCs w:val="21"/>
              </w:rPr>
              <w:t>2,635.01</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59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报告期末，全体董事、监事和高级管理人员实际获得的报酬为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2,635.01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tc>
      </w:tr>
    </w:tbl>
    <w:p>
      <w:pPr>
        <w:spacing w:line="240" w:lineRule="auto" w:before="12"/>
        <w:rPr>
          <w:rFonts w:ascii="宋体" w:hAnsi="宋体" w:cs="宋体" w:eastAsia="宋体" w:hint="default"/>
          <w:b/>
          <w:bCs/>
          <w:sz w:val="19"/>
          <w:szCs w:val="19"/>
        </w:rPr>
      </w:pPr>
    </w:p>
    <w:p>
      <w:pPr>
        <w:pStyle w:val="Heading2"/>
        <w:spacing w:line="240" w:lineRule="auto"/>
        <w:ind w:left="224" w:right="0"/>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吴晓求</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辞职</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汪超涌</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新聘任</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陈强兵</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高级副总裁（注</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新聘任</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王健</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新聘任</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吴健</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公司内部工作调动</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牛立伟</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公司内部工作调动</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朱铁生</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免去职务</w:t>
            </w:r>
          </w:p>
        </w:tc>
      </w:tr>
    </w:tbl>
    <w:p>
      <w:pPr>
        <w:pStyle w:val="BodyText"/>
        <w:spacing w:line="241" w:lineRule="exact"/>
        <w:ind w:left="224" w:right="0"/>
        <w:jc w:val="left"/>
      </w:pPr>
      <w:r>
        <w:rPr/>
        <w:t>注</w:t>
      </w:r>
      <w:r>
        <w:rPr>
          <w:spacing w:val="-52"/>
        </w:rPr>
        <w:t> </w:t>
      </w:r>
      <w:r>
        <w:rPr>
          <w:rFonts w:ascii="宋体" w:hAnsi="宋体" w:cs="宋体" w:eastAsia="宋体" w:hint="default"/>
        </w:rPr>
        <w:t>1</w:t>
      </w:r>
      <w:r>
        <w:rPr/>
        <w:t>：公司已于</w:t>
      </w:r>
      <w:r>
        <w:rPr>
          <w:spacing w:val="-55"/>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日召开的第六届董事会第三十二次会议，聘任陈强兵先生为公司的执行总裁。</w:t>
      </w:r>
    </w:p>
    <w:p>
      <w:pPr>
        <w:spacing w:line="240" w:lineRule="auto" w:before="3"/>
        <w:rPr>
          <w:rFonts w:ascii="宋体" w:hAnsi="宋体" w:cs="宋体" w:eastAsia="宋体" w:hint="default"/>
          <w:sz w:val="25"/>
          <w:szCs w:val="25"/>
        </w:rPr>
      </w:pPr>
    </w:p>
    <w:p>
      <w:pPr>
        <w:pStyle w:val="Heading2"/>
        <w:spacing w:line="240" w:lineRule="auto" w:before="0"/>
        <w:ind w:left="224" w:right="0"/>
        <w:jc w:val="left"/>
        <w:rPr>
          <w:b w:val="0"/>
          <w:bCs w:val="0"/>
        </w:rPr>
      </w:pPr>
      <w:r>
        <w:rPr/>
        <w:t>五、近三年受证券监管机构处罚的情况说明</w:t>
      </w:r>
      <w:r>
        <w:rPr>
          <w:b w:val="0"/>
          <w:bCs w:val="0"/>
        </w:rPr>
      </w:r>
    </w:p>
    <w:p>
      <w:pPr>
        <w:pStyle w:val="BodyText"/>
        <w:spacing w:line="240" w:lineRule="auto" w:before="56"/>
        <w:ind w:left="224" w:right="0"/>
        <w:jc w:val="left"/>
      </w:pPr>
      <w:r>
        <w:rPr/>
        <w:t>□适用 √不适用</w:t>
      </w:r>
    </w:p>
    <w:p>
      <w:pPr>
        <w:spacing w:after="0" w:line="240" w:lineRule="auto"/>
        <w:jc w:val="left"/>
        <w:sectPr>
          <w:pgSz w:w="16840" w:h="11910" w:orient="landscape"/>
          <w:pgMar w:header="880" w:footer="1336" w:top="1120" w:bottom="152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0"/>
        <w:ind w:right="2465"/>
        <w:jc w:val="left"/>
        <w:rPr>
          <w:b w:val="0"/>
          <w:bCs w:val="0"/>
        </w:rPr>
      </w:pPr>
      <w:r>
        <w:rPr/>
        <w:t>六、母公司和主要子公司的员工情况</w:t>
      </w:r>
      <w:r>
        <w:rPr>
          <w:b w:val="0"/>
          <w:bCs w:val="0"/>
        </w:rPr>
      </w:r>
    </w:p>
    <w:p>
      <w:pPr>
        <w:pStyle w:val="Heading2"/>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5,693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7,164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12,857</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2,699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4,047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支持服务人员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0" w:right="0"/>
              <w:jc w:val="left"/>
              <w:rPr>
                <w:rFonts w:ascii="宋体" w:hAnsi="宋体" w:cs="宋体" w:eastAsia="宋体" w:hint="default"/>
                <w:sz w:val="21"/>
                <w:szCs w:val="21"/>
              </w:rPr>
            </w:pPr>
            <w:r>
              <w:rPr>
                <w:rFonts w:ascii="宋体" w:hAnsi="宋体" w:cs="宋体" w:eastAsia="宋体" w:hint="default"/>
                <w:sz w:val="21"/>
                <w:szCs w:val="21"/>
              </w:rPr>
              <w:t>咨询实施及培训人员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12,857</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1,224</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9,250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2,209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12,857</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97" w:lineRule="auto" w:before="89"/>
        <w:ind w:left="218" w:right="228" w:firstLine="419"/>
        <w:jc w:val="both"/>
      </w:pPr>
      <w:r>
        <w:rPr>
          <w:spacing w:val="-2"/>
        </w:rPr>
        <w:t>公司员工薪酬主要由月度基本工资、季度绩效工资、年度绩效奖金等组成，其中季度绩效工</w:t>
      </w:r>
      <w:r>
        <w:rPr>
          <w:w w:val="100"/>
        </w:rPr>
        <w:t> </w:t>
      </w:r>
      <w:r>
        <w:rPr>
          <w:spacing w:val="-1"/>
        </w:rPr>
        <w:t>资与员工季度个人业绩挂钩，属于短期激励；年度绩效奖金与公司经营目标完成情况、部门目标</w:t>
      </w:r>
      <w:r>
        <w:rPr>
          <w:spacing w:val="-55"/>
        </w:rPr>
        <w:t> </w:t>
      </w:r>
      <w:r>
        <w:rPr>
          <w:spacing w:val="-55"/>
        </w:rPr>
      </w:r>
      <w:r>
        <w:rPr/>
        <w:t>实现情况、个人年度绩效挂钩，属于中短期激励。</w:t>
      </w:r>
    </w:p>
    <w:p>
      <w:pPr>
        <w:pStyle w:val="BodyText"/>
        <w:spacing w:line="400" w:lineRule="auto" w:before="135"/>
        <w:ind w:left="638" w:right="2465"/>
        <w:jc w:val="left"/>
      </w:pPr>
      <w:r>
        <w:rPr/>
        <w:t>公司还实行期权计划、其他股权计划等中长期激励措施。</w:t>
      </w:r>
      <w:r>
        <w:rPr>
          <w:w w:val="100"/>
        </w:rPr>
        <w:t> </w:t>
      </w:r>
      <w:r>
        <w:rPr>
          <w:spacing w:val="-2"/>
        </w:rPr>
        <w:t>公司建立有完善的社会福利体系，并建立了基础性商业保险制度。</w:t>
      </w:r>
    </w:p>
    <w:p>
      <w:pPr>
        <w:pStyle w:val="Heading2"/>
        <w:spacing w:line="240" w:lineRule="auto" w:before="45"/>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97" w:lineRule="auto" w:before="92"/>
        <w:ind w:left="218" w:right="227" w:firstLine="479"/>
        <w:jc w:val="both"/>
      </w:pPr>
      <w:r>
        <w:rPr>
          <w:spacing w:val="-5"/>
        </w:rPr>
        <w:t>公司一贯坚持培训支撑业务的原则，结合公司战略转型和员工发展需要，</w:t>
      </w:r>
      <w:r>
        <w:rPr>
          <w:rFonts w:ascii="宋体" w:hAnsi="宋体" w:cs="宋体" w:eastAsia="宋体" w:hint="default"/>
          <w:spacing w:val="-5"/>
        </w:rPr>
        <w:t>2015</w:t>
      </w:r>
      <w:r>
        <w:rPr>
          <w:rFonts w:ascii="宋体" w:hAnsi="宋体" w:cs="宋体" w:eastAsia="宋体" w:hint="default"/>
        </w:rPr>
        <w:t> </w:t>
      </w:r>
      <w:r>
        <w:rPr/>
        <w:t>年度员工培训</w:t>
      </w:r>
      <w:r>
        <w:rPr>
          <w:w w:val="100"/>
        </w:rPr>
        <w:t> </w:t>
      </w:r>
      <w:r>
        <w:rPr/>
        <w:t>方面的年度工作重点有：</w:t>
      </w:r>
    </w:p>
    <w:p>
      <w:pPr>
        <w:pStyle w:val="BodyText"/>
        <w:spacing w:line="297" w:lineRule="auto" w:before="133"/>
        <w:ind w:left="218" w:right="233" w:firstLine="479"/>
        <w:jc w:val="both"/>
      </w:pPr>
      <w:r>
        <w:rPr>
          <w:rFonts w:ascii="宋体" w:hAnsi="宋体" w:cs="宋体" w:eastAsia="宋体" w:hint="default"/>
        </w:rPr>
        <w:t>1</w:t>
      </w:r>
      <w:r>
        <w:rPr/>
        <w:t>、持续加强公司业务转型过程中各级经理的领导力提升，提高各级经理的变革推动力、团</w:t>
      </w:r>
      <w:r>
        <w:rPr>
          <w:w w:val="100"/>
        </w:rPr>
        <w:t> </w:t>
      </w:r>
      <w:r>
        <w:rPr/>
        <w:t>队影响力和执行力。</w:t>
      </w:r>
    </w:p>
    <w:p>
      <w:pPr>
        <w:pStyle w:val="BodyText"/>
        <w:spacing w:line="240" w:lineRule="auto" w:before="135"/>
        <w:ind w:left="698" w:right="225"/>
        <w:jc w:val="left"/>
      </w:pPr>
      <w:r>
        <w:rPr>
          <w:rFonts w:ascii="宋体" w:hAnsi="宋体" w:cs="宋体" w:eastAsia="宋体" w:hint="default"/>
        </w:rPr>
        <w:t>2</w:t>
      </w:r>
      <w:r>
        <w:rPr/>
        <w:t>、全员开展职业生涯规划轮训和文化轮训，激发员工主人翁精神和创造力，提升团队凝聚</w:t>
      </w:r>
    </w:p>
    <w:p>
      <w:pPr>
        <w:pStyle w:val="BodyText"/>
        <w:spacing w:line="240" w:lineRule="auto" w:before="66"/>
        <w:ind w:left="218" w:right="2465"/>
        <w:jc w:val="left"/>
      </w:pPr>
      <w:r>
        <w:rPr/>
        <w:t>力。</w:t>
      </w:r>
    </w:p>
    <w:p>
      <w:pPr>
        <w:spacing w:after="0" w:line="240" w:lineRule="auto"/>
        <w:jc w:val="left"/>
        <w:sectPr>
          <w:headerReference w:type="default" r:id="rId25"/>
          <w:footerReference w:type="default" r:id="rId26"/>
          <w:pgSz w:w="11910" w:h="16840"/>
          <w:pgMar w:header="877" w:footer="1335" w:top="1100" w:bottom="1520" w:left="1580" w:right="1040"/>
          <w:pgNumType w:start="74"/>
        </w:sectPr>
      </w:pPr>
    </w:p>
    <w:p>
      <w:pPr>
        <w:spacing w:line="240" w:lineRule="auto" w:before="9"/>
        <w:rPr>
          <w:rFonts w:ascii="宋体" w:hAnsi="宋体" w:cs="宋体" w:eastAsia="宋体" w:hint="default"/>
          <w:sz w:val="25"/>
          <w:szCs w:val="25"/>
        </w:rPr>
      </w:pPr>
    </w:p>
    <w:p>
      <w:pPr>
        <w:pStyle w:val="BodyText"/>
        <w:spacing w:line="297" w:lineRule="auto" w:before="36"/>
        <w:ind w:left="218" w:right="228" w:firstLine="479"/>
        <w:jc w:val="right"/>
      </w:pPr>
      <w:r>
        <w:rPr>
          <w:rFonts w:ascii="宋体" w:hAnsi="宋体" w:cs="宋体" w:eastAsia="宋体" w:hint="default"/>
        </w:rPr>
        <w:t>3</w:t>
      </w:r>
      <w:r>
        <w:rPr/>
        <w:t>、专业人才培养项目化推进，用友大学和成员企业分工合作，持续、规模采用培养项目的</w:t>
      </w:r>
      <w:r>
        <w:rPr>
          <w:w w:val="100"/>
        </w:rPr>
        <w:t> </w:t>
      </w:r>
      <w:r>
        <w:rPr>
          <w:spacing w:val="-7"/>
          <w:w w:val="100"/>
        </w:rPr>
        <w:t>方式提高各类各级专业岗位的能力持续提升，积极推广新方法、新技术在员工能力提升中的应用。</w:t>
      </w:r>
    </w:p>
    <w:p>
      <w:pPr>
        <w:pStyle w:val="BodyText"/>
        <w:spacing w:line="297" w:lineRule="auto" w:before="135"/>
        <w:ind w:left="218" w:right="225" w:firstLine="419"/>
        <w:jc w:val="left"/>
      </w:pPr>
      <w:r>
        <w:rPr>
          <w:rFonts w:ascii="宋体" w:hAnsi="宋体" w:cs="宋体" w:eastAsia="宋体" w:hint="default"/>
          <w:spacing w:val="-4"/>
        </w:rPr>
        <w:t>4</w:t>
      </w:r>
      <w:r>
        <w:rPr>
          <w:spacing w:val="-4"/>
        </w:rPr>
        <w:t>、强调培训和业务的深度结合，针对公司年度业务策略和业务开展中的实际问题，采用先进</w:t>
      </w:r>
      <w:r>
        <w:rPr>
          <w:w w:val="100"/>
        </w:rPr>
        <w:t> </w:t>
      </w:r>
      <w:r>
        <w:rPr/>
        <w:t>的学习技术，开展各类专项培训。</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before="0"/>
        <w:ind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Heading2"/>
        <w:spacing w:line="240" w:lineRule="auto"/>
        <w:ind w:right="2465"/>
        <w:jc w:val="left"/>
        <w:rPr>
          <w:b w:val="0"/>
          <w:bCs w:val="0"/>
        </w:rPr>
      </w:pPr>
      <w:r>
        <w:rPr/>
        <w:t>七、其他</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16"/>
          <w:szCs w:val="16"/>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7"/>
        <w:rPr>
          <w:rFonts w:ascii="黑体" w:hAnsi="黑体" w:cs="黑体" w:eastAsia="黑体" w:hint="default"/>
          <w:b/>
          <w:bCs/>
          <w:sz w:val="16"/>
          <w:szCs w:val="16"/>
        </w:rPr>
      </w:pPr>
    </w:p>
    <w:p>
      <w:pPr>
        <w:pStyle w:val="Heading2"/>
        <w:spacing w:line="343" w:lineRule="auto"/>
        <w:ind w:left="698" w:right="6518" w:hanging="480"/>
        <w:jc w:val="left"/>
        <w:rPr>
          <w:b w:val="0"/>
          <w:bCs w:val="0"/>
        </w:rPr>
      </w:pPr>
      <w:r>
        <w:rPr/>
        <w:t>一、公司治理相关情况说明</w:t>
      </w:r>
      <w:r>
        <w:rPr>
          <w:spacing w:val="-103"/>
        </w:rPr>
        <w:t> </w:t>
      </w:r>
      <w:r>
        <w:rPr>
          <w:spacing w:val="-103"/>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公司治理的情况</w:t>
      </w:r>
      <w:r>
        <w:rPr>
          <w:b w:val="0"/>
          <w:bCs w:val="0"/>
        </w:rPr>
      </w:r>
    </w:p>
    <w:p>
      <w:pPr>
        <w:pStyle w:val="BodyText"/>
        <w:spacing w:line="297" w:lineRule="auto" w:before="93"/>
        <w:ind w:left="218" w:right="228" w:firstLine="482"/>
        <w:jc w:val="both"/>
      </w:pPr>
      <w:r>
        <w:rPr>
          <w:spacing w:val="-3"/>
        </w:rPr>
        <w:t>报告期内，公司严格按照《公司法》、《证券法》和中国证监会、上海证券交易所有关规定</w:t>
      </w:r>
      <w:r>
        <w:rPr>
          <w:w w:val="100"/>
        </w:rPr>
        <w:t> </w:t>
      </w:r>
      <w:r>
        <w:rPr>
          <w:spacing w:val="-1"/>
        </w:rPr>
        <w:t>和要求，修订了《公司章程》、《公司董事、监事和高级管理人员薪酬管理制度》、《股东大会</w:t>
      </w:r>
      <w:r>
        <w:rPr>
          <w:spacing w:val="-55"/>
        </w:rPr>
        <w:t> </w:t>
      </w:r>
      <w:r>
        <w:rPr>
          <w:spacing w:val="-55"/>
        </w:rPr>
      </w:r>
      <w:r>
        <w:rPr>
          <w:spacing w:val="-1"/>
        </w:rPr>
        <w:t>议事规则》。公司法人治理结构的实际情况与中国证监会发布的有关上市公司治理的规范性文件</w:t>
      </w:r>
      <w:r>
        <w:rPr>
          <w:spacing w:val="-56"/>
        </w:rPr>
        <w:t> </w:t>
      </w:r>
      <w:r>
        <w:rPr>
          <w:spacing w:val="-56"/>
        </w:rPr>
      </w:r>
      <w:r>
        <w:rPr/>
        <w:t>要求不存在差异。公司治理活动开展情况如下：</w:t>
      </w:r>
    </w:p>
    <w:p>
      <w:pPr>
        <w:pStyle w:val="BodyText"/>
        <w:spacing w:line="283" w:lineRule="auto" w:before="135"/>
        <w:ind w:left="218" w:right="99" w:firstLine="482"/>
        <w:jc w:val="left"/>
      </w:pPr>
      <w:r>
        <w:rPr>
          <w:rFonts w:ascii="Calibri" w:hAnsi="Calibri" w:cs="Calibri" w:eastAsia="Calibri" w:hint="default"/>
        </w:rPr>
        <w:t>1</w:t>
      </w:r>
      <w:r>
        <w:rPr/>
        <w:t>、报告期内，公司召开了 </w:t>
      </w:r>
      <w:r>
        <w:rPr>
          <w:rFonts w:ascii="Calibri" w:hAnsi="Calibri" w:cs="Calibri" w:eastAsia="Calibri" w:hint="default"/>
        </w:rPr>
        <w:t>1 </w:t>
      </w:r>
      <w:r>
        <w:rPr/>
        <w:t>次年度股东大会和 </w:t>
      </w:r>
      <w:r>
        <w:rPr>
          <w:rFonts w:ascii="Calibri" w:hAnsi="Calibri" w:cs="Calibri" w:eastAsia="Calibri" w:hint="default"/>
        </w:rPr>
        <w:t>1</w:t>
      </w:r>
      <w:r>
        <w:rPr>
          <w:rFonts w:ascii="Calibri" w:hAnsi="Calibri" w:cs="Calibri" w:eastAsia="Calibri" w:hint="default"/>
          <w:spacing w:val="3"/>
        </w:rPr>
        <w:t> </w:t>
      </w:r>
      <w:r>
        <w:rPr/>
        <w:t>次临时股东大会。公司股东大会的召集、</w:t>
      </w:r>
      <w:r>
        <w:rPr>
          <w:w w:val="100"/>
        </w:rPr>
        <w:t> </w:t>
      </w:r>
      <w:r>
        <w:rPr/>
        <w:t>召开等相关程序完全符合《公司章程》及《股东大会议事规则》的相关规定，公司能够确保所有</w:t>
      </w:r>
      <w:r>
        <w:rPr>
          <w:spacing w:val="-97"/>
        </w:rPr>
        <w:t> </w:t>
      </w:r>
      <w:r>
        <w:rPr>
          <w:spacing w:val="-97"/>
        </w:rPr>
      </w:r>
      <w:r>
        <w:rPr/>
        <w:t>股东尤其是中小股东的合法权益。</w:t>
      </w:r>
    </w:p>
    <w:p>
      <w:pPr>
        <w:pStyle w:val="BodyText"/>
        <w:spacing w:line="283" w:lineRule="auto" w:before="148"/>
        <w:ind w:left="218" w:right="227" w:firstLine="482"/>
        <w:jc w:val="right"/>
      </w:pPr>
      <w:r>
        <w:rPr>
          <w:rFonts w:ascii="Calibri" w:hAnsi="Calibri" w:cs="Calibri" w:eastAsia="Calibri" w:hint="default"/>
        </w:rPr>
        <w:t>2</w:t>
      </w:r>
      <w:r>
        <w:rPr/>
        <w:t>、报告期内，公司共召开了</w:t>
      </w:r>
      <w:r>
        <w:rPr>
          <w:spacing w:val="-43"/>
        </w:rPr>
        <w:t> </w:t>
      </w:r>
      <w:r>
        <w:rPr>
          <w:rFonts w:ascii="Calibri" w:hAnsi="Calibri" w:cs="Calibri" w:eastAsia="Calibri" w:hint="default"/>
        </w:rPr>
        <w:t>22</w:t>
      </w:r>
      <w:r>
        <w:rPr>
          <w:rFonts w:ascii="Calibri" w:hAnsi="Calibri" w:cs="Calibri" w:eastAsia="Calibri" w:hint="default"/>
          <w:spacing w:val="15"/>
        </w:rPr>
        <w:t> </w:t>
      </w:r>
      <w:r>
        <w:rPr/>
        <w:t>次董事会和</w:t>
      </w:r>
      <w:r>
        <w:rPr>
          <w:spacing w:val="-46"/>
        </w:rPr>
        <w:t> </w:t>
      </w:r>
      <w:r>
        <w:rPr>
          <w:rFonts w:ascii="Calibri" w:hAnsi="Calibri" w:cs="Calibri" w:eastAsia="Calibri" w:hint="default"/>
        </w:rPr>
        <w:t>10</w:t>
      </w:r>
      <w:r>
        <w:rPr>
          <w:rFonts w:ascii="Calibri" w:hAnsi="Calibri" w:cs="Calibri" w:eastAsia="Calibri" w:hint="default"/>
          <w:spacing w:val="15"/>
        </w:rPr>
        <w:t> </w:t>
      </w:r>
      <w:r>
        <w:rPr/>
        <w:t>次董事会专门委员会会议。公司董事会五个</w:t>
      </w:r>
      <w:r>
        <w:rPr>
          <w:w w:val="100"/>
        </w:rPr>
        <w:t> </w:t>
      </w:r>
      <w:r>
        <w:rPr>
          <w:spacing w:val="-1"/>
        </w:rPr>
        <w:t>专门委员会对公司的发展规划、财务审计、对外投资、股权激励计划和内控制度等进行研究并召</w:t>
      </w:r>
      <w:r>
        <w:rPr>
          <w:spacing w:val="-71"/>
        </w:rPr>
        <w:t> </w:t>
      </w:r>
      <w:r>
        <w:rPr>
          <w:spacing w:val="-71"/>
        </w:rPr>
      </w:r>
      <w:r>
        <w:rPr>
          <w:spacing w:val="-7"/>
        </w:rPr>
        <w:t>开相关会议，充分发挥专业作用，加强了公司决策的科学性，提高了重大事项决策的效益和质量。</w:t>
      </w:r>
    </w:p>
    <w:p>
      <w:pPr>
        <w:pStyle w:val="BodyText"/>
        <w:spacing w:line="288" w:lineRule="auto" w:before="148"/>
        <w:ind w:left="218" w:right="227" w:firstLine="482"/>
        <w:jc w:val="right"/>
      </w:pPr>
      <w:r>
        <w:rPr>
          <w:rFonts w:ascii="Calibri" w:hAnsi="Calibri" w:cs="Calibri" w:eastAsia="Calibri" w:hint="default"/>
        </w:rPr>
        <w:t>3</w:t>
      </w:r>
      <w:r>
        <w:rPr/>
        <w:t>、报告期内，公司共召开了 </w:t>
      </w:r>
      <w:r>
        <w:rPr>
          <w:rFonts w:ascii="Calibri" w:hAnsi="Calibri" w:cs="Calibri" w:eastAsia="Calibri" w:hint="default"/>
        </w:rPr>
        <w:t>6</w:t>
      </w:r>
      <w:r>
        <w:rPr>
          <w:rFonts w:ascii="Calibri" w:hAnsi="Calibri" w:cs="Calibri" w:eastAsia="Calibri" w:hint="default"/>
          <w:spacing w:val="-3"/>
        </w:rPr>
        <w:t> </w:t>
      </w:r>
      <w:r>
        <w:rPr/>
        <w:t>次监事会会议。除监事会日常工作外，全体监事全部列席公</w:t>
      </w:r>
      <w:r>
        <w:rPr>
          <w:w w:val="100"/>
        </w:rPr>
        <w:t> </w:t>
      </w:r>
      <w:r>
        <w:rPr>
          <w:spacing w:val="-1"/>
        </w:rPr>
        <w:t>司的董事会会议，及时全面掌握公司的经营情况，履行对董事会和管理层的监督职责。公司监事</w:t>
      </w:r>
      <w:r>
        <w:rPr>
          <w:spacing w:val="-71"/>
        </w:rPr>
        <w:t> </w:t>
      </w:r>
      <w:r>
        <w:rPr>
          <w:spacing w:val="-71"/>
        </w:rPr>
      </w:r>
      <w:r>
        <w:rPr>
          <w:spacing w:val="-1"/>
        </w:rPr>
        <w:t>会的人数和人员构成符合相关法律、法规和《公司章程》的要求，公司监事能够认真履行自己的</w:t>
      </w:r>
      <w:r>
        <w:rPr>
          <w:spacing w:val="-71"/>
        </w:rPr>
        <w:t> </w:t>
      </w:r>
      <w:r>
        <w:rPr>
          <w:spacing w:val="-71"/>
        </w:rPr>
      </w:r>
      <w:r>
        <w:rPr>
          <w:w w:val="100"/>
        </w:rPr>
        <w:t>职</w:t>
      </w:r>
      <w:r>
        <w:rPr>
          <w:spacing w:val="-3"/>
          <w:w w:val="100"/>
        </w:rPr>
        <w:t>责</w:t>
      </w:r>
      <w:r>
        <w:rPr>
          <w:spacing w:val="-99"/>
          <w:w w:val="100"/>
        </w:rPr>
        <w:t>，</w:t>
      </w:r>
      <w:r>
        <w:rPr>
          <w:spacing w:val="-3"/>
          <w:w w:val="100"/>
        </w:rPr>
        <w:t>能</w:t>
      </w:r>
      <w:r>
        <w:rPr>
          <w:w w:val="100"/>
        </w:rPr>
        <w:t>够本</w:t>
      </w:r>
      <w:r>
        <w:rPr>
          <w:spacing w:val="-3"/>
          <w:w w:val="100"/>
        </w:rPr>
        <w:t>着</w:t>
      </w:r>
      <w:r>
        <w:rPr>
          <w:w w:val="100"/>
        </w:rPr>
        <w:t>为</w:t>
      </w:r>
      <w:r>
        <w:rPr>
          <w:spacing w:val="-3"/>
          <w:w w:val="100"/>
        </w:rPr>
        <w:t>股</w:t>
      </w:r>
      <w:r>
        <w:rPr>
          <w:w w:val="100"/>
        </w:rPr>
        <w:t>东</w:t>
      </w:r>
      <w:r>
        <w:rPr>
          <w:spacing w:val="-3"/>
          <w:w w:val="100"/>
        </w:rPr>
        <w:t>负责</w:t>
      </w:r>
      <w:r>
        <w:rPr>
          <w:w w:val="100"/>
        </w:rPr>
        <w:t>的态</w:t>
      </w:r>
      <w:r>
        <w:rPr>
          <w:spacing w:val="-3"/>
          <w:w w:val="100"/>
        </w:rPr>
        <w:t>度</w:t>
      </w:r>
      <w:r>
        <w:rPr>
          <w:spacing w:val="-101"/>
          <w:w w:val="100"/>
        </w:rPr>
        <w:t>，</w:t>
      </w:r>
      <w:r>
        <w:rPr>
          <w:w w:val="100"/>
        </w:rPr>
        <w:t>对公</w:t>
      </w:r>
      <w:r>
        <w:rPr>
          <w:spacing w:val="-3"/>
          <w:w w:val="100"/>
        </w:rPr>
        <w:t>司</w:t>
      </w:r>
      <w:r>
        <w:rPr>
          <w:w w:val="100"/>
        </w:rPr>
        <w:t>董</w:t>
      </w:r>
      <w:r>
        <w:rPr>
          <w:spacing w:val="-3"/>
          <w:w w:val="100"/>
        </w:rPr>
        <w:t>事</w:t>
      </w:r>
      <w:r>
        <w:rPr>
          <w:w w:val="100"/>
        </w:rPr>
        <w:t>及</w:t>
      </w:r>
      <w:r>
        <w:rPr>
          <w:spacing w:val="-3"/>
          <w:w w:val="100"/>
        </w:rPr>
        <w:t>高级</w:t>
      </w:r>
      <w:r>
        <w:rPr>
          <w:w w:val="100"/>
        </w:rPr>
        <w:t>管理</w:t>
      </w:r>
      <w:r>
        <w:rPr>
          <w:spacing w:val="-3"/>
          <w:w w:val="100"/>
        </w:rPr>
        <w:t>人</w:t>
      </w:r>
      <w:r>
        <w:rPr>
          <w:w w:val="100"/>
        </w:rPr>
        <w:t>员</w:t>
      </w:r>
      <w:r>
        <w:rPr>
          <w:spacing w:val="-3"/>
          <w:w w:val="100"/>
        </w:rPr>
        <w:t>履</w:t>
      </w:r>
      <w:r>
        <w:rPr>
          <w:w w:val="100"/>
        </w:rPr>
        <w:t>行</w:t>
      </w:r>
      <w:r>
        <w:rPr>
          <w:spacing w:val="-3"/>
          <w:w w:val="100"/>
        </w:rPr>
        <w:t>职</w:t>
      </w:r>
      <w:r>
        <w:rPr>
          <w:w w:val="100"/>
        </w:rPr>
        <w:t>责</w:t>
      </w:r>
      <w:r>
        <w:rPr>
          <w:spacing w:val="-3"/>
          <w:w w:val="100"/>
        </w:rPr>
        <w:t>的</w:t>
      </w:r>
      <w:r>
        <w:rPr>
          <w:w w:val="100"/>
        </w:rPr>
        <w:t>合</w:t>
      </w:r>
      <w:r>
        <w:rPr>
          <w:spacing w:val="-3"/>
          <w:w w:val="100"/>
        </w:rPr>
        <w:t>法</w:t>
      </w:r>
      <w:r>
        <w:rPr>
          <w:w w:val="100"/>
        </w:rPr>
        <w:t>合规</w:t>
      </w:r>
      <w:r>
        <w:rPr>
          <w:spacing w:val="-3"/>
          <w:w w:val="100"/>
        </w:rPr>
        <w:t>性</w:t>
      </w:r>
      <w:r>
        <w:rPr>
          <w:w w:val="100"/>
        </w:rPr>
        <w:t>进</w:t>
      </w:r>
      <w:r>
        <w:rPr>
          <w:spacing w:val="-3"/>
          <w:w w:val="100"/>
        </w:rPr>
        <w:t>行监督</w:t>
      </w:r>
      <w:r>
        <w:rPr>
          <w:w w:val="100"/>
        </w:rPr>
        <w:t>。</w:t>
      </w:r>
    </w:p>
    <w:p>
      <w:pPr>
        <w:pStyle w:val="BodyText"/>
        <w:spacing w:line="290" w:lineRule="auto" w:before="144"/>
        <w:ind w:left="218" w:right="228" w:firstLine="482"/>
        <w:jc w:val="both"/>
      </w:pPr>
      <w:r>
        <w:rPr>
          <w:rFonts w:ascii="Calibri" w:hAnsi="Calibri" w:cs="Calibri" w:eastAsia="Calibri" w:hint="default"/>
        </w:rPr>
        <w:t>4</w:t>
      </w:r>
      <w:r>
        <w:rPr/>
        <w:t>、公司按照《公司法》、《上海证券交易所股票上市规则》及《公司章程》等相关规定，</w:t>
      </w:r>
      <w:r>
        <w:rPr>
          <w:w w:val="100"/>
        </w:rPr>
        <w:t> </w:t>
      </w:r>
      <w:r>
        <w:rPr>
          <w:spacing w:val="-6"/>
        </w:rPr>
        <w:t>真实、准确、完整、及时、公平地披露信息。公司不断完善投资者关系管理工作，严格信息披露，</w:t>
      </w:r>
      <w:r>
        <w:rPr>
          <w:spacing w:val="-50"/>
        </w:rPr>
        <w:t> </w:t>
      </w:r>
      <w:r>
        <w:rPr>
          <w:spacing w:val="-50"/>
        </w:rPr>
      </w:r>
      <w:r>
        <w:rPr>
          <w:spacing w:val="-1"/>
        </w:rPr>
        <w:t>确保信息披露真实、准确、完整、及时、公平。公司通过组织投资者交流会、接待股东来访、回</w:t>
      </w:r>
      <w:r>
        <w:rPr>
          <w:spacing w:val="-55"/>
        </w:rPr>
        <w:t> </w:t>
      </w:r>
      <w:r>
        <w:rPr>
          <w:spacing w:val="-55"/>
        </w:rPr>
      </w:r>
      <w:r>
        <w:rPr>
          <w:spacing w:val="-1"/>
        </w:rPr>
        <w:t>答咨询等多种方式增强信息披露的透明度，并指定《上海证券报》、《中国证券报》、《证券时</w:t>
      </w:r>
      <w:r>
        <w:rPr>
          <w:spacing w:val="-55"/>
        </w:rPr>
        <w:t> </w:t>
      </w:r>
      <w:r>
        <w:rPr>
          <w:spacing w:val="-55"/>
        </w:rPr>
      </w:r>
      <w:r>
        <w:rPr/>
        <w:t>报》、《证券日报》为公司信息披露的报纸，使所有股东都有平等的机会获得信息。</w:t>
      </w:r>
    </w:p>
    <w:p>
      <w:pPr>
        <w:pStyle w:val="BodyText"/>
        <w:spacing w:line="285" w:lineRule="auto" w:before="139"/>
        <w:ind w:left="218" w:right="227" w:firstLine="482"/>
        <w:jc w:val="both"/>
      </w:pPr>
      <w:r>
        <w:rPr>
          <w:rFonts w:ascii="Calibri" w:hAnsi="Calibri" w:cs="Calibri" w:eastAsia="Calibri" w:hint="default"/>
        </w:rPr>
        <w:t>5</w:t>
      </w:r>
      <w:r>
        <w:rPr/>
        <w:t>、公司通过安排董事、监事、高管积极参加证券监管部门组织的专项培训活动，使公司董</w:t>
      </w:r>
      <w:r>
        <w:rPr>
          <w:w w:val="100"/>
        </w:rPr>
        <w:t> </w:t>
      </w:r>
      <w:r>
        <w:rPr>
          <w:spacing w:val="-1"/>
        </w:rPr>
        <w:t>事、监事、高管进一步增强了法制意识、责任意识，公司治理知识结构得到更新和加强，促使董</w:t>
      </w:r>
      <w:r>
        <w:rPr>
          <w:spacing w:val="-55"/>
        </w:rPr>
        <w:t> </w:t>
      </w:r>
      <w:r>
        <w:rPr>
          <w:spacing w:val="-55"/>
        </w:rPr>
      </w:r>
      <w:r>
        <w:rPr/>
        <w:t>事、监事、高管更加忠实、勤勉地履行义务，提高公司决策和管理的规范性。</w:t>
      </w:r>
    </w:p>
    <w:p>
      <w:pPr>
        <w:spacing w:after="0" w:line="285" w:lineRule="auto"/>
        <w:jc w:val="both"/>
        <w:sectPr>
          <w:pgSz w:w="11910" w:h="16840"/>
          <w:pgMar w:header="877" w:footer="1335" w:top="1100" w:bottom="1520" w:left="1580" w:right="1040"/>
        </w:sectPr>
      </w:pPr>
    </w:p>
    <w:p>
      <w:pPr>
        <w:spacing w:line="240" w:lineRule="auto" w:before="9"/>
        <w:rPr>
          <w:rFonts w:ascii="宋体" w:hAnsi="宋体" w:cs="宋体" w:eastAsia="宋体" w:hint="default"/>
          <w:sz w:val="25"/>
          <w:szCs w:val="25"/>
        </w:rPr>
      </w:pPr>
    </w:p>
    <w:p>
      <w:pPr>
        <w:pStyle w:val="BodyText"/>
        <w:spacing w:line="283" w:lineRule="auto" w:before="36"/>
        <w:ind w:left="218" w:right="228" w:firstLine="422"/>
        <w:jc w:val="both"/>
      </w:pPr>
      <w:r>
        <w:rPr>
          <w:rFonts w:ascii="Calibri" w:hAnsi="Calibri" w:cs="Calibri" w:eastAsia="Calibri" w:hint="default"/>
          <w:spacing w:val="-4"/>
        </w:rPr>
        <w:t>6</w:t>
      </w:r>
      <w:r>
        <w:rPr>
          <w:spacing w:val="-4"/>
        </w:rPr>
        <w:t>、公司治理的完善是一项长期的系统工程，需要持续地改进和提高。公司将继续根据有关规</w:t>
      </w:r>
      <w:r>
        <w:rPr>
          <w:w w:val="100"/>
        </w:rPr>
        <w:t> </w:t>
      </w:r>
      <w:r>
        <w:rPr>
          <w:spacing w:val="-1"/>
        </w:rPr>
        <w:t>定及时完善公司内部制度，不断强化企业管理，夯实管理基础，通过完善法人治理、强化内部管</w:t>
      </w:r>
      <w:r>
        <w:rPr>
          <w:spacing w:val="-55"/>
        </w:rPr>
        <w:t> </w:t>
      </w:r>
      <w:r>
        <w:rPr>
          <w:spacing w:val="-55"/>
        </w:rPr>
      </w:r>
      <w:r>
        <w:rPr>
          <w:spacing w:val="-7"/>
        </w:rPr>
        <w:t>理，加强科学决策与内部控制，不断提高公司规范运作和法人治理水平，促进公司平稳健康发展。</w:t>
      </w:r>
    </w:p>
    <w:p>
      <w:pPr>
        <w:spacing w:line="460" w:lineRule="exact" w:before="25"/>
        <w:ind w:left="638" w:right="225" w:firstLine="2"/>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
          <w:sz w:val="21"/>
          <w:szCs w:val="21"/>
        </w:rPr>
        <w:t> </w:t>
      </w:r>
      <w:r>
        <w:rPr>
          <w:rFonts w:ascii="宋体" w:hAnsi="宋体" w:cs="宋体" w:eastAsia="宋体" w:hint="default"/>
          <w:b/>
          <w:bCs/>
          <w:sz w:val="21"/>
          <w:szCs w:val="21"/>
        </w:rPr>
        <w:t>内幕信息知情人管理情况说明</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报告期内，公司按照《内幕信息知情人登记管理规定》的要求，对公司定期报告披露以及股</w:t>
      </w:r>
    </w:p>
    <w:p>
      <w:pPr>
        <w:pStyle w:val="BodyText"/>
        <w:spacing w:line="638" w:lineRule="auto" w:before="3"/>
        <w:ind w:left="218" w:right="225"/>
        <w:jc w:val="left"/>
      </w:pPr>
      <w:r>
        <w:rPr/>
        <w:pict>
          <v:group style="position:absolute;margin-left:89.903999pt;margin-top:64.313667pt;width:31.6pt;height:.1pt;mso-position-horizontal-relative:page;mso-position-vertical-relative:paragraph;z-index:-1075744" coordorigin="1798,1286" coordsize="632,2">
            <v:shape style="position:absolute;left:1798;top:1286;width:632;height:2" coordorigin="1798,1286" coordsize="632,0" path="m1798,1286l2429,1286e" filled="false" stroked="true" strokeweight=".600010pt" strokecolor="#333399">
              <v:path arrowok="t"/>
            </v:shape>
            <w10:wrap type="none"/>
          </v:group>
        </w:pict>
      </w:r>
      <w:r>
        <w:rPr/>
        <w:t>权激励等重要事项进行了内幕信息知情人员的登记备案。</w:t>
      </w:r>
      <w:r>
        <w:rPr>
          <w:w w:val="100"/>
        </w:rPr>
        <w:t> </w:t>
      </w:r>
      <w:r>
        <w:rPr>
          <w:spacing w:val="-2"/>
        </w:rPr>
        <w:t>公司治理与中国证监会相关规定的要求是否存在重大差异；如有重大差异，应当说明原因</w:t>
      </w:r>
    </w:p>
    <w:p>
      <w:pPr>
        <w:spacing w:line="240" w:lineRule="auto" w:before="8"/>
        <w:rPr>
          <w:rFonts w:ascii="宋体" w:hAnsi="宋体" w:cs="宋体" w:eastAsia="宋体" w:hint="default"/>
          <w:sz w:val="16"/>
          <w:szCs w:val="16"/>
        </w:rPr>
      </w:pPr>
    </w:p>
    <w:p>
      <w:pPr>
        <w:pStyle w:val="Heading2"/>
        <w:spacing w:line="240" w:lineRule="auto"/>
        <w:ind w:right="2465"/>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82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用友网</w:t>
            </w:r>
            <w:r>
              <w:rPr>
                <w:rFonts w:ascii="宋体" w:hAnsi="宋体" w:cs="宋体" w:eastAsia="宋体" w:hint="default"/>
                <w:spacing w:val="-69"/>
                <w:sz w:val="21"/>
                <w:szCs w:val="21"/>
              </w:rPr>
              <w:t> </w:t>
            </w:r>
            <w:r>
              <w:rPr>
                <w:rFonts w:ascii="宋体" w:hAnsi="宋体" w:cs="宋体" w:eastAsia="宋体" w:hint="default"/>
                <w:spacing w:val="17"/>
                <w:sz w:val="21"/>
                <w:szCs w:val="21"/>
              </w:rPr>
              <w:t>络科技股份</w:t>
            </w:r>
            <w:r>
              <w:rPr>
                <w:rFonts w:ascii="宋体" w:hAnsi="宋体" w:cs="宋体" w:eastAsia="宋体" w:hint="default"/>
                <w:spacing w:val="-69"/>
                <w:sz w:val="21"/>
                <w:szCs w:val="21"/>
              </w:rPr>
              <w:t> </w:t>
            </w:r>
            <w:r>
              <w:rPr>
                <w:rFonts w:ascii="宋体" w:hAnsi="宋体" w:cs="宋体" w:eastAsia="宋体" w:hint="default"/>
                <w:sz w:val="21"/>
                <w:szCs w:val="21"/>
              </w:rPr>
              <w:t>有</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限公司 </w:t>
            </w:r>
            <w:r>
              <w:rPr>
                <w:rFonts w:ascii="Calibri" w:hAnsi="Calibri" w:cs="Calibri" w:eastAsia="Calibri" w:hint="default"/>
                <w:sz w:val="21"/>
                <w:szCs w:val="21"/>
              </w:rPr>
              <w:t>2014</w:t>
            </w:r>
            <w:r>
              <w:rPr>
                <w:rFonts w:ascii="Calibri" w:hAnsi="Calibri" w:cs="Calibri" w:eastAsia="Calibri" w:hint="default"/>
                <w:spacing w:val="44"/>
                <w:sz w:val="21"/>
                <w:szCs w:val="21"/>
              </w:rPr>
              <w:t> </w:t>
            </w:r>
            <w:r>
              <w:rPr>
                <w:rFonts w:ascii="宋体" w:hAnsi="宋体" w:cs="宋体" w:eastAsia="宋体" w:hint="default"/>
                <w:sz w:val="21"/>
                <w:szCs w:val="21"/>
              </w:rPr>
              <w:t>年年度股</w:t>
            </w:r>
            <w:r>
              <w:rPr>
                <w:rFonts w:ascii="宋体" w:hAnsi="宋体" w:cs="宋体" w:eastAsia="宋体" w:hint="default"/>
                <w:w w:val="100"/>
                <w:sz w:val="21"/>
                <w:szCs w:val="21"/>
              </w:rPr>
              <w:t> </w:t>
            </w:r>
            <w:r>
              <w:rPr>
                <w:rFonts w:ascii="宋体" w:hAnsi="宋体" w:cs="宋体" w:eastAsia="宋体" w:hint="default"/>
                <w:sz w:val="21"/>
                <w:szCs w:val="21"/>
              </w:rPr>
              <w:t>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2015-4-9</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2015-4-10</w:t>
            </w:r>
          </w:p>
        </w:tc>
      </w:tr>
      <w:tr>
        <w:trPr>
          <w:trHeight w:val="82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用友网</w:t>
            </w:r>
            <w:r>
              <w:rPr>
                <w:rFonts w:ascii="宋体" w:hAnsi="宋体" w:cs="宋体" w:eastAsia="宋体" w:hint="default"/>
                <w:spacing w:val="-69"/>
                <w:sz w:val="21"/>
                <w:szCs w:val="21"/>
              </w:rPr>
              <w:t> </w:t>
            </w:r>
            <w:r>
              <w:rPr>
                <w:rFonts w:ascii="宋体" w:hAnsi="宋体" w:cs="宋体" w:eastAsia="宋体" w:hint="default"/>
                <w:spacing w:val="17"/>
                <w:sz w:val="21"/>
                <w:szCs w:val="21"/>
              </w:rPr>
              <w:t>络科技股份</w:t>
            </w:r>
            <w:r>
              <w:rPr>
                <w:rFonts w:ascii="宋体" w:hAnsi="宋体" w:cs="宋体" w:eastAsia="宋体" w:hint="default"/>
                <w:spacing w:val="-69"/>
                <w:sz w:val="21"/>
                <w:szCs w:val="21"/>
              </w:rPr>
              <w:t> </w:t>
            </w:r>
            <w:r>
              <w:rPr>
                <w:rFonts w:ascii="宋体" w:hAnsi="宋体" w:cs="宋体" w:eastAsia="宋体" w:hint="default"/>
                <w:sz w:val="21"/>
                <w:szCs w:val="21"/>
              </w:rPr>
              <w:t>有</w:t>
            </w:r>
          </w:p>
          <w:p>
            <w:pPr>
              <w:pStyle w:val="TableParagraph"/>
              <w:spacing w:line="274" w:lineRule="exact" w:before="24"/>
              <w:ind w:left="103" w:right="99"/>
              <w:jc w:val="left"/>
              <w:rPr>
                <w:rFonts w:ascii="宋体" w:hAnsi="宋体" w:cs="宋体" w:eastAsia="宋体" w:hint="default"/>
                <w:sz w:val="21"/>
                <w:szCs w:val="21"/>
              </w:rPr>
            </w:pPr>
            <w:r>
              <w:rPr>
                <w:rFonts w:ascii="宋体" w:hAnsi="宋体" w:cs="宋体" w:eastAsia="宋体" w:hint="default"/>
                <w:sz w:val="21"/>
                <w:szCs w:val="21"/>
              </w:rPr>
              <w:t>限公司 </w:t>
            </w:r>
            <w:r>
              <w:rPr>
                <w:rFonts w:ascii="Calibri" w:hAnsi="Calibri" w:cs="Calibri" w:eastAsia="Calibri" w:hint="default"/>
                <w:sz w:val="21"/>
                <w:szCs w:val="21"/>
              </w:rPr>
              <w:t>2015</w:t>
            </w:r>
            <w:r>
              <w:rPr>
                <w:rFonts w:ascii="Calibri" w:hAnsi="Calibri" w:cs="Calibri" w:eastAsia="Calibri" w:hint="default"/>
                <w:spacing w:val="44"/>
                <w:sz w:val="21"/>
                <w:szCs w:val="21"/>
              </w:rPr>
              <w:t> </w:t>
            </w:r>
            <w:r>
              <w:rPr>
                <w:rFonts w:ascii="宋体" w:hAnsi="宋体" w:cs="宋体" w:eastAsia="宋体" w:hint="default"/>
                <w:sz w:val="21"/>
                <w:szCs w:val="21"/>
              </w:rPr>
              <w:t>年第一次</w:t>
            </w:r>
            <w:r>
              <w:rPr>
                <w:rFonts w:ascii="宋体" w:hAnsi="宋体" w:cs="宋体" w:eastAsia="宋体" w:hint="default"/>
                <w:w w:val="100"/>
                <w:sz w:val="21"/>
                <w:szCs w:val="21"/>
              </w:rPr>
              <w:t> </w:t>
            </w:r>
            <w:r>
              <w:rPr>
                <w:rFonts w:ascii="宋体" w:hAnsi="宋体" w:cs="宋体" w:eastAsia="宋体" w:hint="default"/>
                <w:sz w:val="21"/>
                <w:szCs w:val="21"/>
              </w:rPr>
              <w:t>临时股东大会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2015-1-9</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2015-1-10</w:t>
            </w:r>
          </w:p>
        </w:tc>
      </w:tr>
    </w:tbl>
    <w:p>
      <w:pPr>
        <w:spacing w:line="240" w:lineRule="auto" w:before="7"/>
        <w:rPr>
          <w:rFonts w:ascii="宋体" w:hAnsi="宋体" w:cs="宋体" w:eastAsia="宋体" w:hint="default"/>
          <w:b/>
          <w:bCs/>
          <w:sz w:val="15"/>
          <w:szCs w:val="15"/>
        </w:rPr>
      </w:pPr>
    </w:p>
    <w:p>
      <w:pPr>
        <w:pStyle w:val="BodyText"/>
        <w:spacing w:line="240" w:lineRule="auto" w:before="36"/>
        <w:ind w:left="218" w:right="2465"/>
        <w:jc w:val="left"/>
      </w:pPr>
      <w:r>
        <w:rPr/>
        <w:t>股东大会情况说明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t>三、董事履行职责情况</w:t>
      </w:r>
      <w:r>
        <w:rPr>
          <w:b w:val="0"/>
          <w:bCs w:val="0"/>
        </w:rPr>
      </w:r>
    </w:p>
    <w:p>
      <w:pPr>
        <w:pStyle w:val="Heading2"/>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18</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z w:val="21"/>
              </w:rPr>
              <w:t>18</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18</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李绍唐</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18</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黄锦辉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18</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于扬</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17</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汪超涌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14</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5"/>
          <w:szCs w:val="15"/>
        </w:rPr>
      </w:pPr>
    </w:p>
    <w:p>
      <w:pPr>
        <w:pStyle w:val="BodyText"/>
        <w:spacing w:line="240" w:lineRule="auto" w:before="36"/>
        <w:ind w:left="218" w:right="2465"/>
        <w:jc w:val="left"/>
      </w:pPr>
      <w:r>
        <w:rPr/>
        <w:t>连续两次未亲自出席董事会会议的说明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bl>
    <w:p>
      <w:pPr>
        <w:spacing w:after="0" w:line="241" w:lineRule="exact"/>
        <w:jc w:val="left"/>
        <w:rPr>
          <w:rFonts w:ascii="宋体" w:hAnsi="宋体" w:cs="宋体" w:eastAsia="宋体" w:hint="default"/>
          <w:sz w:val="21"/>
          <w:szCs w:val="21"/>
        </w:rPr>
        <w:sectPr>
          <w:pgSz w:w="11910" w:h="16840"/>
          <w:pgMar w:header="877" w:footer="1335" w:top="1100" w:bottom="152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2"/>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1668"/>
        <w:gridCol w:w="2269"/>
        <w:gridCol w:w="1844"/>
        <w:gridCol w:w="1561"/>
        <w:gridCol w:w="1709"/>
      </w:tblGrid>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独立董事提出异议的</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有关事项内容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异议的内容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是否被采纳</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18" w:right="2465"/>
        <w:jc w:val="left"/>
      </w:pPr>
      <w:r>
        <w:rPr/>
        <w:t>独立董事对公司有关事项提出异议的说明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spacing w:line="240" w:lineRule="auto" w:before="5"/>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2"/>
        <w:spacing w:line="272" w:lineRule="exact" w:before="64"/>
        <w:ind w:left="638" w:right="99" w:hanging="420"/>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97" w:lineRule="auto" w:before="94"/>
        <w:ind w:left="218" w:right="228" w:firstLine="419"/>
        <w:jc w:val="both"/>
      </w:pPr>
      <w:r>
        <w:rPr>
          <w:spacing w:val="-2"/>
        </w:rPr>
        <w:t>报告期内，公司独立董事本着为全体股东负责的态度，按照《公司法》、《证券法》和《上</w:t>
      </w:r>
      <w:r>
        <w:rPr>
          <w:w w:val="100"/>
        </w:rPr>
        <w:t> </w:t>
      </w:r>
      <w:r>
        <w:rPr>
          <w:spacing w:val="-1"/>
        </w:rPr>
        <w:t>市公司治理准则》等法律法规和公司相关制度的要求，履行诚信和勤勉义务，维护公司整体利益</w:t>
      </w:r>
      <w:r>
        <w:rPr>
          <w:spacing w:val="-55"/>
        </w:rPr>
        <w:t> </w:t>
      </w:r>
      <w:r>
        <w:rPr>
          <w:spacing w:val="-55"/>
        </w:rPr>
      </w:r>
      <w:r>
        <w:rPr>
          <w:spacing w:val="-1"/>
        </w:rPr>
        <w:t>和全体股东，尤其是中小股东的合法利益不受侵犯。独立董事通过参加董事会会议及作为董事会</w:t>
      </w:r>
      <w:r>
        <w:rPr>
          <w:spacing w:val="-55"/>
        </w:rPr>
        <w:t> </w:t>
      </w:r>
      <w:r>
        <w:rPr>
          <w:spacing w:val="-55"/>
        </w:rPr>
      </w:r>
      <w:r>
        <w:rPr>
          <w:spacing w:val="-1"/>
        </w:rPr>
        <w:t>各专门委员会的成员，参与公司的决策议案审议，并对关联交易等事项发表独立意见，为董事会</w:t>
      </w:r>
      <w:r>
        <w:rPr>
          <w:spacing w:val="-55"/>
        </w:rPr>
        <w:t> </w:t>
      </w:r>
      <w:r>
        <w:rPr>
          <w:spacing w:val="-55"/>
        </w:rPr>
      </w:r>
      <w:r>
        <w:rPr/>
        <w:t>科学决策提供建设性意见。</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343" w:lineRule="auto" w:before="0"/>
        <w:ind w:left="638" w:right="2465" w:hanging="42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监事会对报告期内的监督事项无异议。</w:t>
      </w:r>
    </w:p>
    <w:p>
      <w:pPr>
        <w:spacing w:line="240" w:lineRule="auto" w:before="0"/>
        <w:rPr>
          <w:rFonts w:ascii="宋体" w:hAnsi="宋体" w:cs="宋体" w:eastAsia="宋体" w:hint="default"/>
          <w:sz w:val="20"/>
          <w:szCs w:val="20"/>
        </w:rPr>
      </w:pPr>
    </w:p>
    <w:p>
      <w:pPr>
        <w:pStyle w:val="Heading2"/>
        <w:spacing w:line="240" w:lineRule="auto" w:before="165"/>
        <w:ind w:left="642" w:right="225"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left="218" w:right="2465"/>
        <w:jc w:val="left"/>
      </w:pPr>
      <w:r>
        <w:rPr/>
        <w:t>存在同业竞争的，公司相应的解决措施、工作进度及后续工作计划</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line="343" w:lineRule="auto" w:before="36"/>
        <w:ind w:left="638" w:right="225" w:hanging="420"/>
        <w:jc w:val="left"/>
        <w:rPr>
          <w:rFonts w:ascii="宋体" w:hAnsi="宋体" w:cs="宋体" w:eastAsia="宋体" w:hint="default"/>
          <w:sz w:val="21"/>
          <w:szCs w:val="21"/>
        </w:rPr>
      </w:pPr>
      <w:r>
        <w:rPr>
          <w:rFonts w:ascii="宋体" w:hAnsi="宋体" w:cs="宋体" w:eastAsia="宋体" w:hint="default"/>
          <w:b/>
          <w:bCs/>
          <w:sz w:val="20"/>
          <w:szCs w:val="20"/>
        </w:rPr>
        <w:t>七、</w:t>
      </w:r>
      <w:r>
        <w:rPr>
          <w:rFonts w:ascii="宋体" w:hAnsi="宋体" w:cs="宋体" w:eastAsia="宋体" w:hint="default"/>
          <w:b/>
          <w:bCs/>
          <w:spacing w:val="-77"/>
          <w:sz w:val="20"/>
          <w:szCs w:val="20"/>
        </w:rPr>
        <w:t> </w:t>
      </w:r>
      <w:r>
        <w:rPr>
          <w:rFonts w:ascii="宋体" w:hAnsi="宋体" w:cs="宋体" w:eastAsia="宋体" w:hint="default"/>
          <w:b/>
          <w:bCs/>
          <w:sz w:val="21"/>
          <w:szCs w:val="21"/>
        </w:rPr>
        <w:t>报告期内对高级管理人员的考评机制，以及激励机制的建立、实施情况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公司对高级管理人员的聘任公开、透明，符合法律法规的规定。公司实施的高级管理人员绩</w:t>
      </w:r>
    </w:p>
    <w:p>
      <w:pPr>
        <w:pStyle w:val="BodyText"/>
        <w:spacing w:line="251" w:lineRule="exact"/>
        <w:ind w:left="218" w:right="99"/>
        <w:jc w:val="left"/>
      </w:pPr>
      <w:r>
        <w:rPr/>
        <w:t>效评价制度是公司董事会按年度对公司高级管理人员的业绩和履行职责情况进行考评，并根据考</w:t>
      </w:r>
    </w:p>
    <w:p>
      <w:pPr>
        <w:pStyle w:val="BodyText"/>
        <w:spacing w:line="297" w:lineRule="auto" w:before="66"/>
        <w:ind w:left="218" w:right="225"/>
        <w:jc w:val="left"/>
      </w:pPr>
      <w:r>
        <w:rPr>
          <w:spacing w:val="-1"/>
        </w:rPr>
        <w:t>评结果决定下一年度的年薪定级、岗位安排直至聘用与否。公司对高级管理人员实行与公司年度</w:t>
      </w:r>
      <w:r>
        <w:rPr>
          <w:spacing w:val="-55"/>
        </w:rPr>
        <w:t> </w:t>
      </w:r>
      <w:r>
        <w:rPr>
          <w:spacing w:val="-55"/>
        </w:rPr>
      </w:r>
      <w:r>
        <w:rPr/>
        <w:t>经营业绩挂钩的绩效奖金制。</w:t>
      </w:r>
    </w:p>
    <w:p>
      <w:pPr>
        <w:pStyle w:val="BodyText"/>
        <w:spacing w:line="297" w:lineRule="auto" w:before="133"/>
        <w:ind w:left="218" w:right="225" w:firstLine="419"/>
        <w:jc w:val="left"/>
      </w:pPr>
      <w:r>
        <w:rPr>
          <w:spacing w:val="-2"/>
        </w:rPr>
        <w:t>公司根据发展需要对包括高级管理人员在内的骨干员工实施股权激励计划。股权激励计划在</w:t>
      </w:r>
      <w:r>
        <w:rPr>
          <w:w w:val="100"/>
        </w:rPr>
        <w:t> </w:t>
      </w:r>
      <w:r>
        <w:rPr/>
        <w:t>监管部门审核批准且实际经营业绩符合计划中规定的条件时实施。</w:t>
      </w:r>
    </w:p>
    <w:p>
      <w:pPr>
        <w:spacing w:line="240" w:lineRule="auto" w:before="0"/>
        <w:rPr>
          <w:rFonts w:ascii="宋体" w:hAnsi="宋体" w:cs="宋体" w:eastAsia="宋体" w:hint="default"/>
          <w:sz w:val="20"/>
          <w:szCs w:val="20"/>
        </w:rPr>
      </w:pPr>
    </w:p>
    <w:p>
      <w:pPr>
        <w:pStyle w:val="Heading2"/>
        <w:spacing w:line="240" w:lineRule="auto" w:before="135"/>
        <w:ind w:right="2465"/>
        <w:jc w:val="left"/>
        <w:rPr>
          <w:b w:val="0"/>
          <w:bCs w:val="0"/>
        </w:rPr>
      </w:pPr>
      <w:r>
        <w:rPr/>
        <w:t>八、是否披露内部控制自我评价报告</w:t>
      </w:r>
      <w:r>
        <w:rPr>
          <w:b w:val="0"/>
          <w:bCs w:val="0"/>
        </w:rPr>
      </w:r>
    </w:p>
    <w:p>
      <w:pPr>
        <w:pStyle w:val="BodyText"/>
        <w:spacing w:line="272" w:lineRule="exact" w:before="86"/>
        <w:ind w:left="638" w:right="225" w:hanging="420"/>
        <w:jc w:val="left"/>
      </w:pPr>
      <w:r>
        <w:rPr/>
        <w:t>√适用</w:t>
      </w:r>
      <w:r>
        <w:rPr>
          <w:spacing w:val="-2"/>
        </w:rPr>
        <w:t> </w:t>
      </w:r>
      <w:r>
        <w:rPr/>
        <w:t>□不适用</w:t>
      </w:r>
      <w:r>
        <w:rPr>
          <w:w w:val="100"/>
        </w:rPr>
        <w:t> </w:t>
      </w:r>
      <w:r>
        <w:rPr>
          <w:spacing w:val="-2"/>
        </w:rPr>
        <w:t>公司披露了《用友网络科技股份有限公司董事会关于公司内部控制的自我评价报告》，披露</w:t>
      </w:r>
    </w:p>
    <w:p>
      <w:pPr>
        <w:pStyle w:val="BodyText"/>
        <w:spacing w:line="249" w:lineRule="exact"/>
        <w:ind w:left="218" w:right="2465"/>
        <w:jc w:val="left"/>
      </w:pPr>
      <w:r>
        <w:rPr/>
        <w:t>网址：</w:t>
      </w:r>
      <w:r>
        <w:rPr>
          <w:rFonts w:ascii="宋体" w:hAnsi="宋体" w:cs="宋体" w:eastAsia="宋体" w:hint="default"/>
          <w:color w:val="0000FF"/>
        </w:rPr>
      </w:r>
      <w:hyperlink r:id="rId10">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spacing w:after="0" w:line="249" w:lineRule="exact"/>
        <w:jc w:val="left"/>
        <w:sectPr>
          <w:pgSz w:w="11910" w:h="16840"/>
          <w:pgMar w:header="877" w:footer="1335" w:top="1100" w:bottom="152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73" w:lineRule="exact" w:before="36"/>
        <w:ind w:right="144"/>
        <w:jc w:val="left"/>
      </w:pPr>
      <w:r>
        <w:rPr/>
        <w:t>报告期内部控制存在重大缺陷情况的说明</w:t>
      </w:r>
    </w:p>
    <w:p>
      <w:pPr>
        <w:pStyle w:val="BodyText"/>
        <w:spacing w:line="273" w:lineRule="exact"/>
        <w:ind w:right="14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144"/>
        <w:jc w:val="left"/>
        <w:rPr>
          <w:b w:val="0"/>
          <w:bCs w:val="0"/>
        </w:rPr>
      </w:pPr>
      <w:r>
        <w:rPr/>
        <w:t>九、内部控制审计报告的相关情况说明</w:t>
      </w:r>
      <w:r>
        <w:rPr>
          <w:b w:val="0"/>
          <w:bCs w:val="0"/>
        </w:rPr>
      </w:r>
    </w:p>
    <w:p>
      <w:pPr>
        <w:pStyle w:val="BodyText"/>
        <w:spacing w:line="272" w:lineRule="exact" w:before="86"/>
        <w:ind w:right="1100"/>
        <w:jc w:val="left"/>
      </w:pPr>
      <w:r>
        <w:rPr/>
        <w:t>公司披露了《用友网络科技股份有限公司</w:t>
      </w:r>
      <w:r>
        <w:rPr>
          <w:spacing w:val="-56"/>
        </w:rPr>
        <w:t> </w:t>
      </w:r>
      <w:r>
        <w:rPr>
          <w:rFonts w:ascii="宋体" w:hAnsi="宋体" w:cs="宋体" w:eastAsia="宋体" w:hint="default"/>
        </w:rPr>
        <w:t>2015</w:t>
      </w:r>
      <w:r>
        <w:rPr>
          <w:rFonts w:ascii="宋体" w:hAnsi="宋体" w:cs="宋体" w:eastAsia="宋体" w:hint="default"/>
          <w:spacing w:val="-56"/>
        </w:rPr>
        <w:t> </w:t>
      </w:r>
      <w:r>
        <w:rPr/>
        <w:t>年度内部控制审计报告》，披露网址：</w:t>
      </w:r>
      <w:r>
        <w:rPr>
          <w:w w:val="100"/>
        </w:rPr>
        <w:t> </w:t>
      </w:r>
      <w:r>
        <w:rPr>
          <w:rFonts w:ascii="宋体" w:hAnsi="宋体" w:cs="宋体" w:eastAsia="宋体" w:hint="default"/>
          <w:color w:val="0000FF"/>
          <w:w w:val="100"/>
        </w:rPr>
      </w:r>
      <w:hyperlink r:id="rId10">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pStyle w:val="BodyText"/>
        <w:spacing w:line="249" w:lineRule="exact"/>
        <w:ind w:right="144"/>
        <w:jc w:val="left"/>
      </w:pPr>
      <w:r>
        <w:rPr/>
        <w:t>是否披露内部控制审计报告：是</w:t>
      </w:r>
    </w:p>
    <w:p>
      <w:pPr>
        <w:pStyle w:val="Heading2"/>
        <w:spacing w:line="240" w:lineRule="auto" w:before="56"/>
        <w:ind w:left="138" w:right="144"/>
        <w:jc w:val="left"/>
        <w:rPr>
          <w:b w:val="0"/>
          <w:bCs w:val="0"/>
        </w:rPr>
      </w:pPr>
      <w:r>
        <w:rPr/>
        <w:t>十、其他</w:t>
      </w:r>
      <w:r>
        <w:rPr>
          <w:b w:val="0"/>
          <w:bCs w:val="0"/>
        </w:rPr>
      </w:r>
    </w:p>
    <w:p>
      <w:pPr>
        <w:pStyle w:val="BodyText"/>
        <w:spacing w:line="297" w:lineRule="auto" w:before="58"/>
        <w:ind w:right="157" w:firstLine="419"/>
        <w:jc w:val="both"/>
      </w:pPr>
      <w:r>
        <w:rPr>
          <w:rFonts w:ascii="宋体" w:hAnsi="宋体" w:cs="宋体" w:eastAsia="宋体" w:hint="default"/>
        </w:rPr>
        <w:t>2010</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9</w:t>
      </w:r>
      <w:r>
        <w:rPr>
          <w:rFonts w:ascii="宋体" w:hAnsi="宋体" w:cs="宋体" w:eastAsia="宋体" w:hint="default"/>
          <w:spacing w:val="-56"/>
        </w:rPr>
        <w:t> </w:t>
      </w:r>
      <w:r>
        <w:rPr/>
        <w:t>日，公司第四届董事会</w:t>
      </w:r>
      <w:r>
        <w:rPr>
          <w:spacing w:val="-53"/>
        </w:rPr>
        <w:t> </w:t>
      </w:r>
      <w:r>
        <w:rPr>
          <w:rFonts w:ascii="宋体" w:hAnsi="宋体" w:cs="宋体" w:eastAsia="宋体" w:hint="default"/>
        </w:rPr>
        <w:t>2010</w:t>
      </w:r>
      <w:r>
        <w:rPr>
          <w:rFonts w:ascii="宋体" w:hAnsi="宋体" w:cs="宋体" w:eastAsia="宋体" w:hint="default"/>
          <w:spacing w:val="-54"/>
        </w:rPr>
        <w:t> </w:t>
      </w:r>
      <w:r>
        <w:rPr/>
        <w:t>年第二次会议审议通过了《公司年报信息披露重</w:t>
      </w:r>
      <w:r>
        <w:rPr>
          <w:w w:val="100"/>
        </w:rPr>
        <w:t> </w:t>
      </w:r>
      <w:r>
        <w:rPr>
          <w:spacing w:val="-2"/>
        </w:rPr>
        <w:t>大差错责任追究制度》。报告期内，公司未发生重大会计差错、重大遗漏信息补充和业绩预告修</w:t>
      </w:r>
      <w:r>
        <w:rPr>
          <w:spacing w:val="-25"/>
        </w:rPr>
        <w:t> </w:t>
      </w:r>
      <w:r>
        <w:rPr>
          <w:spacing w:val="-25"/>
        </w:rPr>
      </w:r>
      <w:r>
        <w:rPr/>
        <w:t>正等情况。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1"/>
        <w:tabs>
          <w:tab w:pos="4060" w:val="left" w:leader="none"/>
        </w:tabs>
        <w:spacing w:line="240" w:lineRule="auto" w:before="0"/>
        <w:ind w:left="2800" w:right="144"/>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144"/>
        <w:jc w:val="left"/>
      </w:pPr>
      <w:r>
        <w:rPr/>
        <w:t>□适用</w:t>
      </w:r>
      <w:r>
        <w:rPr>
          <w:spacing w:val="-1"/>
        </w:rPr>
        <w:t> </w:t>
      </w:r>
      <w:r>
        <w:rPr/>
        <w:t>√不适用</w:t>
      </w:r>
    </w:p>
    <w:p>
      <w:pPr>
        <w:spacing w:after="0" w:line="240" w:lineRule="auto"/>
        <w:jc w:val="left"/>
        <w:sectPr>
          <w:pgSz w:w="11910" w:h="16840"/>
          <w:pgMar w:header="877" w:footer="1335" w:top="1100" w:bottom="1520" w:left="1660" w:right="1120"/>
        </w:sectPr>
      </w:pPr>
    </w:p>
    <w:p>
      <w:pPr>
        <w:spacing w:line="240" w:lineRule="auto" w:before="5"/>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8.95pt;height:.75pt;mso-position-horizontal-relative:char;mso-position-vertical-relative:line" coordorigin="0,0" coordsize="8579,15">
            <v:group style="position:absolute;left:7;top:7;width:8565;height:2" coordorigin="7,7" coordsize="8565,2">
              <v:shape style="position:absolute;left:7;top:7;width:8565;height:2" coordorigin="7,7" coordsize="8565,0" path="m7,7l857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1"/>
        <w:spacing w:line="240" w:lineRule="auto"/>
        <w:ind w:left="3184" w:right="3257"/>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headerReference w:type="default" r:id="rId27"/>
          <w:footerReference w:type="default" r:id="rId28"/>
          <w:pgSz w:w="11910" w:h="16850"/>
          <w:pgMar w:header="0" w:footer="0" w:top="1020" w:bottom="280" w:left="1560" w:right="1480"/>
        </w:sectPr>
      </w:pPr>
    </w:p>
    <w:p>
      <w:pPr>
        <w:pStyle w:val="Heading2"/>
        <w:spacing w:line="240" w:lineRule="auto"/>
        <w:ind w:left="142" w:right="-19"/>
        <w:jc w:val="left"/>
        <w:rPr>
          <w:b w:val="0"/>
          <w:bCs w:val="0"/>
        </w:rPr>
      </w:pPr>
      <w:r>
        <w:rPr/>
        <w:t>一、审计报告</w:t>
      </w:r>
      <w:r>
        <w:rPr>
          <w:b w:val="0"/>
          <w:bCs w:val="0"/>
        </w:rPr>
      </w:r>
    </w:p>
    <w:p>
      <w:pPr>
        <w:pStyle w:val="BodyText"/>
        <w:spacing w:line="240" w:lineRule="auto" w:before="58"/>
        <w:ind w:left="142"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142" w:right="0"/>
        <w:jc w:val="left"/>
      </w:pPr>
      <w:r>
        <w:rPr/>
        <w:t>审计报告</w:t>
      </w:r>
    </w:p>
    <w:p>
      <w:pPr>
        <w:spacing w:after="0" w:line="240" w:lineRule="auto"/>
        <w:jc w:val="left"/>
        <w:sectPr>
          <w:type w:val="continuous"/>
          <w:pgSz w:w="11910" w:h="16850"/>
          <w:pgMar w:top="1120" w:bottom="1520" w:left="1560" w:right="1480"/>
          <w:cols w:num="2" w:equalWidth="0">
            <w:col w:w="1719" w:space="2114"/>
            <w:col w:w="5037"/>
          </w:cols>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36"/>
        <w:ind w:left="5079" w:right="0"/>
        <w:jc w:val="left"/>
      </w:pPr>
      <w:r>
        <w:rPr/>
        <w:t>安永华明</w:t>
      </w:r>
      <w:r>
        <w:rPr>
          <w:rFonts w:ascii="宋体" w:hAnsi="宋体" w:cs="宋体" w:eastAsia="宋体" w:hint="default"/>
        </w:rPr>
        <w:t>(2016)</w:t>
      </w:r>
      <w:r>
        <w:rPr/>
        <w:t>审字第</w:t>
      </w:r>
      <w:r>
        <w:rPr>
          <w:rFonts w:ascii="宋体" w:hAnsi="宋体" w:cs="宋体" w:eastAsia="宋体" w:hint="default"/>
        </w:rPr>
        <w:t>60469423_A01</w:t>
      </w:r>
      <w:r>
        <w:rPr/>
        <w:t>号</w:t>
      </w:r>
    </w:p>
    <w:p>
      <w:pPr>
        <w:spacing w:line="240" w:lineRule="auto" w:before="12"/>
        <w:rPr>
          <w:rFonts w:ascii="宋体" w:hAnsi="宋体" w:cs="宋体" w:eastAsia="宋体" w:hint="default"/>
          <w:sz w:val="17"/>
          <w:szCs w:val="17"/>
        </w:rPr>
      </w:pPr>
    </w:p>
    <w:p>
      <w:pPr>
        <w:pStyle w:val="BodyText"/>
        <w:spacing w:line="240" w:lineRule="auto" w:before="36"/>
        <w:ind w:left="142" w:right="0"/>
        <w:jc w:val="left"/>
      </w:pPr>
      <w:r>
        <w:rPr/>
        <w:t>用友网络科技股份有限公司全体股东：</w:t>
      </w:r>
    </w:p>
    <w:p>
      <w:pPr>
        <w:spacing w:line="240" w:lineRule="auto" w:before="11"/>
        <w:rPr>
          <w:rFonts w:ascii="宋体" w:hAnsi="宋体" w:cs="宋体" w:eastAsia="宋体" w:hint="default"/>
          <w:sz w:val="20"/>
          <w:szCs w:val="20"/>
        </w:rPr>
      </w:pPr>
    </w:p>
    <w:p>
      <w:pPr>
        <w:pStyle w:val="BodyText"/>
        <w:spacing w:line="237" w:lineRule="auto"/>
        <w:ind w:left="142" w:right="212" w:firstLine="424"/>
        <w:jc w:val="both"/>
      </w:pPr>
      <w:r>
        <w:rPr/>
        <w:t>我们审计了后附的用友网络科技股份有限公司的财务报表，包括</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日的合并</w:t>
      </w:r>
      <w:r>
        <w:rPr>
          <w:w w:val="100"/>
        </w:rPr>
        <w:t> </w:t>
      </w:r>
      <w:r>
        <w:rPr>
          <w:spacing w:val="-4"/>
        </w:rPr>
        <w:t>及公司的资产负债表，</w:t>
      </w:r>
      <w:r>
        <w:rPr>
          <w:rFonts w:ascii="宋体" w:hAnsi="宋体" w:cs="宋体" w:eastAsia="宋体" w:hint="default"/>
          <w:spacing w:val="-4"/>
        </w:rPr>
        <w:t>2015</w:t>
      </w:r>
      <w:r>
        <w:rPr>
          <w:spacing w:val="-4"/>
        </w:rPr>
        <w:t>年度合并及公司的利润表、股东权益变动表和现金流量表以及财务</w:t>
      </w:r>
      <w:r>
        <w:rPr>
          <w:spacing w:val="-48"/>
        </w:rPr>
        <w:t> </w:t>
      </w:r>
      <w:r>
        <w:rPr>
          <w:spacing w:val="-48"/>
        </w:rPr>
      </w:r>
      <w:r>
        <w:rPr/>
        <w:t>报表附注。</w:t>
      </w:r>
    </w:p>
    <w:p>
      <w:pPr>
        <w:pStyle w:val="BodyText"/>
        <w:spacing w:line="542" w:lineRule="exact" w:before="53"/>
        <w:ind w:left="621" w:right="0" w:hanging="480"/>
        <w:jc w:val="left"/>
      </w:pPr>
      <w:r>
        <w:rPr/>
        <w:t>一、管理层对财务报表的责任</w:t>
      </w:r>
      <w:r>
        <w:rPr>
          <w:w w:val="100"/>
        </w:rPr>
        <w:t> </w:t>
      </w:r>
      <w:r>
        <w:rPr/>
        <w:t>编制和公允列报财务报表是用友网络科技股份有限公司管理层的责任。这种责任包括：</w:t>
      </w:r>
    </w:p>
    <w:p>
      <w:pPr>
        <w:pStyle w:val="BodyText"/>
        <w:spacing w:line="193" w:lineRule="exact"/>
        <w:ind w:left="142" w:right="0"/>
        <w:jc w:val="left"/>
      </w:pPr>
      <w:r>
        <w:rPr>
          <w:rFonts w:ascii="宋体" w:hAnsi="宋体" w:cs="宋体" w:eastAsia="宋体" w:hint="default"/>
          <w:spacing w:val="-4"/>
        </w:rPr>
        <w:t>(1)</w:t>
      </w:r>
      <w:r>
        <w:rPr>
          <w:spacing w:val="-4"/>
        </w:rPr>
        <w:t>按照企业会计准则的规定编制财务报表，并使其实现公允反映；</w:t>
      </w:r>
      <w:r>
        <w:rPr>
          <w:rFonts w:ascii="宋体" w:hAnsi="宋体" w:cs="宋体" w:eastAsia="宋体" w:hint="default"/>
          <w:spacing w:val="-4"/>
        </w:rPr>
        <w:t>(2)</w:t>
      </w:r>
      <w:r>
        <w:rPr>
          <w:spacing w:val="-4"/>
        </w:rPr>
        <w:t>设计、执行和维护必要</w:t>
      </w:r>
    </w:p>
    <w:p>
      <w:pPr>
        <w:pStyle w:val="BodyText"/>
        <w:spacing w:line="477" w:lineRule="auto"/>
        <w:ind w:left="142" w:right="196"/>
        <w:jc w:val="left"/>
      </w:pPr>
      <w:r>
        <w:rPr>
          <w:spacing w:val="-2"/>
        </w:rPr>
        <w:t>的内部控制，以使财务报表不存在由于舞弊或错误而导致的重大错报。</w:t>
      </w:r>
      <w:r>
        <w:rPr>
          <w:spacing w:val="-45"/>
        </w:rPr>
        <w:t> </w:t>
      </w:r>
      <w:r>
        <w:rPr>
          <w:spacing w:val="-45"/>
        </w:rPr>
      </w:r>
      <w:r>
        <w:rPr/>
        <w:t>二、注册会计师的责任</w:t>
      </w:r>
    </w:p>
    <w:p>
      <w:pPr>
        <w:pStyle w:val="BodyText"/>
        <w:spacing w:line="237" w:lineRule="auto" w:before="62"/>
        <w:ind w:left="142" w:right="210" w:firstLine="479"/>
        <w:jc w:val="both"/>
      </w:pPr>
      <w:r>
        <w:rPr/>
        <w:t>我们的责任是在执行审计工作的基础上对财务报表发表审计意见。我们按照中国注册会</w:t>
      </w:r>
      <w:r>
        <w:rPr>
          <w:w w:val="100"/>
        </w:rPr>
        <w:t> </w:t>
      </w:r>
      <w:r>
        <w:rPr>
          <w:spacing w:val="-4"/>
          <w:w w:val="100"/>
        </w:rPr>
        <w:t>计师审计准则的规定执行了审计工作。中国注册会计师审计准则要求我们遵守中国注册会计师</w:t>
      </w:r>
      <w:r>
        <w:rPr>
          <w:spacing w:val="-102"/>
          <w:w w:val="100"/>
        </w:rPr>
        <w:t> </w:t>
      </w:r>
      <w:r>
        <w:rPr>
          <w:spacing w:val="-102"/>
          <w:w w:val="100"/>
        </w:rPr>
      </w:r>
      <w:r>
        <w:rPr/>
        <w:t>职业道德守则，计划和执行审计工作以对财务报表是否不存在重大错报获取合理保证。</w:t>
      </w:r>
    </w:p>
    <w:p>
      <w:pPr>
        <w:spacing w:line="240" w:lineRule="auto" w:before="11"/>
        <w:rPr>
          <w:rFonts w:ascii="宋体" w:hAnsi="宋体" w:cs="宋体" w:eastAsia="宋体" w:hint="default"/>
          <w:sz w:val="20"/>
          <w:szCs w:val="20"/>
        </w:rPr>
      </w:pPr>
    </w:p>
    <w:p>
      <w:pPr>
        <w:pStyle w:val="BodyText"/>
        <w:spacing w:line="237" w:lineRule="auto"/>
        <w:ind w:left="142" w:right="0" w:firstLine="479"/>
        <w:jc w:val="left"/>
      </w:pPr>
      <w:r>
        <w:rPr/>
        <w:t>审计工作涉及实施审计程序，以获取有关财务报表金额和披露的审计证据。选择的审计</w:t>
      </w:r>
      <w:r>
        <w:rPr>
          <w:w w:val="100"/>
        </w:rPr>
        <w:t> </w:t>
      </w:r>
      <w:r>
        <w:rPr>
          <w:spacing w:val="-2"/>
        </w:rPr>
        <w:t>程序取决于注册会计师的判断，包括对由于舞弊或错误导致的财务报表重大错报风险的评估。</w:t>
      </w:r>
      <w:r>
        <w:rPr>
          <w:spacing w:val="-28"/>
        </w:rPr>
        <w:t> </w:t>
      </w:r>
      <w:r>
        <w:rPr>
          <w:spacing w:val="-28"/>
        </w:rPr>
      </w:r>
      <w:r>
        <w:rPr>
          <w:spacing w:val="-4"/>
        </w:rPr>
        <w:t>在进行风险评估时，注册会计师考虑与财务报表编制和公允列报相关的内部控制，以设计恰当</w:t>
      </w:r>
      <w:r>
        <w:rPr>
          <w:spacing w:val="-52"/>
        </w:rPr>
        <w:t> </w:t>
      </w:r>
      <w:r>
        <w:rPr>
          <w:spacing w:val="-52"/>
        </w:rPr>
      </w:r>
      <w:r>
        <w:rPr>
          <w:spacing w:val="-4"/>
        </w:rPr>
        <w:t>的审计程序，但目的并非对内部控制的有效性发表意见。审计工作还包括评价管理层选用会计</w:t>
      </w:r>
      <w:r>
        <w:rPr>
          <w:spacing w:val="-52"/>
        </w:rPr>
        <w:t> </w:t>
      </w:r>
      <w:r>
        <w:rPr>
          <w:spacing w:val="-52"/>
        </w:rPr>
      </w:r>
      <w:r>
        <w:rPr/>
        <w:t>政策的恰当性和作出会计估计的合理性，以及评价财务报表的总体列报。</w:t>
      </w:r>
    </w:p>
    <w:p>
      <w:pPr>
        <w:spacing w:line="240" w:lineRule="auto" w:before="9"/>
        <w:rPr>
          <w:rFonts w:ascii="宋体" w:hAnsi="宋体" w:cs="宋体" w:eastAsia="宋体" w:hint="default"/>
          <w:sz w:val="20"/>
          <w:szCs w:val="20"/>
        </w:rPr>
      </w:pPr>
    </w:p>
    <w:p>
      <w:pPr>
        <w:pStyle w:val="BodyText"/>
        <w:spacing w:line="477" w:lineRule="auto"/>
        <w:ind w:left="142" w:right="0" w:firstLine="479"/>
        <w:jc w:val="left"/>
      </w:pPr>
      <w:r>
        <w:rPr>
          <w:spacing w:val="-2"/>
        </w:rPr>
        <w:t>我们相信，我们获取的审计证据是充分、适当的，为发表审计意见提供了基础。</w:t>
      </w:r>
      <w:r>
        <w:rPr>
          <w:w w:val="100"/>
        </w:rPr>
        <w:t> </w:t>
      </w:r>
      <w:r>
        <w:rPr/>
        <w:t>三、审计意见</w:t>
      </w:r>
    </w:p>
    <w:p>
      <w:pPr>
        <w:pStyle w:val="BodyText"/>
        <w:spacing w:line="237" w:lineRule="auto" w:before="62"/>
        <w:ind w:left="142" w:right="214" w:firstLine="479"/>
        <w:jc w:val="both"/>
      </w:pPr>
      <w:r>
        <w:rPr/>
        <w:t>我们认为，上述财务报表在所有重大方面按照企业会计准则的规定编制，公允反映了用</w:t>
      </w:r>
      <w:r>
        <w:rPr>
          <w:w w:val="100"/>
        </w:rPr>
        <w:t> </w:t>
      </w:r>
      <w:r>
        <w:rPr/>
        <w:t>友网络科技股份有限公司</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日的合并及公司的财务状况以及</w:t>
      </w:r>
      <w:r>
        <w:rPr>
          <w:rFonts w:ascii="宋体" w:hAnsi="宋体" w:cs="宋体" w:eastAsia="宋体" w:hint="default"/>
        </w:rPr>
        <w:t>2015</w:t>
      </w:r>
      <w:r>
        <w:rPr/>
        <w:t>年度的合并及公</w:t>
      </w:r>
      <w:r>
        <w:rPr>
          <w:spacing w:val="-6"/>
        </w:rPr>
        <w:t> </w:t>
      </w:r>
      <w:r>
        <w:rPr>
          <w:spacing w:val="-6"/>
        </w:rPr>
      </w:r>
      <w:r>
        <w:rPr/>
        <w:t>司的经营成果和现金流量。</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tabs>
          <w:tab w:pos="5245" w:val="left" w:leader="none"/>
          <w:tab w:pos="7513" w:val="left" w:leader="none"/>
          <w:tab w:pos="7936" w:val="left" w:leader="none"/>
        </w:tabs>
        <w:spacing w:line="240" w:lineRule="auto"/>
        <w:ind w:left="854" w:right="0" w:hanging="713"/>
        <w:jc w:val="left"/>
      </w:pPr>
      <w:r>
        <w:rPr>
          <w:spacing w:val="-2"/>
        </w:rPr>
        <w:t>安永华明会计师事务所</w:t>
      </w:r>
      <w:r>
        <w:rPr>
          <w:rFonts w:ascii="宋体" w:hAnsi="宋体" w:cs="宋体" w:eastAsia="宋体" w:hint="default"/>
          <w:spacing w:val="-2"/>
        </w:rPr>
        <w:t>(</w:t>
      </w:r>
      <w:r>
        <w:rPr>
          <w:spacing w:val="-2"/>
        </w:rPr>
        <w:t>特殊普通合伙</w:t>
      </w:r>
      <w:r>
        <w:rPr>
          <w:rFonts w:ascii="宋体" w:hAnsi="宋体" w:cs="宋体" w:eastAsia="宋体" w:hint="default"/>
          <w:spacing w:val="-2"/>
        </w:rPr>
        <w:t>)</w:t>
        <w:tab/>
      </w:r>
      <w:r>
        <w:rPr>
          <w:spacing w:val="-1"/>
        </w:rPr>
        <w:t>中国注册会计师</w:t>
        <w:tab/>
      </w:r>
      <w:r>
        <w:rPr/>
        <w:t>陈</w:t>
        <w:tab/>
        <w:t>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4390" w:val="left" w:leader="none"/>
          <w:tab w:pos="6659" w:val="left" w:leader="none"/>
        </w:tabs>
        <w:spacing w:line="240" w:lineRule="auto" w:before="171"/>
        <w:ind w:left="0" w:right="673"/>
        <w:jc w:val="right"/>
      </w:pPr>
      <w:r>
        <w:rPr>
          <w:spacing w:val="-1"/>
        </w:rPr>
        <w:t>中国北京</w:t>
        <w:tab/>
        <w:t>中国注册会计师</w:t>
        <w:tab/>
      </w:r>
      <w:r>
        <w:rPr/>
        <w:t>杨景璐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0" w:right="673"/>
        <w:jc w:val="right"/>
      </w:pPr>
      <w:r>
        <w:rPr>
          <w:spacing w:val="-2"/>
        </w:rPr>
        <w:t>二零一六年三月十八日</w:t>
      </w:r>
    </w:p>
    <w:p>
      <w:pPr>
        <w:spacing w:line="240" w:lineRule="auto" w:before="3"/>
        <w:rPr>
          <w:rFonts w:ascii="宋体" w:hAnsi="宋体" w:cs="宋体" w:eastAsia="宋体" w:hint="default"/>
          <w:sz w:val="13"/>
          <w:szCs w:val="13"/>
        </w:rPr>
      </w:pPr>
    </w:p>
    <w:p>
      <w:pPr>
        <w:spacing w:before="77"/>
        <w:ind w:left="3183" w:right="3257" w:firstLine="0"/>
        <w:jc w:val="center"/>
        <w:rPr>
          <w:rFonts w:ascii="Arial" w:hAnsi="Arial" w:cs="Arial" w:eastAsia="Arial" w:hint="default"/>
          <w:sz w:val="18"/>
          <w:szCs w:val="18"/>
        </w:rPr>
      </w:pPr>
      <w:r>
        <w:rPr>
          <w:rFonts w:ascii="Arial"/>
          <w:w w:val="99"/>
          <w:sz w:val="18"/>
        </w:rPr>
        <w:t>1</w:t>
      </w:r>
      <w:r>
        <w:rPr>
          <w:rFonts w:ascii="Arial"/>
          <w:sz w:val="18"/>
        </w:rPr>
      </w:r>
    </w:p>
    <w:p>
      <w:pPr>
        <w:spacing w:after="0"/>
        <w:jc w:val="center"/>
        <w:rPr>
          <w:rFonts w:ascii="Arial" w:hAnsi="Arial" w:cs="Arial" w:eastAsia="Arial" w:hint="default"/>
          <w:sz w:val="18"/>
          <w:szCs w:val="18"/>
        </w:rPr>
        <w:sectPr>
          <w:type w:val="continuous"/>
          <w:pgSz w:w="11910" w:h="16850"/>
          <w:pgMar w:top="1120" w:bottom="1520" w:left="1560" w:right="148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7"/>
          <w:szCs w:val="17"/>
        </w:rPr>
      </w:pPr>
    </w:p>
    <w:p>
      <w:pPr>
        <w:spacing w:after="0" w:line="240" w:lineRule="auto"/>
        <w:rPr>
          <w:rFonts w:ascii="Arial" w:hAnsi="Arial" w:cs="Arial" w:eastAsia="Arial" w:hint="default"/>
          <w:sz w:val="17"/>
          <w:szCs w:val="17"/>
        </w:rPr>
        <w:sectPr>
          <w:headerReference w:type="default" r:id="rId29"/>
          <w:footerReference w:type="default" r:id="rId30"/>
          <w:pgSz w:w="11910" w:h="16840"/>
          <w:pgMar w:header="926" w:footer="1315" w:top="1120" w:bottom="1500" w:left="1580" w:right="1040"/>
          <w:pgNumType w:start="2"/>
        </w:sectPr>
      </w:pPr>
    </w:p>
    <w:p>
      <w:pPr>
        <w:pStyle w:val="Heading2"/>
        <w:spacing w:line="240" w:lineRule="auto"/>
        <w:ind w:right="-16"/>
        <w:jc w:val="left"/>
        <w:rPr>
          <w:b w:val="0"/>
          <w:bCs w:val="0"/>
        </w:rPr>
      </w:pPr>
      <w:r>
        <w:rPr/>
        <w:t>二、财务报表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spacing w:before="0"/>
        <w:ind w:left="218" w:right="3767"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type w:val="continuous"/>
          <w:pgSz w:w="11910" w:h="16840"/>
          <w:pgMar w:top="1120" w:bottom="1520" w:left="1580" w:right="1040"/>
          <w:cols w:num="2" w:equalWidth="0">
            <w:col w:w="1488" w:space="2062"/>
            <w:col w:w="5740"/>
          </w:cols>
        </w:sectPr>
      </w:pPr>
    </w:p>
    <w:p>
      <w:pPr>
        <w:pStyle w:val="BodyText"/>
        <w:spacing w:line="271" w:lineRule="exact"/>
        <w:ind w:left="218" w:right="2465"/>
        <w:jc w:val="left"/>
      </w:pPr>
      <w:r>
        <w:rPr/>
        <w:t>编制单位</w:t>
      </w:r>
      <w:r>
        <w:rPr>
          <w:rFonts w:ascii="宋体" w:hAnsi="宋体" w:cs="宋体" w:eastAsia="宋体" w:hint="default"/>
        </w:rPr>
        <w:t>:</w:t>
      </w:r>
      <w:r>
        <w:rPr>
          <w:rFonts w:ascii="宋体" w:hAnsi="宋体" w:cs="宋体" w:eastAsia="宋体" w:hint="default"/>
          <w:spacing w:val="-2"/>
        </w:rPr>
        <w:t> </w:t>
      </w:r>
      <w:r>
        <w:rPr/>
        <w:t>用友网络科技股份有限公司</w:t>
      </w:r>
    </w:p>
    <w:p>
      <w:pPr>
        <w:pStyle w:val="BodyText"/>
        <w:tabs>
          <w:tab w:pos="946" w:val="left" w:leader="none"/>
        </w:tabs>
        <w:spacing w:line="274"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1421"/>
        <w:gridCol w:w="1771"/>
        <w:gridCol w:w="2206"/>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1</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3,879,048,001</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2,963,403,868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2</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58,794,001</w:t>
            </w: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4</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53,649,381</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37,513,638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5</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1,519,699,082</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6" w:right="0"/>
              <w:jc w:val="left"/>
              <w:rPr>
                <w:rFonts w:ascii="宋体" w:hAnsi="宋体" w:cs="宋体" w:eastAsia="宋体" w:hint="default"/>
                <w:sz w:val="21"/>
                <w:szCs w:val="21"/>
              </w:rPr>
            </w:pPr>
            <w:r>
              <w:rPr>
                <w:rFonts w:ascii="宋体"/>
                <w:sz w:val="21"/>
              </w:rPr>
              <w:t>1,476,189,106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43,357,365</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23,307,247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2,602,998</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1,595,211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9</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151,921,293</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167,839,581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10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23,904,688</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22,487,600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13</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872,617,946</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250,477,692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6,605,594,755</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4,942,813,943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14</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394,614,111</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370,320,681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17</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167,422,645</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134,730,818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19</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1,574,752,492</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959,182,227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20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414,862,262</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850,863,276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25</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654,558,568</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492,481,340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26</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26,025,570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88,314,569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27</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984,745,356</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880,123,618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28</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22,481,317</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22,120,609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29</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73,528,204</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69,683,782</w:t>
            </w:r>
          </w:p>
        </w:tc>
      </w:tr>
    </w:tbl>
    <w:p>
      <w:pPr>
        <w:spacing w:after="0" w:line="241" w:lineRule="exact"/>
        <w:jc w:val="right"/>
        <w:rPr>
          <w:rFonts w:ascii="宋体" w:hAnsi="宋体" w:cs="宋体" w:eastAsia="宋体" w:hint="default"/>
          <w:sz w:val="21"/>
          <w:szCs w:val="21"/>
        </w:rPr>
        <w:sectPr>
          <w:type w:val="continuous"/>
          <w:pgSz w:w="11910" w:h="16840"/>
          <w:pgMar w:top="1120" w:bottom="152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1"/>
        <w:gridCol w:w="1421"/>
        <w:gridCol w:w="1771"/>
        <w:gridCol w:w="2206"/>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4,312,990,525</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3,867,820,920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10,918,585,280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8,810,634,863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31</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1,823,984,362</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1,268,000,000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35</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402,105,982</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400,369,531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36</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779,745,566</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01"/>
              <w:jc w:val="right"/>
              <w:rPr>
                <w:rFonts w:ascii="Arial" w:hAnsi="Arial" w:cs="Arial" w:eastAsia="Arial" w:hint="default"/>
                <w:sz w:val="20"/>
                <w:szCs w:val="20"/>
              </w:rPr>
            </w:pPr>
            <w:r>
              <w:rPr>
                <w:rFonts w:ascii="Arial"/>
                <w:spacing w:val="-1"/>
                <w:sz w:val="20"/>
              </w:rPr>
              <w:t>689,463,698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37</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552,085,343</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505,607,403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38</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212,225,808</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244,361,930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39</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21,137,671</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21,137,671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40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988,875</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312,500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41</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291,364,472</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249,530,113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43</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602,590,400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184,420,991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44</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18,857,031</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14,510,745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4,705,085,510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3,577,714,582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45</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131,598,294</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326,332,464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46</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498,082,310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51</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6,796,895</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10,006,637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29</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12,397,239</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3,686,778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150,792,428</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838,108,189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4,855,877,938</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4,415,822,771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53</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1,464,688,320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1,171,419,007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31"/>
          <w:pgSz w:w="11910" w:h="16840"/>
          <w:pgMar w:header="926" w:footer="1315" w:top="1120" w:bottom="150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1"/>
        <w:gridCol w:w="1421"/>
        <w:gridCol w:w="1771"/>
        <w:gridCol w:w="2206"/>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55</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2,252,417,040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744,991,795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56</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sz w:val="21"/>
              </w:rPr>
              <w:t>241,959,975</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47,702,458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57</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720,336</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-957,408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59</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635,373,098</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591,644,432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1,407,652,479</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1,479,061,538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5,518,891,298</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3,938,456,906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543,816,044</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456,355,186</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6,062,707,342</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4,394,812,092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10,918,585,280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8,810,634,863</w:t>
            </w:r>
          </w:p>
        </w:tc>
      </w:tr>
    </w:tbl>
    <w:p>
      <w:pPr>
        <w:pStyle w:val="BodyText"/>
        <w:spacing w:line="241" w:lineRule="exact"/>
        <w:ind w:left="218" w:right="225"/>
        <w:jc w:val="left"/>
      </w:pPr>
      <w:r>
        <w:rPr/>
        <w:t>法定代表人：王文京 主管会计工作负责人：章培林</w:t>
      </w:r>
      <w:r>
        <w:rPr>
          <w:spacing w:val="-6"/>
        </w:rPr>
        <w:t> </w:t>
      </w:r>
      <w:r>
        <w:rPr/>
        <w:t>会计机构负责人：王仕平</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926" w:footer="1315" w:top="1120" w:bottom="150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ind w:left="218" w:right="0"/>
        <w:jc w:val="left"/>
      </w:pPr>
      <w:r>
        <w:rPr>
          <w:spacing w:val="-2"/>
        </w:rPr>
        <w:t>编制单位</w:t>
      </w:r>
      <w:r>
        <w:rPr>
          <w:rFonts w:ascii="宋体" w:hAnsi="宋体" w:cs="宋体" w:eastAsia="宋体" w:hint="default"/>
          <w:spacing w:val="-2"/>
        </w:rPr>
        <w:t>:</w:t>
      </w:r>
      <w:r>
        <w:rPr>
          <w:spacing w:val="-2"/>
        </w:rPr>
        <w:t>用友网络科技股份有限公司</w:t>
      </w:r>
    </w:p>
    <w:p>
      <w:pPr>
        <w:spacing w:line="272" w:lineRule="exact" w:before="64"/>
        <w:ind w:left="41" w:right="-15"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520" w:left="1580" w:right="1040"/>
          <w:cols w:num="3" w:equalWidth="0">
            <w:col w:w="3687" w:space="40"/>
            <w:col w:w="1778" w:space="1229"/>
            <w:col w:w="255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8"/>
        <w:gridCol w:w="1546"/>
        <w:gridCol w:w="1603"/>
        <w:gridCol w:w="2233"/>
      </w:tblGrid>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1,766,656,827</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728,567,938</w:t>
            </w:r>
          </w:p>
        </w:tc>
      </w:tr>
      <w:tr>
        <w:trPr>
          <w:trHeight w:val="560"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58,794,001</w:t>
            </w: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32,915,762</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20,241,358</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附注十七、</w:t>
            </w:r>
            <w:r>
              <w:rPr>
                <w:rFonts w:ascii="宋体" w:hAnsi="宋体" w:cs="宋体" w:eastAsia="宋体" w:hint="default"/>
                <w:sz w:val="21"/>
                <w:szCs w:val="21"/>
              </w:rPr>
              <w:t>1</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691,532,312</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717,384,367</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10,452,494</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10,488,402</w:t>
            </w: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12,002,658</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12,002,658</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附注十七、</w:t>
            </w:r>
            <w:r>
              <w:rPr>
                <w:rFonts w:ascii="宋体" w:hAnsi="宋体" w:cs="宋体" w:eastAsia="宋体" w:hint="default"/>
                <w:sz w:val="21"/>
                <w:szCs w:val="21"/>
              </w:rPr>
              <w:t>2</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816,150,228</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651,017,651</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9,278,404</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13,415,912</w:t>
            </w: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847,046,975</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51,150,458</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4,244,829,661</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2,204,268,744</w:t>
            </w: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342,900,000</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308,040,000</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附注十七、</w:t>
            </w:r>
            <w:r>
              <w:rPr>
                <w:rFonts w:ascii="宋体" w:hAnsi="宋体" w:cs="宋体" w:eastAsia="宋体" w:hint="default"/>
                <w:sz w:val="21"/>
                <w:szCs w:val="21"/>
              </w:rPr>
              <w:t>3</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2,730,552,239</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2,309,414,625</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1,140,914,184</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898,835,499</w:t>
            </w: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369,584,134</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552,137,958</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52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68"/>
        <w:gridCol w:w="1546"/>
        <w:gridCol w:w="1603"/>
        <w:gridCol w:w="2233"/>
      </w:tblGrid>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396,815,661</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283,118,156</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62,115,079</w:t>
            </w: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67,850,075</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62,140,675</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11,010,869</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12,746,968</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36,829,215</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25,509,107</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5,096,456,377</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4,514,058,067</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9,341,286,038</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6,718,326,811</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2"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2,418,456,605</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1,394,171,789</w:t>
            </w:r>
          </w:p>
        </w:tc>
      </w:tr>
      <w:tr>
        <w:trPr>
          <w:trHeight w:val="562"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138,719,907</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135,960,237</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340,862,628</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290,159,983</w:t>
            </w: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216,801,331</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221,435,555</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105,022,687</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110,694,278</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21,137,671</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21,137,671</w:t>
            </w: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676,375</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322,877,683</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344,230,761</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582,420,999</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97,866,714</w:t>
            </w: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4,811,492</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4,135,395</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4,151,787,378</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2,619,792,383</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131,598,294</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186,949,107</w:t>
            </w: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498,082,310</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4,000,000</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4,156,055</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246,357</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139,754,349</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695,277,774</w:t>
            </w: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4,291,541,727</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3,315,070,157</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1,464,688,320</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1,171,419,007</w:t>
            </w:r>
          </w:p>
        </w:tc>
      </w:tr>
      <w:tr>
        <w:trPr>
          <w:trHeight w:val="286"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1,816,175,776</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428,122,920</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22,635,702</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47,702,458</w:t>
            </w:r>
          </w:p>
        </w:tc>
      </w:tr>
    </w:tbl>
    <w:p>
      <w:pPr>
        <w:spacing w:after="0" w:line="241" w:lineRule="exact"/>
        <w:jc w:val="right"/>
        <w:rPr>
          <w:rFonts w:ascii="宋体" w:hAnsi="宋体" w:cs="宋体" w:eastAsia="宋体" w:hint="default"/>
          <w:sz w:val="21"/>
          <w:szCs w:val="21"/>
        </w:rPr>
        <w:sectPr>
          <w:pgSz w:w="11910" w:h="16840"/>
          <w:pgMar w:header="926" w:footer="1315" w:top="1120" w:bottom="150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68"/>
        <w:gridCol w:w="1546"/>
        <w:gridCol w:w="1603"/>
        <w:gridCol w:w="2233"/>
      </w:tblGrid>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635,373,098</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591,644,432</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1,156,142,819</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1,259,772,753</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5,049,744,311</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3,403,256,654</w:t>
            </w:r>
          </w:p>
        </w:tc>
      </w:tr>
      <w:tr>
        <w:trPr>
          <w:trHeight w:val="288" w:hRule="exact"/>
        </w:trPr>
        <w:tc>
          <w:tcPr>
            <w:tcW w:w="3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54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9,341,286,038</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6,718,326,811</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218" w:right="225"/>
        <w:jc w:val="left"/>
      </w:pPr>
      <w:r>
        <w:rPr/>
        <w:t>法定代表人：王文京 主管会计工作负责人：章培林</w:t>
      </w:r>
      <w:r>
        <w:rPr>
          <w:spacing w:val="-6"/>
        </w:rPr>
        <w:t> </w:t>
      </w:r>
      <w:r>
        <w:rPr/>
        <w:t>会计机构负责人：王仕平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26" w:footer="1315" w:top="1120" w:bottom="1500" w:left="1580" w:right="1040"/>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52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1359"/>
        <w:gridCol w:w="1582"/>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4,451,272,019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4,374,241,957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4,451,272,019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4,374,241,957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4,617,511,482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4,101,434,056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1,430,949,268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1,420,692,499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6"/>
              <w:jc w:val="center"/>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73,284,813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56,543,276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1,185,300,776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1,092,606,648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1,723,260,423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1,357,389,323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92,700,207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84,127,509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6"/>
              <w:jc w:val="center"/>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112,015,995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90,074,801</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-1,705,998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180,651,535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25,435,198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-2,492,157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10,487,338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12,706,074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298,243,099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355,353,198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320,220,367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1,204,668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652,596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5,669,399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6,640,320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744,431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707,685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362,389,873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611,823,146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19,397,384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42,267,753</w:t>
            </w:r>
          </w:p>
        </w:tc>
      </w:tr>
    </w:tbl>
    <w:p>
      <w:pPr>
        <w:spacing w:after="0" w:line="241" w:lineRule="exact"/>
        <w:jc w:val="right"/>
        <w:rPr>
          <w:rFonts w:ascii="宋体" w:hAnsi="宋体" w:cs="宋体" w:eastAsia="宋体" w:hint="default"/>
          <w:sz w:val="21"/>
          <w:szCs w:val="21"/>
        </w:rPr>
        <w:sectPr>
          <w:type w:val="continuous"/>
          <w:pgSz w:w="11910" w:h="16840"/>
          <w:pgMar w:top="1120" w:bottom="152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1359"/>
        <w:gridCol w:w="1582"/>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342,992,489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569,555,393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323,745,309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550,250,599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19,247,180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19,304,794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2,257,102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920,964</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1,677,744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941,655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1,677,744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941,655</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1,677,744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941,655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579,358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-20,691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345,249,591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570,476,357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325,423,053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551,192,254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19,826,538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19,284,103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0.40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35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0.40</w:t>
            </w:r>
          </w:p>
        </w:tc>
      </w:tr>
    </w:tbl>
    <w:p>
      <w:pPr>
        <w:pStyle w:val="BodyText"/>
        <w:tabs>
          <w:tab w:pos="7412" w:val="left" w:leader="none"/>
        </w:tabs>
        <w:spacing w:line="239" w:lineRule="exact"/>
        <w:ind w:left="218" w:right="225"/>
        <w:jc w:val="left"/>
      </w:pPr>
      <w:r>
        <w:rPr>
          <w:spacing w:val="-2"/>
        </w:rPr>
        <w:t>本期发生同一控制下企业合并的，被合并方在合并前实现的净利润为：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spacing w:val="-2"/>
        </w:rPr>
        <w:t>元</w:t>
      </w:r>
      <w:r>
        <w:rPr>
          <w:rFonts w:ascii="宋体" w:hAnsi="宋体" w:cs="宋体" w:eastAsia="宋体" w:hint="default"/>
          <w:spacing w:val="-2"/>
        </w:rPr>
        <w:t>,</w:t>
      </w:r>
      <w:r>
        <w:rPr>
          <w:spacing w:val="-2"/>
        </w:rPr>
        <w:t>上期被合并方</w:t>
      </w:r>
    </w:p>
    <w:p>
      <w:pPr>
        <w:pStyle w:val="BodyText"/>
        <w:tabs>
          <w:tab w:pos="2577" w:val="left" w:leader="none"/>
        </w:tabs>
        <w:spacing w:line="272" w:lineRule="exact"/>
        <w:ind w:left="218" w:right="2465"/>
        <w:jc w:val="left"/>
      </w:pPr>
      <w:r>
        <w:rPr>
          <w:spacing w:val="-2"/>
        </w:rPr>
        <w:t>实现的净利润为：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t>元。</w:t>
      </w:r>
    </w:p>
    <w:p>
      <w:pPr>
        <w:pStyle w:val="BodyText"/>
        <w:spacing w:line="274" w:lineRule="exact"/>
        <w:ind w:left="218" w:right="225"/>
        <w:jc w:val="left"/>
      </w:pPr>
      <w:r>
        <w:rPr/>
        <w:t>法定代表人：王文京 主管会计工作负责人：章培林</w:t>
      </w:r>
      <w:r>
        <w:rPr>
          <w:spacing w:val="-6"/>
        </w:rPr>
        <w:t> </w:t>
      </w:r>
      <w:r>
        <w:rPr/>
        <w:t>会计机构负责人：王仕平</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32"/>
          <w:pgSz w:w="11910" w:h="16840"/>
          <w:pgMar w:header="926" w:footer="1315" w:top="1120" w:bottom="150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52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795"/>
        <w:gridCol w:w="1558"/>
        <w:gridCol w:w="1714"/>
        <w:gridCol w:w="1983"/>
      </w:tblGrid>
      <w:tr>
        <w:trPr>
          <w:trHeight w:val="286"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4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附注十七、</w:t>
            </w:r>
            <w:r>
              <w:rPr>
                <w:rFonts w:ascii="宋体" w:hAnsi="宋体" w:cs="宋体" w:eastAsia="宋体" w:hint="default"/>
                <w:sz w:val="21"/>
                <w:szCs w:val="21"/>
              </w:rPr>
              <w:t>4</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1,622,838,106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1,831,868,746</w:t>
            </w:r>
          </w:p>
        </w:tc>
      </w:tr>
      <w:tr>
        <w:trPr>
          <w:trHeight w:val="286"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附注十七、</w:t>
            </w:r>
            <w:r>
              <w:rPr>
                <w:rFonts w:ascii="宋体" w:hAnsi="宋体" w:cs="宋体" w:eastAsia="宋体" w:hint="default"/>
                <w:sz w:val="21"/>
                <w:szCs w:val="21"/>
              </w:rPr>
              <w:t>4</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557,134,408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646,036,873</w:t>
            </w:r>
          </w:p>
        </w:tc>
      </w:tr>
      <w:tr>
        <w:trPr>
          <w:trHeight w:val="28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26,423,357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29,454,642</w:t>
            </w:r>
          </w:p>
        </w:tc>
      </w:tr>
      <w:tr>
        <w:trPr>
          <w:trHeight w:val="28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384,897,811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430,222,940</w:t>
            </w:r>
          </w:p>
        </w:tc>
      </w:tr>
      <w:tr>
        <w:trPr>
          <w:trHeight w:val="28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632,106,539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660,039,161</w:t>
            </w:r>
          </w:p>
        </w:tc>
      </w:tr>
      <w:tr>
        <w:trPr>
          <w:trHeight w:val="286"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143,415,700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105,779,840</w:t>
            </w:r>
          </w:p>
        </w:tc>
      </w:tr>
      <w:tr>
        <w:trPr>
          <w:trHeight w:val="28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51,961,142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54,384,845</w:t>
            </w:r>
          </w:p>
        </w:tc>
      </w:tr>
      <w:tr>
        <w:trPr>
          <w:trHeight w:val="28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8"/>
              <w:jc w:val="left"/>
              <w:rPr>
                <w:rFonts w:ascii="宋体" w:hAnsi="宋体" w:cs="宋体" w:eastAsia="宋体" w:hint="default"/>
                <w:sz w:val="21"/>
                <w:szCs w:val="21"/>
              </w:rPr>
            </w:pPr>
            <w:r>
              <w:rPr>
                <w:rFonts w:ascii="宋体" w:hAnsi="宋体" w:cs="宋体" w:eastAsia="宋体" w:hint="default"/>
                <w:spacing w:val="-8"/>
                <w:sz w:val="21"/>
                <w:szCs w:val="21"/>
              </w:rPr>
              <w:t>加：公允价值变动收益（损失以“－”</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-1,705,998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5"/>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type w:val="continuous"/>
          <w:pgSz w:w="11910" w:h="16840"/>
          <w:pgMar w:top="1120" w:bottom="152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795"/>
        <w:gridCol w:w="1558"/>
        <w:gridCol w:w="1714"/>
        <w:gridCol w:w="1983"/>
      </w:tblGrid>
      <w:tr>
        <w:trPr>
          <w:trHeight w:val="28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8"/>
                <w:sz w:val="21"/>
                <w:szCs w:val="21"/>
              </w:rPr>
              <w:t>投资收益（损失以“－”号填列）</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附注十七、</w:t>
            </w:r>
            <w:r>
              <w:rPr>
                <w:rFonts w:ascii="宋体" w:hAnsi="宋体" w:cs="宋体" w:eastAsia="宋体" w:hint="default"/>
                <w:sz w:val="21"/>
                <w:szCs w:val="21"/>
              </w:rPr>
              <w:t>5</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308,751,325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395,932,874</w:t>
            </w:r>
          </w:p>
        </w:tc>
      </w:tr>
      <w:tr>
        <w:trPr>
          <w:trHeight w:val="559"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1,007,916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11,076,039</w:t>
            </w:r>
          </w:p>
        </w:tc>
      </w:tr>
      <w:tr>
        <w:trPr>
          <w:trHeight w:val="28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133,944,476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301,883,319</w:t>
            </w:r>
          </w:p>
        </w:tc>
      </w:tr>
      <w:tr>
        <w:trPr>
          <w:trHeight w:val="28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150,327,037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160,340,966</w:t>
            </w:r>
          </w:p>
        </w:tc>
      </w:tr>
      <w:tr>
        <w:trPr>
          <w:trHeight w:val="286"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658,204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474,984</w:t>
            </w:r>
          </w:p>
        </w:tc>
      </w:tr>
      <w:tr>
        <w:trPr>
          <w:trHeight w:val="28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673,579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811,401</w:t>
            </w:r>
          </w:p>
        </w:tc>
      </w:tr>
      <w:tr>
        <w:trPr>
          <w:trHeight w:val="28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69,160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342,975</w:t>
            </w:r>
          </w:p>
        </w:tc>
      </w:tr>
      <w:tr>
        <w:trPr>
          <w:trHeight w:val="559"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w:t>
            </w:r>
          </w:p>
          <w:p>
            <w:pPr>
              <w:pStyle w:val="TableParagraph"/>
              <w:spacing w:line="273" w:lineRule="exact"/>
              <w:ind w:left="81"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283,597,934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461,412,884</w:t>
            </w:r>
          </w:p>
        </w:tc>
      </w:tr>
      <w:tr>
        <w:trPr>
          <w:trHeight w:val="289"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-7,926,500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3,046,206</w:t>
            </w:r>
          </w:p>
        </w:tc>
      </w:tr>
      <w:tr>
        <w:trPr>
          <w:trHeight w:val="286"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291,524,434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458,366,678</w:t>
            </w:r>
          </w:p>
        </w:tc>
      </w:tr>
      <w:tr>
        <w:trPr>
          <w:trHeight w:val="28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 w:right="0"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1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2" w:lineRule="exact" w:before="27"/>
              <w:ind w:left="100" w:right="103"/>
              <w:jc w:val="left"/>
              <w:rPr>
                <w:rFonts w:ascii="宋体" w:hAnsi="宋体" w:cs="宋体" w:eastAsia="宋体" w:hint="default"/>
                <w:sz w:val="21"/>
                <w:szCs w:val="21"/>
              </w:rPr>
            </w:pPr>
            <w:r>
              <w:rPr>
                <w:rFonts w:ascii="宋体" w:hAnsi="宋体" w:cs="宋体" w:eastAsia="宋体" w:hint="default"/>
                <w:spacing w:val="-2"/>
                <w:sz w:val="21"/>
                <w:szCs w:val="21"/>
              </w:rPr>
              <w:t>分类进损益的其他综合收益中享有的份</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291,524,434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458,366,678</w:t>
            </w:r>
          </w:p>
        </w:tc>
      </w:tr>
      <w:tr>
        <w:trPr>
          <w:trHeight w:val="28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0.33</w:t>
            </w:r>
          </w:p>
        </w:tc>
      </w:tr>
      <w:tr>
        <w:trPr>
          <w:trHeight w:val="28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0.33</w:t>
            </w:r>
          </w:p>
        </w:tc>
      </w:tr>
    </w:tbl>
    <w:p>
      <w:pPr>
        <w:spacing w:line="240" w:lineRule="auto" w:before="7"/>
        <w:rPr>
          <w:rFonts w:ascii="宋体" w:hAnsi="宋体" w:cs="宋体" w:eastAsia="宋体" w:hint="default"/>
          <w:sz w:val="15"/>
          <w:szCs w:val="15"/>
        </w:rPr>
      </w:pPr>
    </w:p>
    <w:p>
      <w:pPr>
        <w:pStyle w:val="BodyText"/>
        <w:spacing w:line="240" w:lineRule="auto" w:before="36"/>
        <w:ind w:left="218" w:right="225"/>
        <w:jc w:val="left"/>
      </w:pPr>
      <w:r>
        <w:rPr/>
        <w:t>法定代表人：王文京 主管会计工作负责人：章培林</w:t>
      </w:r>
      <w:r>
        <w:rPr>
          <w:spacing w:val="-6"/>
        </w:rPr>
        <w:t> </w:t>
      </w:r>
      <w:r>
        <w:rPr/>
        <w:t>会计机构负责人：王仕平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26" w:footer="1315" w:top="1120" w:bottom="1500" w:left="1580" w:right="1040"/>
        </w:sectPr>
      </w:pPr>
    </w:p>
    <w:p>
      <w:pPr>
        <w:spacing w:line="272" w:lineRule="exact" w:before="64"/>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52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1421"/>
        <w:gridCol w:w="177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sz w:val="21"/>
              </w:rPr>
              <w:t>4,726,617,481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sz w:val="21"/>
              </w:rPr>
              <w:t>4,727,833,627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52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1"/>
        <w:gridCol w:w="1421"/>
        <w:gridCol w:w="177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251,778,904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195,199,404</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73</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175,841,775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168,028,425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5,154,238,160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5,091,061,456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854,350,345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692,071,662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2,559,833,571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color w:val="333399"/>
                <w:spacing w:val="-1"/>
                <w:sz w:val="21"/>
              </w:rPr>
              <w:t>2,338,969,318</w:t>
            </w:r>
            <w:r>
              <w:rPr>
                <w:rFonts w:ascii="宋体"/>
                <w:spacing w:val="-1"/>
                <w:sz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482,932,840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543,761,431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73</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707,405,946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711,956,836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4,604,522,702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4,286,759,247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549,715,458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804,302,209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2,133,996,608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19,572,870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4,254,615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3,594,810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6,309,916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5,879,818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74</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6,501,494</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73</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44,795,277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27,344,116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2,195,857,910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56,391,614</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338,603,265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386,613,594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2,740,120,180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267,265,000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74</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73,382,964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2,182,925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3,152,106,409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656,061,519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-956,248,499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-599,669,905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1,838,636,251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763,834,537</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2,534,118,783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2,326,943,913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926" w:footer="1315" w:top="1120" w:bottom="150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3651"/>
        <w:gridCol w:w="1421"/>
        <w:gridCol w:w="177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4,372,755,034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color w:val="333399"/>
                <w:spacing w:val="-1"/>
                <w:sz w:val="21"/>
              </w:rPr>
              <w:t>3,090,778,450</w:t>
            </w:r>
            <w:r>
              <w:rPr>
                <w:rFonts w:ascii="宋体"/>
                <w:spacing w:val="-1"/>
                <w:sz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2,239,157,987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color w:val="333399"/>
                <w:spacing w:val="-1"/>
                <w:sz w:val="21"/>
              </w:rPr>
              <w:t>1,991,311,908</w:t>
            </w:r>
            <w:r>
              <w:rPr>
                <w:rFonts w:ascii="宋体"/>
                <w:spacing w:val="-1"/>
                <w:sz w:val="21"/>
              </w:rPr>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506,479,906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446,346,164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34,848,536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28,503,945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73</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314,039,630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4,248,335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3,059,677,523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2,441,906,407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1,313,077,511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648,872,043</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88,963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-957,859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906,633,433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852,546,488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2,929,397,594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2,076,851,106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421" w:type="dxa"/>
            <w:tcBorders>
              <w:top w:val="single" w:sz="6" w:space="0" w:color="000000"/>
              <w:left w:val="single" w:sz="6" w:space="0" w:color="000000"/>
              <w:bottom w:val="single" w:sz="6" w:space="0" w:color="000000"/>
              <w:right w:val="single" w:sz="6" w:space="0" w:color="000000"/>
            </w:tcBorders>
          </w:tcPr>
          <w:p>
            <w:pP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3,836,031,027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color w:val="333399"/>
                <w:spacing w:val="-1"/>
                <w:sz w:val="21"/>
              </w:rPr>
              <w:t>2,929,397,594</w:t>
            </w:r>
            <w:r>
              <w:rPr>
                <w:rFonts w:ascii="宋体"/>
                <w:spacing w:val="-1"/>
                <w:sz w:val="21"/>
              </w:rPr>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218" w:right="225"/>
        <w:jc w:val="left"/>
      </w:pPr>
      <w:r>
        <w:rPr/>
        <w:t>法定代表人：王文京 主管会计工作负责人：章培林</w:t>
      </w:r>
      <w:r>
        <w:rPr>
          <w:spacing w:val="-6"/>
        </w:rPr>
        <w:t> </w:t>
      </w:r>
      <w:r>
        <w:rPr/>
        <w:t>会计机构负责人：王仕平</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926" w:footer="1315" w:top="1120" w:bottom="1500" w:left="1580" w:right="1040"/>
        </w:sectPr>
      </w:pPr>
    </w:p>
    <w:p>
      <w:pPr>
        <w:spacing w:line="272" w:lineRule="exact" w:before="64"/>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520" w:left="1580" w:right="1040"/>
          <w:cols w:num="2" w:equalWidth="0">
            <w:col w:w="5480" w:space="40"/>
            <w:col w:w="377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1,697,828,843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1,875,444,196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94,804,746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118,130,380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167,060,841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171,324,384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1,959,694,430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2,164,898,960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274,777,580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242,696,941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1,045,109,737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1,151,061,354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174,322,408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251,249,404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382,190,517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488,430,729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1,876,400,242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2,133,438,428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83,294,188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31,460,532</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516,082,191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141,265,683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212,757,845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2,718,596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83,006,650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8,524,223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3,330,378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668,590,693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299,094,873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192,723,497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186,021,195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1,501,634,087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291,600,000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725,432</w:t>
            </w:r>
          </w:p>
        </w:tc>
      </w:tr>
    </w:tbl>
    <w:p>
      <w:pPr>
        <w:spacing w:after="0" w:line="241" w:lineRule="exact"/>
        <w:jc w:val="right"/>
        <w:rPr>
          <w:rFonts w:ascii="宋体" w:hAnsi="宋体" w:cs="宋体" w:eastAsia="宋体" w:hint="default"/>
          <w:sz w:val="21"/>
          <w:szCs w:val="21"/>
        </w:rPr>
        <w:sectPr>
          <w:type w:val="continuous"/>
          <w:pgSz w:w="11910" w:h="16840"/>
          <w:pgMar w:top="1120" w:bottom="152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56,025,000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1,850,382,584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478,346,627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-1,181,791,891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w:t>
            </w:r>
            <w:r>
              <w:rPr>
                <w:rFonts w:ascii="宋体"/>
                <w:color w:val="333399"/>
                <w:spacing w:val="-1"/>
                <w:sz w:val="21"/>
              </w:rPr>
              <w:t>179,251,754</w:t>
            </w:r>
            <w:r>
              <w:rPr>
                <w:rFonts w:ascii="宋体"/>
                <w:spacing w:val="-1"/>
                <w:sz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1,666,903,920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69,879,287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3,002,419,236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2,338,492,310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4,669,323,156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2,408,371,597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2,053,350,814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1,982,000,000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485,597,771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415,975,526</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3,678,709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4,248,335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2,542,627,294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2,402,223,861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2,126,695,862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6,147,736</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32,428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-14,427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1,028,230,587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-141,657,913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713,142,964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854,800,877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1,741,373,551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713,142,964</w:t>
            </w:r>
          </w:p>
        </w:tc>
      </w:tr>
    </w:tbl>
    <w:p>
      <w:pPr>
        <w:pStyle w:val="BodyText"/>
        <w:spacing w:line="241" w:lineRule="exact"/>
        <w:ind w:left="218" w:right="225"/>
        <w:jc w:val="left"/>
      </w:pPr>
      <w:r>
        <w:rPr/>
        <w:t>法定代表人：王文京 主管会计工作负责人：章培林</w:t>
      </w:r>
      <w:r>
        <w:rPr>
          <w:spacing w:val="-6"/>
        </w:rPr>
        <w:t> </w:t>
      </w:r>
      <w:r>
        <w:rPr/>
        <w:t>会计机构负责人：王仕平</w:t>
      </w:r>
    </w:p>
    <w:p>
      <w:pPr>
        <w:spacing w:after="0" w:line="241" w:lineRule="exact"/>
        <w:jc w:val="left"/>
        <w:sectPr>
          <w:pgSz w:w="11910" w:h="16840"/>
          <w:pgMar w:header="926" w:footer="1315" w:top="1120" w:bottom="150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3"/>
          <w:footerReference w:type="default" r:id="rId34"/>
          <w:pgSz w:w="16840" w:h="11910" w:orient="landscape"/>
          <w:pgMar w:header="926" w:footer="1316" w:top="1120" w:bottom="1500" w:left="840" w:right="880"/>
          <w:pgNumType w:start="12"/>
        </w:sectPr>
      </w:pPr>
    </w:p>
    <w:p>
      <w:pPr>
        <w:spacing w:before="36"/>
        <w:ind w:left="684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520" w:left="840" w:right="880"/>
          <w:cols w:num="2" w:equalWidth="0">
            <w:col w:w="8666" w:space="40"/>
            <w:col w:w="6414"/>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127"/>
        <w:gridCol w:w="1274"/>
        <w:gridCol w:w="711"/>
        <w:gridCol w:w="566"/>
        <w:gridCol w:w="283"/>
        <w:gridCol w:w="1418"/>
        <w:gridCol w:w="1133"/>
        <w:gridCol w:w="994"/>
        <w:gridCol w:w="566"/>
        <w:gridCol w:w="1274"/>
        <w:gridCol w:w="711"/>
        <w:gridCol w:w="1284"/>
        <w:gridCol w:w="1126"/>
        <w:gridCol w:w="1416"/>
      </w:tblGrid>
      <w:tr>
        <w:trPr>
          <w:trHeight w:val="250" w:hRule="exact"/>
        </w:trPr>
        <w:tc>
          <w:tcPr>
            <w:tcW w:w="2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5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127" w:type="dxa"/>
            <w:vMerge/>
            <w:tcBorders>
              <w:left w:val="single" w:sz="4" w:space="0" w:color="000000"/>
              <w:right w:val="single" w:sz="4" w:space="0" w:color="000000"/>
            </w:tcBorders>
          </w:tcPr>
          <w:p>
            <w:pPr/>
          </w:p>
        </w:tc>
        <w:tc>
          <w:tcPr>
            <w:tcW w:w="1021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90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468" w:right="107"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612" w:right="16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62" w:hRule="exact"/>
        </w:trPr>
        <w:tc>
          <w:tcPr>
            <w:tcW w:w="2127" w:type="dxa"/>
            <w:vMerge/>
            <w:tcBorders>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1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4" w:lineRule="auto"/>
              <w:ind w:left="312" w:right="1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66" w:type="dxa"/>
            <w:vMerge w:val="restart"/>
            <w:tcBorders>
              <w:top w:val="single" w:sz="4" w:space="0" w:color="000000"/>
              <w:left w:val="single" w:sz="4" w:space="0" w:color="000000"/>
              <w:right w:val="single" w:sz="4" w:space="0" w:color="000000"/>
            </w:tcBorders>
          </w:tcPr>
          <w:p>
            <w:pPr>
              <w:pStyle w:val="TableParagraph"/>
              <w:spacing w:line="244" w:lineRule="auto" w:before="37"/>
              <w:ind w:left="187" w:right="18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11" w:type="dxa"/>
            <w:vMerge w:val="restart"/>
            <w:tcBorders>
              <w:top w:val="single" w:sz="4" w:space="0" w:color="000000"/>
              <w:left w:val="single" w:sz="4" w:space="0" w:color="000000"/>
              <w:right w:val="single" w:sz="4" w:space="0" w:color="000000"/>
            </w:tcBorders>
          </w:tcPr>
          <w:p>
            <w:pPr>
              <w:pStyle w:val="TableParagraph"/>
              <w:spacing w:line="244" w:lineRule="auto" w:before="157"/>
              <w:ind w:left="170" w:right="168"/>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8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2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730" w:hRule="exact"/>
        </w:trPr>
        <w:tc>
          <w:tcPr>
            <w:tcW w:w="212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261" w:right="170"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4" w:lineRule="auto" w:before="5"/>
              <w:ind w:left="187" w:right="187"/>
              <w:jc w:val="center"/>
              <w:rPr>
                <w:rFonts w:ascii="宋体" w:hAnsi="宋体" w:cs="宋体" w:eastAsia="宋体" w:hint="default"/>
                <w:sz w:val="18"/>
                <w:szCs w:val="18"/>
              </w:rPr>
            </w:pPr>
            <w:r>
              <w:rPr>
                <w:rFonts w:ascii="宋体" w:hAnsi="宋体" w:cs="宋体" w:eastAsia="宋体" w:hint="default"/>
                <w:sz w:val="18"/>
                <w:szCs w:val="18"/>
              </w:rPr>
              <w:t>续 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7"/>
              <w:ind w:left="103" w:right="-10"/>
              <w:jc w:val="left"/>
              <w:rPr>
                <w:rFonts w:ascii="宋体" w:hAnsi="宋体" w:cs="宋体" w:eastAsia="宋体" w:hint="default"/>
                <w:sz w:val="18"/>
                <w:szCs w:val="18"/>
              </w:rPr>
            </w:pPr>
            <w:r>
              <w:rPr>
                <w:rFonts w:ascii="宋体" w:hAnsi="宋体" w:cs="宋体" w:eastAsia="宋体" w:hint="default"/>
                <w:sz w:val="18"/>
                <w:szCs w:val="18"/>
              </w:rPr>
              <w:t>其 他</w:t>
            </w:r>
          </w:p>
        </w:tc>
        <w:tc>
          <w:tcPr>
            <w:tcW w:w="1418"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284"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1,171,419,007</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744,991,795</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-957,408</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591,644,432</w:t>
            </w: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1,479,061,538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456,355,186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0" w:right="0"/>
              <w:jc w:val="left"/>
              <w:rPr>
                <w:rFonts w:ascii="Times New Roman" w:hAnsi="Times New Roman" w:cs="Times New Roman" w:eastAsia="Times New Roman" w:hint="default"/>
                <w:sz w:val="18"/>
                <w:szCs w:val="18"/>
              </w:rPr>
            </w:pPr>
            <w:r>
              <w:rPr>
                <w:rFonts w:ascii="Times New Roman"/>
                <w:sz w:val="18"/>
              </w:rPr>
              <w:t>4,442,514,550</w:t>
            </w: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Times New Roman" w:hAnsi="Times New Roman" w:cs="Times New Roman" w:eastAsia="Times New Roman" w:hint="default"/>
                <w:sz w:val="18"/>
                <w:szCs w:val="18"/>
              </w:rPr>
            </w:pPr>
            <w:r>
              <w:rPr>
                <w:rFonts w:ascii="Times New Roman"/>
                <w:sz w:val="18"/>
              </w:rPr>
              <w:t>47,702,458</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w w:val="95"/>
                <w:sz w:val="18"/>
              </w:rPr>
              <w:t>-47,702,458</w:t>
            </w:r>
            <w:r>
              <w:rPr>
                <w:rFonts w:ascii="Times New Roman"/>
                <w:sz w:val="18"/>
              </w:rPr>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0</w:t>
            </w: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1,171,419,007</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744,991,795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center"/>
              <w:rPr>
                <w:rFonts w:ascii="Times New Roman" w:hAnsi="Times New Roman" w:cs="Times New Roman" w:eastAsia="Times New Roman" w:hint="default"/>
                <w:sz w:val="18"/>
                <w:szCs w:val="18"/>
              </w:rPr>
            </w:pPr>
            <w:r>
              <w:rPr>
                <w:rFonts w:ascii="Times New Roman"/>
                <w:sz w:val="18"/>
              </w:rPr>
              <w:t>47,702,458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-957,408</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591,644,432</w:t>
            </w: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1,479,061,538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456,355,186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4,394,812,092</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293,269,313</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1,507,425,245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6" w:right="0"/>
              <w:jc w:val="center"/>
              <w:rPr>
                <w:rFonts w:ascii="Times New Roman" w:hAnsi="Times New Roman" w:cs="Times New Roman" w:eastAsia="Times New Roman" w:hint="default"/>
                <w:sz w:val="18"/>
                <w:szCs w:val="18"/>
              </w:rPr>
            </w:pPr>
            <w:r>
              <w:rPr>
                <w:rFonts w:ascii="Times New Roman"/>
                <w:sz w:val="18"/>
              </w:rPr>
              <w:t>194,257,517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1,677,744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43,728,666</w:t>
            </w: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-71,409,059</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87,460,858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1,667,895,250</w:t>
            </w: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1,677,744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323,745,309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19,826,538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345,249,591</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58,985,512</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1,741,709,046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6" w:right="0"/>
              <w:jc w:val="center"/>
              <w:rPr>
                <w:rFonts w:ascii="Times New Roman" w:hAnsi="Times New Roman" w:cs="Times New Roman" w:eastAsia="Times New Roman" w:hint="default"/>
                <w:sz w:val="18"/>
                <w:szCs w:val="18"/>
              </w:rPr>
            </w:pPr>
            <w:r>
              <w:rPr>
                <w:rFonts w:ascii="Times New Roman"/>
                <w:sz w:val="18"/>
              </w:rPr>
              <w:t>194,257,517</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102,482,856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1,708,919,897</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53,484,602</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1,633,394,219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147,726,524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1,834,605,345</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5,500,910</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107,432,733</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45,567,818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158,501,461</w:t>
            </w: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882,094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 w:right="0"/>
              <w:jc w:val="center"/>
              <w:rPr>
                <w:rFonts w:ascii="Times New Roman" w:hAnsi="Times New Roman" w:cs="Times New Roman" w:eastAsia="Times New Roman" w:hint="default"/>
                <w:sz w:val="18"/>
                <w:szCs w:val="18"/>
              </w:rPr>
            </w:pPr>
            <w:r>
              <w:rPr>
                <w:rFonts w:ascii="Times New Roman"/>
                <w:sz w:val="18"/>
              </w:rPr>
              <w:t>194,257,517</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w w:val="95"/>
                <w:sz w:val="18"/>
              </w:rPr>
              <w:t>-90,811,486</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-284,186,909</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43,728,666</w:t>
            </w: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-395,154,368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-34,848,536</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-386,274,238</w:t>
            </w: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43,728,666</w:t>
            </w: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w w:val="95"/>
                <w:sz w:val="18"/>
              </w:rPr>
              <w:t>-43,728,666</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-351,425,702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-34,848,536</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-386,274,238</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520" w:left="840" w:right="880"/>
        </w:sectPr>
      </w:pPr>
    </w:p>
    <w:p>
      <w:pPr>
        <w:spacing w:line="240" w:lineRule="auto" w:before="2"/>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2127"/>
        <w:gridCol w:w="1274"/>
        <w:gridCol w:w="711"/>
        <w:gridCol w:w="566"/>
        <w:gridCol w:w="283"/>
        <w:gridCol w:w="1418"/>
        <w:gridCol w:w="1133"/>
        <w:gridCol w:w="994"/>
        <w:gridCol w:w="566"/>
        <w:gridCol w:w="1274"/>
        <w:gridCol w:w="711"/>
        <w:gridCol w:w="1284"/>
        <w:gridCol w:w="1126"/>
        <w:gridCol w:w="1416"/>
      </w:tblGrid>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234,283,801</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-234,283,801</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234,283,801</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-234,283,801</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1,464,688,320</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2,252,417,040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0" w:right="0"/>
              <w:jc w:val="left"/>
              <w:rPr>
                <w:rFonts w:ascii="Times New Roman" w:hAnsi="Times New Roman" w:cs="Times New Roman" w:eastAsia="Times New Roman" w:hint="default"/>
                <w:sz w:val="18"/>
                <w:szCs w:val="18"/>
              </w:rPr>
            </w:pPr>
            <w:r>
              <w:rPr>
                <w:rFonts w:ascii="Times New Roman"/>
                <w:sz w:val="18"/>
              </w:rPr>
              <w:t>241,959,975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Times New Roman" w:hAnsi="Times New Roman" w:cs="Times New Roman" w:eastAsia="Times New Roman" w:hint="default"/>
                <w:sz w:val="18"/>
                <w:szCs w:val="18"/>
              </w:rPr>
            </w:pPr>
            <w:r>
              <w:rPr>
                <w:rFonts w:ascii="Times New Roman"/>
                <w:sz w:val="18"/>
              </w:rPr>
              <w:t>720,336</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4" w:right="0"/>
              <w:jc w:val="left"/>
              <w:rPr>
                <w:rFonts w:ascii="Times New Roman" w:hAnsi="Times New Roman" w:cs="Times New Roman" w:eastAsia="Times New Roman" w:hint="default"/>
                <w:sz w:val="18"/>
                <w:szCs w:val="18"/>
              </w:rPr>
            </w:pPr>
            <w:r>
              <w:rPr>
                <w:rFonts w:ascii="Times New Roman"/>
                <w:sz w:val="18"/>
              </w:rPr>
              <w:t>635,373,098</w:t>
            </w:r>
          </w:p>
        </w:tc>
        <w:tc>
          <w:tcPr>
            <w:tcW w:w="71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Times New Roman" w:hAnsi="Times New Roman" w:cs="Times New Roman" w:eastAsia="Times New Roman" w:hint="default"/>
                <w:sz w:val="18"/>
                <w:szCs w:val="18"/>
              </w:rPr>
            </w:pPr>
            <w:r>
              <w:rPr>
                <w:rFonts w:ascii="Times New Roman"/>
                <w:sz w:val="18"/>
              </w:rPr>
              <w:t>1,407,652,479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Times New Roman" w:hAnsi="Times New Roman" w:cs="Times New Roman" w:eastAsia="Times New Roman" w:hint="default"/>
                <w:sz w:val="18"/>
                <w:szCs w:val="18"/>
              </w:rPr>
            </w:pPr>
            <w:r>
              <w:rPr>
                <w:rFonts w:ascii="Times New Roman"/>
                <w:sz w:val="18"/>
              </w:rPr>
              <w:t>543,816,044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9" w:right="0"/>
              <w:jc w:val="left"/>
              <w:rPr>
                <w:rFonts w:ascii="Times New Roman" w:hAnsi="Times New Roman" w:cs="Times New Roman" w:eastAsia="Times New Roman" w:hint="default"/>
                <w:sz w:val="18"/>
                <w:szCs w:val="18"/>
              </w:rPr>
            </w:pPr>
            <w:r>
              <w:rPr>
                <w:rFonts w:ascii="Times New Roman"/>
                <w:sz w:val="18"/>
              </w:rPr>
              <w:t>6,062,707,342</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2127"/>
        <w:gridCol w:w="1274"/>
        <w:gridCol w:w="711"/>
        <w:gridCol w:w="566"/>
        <w:gridCol w:w="566"/>
        <w:gridCol w:w="1277"/>
        <w:gridCol w:w="1133"/>
        <w:gridCol w:w="1135"/>
        <w:gridCol w:w="566"/>
        <w:gridCol w:w="1136"/>
        <w:gridCol w:w="566"/>
        <w:gridCol w:w="1289"/>
        <w:gridCol w:w="1262"/>
        <w:gridCol w:w="1275"/>
      </w:tblGrid>
      <w:tr>
        <w:trPr>
          <w:trHeight w:val="250" w:hRule="exact"/>
        </w:trPr>
        <w:tc>
          <w:tcPr>
            <w:tcW w:w="2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5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2127" w:type="dxa"/>
            <w:vMerge/>
            <w:tcBorders>
              <w:left w:val="single" w:sz="4" w:space="0" w:color="000000"/>
              <w:right w:val="single" w:sz="4" w:space="0" w:color="000000"/>
            </w:tcBorders>
          </w:tcPr>
          <w:p>
            <w:pPr/>
          </w:p>
        </w:tc>
        <w:tc>
          <w:tcPr>
            <w:tcW w:w="1022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34" w:lineRule="exact"/>
              <w:ind w:left="537" w:right="17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34" w:lineRule="exact"/>
              <w:ind w:left="453" w:right="180" w:hanging="272"/>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394" w:hRule="exact"/>
        </w:trPr>
        <w:tc>
          <w:tcPr>
            <w:tcW w:w="2127" w:type="dxa"/>
            <w:vMerge/>
            <w:tcBorders>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4" w:lineRule="auto"/>
              <w:ind w:left="472"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4" w:lineRule="auto"/>
              <w:ind w:left="187" w:right="18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val="restart"/>
            <w:tcBorders>
              <w:top w:val="single" w:sz="4" w:space="0" w:color="000000"/>
              <w:left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87" w:right="187"/>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62"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r>
      <w:tr>
        <w:trPr>
          <w:trHeight w:val="1059" w:hRule="exact"/>
        </w:trPr>
        <w:tc>
          <w:tcPr>
            <w:tcW w:w="212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1" w:right="170"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32" w:lineRule="exact"/>
              <w:ind w:left="187" w:right="18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87"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1262"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971,174,633</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446,122,337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-1,899,063</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3" w:right="0"/>
              <w:jc w:val="center"/>
              <w:rPr>
                <w:rFonts w:ascii="Times New Roman" w:hAnsi="Times New Roman" w:cs="Times New Roman" w:eastAsia="Times New Roman" w:hint="default"/>
                <w:sz w:val="18"/>
                <w:szCs w:val="18"/>
              </w:rPr>
            </w:pPr>
            <w:r>
              <w:rPr>
                <w:rFonts w:ascii="Times New Roman"/>
                <w:sz w:val="18"/>
              </w:rPr>
              <w:t>522,889,429</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1,288,918,332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135,690,091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3,362,895,759</w:t>
            </w: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center"/>
              <w:rPr>
                <w:rFonts w:ascii="Times New Roman" w:hAnsi="Times New Roman" w:cs="Times New Roman" w:eastAsia="Times New Roman" w:hint="default"/>
                <w:sz w:val="18"/>
                <w:szCs w:val="18"/>
              </w:rPr>
            </w:pPr>
            <w:r>
              <w:rPr>
                <w:rFonts w:ascii="Times New Roman"/>
                <w:sz w:val="18"/>
              </w:rPr>
              <w:t>80,635,950</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-80,635,950</w:t>
            </w:r>
            <w:r>
              <w:rPr>
                <w:rFonts w:ascii="Times New Roman"/>
                <w:sz w:val="18"/>
              </w:rPr>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971,174,633</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446,122,337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center"/>
              <w:rPr>
                <w:rFonts w:ascii="Times New Roman" w:hAnsi="Times New Roman" w:cs="Times New Roman" w:eastAsia="Times New Roman" w:hint="default"/>
                <w:sz w:val="18"/>
                <w:szCs w:val="18"/>
              </w:rPr>
            </w:pPr>
            <w:r>
              <w:rPr>
                <w:rFonts w:ascii="Times New Roman"/>
                <w:sz w:val="18"/>
              </w:rPr>
              <w:t>80,635,950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-1,899,063</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3" w:right="0"/>
              <w:jc w:val="center"/>
              <w:rPr>
                <w:rFonts w:ascii="Times New Roman" w:hAnsi="Times New Roman" w:cs="Times New Roman" w:eastAsia="Times New Roman" w:hint="default"/>
                <w:sz w:val="18"/>
                <w:szCs w:val="18"/>
              </w:rPr>
            </w:pPr>
            <w:r>
              <w:rPr>
                <w:rFonts w:ascii="Times New Roman"/>
                <w:sz w:val="18"/>
              </w:rPr>
              <w:t>522,889,429</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1,288,918,332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135,690,091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3,282,259,809</w:t>
            </w:r>
          </w:p>
        </w:tc>
      </w:tr>
      <w:tr>
        <w:trPr>
          <w:trHeight w:val="47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200,244,374</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298,869,458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5" w:right="0"/>
              <w:jc w:val="center"/>
              <w:rPr>
                <w:rFonts w:ascii="Times New Roman" w:hAnsi="Times New Roman" w:cs="Times New Roman" w:eastAsia="Times New Roman" w:hint="default"/>
                <w:sz w:val="18"/>
                <w:szCs w:val="18"/>
              </w:rPr>
            </w:pPr>
            <w:r>
              <w:rPr>
                <w:rFonts w:ascii="Times New Roman"/>
                <w:sz w:val="18"/>
              </w:rPr>
              <w:t>-32,933,492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941,655</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2" w:right="0"/>
              <w:jc w:val="center"/>
              <w:rPr>
                <w:rFonts w:ascii="Times New Roman" w:hAnsi="Times New Roman" w:cs="Times New Roman" w:eastAsia="Times New Roman" w:hint="default"/>
                <w:sz w:val="18"/>
                <w:szCs w:val="18"/>
              </w:rPr>
            </w:pPr>
            <w:r>
              <w:rPr>
                <w:rFonts w:ascii="Times New Roman"/>
                <w:sz w:val="18"/>
              </w:rPr>
              <w:t>68,755,003</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190,143,206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320,665,095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1,112,552,283</w:t>
            </w: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941,655</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550,250,599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19,284,103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570,476,357</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6,009,447</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493,104,385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5" w:right="0"/>
              <w:jc w:val="center"/>
              <w:rPr>
                <w:rFonts w:ascii="Times New Roman" w:hAnsi="Times New Roman" w:cs="Times New Roman" w:eastAsia="Times New Roman" w:hint="default"/>
                <w:sz w:val="18"/>
                <w:szCs w:val="18"/>
              </w:rPr>
            </w:pPr>
            <w:r>
              <w:rPr>
                <w:rFonts w:ascii="Times New Roman"/>
                <w:sz w:val="18"/>
              </w:rPr>
              <w:t>-32,933,492</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329,884,937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861,932,261</w:t>
            </w:r>
          </w:p>
        </w:tc>
      </w:tr>
    </w:tbl>
    <w:p>
      <w:pPr>
        <w:spacing w:after="0" w:line="202" w:lineRule="exact"/>
        <w:jc w:val="right"/>
        <w:rPr>
          <w:rFonts w:ascii="Times New Roman" w:hAnsi="Times New Roman" w:cs="Times New Roman" w:eastAsia="Times New Roman" w:hint="default"/>
          <w:sz w:val="18"/>
          <w:szCs w:val="18"/>
        </w:rPr>
        <w:sectPr>
          <w:headerReference w:type="default" r:id="rId35"/>
          <w:pgSz w:w="16840" w:h="11910" w:orient="landscape"/>
          <w:pgMar w:header="926" w:footer="1316" w:top="1120" w:bottom="1500" w:left="840" w:right="880"/>
        </w:sectPr>
      </w:pPr>
    </w:p>
    <w:p>
      <w:pPr>
        <w:spacing w:line="240" w:lineRule="auto" w:before="2"/>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2127"/>
        <w:gridCol w:w="1274"/>
        <w:gridCol w:w="711"/>
        <w:gridCol w:w="566"/>
        <w:gridCol w:w="566"/>
        <w:gridCol w:w="1277"/>
        <w:gridCol w:w="1133"/>
        <w:gridCol w:w="1135"/>
        <w:gridCol w:w="566"/>
        <w:gridCol w:w="1136"/>
        <w:gridCol w:w="566"/>
        <w:gridCol w:w="1289"/>
        <w:gridCol w:w="1262"/>
        <w:gridCol w:w="1275"/>
      </w:tblGrid>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6,763,589</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472,025,244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329,884,937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808,673,770</w:t>
            </w: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24,453,288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24,453,288</w:t>
            </w: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-754,142</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-3,374,147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Times New Roman" w:hAnsi="Times New Roman" w:cs="Times New Roman" w:eastAsia="Times New Roman" w:hint="default"/>
                <w:sz w:val="18"/>
                <w:szCs w:val="18"/>
              </w:rPr>
            </w:pPr>
            <w:r>
              <w:rPr>
                <w:rFonts w:ascii="Times New Roman"/>
                <w:sz w:val="18"/>
              </w:rPr>
              <w:t>-32,933,492</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28,805,203</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2" w:right="0"/>
              <w:jc w:val="center"/>
              <w:rPr>
                <w:rFonts w:ascii="Times New Roman" w:hAnsi="Times New Roman" w:cs="Times New Roman" w:eastAsia="Times New Roman" w:hint="default"/>
                <w:sz w:val="18"/>
                <w:szCs w:val="18"/>
              </w:rPr>
            </w:pPr>
            <w:r>
              <w:rPr>
                <w:rFonts w:ascii="Times New Roman"/>
                <w:sz w:val="18"/>
              </w:rPr>
              <w:t>68,755,003</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-360,107,393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-28,503,945</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-319,856,335</w:t>
            </w: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center"/>
              <w:rPr>
                <w:rFonts w:ascii="Times New Roman" w:hAnsi="Times New Roman" w:cs="Times New Roman" w:eastAsia="Times New Roman" w:hint="default"/>
                <w:sz w:val="18"/>
                <w:szCs w:val="18"/>
              </w:rPr>
            </w:pPr>
            <w:r>
              <w:rPr>
                <w:rFonts w:ascii="Times New Roman"/>
                <w:sz w:val="18"/>
              </w:rPr>
              <w:t>68,755,003</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w w:val="95"/>
                <w:sz w:val="18"/>
              </w:rPr>
              <w:t>-68,755,003</w:t>
            </w:r>
            <w:r>
              <w:rPr>
                <w:rFonts w:ascii="Times New Roman"/>
                <w:sz w:val="18"/>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-291,352,390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-28,503,945</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-319,856,335</w:t>
            </w: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194,234,927</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-194,234,927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194,234,927</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-194,234,927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1,171,419,007</w:t>
            </w: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744,991,795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center"/>
              <w:rPr>
                <w:rFonts w:ascii="Times New Roman" w:hAnsi="Times New Roman" w:cs="Times New Roman" w:eastAsia="Times New Roman" w:hint="default"/>
                <w:sz w:val="18"/>
                <w:szCs w:val="18"/>
              </w:rPr>
            </w:pPr>
            <w:r>
              <w:rPr>
                <w:rFonts w:ascii="Times New Roman"/>
                <w:sz w:val="18"/>
              </w:rPr>
              <w:t>47,702,458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76" w:right="0"/>
              <w:jc w:val="left"/>
              <w:rPr>
                <w:rFonts w:ascii="Times New Roman" w:hAnsi="Times New Roman" w:cs="Times New Roman" w:eastAsia="Times New Roman" w:hint="default"/>
                <w:sz w:val="18"/>
                <w:szCs w:val="18"/>
              </w:rPr>
            </w:pPr>
            <w:r>
              <w:rPr>
                <w:rFonts w:ascii="Times New Roman"/>
                <w:sz w:val="18"/>
              </w:rPr>
              <w:t>-957,408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3" w:right="0"/>
              <w:jc w:val="center"/>
              <w:rPr>
                <w:rFonts w:ascii="Times New Roman" w:hAnsi="Times New Roman" w:cs="Times New Roman" w:eastAsia="Times New Roman" w:hint="default"/>
                <w:sz w:val="18"/>
                <w:szCs w:val="18"/>
              </w:rPr>
            </w:pPr>
            <w:r>
              <w:rPr>
                <w:rFonts w:ascii="Times New Roman"/>
                <w:sz w:val="18"/>
              </w:rPr>
              <w:t>591,644,432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1,479,061,538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456,355,186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4,394,812,092</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684" w:right="0"/>
        <w:jc w:val="left"/>
      </w:pPr>
      <w:r>
        <w:rPr/>
        <w:t>法定代表人：王文京 主管会计工作负责人：章培林</w:t>
      </w:r>
      <w:r>
        <w:rPr>
          <w:spacing w:val="-7"/>
        </w:rPr>
        <w:t> </w:t>
      </w:r>
      <w:r>
        <w:rPr/>
        <w:t>会计机构负责人：王仕平</w:t>
      </w:r>
    </w:p>
    <w:p>
      <w:pPr>
        <w:spacing w:after="0" w:line="240" w:lineRule="auto"/>
        <w:jc w:val="left"/>
        <w:sectPr>
          <w:pgSz w:w="16840" w:h="11910" w:orient="landscape"/>
          <w:pgMar w:header="926" w:footer="1316" w:top="1120" w:bottom="1500" w:left="840" w:right="8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926" w:footer="1316" w:top="1120" w:bottom="1500" w:left="840" w:right="1280"/>
        </w:sectPr>
      </w:pPr>
    </w:p>
    <w:p>
      <w:pPr>
        <w:spacing w:line="272" w:lineRule="exact" w:before="64"/>
        <w:ind w:left="684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520" w:left="840" w:right="1280"/>
          <w:cols w:num="2" w:equalWidth="0">
            <w:col w:w="8771" w:space="40"/>
            <w:col w:w="5909"/>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127"/>
        <w:gridCol w:w="1274"/>
        <w:gridCol w:w="711"/>
        <w:gridCol w:w="708"/>
        <w:gridCol w:w="1135"/>
        <w:gridCol w:w="1416"/>
        <w:gridCol w:w="1277"/>
        <w:gridCol w:w="991"/>
        <w:gridCol w:w="708"/>
        <w:gridCol w:w="1136"/>
        <w:gridCol w:w="1418"/>
        <w:gridCol w:w="1570"/>
      </w:tblGrid>
      <w:tr>
        <w:trPr>
          <w:trHeight w:val="250" w:hRule="exact"/>
        </w:trPr>
        <w:tc>
          <w:tcPr>
            <w:tcW w:w="212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45"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2127" w:type="dxa"/>
            <w:vMerge/>
            <w:tcBorders>
              <w:left w:val="single" w:sz="6" w:space="0" w:color="000000"/>
              <w:right w:val="single" w:sz="6" w:space="0" w:color="000000"/>
            </w:tcBorders>
          </w:tcPr>
          <w:p>
            <w:pPr/>
          </w:p>
        </w:tc>
        <w:tc>
          <w:tcPr>
            <w:tcW w:w="1274" w:type="dxa"/>
            <w:vMerge w:val="restart"/>
            <w:tcBorders>
              <w:top w:val="single" w:sz="6" w:space="0" w:color="000000"/>
              <w:left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2554"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1" w:type="dxa"/>
            <w:vMerge w:val="restart"/>
            <w:tcBorders>
              <w:top w:val="single" w:sz="6" w:space="0" w:color="000000"/>
              <w:left w:val="single" w:sz="6" w:space="0" w:color="000000"/>
              <w:right w:val="single" w:sz="6" w:space="0" w:color="000000"/>
            </w:tcBorders>
          </w:tcPr>
          <w:p>
            <w:pPr>
              <w:pStyle w:val="TableParagraph"/>
              <w:spacing w:line="232" w:lineRule="exact" w:before="160"/>
              <w:ind w:left="307" w:right="127"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08" w:type="dxa"/>
            <w:vMerge w:val="restart"/>
            <w:tcBorders>
              <w:top w:val="single" w:sz="6" w:space="0" w:color="000000"/>
              <w:left w:val="single" w:sz="6" w:space="0" w:color="000000"/>
              <w:right w:val="single" w:sz="6" w:space="0" w:color="000000"/>
            </w:tcBorders>
          </w:tcPr>
          <w:p>
            <w:pPr>
              <w:pStyle w:val="TableParagraph"/>
              <w:spacing w:line="232" w:lineRule="exact" w:before="160"/>
              <w:ind w:left="165" w:right="1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7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5" w:hRule="exact"/>
        </w:trPr>
        <w:tc>
          <w:tcPr>
            <w:tcW w:w="2127"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4" w:space="0" w:color="000000"/>
            </w:tcBorders>
          </w:tcPr>
          <w:p>
            <w:pPr/>
          </w:p>
        </w:tc>
        <w:tc>
          <w:tcPr>
            <w:tcW w:w="711"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113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136"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570" w:type="dxa"/>
            <w:vMerge/>
            <w:tcBorders>
              <w:left w:val="single" w:sz="6" w:space="0" w:color="000000"/>
              <w:bottom w:val="single" w:sz="6" w:space="0" w:color="000000"/>
              <w:right w:val="single" w:sz="6" w:space="0" w:color="000000"/>
            </w:tcBorders>
          </w:tcPr>
          <w:p>
            <w:pPr/>
          </w:p>
        </w:tc>
      </w:tr>
      <w:tr>
        <w:trPr>
          <w:trHeight w:val="24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1,171,419,007</w:t>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428,122,920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9" w:right="0"/>
              <w:jc w:val="center"/>
              <w:rPr>
                <w:rFonts w:ascii="Times New Roman" w:hAnsi="Times New Roman" w:cs="Times New Roman" w:eastAsia="Times New Roman" w:hint="default"/>
                <w:sz w:val="18"/>
                <w:szCs w:val="18"/>
              </w:rPr>
            </w:pPr>
            <w:r>
              <w:rPr>
                <w:rFonts w:ascii="Times New Roman"/>
                <w:sz w:val="18"/>
              </w:rPr>
              <w:t>591,644,432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1,259,772,753</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3,450,959,112</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47,702,458</w:t>
            </w: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w w:val="95"/>
                <w:sz w:val="18"/>
              </w:rPr>
              <w:t>-47,702,458</w:t>
            </w:r>
            <w:r>
              <w:rPr>
                <w:rFonts w:ascii="Times New Roman"/>
                <w:sz w:val="18"/>
              </w:rPr>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1,171,419,007</w:t>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428,122,920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47,702,458</w:t>
            </w: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9" w:right="0"/>
              <w:jc w:val="center"/>
              <w:rPr>
                <w:rFonts w:ascii="Times New Roman" w:hAnsi="Times New Roman" w:cs="Times New Roman" w:eastAsia="Times New Roman" w:hint="default"/>
                <w:sz w:val="18"/>
                <w:szCs w:val="18"/>
              </w:rPr>
            </w:pPr>
            <w:r>
              <w:rPr>
                <w:rFonts w:ascii="Times New Roman"/>
                <w:sz w:val="18"/>
              </w:rPr>
              <w:t>591,644,432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1,259,772,753</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3,403,256,654</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293,269,313</w:t>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1,388,052,856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w w:val="95"/>
                <w:sz w:val="18"/>
              </w:rPr>
              <w:t>-25,066,756</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8" w:right="0"/>
              <w:jc w:val="center"/>
              <w:rPr>
                <w:rFonts w:ascii="Times New Roman" w:hAnsi="Times New Roman" w:cs="Times New Roman" w:eastAsia="Times New Roman" w:hint="default"/>
                <w:sz w:val="18"/>
                <w:szCs w:val="18"/>
              </w:rPr>
            </w:pPr>
            <w:r>
              <w:rPr>
                <w:rFonts w:ascii="Times New Roman"/>
                <w:sz w:val="18"/>
              </w:rPr>
              <w:t>43,728,666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-103,629,934</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pacing w:val="-1"/>
                <w:sz w:val="18"/>
              </w:rPr>
              <w:t>1,646,487,657</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291,524,434</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291,524,434</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58,985,512</w:t>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1,622,336,657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-25,066,756</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1,706,388,925</w:t>
            </w:r>
          </w:p>
        </w:tc>
      </w:tr>
      <w:tr>
        <w:trPr>
          <w:trHeight w:val="24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53,484,602</w:t>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1,617,429,853</w:t>
            </w: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1,670,914,455</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8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5,500,910</w:t>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4,879,289</w:t>
            </w: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10,380,199</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27,515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-25,066,756</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25,094,271</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8" w:right="0"/>
              <w:jc w:val="center"/>
              <w:rPr>
                <w:rFonts w:ascii="Times New Roman" w:hAnsi="Times New Roman" w:cs="Times New Roman" w:eastAsia="Times New Roman" w:hint="default"/>
                <w:sz w:val="18"/>
                <w:szCs w:val="18"/>
              </w:rPr>
            </w:pPr>
            <w:r>
              <w:rPr>
                <w:rFonts w:ascii="Times New Roman"/>
                <w:sz w:val="18"/>
              </w:rPr>
              <w:t>43,728,666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-395,154,368</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-351,425,702</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8" w:right="0"/>
              <w:jc w:val="center"/>
              <w:rPr>
                <w:rFonts w:ascii="Times New Roman" w:hAnsi="Times New Roman" w:cs="Times New Roman" w:eastAsia="Times New Roman" w:hint="default"/>
                <w:sz w:val="18"/>
                <w:szCs w:val="18"/>
              </w:rPr>
            </w:pPr>
            <w:r>
              <w:rPr>
                <w:rFonts w:ascii="Times New Roman"/>
                <w:sz w:val="18"/>
              </w:rPr>
              <w:t>43,728,666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-43,728,666</w:t>
            </w:r>
            <w:r>
              <w:rPr>
                <w:rFonts w:ascii="Times New Roman"/>
                <w:sz w:val="18"/>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8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-351,425,702</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-351,425,702</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234,283,801</w:t>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-234,283,801</w:t>
            </w: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234,283,801</w:t>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-234,283,801</w:t>
            </w: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520" w:left="840" w:right="1280"/>
        </w:sectPr>
      </w:pPr>
    </w:p>
    <w:p>
      <w:pPr>
        <w:spacing w:line="240" w:lineRule="auto" w:before="4"/>
        <w:rPr>
          <w:rFonts w:ascii="Times New Roman" w:hAnsi="Times New Roman" w:cs="Times New Roman" w:eastAsia="Times New Roman" w:hint="default"/>
          <w:sz w:val="7"/>
          <w:szCs w:val="7"/>
        </w:rPr>
      </w:pPr>
    </w:p>
    <w:p>
      <w:pPr>
        <w:spacing w:line="20" w:lineRule="exact"/>
        <w:ind w:left="64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7.35pt;height:.75pt;mso-position-horizontal-relative:char;mso-position-vertical-relative:line" coordorigin="0,0" coordsize="13947,15">
            <v:group style="position:absolute;left:7;top:7;width:13932;height:2" coordorigin="7,7" coordsize="13932,2">
              <v:shape style="position:absolute;left:7;top:7;width:13932;height:2" coordorigin="7,7" coordsize="13932,0" path="m7,7l13939,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127"/>
        <w:gridCol w:w="1274"/>
        <w:gridCol w:w="711"/>
        <w:gridCol w:w="708"/>
        <w:gridCol w:w="1135"/>
        <w:gridCol w:w="1416"/>
        <w:gridCol w:w="1277"/>
        <w:gridCol w:w="991"/>
        <w:gridCol w:w="708"/>
        <w:gridCol w:w="1136"/>
        <w:gridCol w:w="1418"/>
        <w:gridCol w:w="1570"/>
      </w:tblGrid>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24" w:right="0"/>
              <w:jc w:val="left"/>
              <w:rPr>
                <w:rFonts w:ascii="Times New Roman" w:hAnsi="Times New Roman" w:cs="Times New Roman" w:eastAsia="Times New Roman" w:hint="default"/>
                <w:sz w:val="18"/>
                <w:szCs w:val="18"/>
              </w:rPr>
            </w:pPr>
            <w:r>
              <w:rPr>
                <w:rFonts w:ascii="Times New Roman"/>
                <w:sz w:val="18"/>
              </w:rPr>
              <w:t>1,464,688,320</w:t>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66" w:right="0"/>
              <w:jc w:val="left"/>
              <w:rPr>
                <w:rFonts w:ascii="Times New Roman" w:hAnsi="Times New Roman" w:cs="Times New Roman" w:eastAsia="Times New Roman" w:hint="default"/>
                <w:sz w:val="18"/>
                <w:szCs w:val="18"/>
              </w:rPr>
            </w:pPr>
            <w:r>
              <w:rPr>
                <w:rFonts w:ascii="Times New Roman"/>
                <w:sz w:val="18"/>
              </w:rPr>
              <w:t>1,816,175,776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50" w:right="0"/>
              <w:jc w:val="left"/>
              <w:rPr>
                <w:rFonts w:ascii="Times New Roman" w:hAnsi="Times New Roman" w:cs="Times New Roman" w:eastAsia="Times New Roman" w:hint="default"/>
                <w:sz w:val="18"/>
                <w:szCs w:val="18"/>
              </w:rPr>
            </w:pPr>
            <w:r>
              <w:rPr>
                <w:rFonts w:ascii="Times New Roman"/>
                <w:sz w:val="18"/>
              </w:rPr>
              <w:t>22,635,702</w:t>
            </w: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0" w:right="0"/>
              <w:jc w:val="left"/>
              <w:rPr>
                <w:rFonts w:ascii="Times New Roman" w:hAnsi="Times New Roman" w:cs="Times New Roman" w:eastAsia="Times New Roman" w:hint="default"/>
                <w:sz w:val="18"/>
                <w:szCs w:val="18"/>
              </w:rPr>
            </w:pPr>
            <w:r>
              <w:rPr>
                <w:rFonts w:ascii="Times New Roman"/>
                <w:sz w:val="18"/>
              </w:rPr>
              <w:t>635,373,098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68" w:right="0"/>
              <w:jc w:val="left"/>
              <w:rPr>
                <w:rFonts w:ascii="Times New Roman" w:hAnsi="Times New Roman" w:cs="Times New Roman" w:eastAsia="Times New Roman" w:hint="default"/>
                <w:sz w:val="18"/>
                <w:szCs w:val="18"/>
              </w:rPr>
            </w:pPr>
            <w:r>
              <w:rPr>
                <w:rFonts w:ascii="Times New Roman"/>
                <w:sz w:val="18"/>
              </w:rPr>
              <w:t>1,156,142,819</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22" w:right="0"/>
              <w:jc w:val="left"/>
              <w:rPr>
                <w:rFonts w:ascii="Times New Roman" w:hAnsi="Times New Roman" w:cs="Times New Roman" w:eastAsia="Times New Roman" w:hint="default"/>
                <w:sz w:val="18"/>
                <w:szCs w:val="18"/>
              </w:rPr>
            </w:pPr>
            <w:r>
              <w:rPr>
                <w:rFonts w:ascii="Times New Roman"/>
                <w:sz w:val="18"/>
              </w:rPr>
              <w:t>5,049,744,311</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127"/>
        <w:gridCol w:w="1274"/>
        <w:gridCol w:w="711"/>
        <w:gridCol w:w="708"/>
        <w:gridCol w:w="1135"/>
        <w:gridCol w:w="1416"/>
        <w:gridCol w:w="1277"/>
        <w:gridCol w:w="991"/>
        <w:gridCol w:w="708"/>
        <w:gridCol w:w="1136"/>
        <w:gridCol w:w="1418"/>
        <w:gridCol w:w="1570"/>
      </w:tblGrid>
      <w:tr>
        <w:trPr>
          <w:trHeight w:val="250" w:hRule="exact"/>
        </w:trPr>
        <w:tc>
          <w:tcPr>
            <w:tcW w:w="212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45"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127" w:type="dxa"/>
            <w:vMerge/>
            <w:tcBorders>
              <w:left w:val="single" w:sz="6" w:space="0" w:color="000000"/>
              <w:right w:val="single" w:sz="6" w:space="0" w:color="000000"/>
            </w:tcBorders>
          </w:tcPr>
          <w:p>
            <w:pPr/>
          </w:p>
        </w:tc>
        <w:tc>
          <w:tcPr>
            <w:tcW w:w="1274" w:type="dxa"/>
            <w:vMerge w:val="restart"/>
            <w:tcBorders>
              <w:top w:val="single" w:sz="6" w:space="0" w:color="000000"/>
              <w:left w:val="single" w:sz="6"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2554"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1" w:type="dxa"/>
            <w:vMerge w:val="restart"/>
            <w:tcBorders>
              <w:top w:val="single" w:sz="6" w:space="0" w:color="000000"/>
              <w:left w:val="single" w:sz="6" w:space="0" w:color="000000"/>
              <w:right w:val="single" w:sz="6" w:space="0" w:color="000000"/>
            </w:tcBorders>
          </w:tcPr>
          <w:p>
            <w:pPr>
              <w:pStyle w:val="TableParagraph"/>
              <w:spacing w:line="232" w:lineRule="exact" w:before="160"/>
              <w:ind w:left="307" w:right="127"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08" w:type="dxa"/>
            <w:vMerge w:val="restart"/>
            <w:tcBorders>
              <w:top w:val="single" w:sz="6" w:space="0" w:color="000000"/>
              <w:left w:val="single" w:sz="6" w:space="0" w:color="000000"/>
              <w:right w:val="single" w:sz="6" w:space="0" w:color="000000"/>
            </w:tcBorders>
          </w:tcPr>
          <w:p>
            <w:pPr>
              <w:pStyle w:val="TableParagraph"/>
              <w:spacing w:line="232" w:lineRule="exact" w:before="160"/>
              <w:ind w:left="165" w:right="1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7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5" w:hRule="exact"/>
        </w:trPr>
        <w:tc>
          <w:tcPr>
            <w:tcW w:w="2127"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4" w:space="0" w:color="000000"/>
            </w:tcBorders>
          </w:tcPr>
          <w:p>
            <w:pPr/>
          </w:p>
        </w:tc>
        <w:tc>
          <w:tcPr>
            <w:tcW w:w="711"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113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136"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570" w:type="dxa"/>
            <w:vMerge/>
            <w:tcBorders>
              <w:left w:val="single" w:sz="6" w:space="0" w:color="000000"/>
              <w:bottom w:val="single" w:sz="6" w:space="0" w:color="000000"/>
              <w:right w:val="single" w:sz="6" w:space="0" w:color="000000"/>
            </w:tcBorders>
          </w:tcPr>
          <w:p>
            <w:pP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971,174,633</w:t>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493,604,742</w:t>
            </w: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522,889,429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1,161,513,468</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3,149,182,272</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80,635,950</w:t>
            </w: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w w:val="95"/>
                <w:sz w:val="18"/>
              </w:rPr>
              <w:t>-80,635,950</w:t>
            </w:r>
            <w:r>
              <w:rPr>
                <w:rFonts w:ascii="Times New Roman"/>
                <w:sz w:val="18"/>
              </w:rPr>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971,174,633</w:t>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493,604,742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80,635,950</w:t>
            </w: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522,889,429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1,161,513,468</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3,068,546,322</w:t>
            </w:r>
          </w:p>
        </w:tc>
      </w:tr>
      <w:tr>
        <w:trPr>
          <w:trHeight w:val="483"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200,244,374</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w w:val="95"/>
                <w:sz w:val="18"/>
              </w:rPr>
              <w:t>-65,481,822</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w w:val="95"/>
                <w:sz w:val="18"/>
              </w:rPr>
              <w:t>-32,933,492</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68,755,003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98,259,285</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pacing w:val="-1"/>
                <w:sz w:val="18"/>
              </w:rPr>
              <w:t>334,710,332</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458,366,678</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458,366,678</w:t>
            </w:r>
          </w:p>
        </w:tc>
      </w:tr>
      <w:tr>
        <w:trPr>
          <w:trHeight w:val="48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6,009,447</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128,753,105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-32,933,492</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8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8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8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167,696,044</w:t>
            </w: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6,763,589</w:t>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107,794,010</w:t>
            </w: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pacing w:val="-1"/>
                <w:sz w:val="18"/>
              </w:rPr>
              <w:t>114,557,599</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0</w:t>
            </w: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24,453,288</w:t>
            </w: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24,453,288</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-754,142</w:t>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-3,494,193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-32,933,492</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28,685,157</w:t>
            </w:r>
          </w:p>
        </w:tc>
      </w:tr>
      <w:tr>
        <w:trPr>
          <w:trHeight w:val="43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8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68,755,003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-360,107,393</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-291,352,390</w:t>
            </w: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68,755,003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5"/>
                <w:sz w:val="18"/>
              </w:rPr>
              <w:t>-68,755,003</w:t>
            </w:r>
            <w:r>
              <w:rPr>
                <w:rFonts w:ascii="Times New Roman"/>
                <w:sz w:val="18"/>
              </w:rPr>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-291,352,390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pacing w:val="-1"/>
                <w:sz w:val="18"/>
              </w:rPr>
              <w:t>-291,352,390</w:t>
            </w:r>
          </w:p>
        </w:tc>
      </w:tr>
    </w:tbl>
    <w:p>
      <w:pPr>
        <w:spacing w:after="0" w:line="205" w:lineRule="exact"/>
        <w:jc w:val="right"/>
        <w:rPr>
          <w:rFonts w:ascii="Times New Roman" w:hAnsi="Times New Roman" w:cs="Times New Roman" w:eastAsia="Times New Roman" w:hint="default"/>
          <w:sz w:val="18"/>
          <w:szCs w:val="18"/>
        </w:rPr>
        <w:sectPr>
          <w:headerReference w:type="default" r:id="rId36"/>
          <w:footerReference w:type="default" r:id="rId37"/>
          <w:pgSz w:w="16840" w:h="11910" w:orient="landscape"/>
          <w:pgMar w:header="0" w:footer="1316" w:top="1020" w:bottom="1500" w:left="840" w:right="1280"/>
          <w:pgNumType w:start="16"/>
        </w:sectPr>
      </w:pPr>
    </w:p>
    <w:p>
      <w:pPr>
        <w:spacing w:line="240" w:lineRule="auto" w:before="2"/>
        <w:rPr>
          <w:rFonts w:ascii="Times New Roman" w:hAnsi="Times New Roman" w:cs="Times New Roman" w:eastAsia="Times New Roman"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127"/>
        <w:gridCol w:w="1274"/>
        <w:gridCol w:w="711"/>
        <w:gridCol w:w="708"/>
        <w:gridCol w:w="1135"/>
        <w:gridCol w:w="1416"/>
        <w:gridCol w:w="1277"/>
        <w:gridCol w:w="991"/>
        <w:gridCol w:w="708"/>
        <w:gridCol w:w="1136"/>
        <w:gridCol w:w="1418"/>
        <w:gridCol w:w="1570"/>
      </w:tblGrid>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194,234,927</w:t>
            </w:r>
          </w:p>
        </w:tc>
        <w:tc>
          <w:tcPr>
            <w:tcW w:w="71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-194,234,927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8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8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8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8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194,234,927</w:t>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-194,234,927</w:t>
            </w: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盈余公积转增资</w:t>
            </w:r>
            <w:r>
              <w:rPr>
                <w:rFonts w:ascii="宋体" w:hAnsi="宋体" w:cs="宋体" w:eastAsia="宋体" w:hint="default"/>
                <w:spacing w:val="-80"/>
                <w:sz w:val="18"/>
                <w:szCs w:val="18"/>
              </w:rPr>
              <w:t>本</w:t>
            </w:r>
            <w:r>
              <w:rPr>
                <w:rFonts w:ascii="宋体" w:hAnsi="宋体" w:cs="宋体" w:eastAsia="宋体" w:hint="default"/>
                <w:sz w:val="18"/>
                <w:szCs w:val="18"/>
              </w:rPr>
              <w:t>（或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4" w:type="dxa"/>
            <w:tcBorders>
              <w:top w:val="single" w:sz="6" w:space="0" w:color="000000"/>
              <w:left w:val="single" w:sz="6" w:space="0" w:color="000000"/>
              <w:bottom w:val="single" w:sz="6" w:space="0" w:color="000000"/>
              <w:right w:val="single" w:sz="4" w:space="0" w:color="000000"/>
            </w:tcBorders>
          </w:tcPr>
          <w:p>
            <w:pP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4"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1,171,419,007</w:t>
            </w:r>
          </w:p>
        </w:tc>
        <w:tc>
          <w:tcPr>
            <w:tcW w:w="711"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1135"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428,122,920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47,702,458</w:t>
            </w:r>
          </w:p>
        </w:tc>
        <w:tc>
          <w:tcPr>
            <w:tcW w:w="991"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591,644,432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1,259,772,753</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422" w:right="0"/>
              <w:jc w:val="left"/>
              <w:rPr>
                <w:rFonts w:ascii="Times New Roman" w:hAnsi="Times New Roman" w:cs="Times New Roman" w:eastAsia="Times New Roman" w:hint="default"/>
                <w:sz w:val="18"/>
                <w:szCs w:val="18"/>
              </w:rPr>
            </w:pPr>
            <w:r>
              <w:rPr>
                <w:rFonts w:ascii="Times New Roman"/>
                <w:sz w:val="18"/>
              </w:rPr>
              <w:t>3,403,256,654</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684" w:right="0"/>
        <w:jc w:val="left"/>
      </w:pPr>
      <w:r>
        <w:rPr/>
        <w:t>法定代表人：王文京 主管会计工作负责人：章培林</w:t>
      </w:r>
      <w:r>
        <w:rPr>
          <w:spacing w:val="-7"/>
        </w:rPr>
        <w:t> </w:t>
      </w:r>
      <w:r>
        <w:rPr/>
        <w:t>会计机构负责人：王仕平</w:t>
      </w:r>
    </w:p>
    <w:p>
      <w:pPr>
        <w:spacing w:after="0" w:line="240" w:lineRule="auto"/>
        <w:jc w:val="left"/>
        <w:sectPr>
          <w:pgSz w:w="16840" w:h="11910" w:orient="landscape"/>
          <w:pgMar w:header="0" w:footer="1316" w:top="1120" w:bottom="1500" w:left="840" w:right="1280"/>
        </w:sectPr>
      </w:pPr>
    </w:p>
    <w:p>
      <w:pPr>
        <w:spacing w:line="240" w:lineRule="auto" w:before="9"/>
        <w:rPr>
          <w:rFonts w:ascii="宋体" w:hAnsi="宋体" w:cs="宋体" w:eastAsia="宋体" w:hint="default"/>
          <w:sz w:val="29"/>
          <w:szCs w:val="29"/>
        </w:rPr>
      </w:pPr>
    </w:p>
    <w:p>
      <w:pPr>
        <w:pStyle w:val="Heading2"/>
        <w:spacing w:line="240" w:lineRule="auto"/>
        <w:ind w:left="138" w:right="2465"/>
        <w:jc w:val="left"/>
        <w:rPr>
          <w:b w:val="0"/>
          <w:bCs w:val="0"/>
        </w:rPr>
      </w:pPr>
      <w:r>
        <w:rPr/>
        <w:t>三、公司基本情况</w:t>
      </w:r>
      <w:r>
        <w:rPr>
          <w:b w:val="0"/>
          <w:bCs w:val="0"/>
        </w:rPr>
      </w:r>
    </w:p>
    <w:p>
      <w:pPr>
        <w:pStyle w:val="BodyText"/>
        <w:tabs>
          <w:tab w:pos="557" w:val="left" w:leader="none"/>
        </w:tabs>
        <w:spacing w:line="280" w:lineRule="auto" w:before="58"/>
        <w:ind w:right="99"/>
        <w:jc w:val="left"/>
      </w:pPr>
      <w:r>
        <w:rPr>
          <w:rFonts w:ascii="Calibri" w:hAnsi="Calibri" w:cs="Calibri" w:eastAsia="Calibri" w:hint="default"/>
          <w:b/>
          <w:bCs/>
        </w:rPr>
        <w:t>1.</w:t>
        <w:tab/>
      </w:r>
      <w:r>
        <w:rPr>
          <w:rFonts w:ascii="宋体" w:hAnsi="宋体" w:cs="宋体" w:eastAsia="宋体" w:hint="default"/>
          <w:b/>
          <w:bCs/>
        </w:rPr>
        <w:t>公司概况</w:t>
      </w:r>
      <w:r>
        <w:rPr>
          <w:rFonts w:ascii="宋体" w:hAnsi="宋体" w:cs="宋体" w:eastAsia="宋体" w:hint="default"/>
          <w:b/>
          <w:bCs/>
          <w:w w:val="100"/>
        </w:rPr>
        <w:t> </w:t>
      </w:r>
      <w:r>
        <w:rPr/>
        <w:t>用友网络科技股份有限公司</w:t>
      </w:r>
      <w:r>
        <w:rPr>
          <w:rFonts w:ascii="宋体" w:hAnsi="宋体" w:cs="宋体" w:eastAsia="宋体" w:hint="default"/>
        </w:rPr>
        <w:t>(</w:t>
      </w:r>
      <w:r>
        <w:rPr/>
        <w:t>以下简称“本公司”)是根据《中华人民共和国公司法》</w:t>
      </w:r>
      <w:r>
        <w:rPr>
          <w:rFonts w:ascii="宋体" w:hAnsi="宋体" w:cs="宋体" w:eastAsia="宋体" w:hint="default"/>
        </w:rPr>
        <w:t>(</w:t>
      </w:r>
      <w:r>
        <w:rPr/>
        <w:t>以下简称</w:t>
      </w:r>
      <w:r>
        <w:rPr>
          <w:w w:val="100"/>
        </w:rPr>
        <w:t> </w:t>
      </w:r>
      <w:r>
        <w:rPr/>
        <w:t>“公司法”)于</w:t>
      </w:r>
      <w:r>
        <w:rPr>
          <w:spacing w:val="-70"/>
        </w:rPr>
        <w:t> </w:t>
      </w:r>
      <w:r>
        <w:rPr>
          <w:rFonts w:ascii="宋体" w:hAnsi="宋体" w:cs="宋体" w:eastAsia="宋体" w:hint="default"/>
        </w:rPr>
        <w:t>1999</w:t>
      </w:r>
      <w:r>
        <w:rPr>
          <w:rFonts w:ascii="宋体" w:hAnsi="宋体" w:cs="宋体" w:eastAsia="宋体" w:hint="default"/>
          <w:spacing w:val="-70"/>
        </w:rPr>
        <w:t> </w:t>
      </w:r>
      <w:r>
        <w:rPr/>
        <w:t>年</w:t>
      </w:r>
      <w:r>
        <w:rPr>
          <w:spacing w:val="-70"/>
        </w:rPr>
        <w:t> </w:t>
      </w:r>
      <w:r>
        <w:rPr>
          <w:rFonts w:ascii="宋体" w:hAnsi="宋体" w:cs="宋体" w:eastAsia="宋体" w:hint="default"/>
        </w:rPr>
        <w:t>12</w:t>
      </w:r>
      <w:r>
        <w:rPr>
          <w:rFonts w:ascii="宋体" w:hAnsi="宋体" w:cs="宋体" w:eastAsia="宋体" w:hint="default"/>
          <w:spacing w:val="-73"/>
        </w:rPr>
        <w:t> </w:t>
      </w:r>
      <w:r>
        <w:rPr/>
        <w:t>月</w:t>
      </w:r>
      <w:r>
        <w:rPr>
          <w:spacing w:val="-70"/>
        </w:rPr>
        <w:t> </w:t>
      </w:r>
      <w:r>
        <w:rPr>
          <w:rFonts w:ascii="宋体" w:hAnsi="宋体" w:cs="宋体" w:eastAsia="宋体" w:hint="default"/>
        </w:rPr>
        <w:t>6</w:t>
      </w:r>
      <w:r>
        <w:rPr>
          <w:rFonts w:ascii="宋体" w:hAnsi="宋体" w:cs="宋体" w:eastAsia="宋体" w:hint="default"/>
          <w:spacing w:val="-70"/>
        </w:rPr>
        <w:t> </w:t>
      </w:r>
      <w:r>
        <w:rPr/>
        <w:t>日在中华人民共和国</w:t>
      </w:r>
      <w:r>
        <w:rPr>
          <w:rFonts w:ascii="宋体" w:hAnsi="宋体" w:cs="宋体" w:eastAsia="宋体" w:hint="default"/>
        </w:rPr>
        <w:t>(</w:t>
      </w:r>
      <w:r>
        <w:rPr/>
        <w:t>以下简称“中国”)注册成立的股份有限公司。</w:t>
      </w:r>
    </w:p>
    <w:p>
      <w:pPr>
        <w:pStyle w:val="BodyText"/>
        <w:spacing w:line="240" w:lineRule="auto" w:before="30"/>
        <w:ind w:right="225"/>
        <w:jc w:val="left"/>
      </w:pPr>
      <w:r>
        <w:rPr/>
        <w:t>根据</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9</w:t>
      </w:r>
      <w:r>
        <w:rPr>
          <w:rFonts w:ascii="宋体" w:hAnsi="宋体" w:cs="宋体" w:eastAsia="宋体" w:hint="default"/>
          <w:spacing w:val="-56"/>
        </w:rPr>
        <w:t> </w:t>
      </w:r>
      <w:r>
        <w:rPr/>
        <w:t>日召开的</w:t>
      </w:r>
      <w:r>
        <w:rPr>
          <w:spacing w:val="-53"/>
        </w:rPr>
        <w:t> </w:t>
      </w:r>
      <w:r>
        <w:rPr>
          <w:rFonts w:ascii="宋体" w:hAnsi="宋体" w:cs="宋体" w:eastAsia="宋体" w:hint="default"/>
        </w:rPr>
        <w:t>2015</w:t>
      </w:r>
      <w:r>
        <w:rPr>
          <w:rFonts w:ascii="宋体" w:hAnsi="宋体" w:cs="宋体" w:eastAsia="宋体" w:hint="default"/>
          <w:spacing w:val="-54"/>
        </w:rPr>
        <w:t> </w:t>
      </w:r>
      <w:r>
        <w:rPr/>
        <w:t>年第一次临时股东大会通过的决议，公司名称由“用友软件股</w:t>
      </w:r>
    </w:p>
    <w:p>
      <w:pPr>
        <w:pStyle w:val="BodyText"/>
        <w:spacing w:line="297" w:lineRule="auto" w:before="66"/>
        <w:ind w:right="317"/>
        <w:jc w:val="both"/>
      </w:pPr>
      <w:r>
        <w:rPr/>
        <w:t>份有限公司”变更为“用友网络科技股份有限公司”。</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日，相关工商变更手续已</w:t>
      </w:r>
      <w:r>
        <w:rPr>
          <w:w w:val="100"/>
        </w:rPr>
        <w:t> </w:t>
      </w:r>
      <w:r>
        <w:rPr/>
        <w:t>办理完毕。本公司所发行的人民币普通股</w:t>
      </w:r>
      <w:r>
        <w:rPr>
          <w:spacing w:val="-55"/>
        </w:rPr>
        <w:t> </w:t>
      </w:r>
      <w:r>
        <w:rPr>
          <w:rFonts w:ascii="宋体" w:hAnsi="宋体" w:cs="宋体" w:eastAsia="宋体" w:hint="default"/>
        </w:rPr>
        <w:t>A</w:t>
      </w:r>
      <w:r>
        <w:rPr>
          <w:rFonts w:ascii="宋体" w:hAnsi="宋体" w:cs="宋体" w:eastAsia="宋体" w:hint="default"/>
          <w:spacing w:val="-55"/>
        </w:rPr>
        <w:t> </w:t>
      </w:r>
      <w:r>
        <w:rPr/>
        <w:t>股股票已在上海证券交易所上市。本公司营业执照注</w:t>
      </w:r>
      <w:r>
        <w:rPr>
          <w:w w:val="100"/>
        </w:rPr>
        <w:t> </w:t>
      </w:r>
      <w:r>
        <w:rPr/>
        <w:t>册号为</w:t>
      </w:r>
      <w:r>
        <w:rPr>
          <w:spacing w:val="-55"/>
        </w:rPr>
        <w:t> </w:t>
      </w:r>
      <w:r>
        <w:rPr>
          <w:rFonts w:ascii="宋体" w:hAnsi="宋体" w:cs="宋体" w:eastAsia="宋体" w:hint="default"/>
        </w:rPr>
        <w:t>110000005119254</w:t>
      </w:r>
      <w:r>
        <w:rPr/>
        <w:t>。</w:t>
      </w:r>
    </w:p>
    <w:p>
      <w:pPr>
        <w:spacing w:line="240" w:lineRule="auto" w:before="1"/>
        <w:rPr>
          <w:rFonts w:ascii="宋体" w:hAnsi="宋体" w:cs="宋体" w:eastAsia="宋体" w:hint="default"/>
          <w:sz w:val="27"/>
          <w:szCs w:val="27"/>
        </w:rPr>
      </w:pPr>
    </w:p>
    <w:p>
      <w:pPr>
        <w:pStyle w:val="BodyText"/>
        <w:spacing w:line="297" w:lineRule="auto"/>
        <w:ind w:right="225"/>
        <w:jc w:val="left"/>
        <w:rPr>
          <w:rFonts w:ascii="宋体" w:hAnsi="宋体" w:cs="宋体" w:eastAsia="宋体" w:hint="default"/>
        </w:rPr>
      </w:pPr>
      <w:r>
        <w:rPr>
          <w:spacing w:val="-4"/>
        </w:rPr>
        <w:t>本集团主要经营活动为：零售图书；第二类增值电信业务中的呼叫中心业务和信息服务业务</w:t>
      </w:r>
      <w:r>
        <w:rPr>
          <w:rFonts w:ascii="宋体" w:hAnsi="宋体" w:cs="宋体" w:eastAsia="宋体" w:hint="default"/>
          <w:spacing w:val="-4"/>
        </w:rPr>
        <w:t>(</w:t>
      </w:r>
      <w:r>
        <w:rPr>
          <w:spacing w:val="-4"/>
        </w:rPr>
        <w:t>不含</w:t>
      </w:r>
      <w:r>
        <w:rPr>
          <w:spacing w:val="-40"/>
        </w:rPr>
        <w:t> </w:t>
      </w:r>
      <w:r>
        <w:rPr>
          <w:spacing w:val="-2"/>
        </w:rPr>
        <w:t>固定网电话信息服务和互联网信息服务；因特网信息服务业务</w:t>
      </w:r>
      <w:r>
        <w:rPr>
          <w:rFonts w:ascii="宋体" w:hAnsi="宋体" w:cs="宋体" w:eastAsia="宋体" w:hint="default"/>
          <w:spacing w:val="-2"/>
        </w:rPr>
        <w:t>(</w:t>
      </w:r>
      <w:r>
        <w:rPr>
          <w:spacing w:val="-2"/>
        </w:rPr>
        <w:t>除新闻、出版、教育、医疗保健、</w:t>
      </w:r>
      <w:r>
        <w:rPr>
          <w:spacing w:val="-18"/>
        </w:rPr>
        <w:t> </w:t>
      </w:r>
      <w:r>
        <w:rPr>
          <w:spacing w:val="-18"/>
        </w:rPr>
      </w:r>
      <w:r>
        <w:rPr/>
        <w:t>药品、医疗器械以外的内容；电子计算机软件、硬件及外部设备的技术开发、技术咨询、技术转</w:t>
      </w:r>
      <w:r>
        <w:rPr>
          <w:w w:val="100"/>
        </w:rPr>
        <w:t> </w:t>
      </w:r>
      <w:r>
        <w:rPr/>
        <w:t>让、技术服务、技术培训；销售打印纸和计算机耗材；企业管理咨询；数据库服务；销售电子计</w:t>
      </w:r>
      <w:r>
        <w:rPr>
          <w:w w:val="100"/>
        </w:rPr>
        <w:t> </w:t>
      </w:r>
      <w:r>
        <w:rPr/>
        <w:t>算机软硬件及外部设备；设计、制作、代理、发布广告；自营和代理各类商品和技术的进出口，</w:t>
      </w:r>
      <w:r>
        <w:rPr>
          <w:w w:val="100"/>
        </w:rPr>
        <w:t> </w:t>
      </w:r>
      <w:r>
        <w:rPr>
          <w:spacing w:val="-4"/>
        </w:rPr>
        <w:t>但国家限定公司经营或禁止进出口的商品和技术除外；出租办公用房。</w:t>
      </w:r>
      <w:r>
        <w:rPr>
          <w:rFonts w:ascii="宋体" w:hAnsi="宋体" w:cs="宋体" w:eastAsia="宋体" w:hint="default"/>
          <w:spacing w:val="-4"/>
        </w:rPr>
        <w:t>(</w:t>
      </w:r>
      <w:r>
        <w:rPr>
          <w:spacing w:val="-4"/>
        </w:rPr>
        <w:t>依法须经批准的项目，经</w:t>
      </w:r>
      <w:r>
        <w:rPr>
          <w:spacing w:val="-34"/>
        </w:rPr>
        <w:t> </w:t>
      </w:r>
      <w:r>
        <w:rPr>
          <w:spacing w:val="-34"/>
        </w:rPr>
      </w:r>
      <w:r>
        <w:rPr/>
        <w:t>相关部门批准后依批准内容开展经营活动</w:t>
      </w:r>
      <w:r>
        <w:rPr>
          <w:rFonts w:ascii="宋体" w:hAnsi="宋体" w:cs="宋体" w:eastAsia="宋体" w:hint="default"/>
        </w:rPr>
        <w:t>)</w:t>
      </w:r>
    </w:p>
    <w:p>
      <w:pPr>
        <w:spacing w:line="240" w:lineRule="auto" w:before="3"/>
        <w:rPr>
          <w:rFonts w:ascii="宋体" w:hAnsi="宋体" w:cs="宋体" w:eastAsia="宋体" w:hint="default"/>
          <w:sz w:val="27"/>
          <w:szCs w:val="27"/>
        </w:rPr>
      </w:pPr>
    </w:p>
    <w:p>
      <w:pPr>
        <w:pStyle w:val="BodyText"/>
        <w:spacing w:line="240" w:lineRule="auto"/>
        <w:ind w:right="225"/>
        <w:jc w:val="left"/>
      </w:pPr>
      <w:r>
        <w:rPr/>
        <w:t>本集团的母公司和最终母公司为于中国成立的北京用友科技有限公司</w:t>
      </w:r>
      <w:r>
        <w:rPr>
          <w:rFonts w:ascii="宋体" w:hAnsi="宋体" w:cs="宋体" w:eastAsia="宋体" w:hint="default"/>
        </w:rPr>
        <w:t>(</w:t>
      </w:r>
      <w:r>
        <w:rPr/>
        <w:t>以下简称“用友科技”)。</w:t>
      </w:r>
    </w:p>
    <w:p>
      <w:pPr>
        <w:spacing w:line="240" w:lineRule="auto" w:before="0"/>
        <w:rPr>
          <w:rFonts w:ascii="宋体" w:hAnsi="宋体" w:cs="宋体" w:eastAsia="宋体" w:hint="default"/>
          <w:sz w:val="20"/>
          <w:szCs w:val="20"/>
        </w:rPr>
      </w:pPr>
    </w:p>
    <w:p>
      <w:pPr>
        <w:pStyle w:val="BodyText"/>
        <w:spacing w:line="297" w:lineRule="auto" w:before="145"/>
        <w:ind w:right="225"/>
        <w:jc w:val="left"/>
      </w:pPr>
      <w:r>
        <w:rPr/>
        <w:t>本财务报表业经公司董事会于</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日决议批准。根据本公司章程，本财务报表将提交</w:t>
      </w:r>
      <w:r>
        <w:rPr>
          <w:w w:val="100"/>
        </w:rPr>
        <w:t> </w:t>
      </w:r>
      <w:r>
        <w:rPr/>
        <w:t>股东大会审议。</w:t>
      </w:r>
    </w:p>
    <w:p>
      <w:pPr>
        <w:spacing w:line="240" w:lineRule="auto" w:before="7"/>
        <w:rPr>
          <w:rFonts w:ascii="宋体" w:hAnsi="宋体" w:cs="宋体" w:eastAsia="宋体" w:hint="default"/>
          <w:sz w:val="26"/>
          <w:szCs w:val="26"/>
        </w:rPr>
      </w:pPr>
    </w:p>
    <w:p>
      <w:pPr>
        <w:pStyle w:val="Heading2"/>
        <w:tabs>
          <w:tab w:pos="557" w:val="left" w:leader="none"/>
        </w:tabs>
        <w:spacing w:line="240" w:lineRule="auto" w:before="0"/>
        <w:ind w:left="138" w:right="2465"/>
        <w:jc w:val="left"/>
        <w:rPr>
          <w:b w:val="0"/>
          <w:bCs w:val="0"/>
        </w:rPr>
      </w:pPr>
      <w:r>
        <w:rPr>
          <w:rFonts w:ascii="Calibri" w:hAnsi="Calibri" w:cs="Calibri" w:eastAsia="Calibri" w:hint="default"/>
        </w:rPr>
        <w:t>2.</w:t>
        <w:tab/>
      </w:r>
      <w:r>
        <w:rPr/>
        <w:t>合并财务报表范围</w:t>
      </w:r>
      <w:r>
        <w:rPr>
          <w:b w:val="0"/>
          <w:bCs w:val="0"/>
        </w:rPr>
      </w:r>
    </w:p>
    <w:p>
      <w:pPr>
        <w:spacing w:line="240" w:lineRule="auto" w:before="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138" w:right="2465"/>
        <w:jc w:val="left"/>
        <w:rPr>
          <w:b w:val="0"/>
          <w:bCs w:val="0"/>
        </w:rPr>
      </w:pPr>
      <w:r>
        <w:rPr/>
        <w:t>四、财务报表的编制基础</w:t>
      </w:r>
      <w:r>
        <w:rPr>
          <w:b w:val="0"/>
          <w:bCs w:val="0"/>
        </w:rPr>
      </w:r>
    </w:p>
    <w:p>
      <w:pPr>
        <w:tabs>
          <w:tab w:pos="562" w:val="left" w:leader="none"/>
        </w:tabs>
        <w:spacing w:line="264" w:lineRule="auto" w:before="58"/>
        <w:ind w:left="138" w:right="5362" w:firstLine="0"/>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本公司财务报表以持续经营为编制基础。</w:t>
      </w:r>
    </w:p>
    <w:p>
      <w:pPr>
        <w:spacing w:line="240" w:lineRule="auto" w:before="9"/>
        <w:rPr>
          <w:rFonts w:ascii="宋体" w:hAnsi="宋体" w:cs="宋体" w:eastAsia="宋体" w:hint="default"/>
          <w:sz w:val="23"/>
          <w:szCs w:val="23"/>
        </w:rPr>
      </w:pPr>
    </w:p>
    <w:p>
      <w:pPr>
        <w:pStyle w:val="Heading2"/>
        <w:tabs>
          <w:tab w:pos="562" w:val="left" w:leader="none"/>
        </w:tabs>
        <w:spacing w:line="240" w:lineRule="auto" w:before="0"/>
        <w:ind w:left="138" w:right="2465"/>
        <w:jc w:val="left"/>
        <w:rPr>
          <w:b w:val="0"/>
          <w:bCs w:val="0"/>
        </w:rPr>
      </w:pPr>
      <w:r>
        <w:rPr>
          <w:rFonts w:ascii="Calibri" w:hAnsi="Calibri" w:cs="Calibri" w:eastAsia="Calibri" w:hint="default"/>
        </w:rPr>
        <w:t>2.</w:t>
        <w:tab/>
      </w:r>
      <w:r>
        <w:rPr/>
        <w:t>持续经营</w:t>
      </w:r>
      <w:r>
        <w:rPr>
          <w:b w:val="0"/>
          <w:bCs w:val="0"/>
        </w:rPr>
      </w:r>
    </w:p>
    <w:p>
      <w:pPr>
        <w:spacing w:line="240" w:lineRule="auto" w:before="5"/>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line="290" w:lineRule="auto" w:before="36"/>
        <w:ind w:left="138" w:right="5362" w:firstLine="0"/>
        <w:jc w:val="left"/>
        <w:rPr>
          <w:rFonts w:ascii="宋体" w:hAnsi="宋体" w:cs="宋体" w:eastAsia="宋体" w:hint="default"/>
          <w:sz w:val="21"/>
          <w:szCs w:val="21"/>
        </w:rPr>
      </w:pPr>
      <w:r>
        <w:rPr>
          <w:rFonts w:ascii="宋体" w:hAnsi="宋体" w:cs="宋体" w:eastAsia="宋体" w:hint="default"/>
          <w:b/>
          <w:bCs/>
          <w:sz w:val="20"/>
          <w:szCs w:val="20"/>
        </w:rPr>
        <w:t>五、</w:t>
      </w:r>
      <w:r>
        <w:rPr>
          <w:rFonts w:ascii="宋体" w:hAnsi="宋体" w:cs="宋体" w:eastAsia="宋体" w:hint="default"/>
          <w:b/>
          <w:bCs/>
          <w:spacing w:val="-77"/>
          <w:sz w:val="20"/>
          <w:szCs w:val="20"/>
        </w:rPr>
        <w:t> </w:t>
      </w:r>
      <w:r>
        <w:rPr>
          <w:rFonts w:ascii="宋体" w:hAnsi="宋体" w:cs="宋体" w:eastAsia="宋体" w:hint="default"/>
          <w:b/>
          <w:bCs/>
          <w:sz w:val="21"/>
          <w:szCs w:val="21"/>
        </w:rPr>
        <w:t>重要会计政策及会计估计</w:t>
      </w:r>
      <w:r>
        <w:rPr>
          <w:rFonts w:ascii="宋体" w:hAnsi="宋体" w:cs="宋体" w:eastAsia="宋体" w:hint="default"/>
          <w:b/>
          <w:bCs/>
          <w:w w:val="100"/>
          <w:sz w:val="21"/>
          <w:szCs w:val="21"/>
        </w:rPr>
        <w:t> </w:t>
      </w:r>
      <w:r>
        <w:rPr>
          <w:rFonts w:ascii="宋体" w:hAnsi="宋体" w:cs="宋体" w:eastAsia="宋体" w:hint="default"/>
          <w:spacing w:val="-2"/>
          <w:sz w:val="21"/>
          <w:szCs w:val="21"/>
        </w:rPr>
        <w:t>具体会计政策和会计估计提示：</w:t>
      </w:r>
    </w:p>
    <w:p>
      <w:pPr>
        <w:pStyle w:val="BodyText"/>
        <w:spacing w:line="297" w:lineRule="auto" w:before="22"/>
        <w:ind w:right="317"/>
        <w:jc w:val="both"/>
      </w:pPr>
      <w:r>
        <w:rPr>
          <w:spacing w:val="-2"/>
        </w:rPr>
        <w:t>本集团根据实际生产经营特点制定了具体会计政策和会计估计，主要体现在应收款项坏账准备的</w:t>
      </w:r>
      <w:r>
        <w:rPr>
          <w:spacing w:val="-25"/>
        </w:rPr>
        <w:t> </w:t>
      </w:r>
      <w:r>
        <w:rPr>
          <w:spacing w:val="-25"/>
        </w:rPr>
      </w:r>
      <w:r>
        <w:rPr>
          <w:spacing w:val="-2"/>
        </w:rPr>
        <w:t>计提、开发阶段支出资本化、收入确认、商誉及除金融资产之外的非流动资产的减值、递延所得</w:t>
      </w:r>
      <w:r>
        <w:rPr>
          <w:spacing w:val="-25"/>
        </w:rPr>
        <w:t> </w:t>
      </w:r>
      <w:r>
        <w:rPr>
          <w:spacing w:val="-25"/>
        </w:rPr>
      </w:r>
      <w:r>
        <w:rPr/>
        <w:t>税资产的确认、固定资产的折旧政策和无形资产的可使用寿命等方面。</w:t>
      </w:r>
    </w:p>
    <w:p>
      <w:pPr>
        <w:pStyle w:val="BodyText"/>
        <w:tabs>
          <w:tab w:pos="562" w:val="left" w:leader="none"/>
        </w:tabs>
        <w:spacing w:line="280" w:lineRule="auto" w:before="75"/>
        <w:ind w:right="317"/>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100"/>
        </w:rPr>
        <w:t> </w:t>
      </w: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p>
    <w:p>
      <w:pPr>
        <w:spacing w:after="0" w:line="280" w:lineRule="auto"/>
        <w:jc w:val="left"/>
        <w:sectPr>
          <w:headerReference w:type="default" r:id="rId38"/>
          <w:footerReference w:type="default" r:id="rId39"/>
          <w:pgSz w:w="11910" w:h="16840"/>
          <w:pgMar w:header="926" w:footer="1335" w:top="1120" w:bottom="1520" w:left="1660" w:right="960"/>
          <w:pgNumType w:start="18"/>
        </w:sectPr>
      </w:pPr>
    </w:p>
    <w:p>
      <w:pPr>
        <w:spacing w:line="240" w:lineRule="auto" w:before="1"/>
        <w:rPr>
          <w:rFonts w:ascii="宋体" w:hAnsi="宋体" w:cs="宋体" w:eastAsia="宋体" w:hint="default"/>
          <w:sz w:val="25"/>
          <w:szCs w:val="25"/>
        </w:rPr>
      </w:pPr>
    </w:p>
    <w:p>
      <w:pPr>
        <w:pStyle w:val="Heading2"/>
        <w:tabs>
          <w:tab w:pos="562" w:val="left" w:leader="none"/>
        </w:tabs>
        <w:spacing w:line="240" w:lineRule="auto"/>
        <w:ind w:left="138" w:right="2465"/>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32"/>
        <w:ind w:right="2465"/>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before="0"/>
        <w:ind w:left="138" w:right="2465"/>
        <w:jc w:val="left"/>
        <w:rPr>
          <w:b w:val="0"/>
          <w:bCs w:val="0"/>
        </w:rPr>
      </w:pPr>
      <w:r>
        <w:rPr>
          <w:rFonts w:ascii="Calibri" w:hAnsi="Calibri" w:cs="Calibri" w:eastAsia="Calibri" w:hint="default"/>
        </w:rPr>
        <w:t>3.</w:t>
        <w:tab/>
      </w:r>
      <w:r>
        <w:rPr/>
        <w:t>营业周期</w:t>
      </w:r>
      <w:r>
        <w:rPr>
          <w:b w:val="0"/>
          <w:bCs w:val="0"/>
        </w:rPr>
      </w:r>
    </w:p>
    <w:p>
      <w:pPr>
        <w:spacing w:line="240" w:lineRule="auto" w:before="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tabs>
          <w:tab w:pos="562" w:val="left" w:leader="none"/>
        </w:tabs>
        <w:spacing w:line="266" w:lineRule="auto" w:before="36"/>
        <w:ind w:left="138" w:right="6201"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6"/>
        <w:rPr>
          <w:rFonts w:ascii="宋体" w:hAnsi="宋体" w:cs="宋体" w:eastAsia="宋体" w:hint="default"/>
          <w:sz w:val="23"/>
          <w:szCs w:val="23"/>
        </w:rPr>
      </w:pPr>
    </w:p>
    <w:p>
      <w:pPr>
        <w:tabs>
          <w:tab w:pos="562" w:val="left" w:leader="none"/>
        </w:tabs>
        <w:spacing w:line="280" w:lineRule="auto" w:before="0"/>
        <w:ind w:left="138" w:right="317" w:firstLine="0"/>
        <w:jc w:val="left"/>
        <w:rPr>
          <w:rFonts w:ascii="宋体" w:hAnsi="宋体" w:cs="宋体" w:eastAsia="宋体" w:hint="default"/>
          <w:sz w:val="21"/>
          <w:szCs w:val="21"/>
        </w:rPr>
      </w:pPr>
      <w:r>
        <w:rPr>
          <w:rFonts w:ascii="Calibri" w:hAnsi="Calibri" w:cs="Calibri" w:eastAsia="Calibri" w:hint="default"/>
          <w:b/>
          <w:bCs/>
          <w:sz w:val="21"/>
          <w:szCs w:val="21"/>
        </w:rPr>
        <w:t>5.</w:t>
        <w:tab/>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企业合并，是指将两个或两个以上单独的企业合并形成一个报告主体的交易或事项。企业合并分</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为同一控制下企业合并和非同一控制下企业合并。</w:t>
      </w:r>
    </w:p>
    <w:p>
      <w:pPr>
        <w:spacing w:line="240" w:lineRule="auto" w:before="5"/>
        <w:rPr>
          <w:rFonts w:ascii="宋体" w:hAnsi="宋体" w:cs="宋体" w:eastAsia="宋体" w:hint="default"/>
          <w:sz w:val="28"/>
          <w:szCs w:val="28"/>
        </w:rPr>
      </w:pPr>
    </w:p>
    <w:p>
      <w:pPr>
        <w:pStyle w:val="BodyText"/>
        <w:spacing w:line="240" w:lineRule="auto"/>
        <w:ind w:right="2465"/>
        <w:jc w:val="left"/>
      </w:pPr>
      <w:r>
        <w:rPr/>
        <w:t>同一控制下企业合并</w:t>
      </w:r>
    </w:p>
    <w:p>
      <w:pPr>
        <w:spacing w:line="240" w:lineRule="auto" w:before="0"/>
        <w:rPr>
          <w:rFonts w:ascii="宋体" w:hAnsi="宋体" w:cs="宋体" w:eastAsia="宋体" w:hint="default"/>
          <w:sz w:val="20"/>
          <w:szCs w:val="20"/>
        </w:rPr>
      </w:pPr>
    </w:p>
    <w:p>
      <w:pPr>
        <w:pStyle w:val="BodyText"/>
        <w:spacing w:line="297" w:lineRule="auto" w:before="142"/>
        <w:ind w:right="225"/>
        <w:jc w:val="left"/>
      </w:pPr>
      <w:r>
        <w:rPr/>
        <w:t>参与合并的企业在合并前后均受同一方或相同的多方最终控制，且该控制并非暂时的，为同一控</w:t>
      </w:r>
      <w:r>
        <w:rPr>
          <w:w w:val="100"/>
        </w:rPr>
        <w:t> </w:t>
      </w:r>
      <w:r>
        <w:rPr/>
        <w:t>制下的企业合并。同一控制下的企业合并，在合并日取得对其他参与合并企业控制权的一方为合</w:t>
      </w:r>
      <w:r>
        <w:rPr>
          <w:w w:val="100"/>
        </w:rPr>
        <w:t> </w:t>
      </w:r>
      <w:r>
        <w:rPr>
          <w:spacing w:val="-7"/>
        </w:rPr>
        <w:t>并方，参与合并的其他企业为被合并方。合并日，是指合并方实际取得对被合并方控制权的日期。</w:t>
      </w:r>
    </w:p>
    <w:p>
      <w:pPr>
        <w:spacing w:line="240" w:lineRule="auto" w:before="3"/>
        <w:rPr>
          <w:rFonts w:ascii="宋体" w:hAnsi="宋体" w:cs="宋体" w:eastAsia="宋体" w:hint="default"/>
          <w:sz w:val="27"/>
          <w:szCs w:val="27"/>
        </w:rPr>
      </w:pPr>
    </w:p>
    <w:p>
      <w:pPr>
        <w:pStyle w:val="BodyText"/>
        <w:spacing w:line="297" w:lineRule="auto"/>
        <w:ind w:right="99"/>
        <w:jc w:val="left"/>
      </w:pPr>
      <w:r>
        <w:rPr>
          <w:spacing w:val="-1"/>
        </w:rPr>
        <w:t>合并方在同一控制下企业合并中取得的资产和负债</w:t>
      </w:r>
      <w:r>
        <w:rPr>
          <w:rFonts w:ascii="宋体" w:hAnsi="宋体" w:cs="宋体" w:eastAsia="宋体" w:hint="default"/>
          <w:spacing w:val="-1"/>
        </w:rPr>
        <w:t>(</w:t>
      </w:r>
      <w:r>
        <w:rPr>
          <w:spacing w:val="-1"/>
        </w:rPr>
        <w:t>包括最终控制方收购被合并方而形成的商誉</w:t>
      </w:r>
      <w:r>
        <w:rPr>
          <w:rFonts w:ascii="宋体" w:hAnsi="宋体" w:cs="宋体" w:eastAsia="宋体" w:hint="default"/>
          <w:spacing w:val="-1"/>
        </w:rPr>
        <w:t>)</w:t>
      </w:r>
      <w:r>
        <w:rPr>
          <w:spacing w:val="-1"/>
        </w:rPr>
        <w:t>，</w:t>
      </w:r>
      <w:r>
        <w:rPr>
          <w:spacing w:val="-55"/>
        </w:rPr>
        <w:t> </w:t>
      </w:r>
      <w:r>
        <w:rPr/>
        <w:t>按合并日在最终控制方财务报表中的账面价值为基础进行相关会计处理。合并方取得的净资产账</w:t>
      </w:r>
      <w:r>
        <w:rPr>
          <w:w w:val="100"/>
        </w:rPr>
        <w:t> </w:t>
      </w:r>
      <w:r>
        <w:rPr>
          <w:spacing w:val="-4"/>
          <w:w w:val="100"/>
        </w:rPr>
        <w:t>面价值与支付的合并对价的账面价值</w:t>
      </w:r>
      <w:r>
        <w:rPr>
          <w:rFonts w:ascii="宋体" w:hAnsi="宋体" w:cs="宋体" w:eastAsia="宋体" w:hint="default"/>
          <w:spacing w:val="-4"/>
          <w:w w:val="100"/>
        </w:rPr>
        <w:t>(</w:t>
      </w:r>
      <w:r>
        <w:rPr>
          <w:spacing w:val="-4"/>
          <w:w w:val="100"/>
        </w:rPr>
        <w:t>或发行股份面值总额</w:t>
      </w:r>
      <w:r>
        <w:rPr>
          <w:rFonts w:ascii="宋体" w:hAnsi="宋体" w:cs="宋体" w:eastAsia="宋体" w:hint="default"/>
          <w:spacing w:val="-4"/>
          <w:w w:val="100"/>
        </w:rPr>
        <w:t>)</w:t>
      </w:r>
      <w:r>
        <w:rPr>
          <w:spacing w:val="-4"/>
          <w:w w:val="100"/>
        </w:rPr>
        <w:t>的差额，调整资本公积中的股本溢价，</w:t>
      </w:r>
      <w:r>
        <w:rPr>
          <w:spacing w:val="-81"/>
          <w:w w:val="100"/>
        </w:rPr>
        <w:t> </w:t>
      </w:r>
      <w:r>
        <w:rPr>
          <w:spacing w:val="-81"/>
          <w:w w:val="100"/>
        </w:rPr>
      </w:r>
      <w:r>
        <w:rPr/>
        <w:t>不足冲减的则调整留存收益。</w:t>
      </w:r>
    </w:p>
    <w:p>
      <w:pPr>
        <w:spacing w:line="240" w:lineRule="auto" w:before="3"/>
        <w:rPr>
          <w:rFonts w:ascii="宋体" w:hAnsi="宋体" w:cs="宋体" w:eastAsia="宋体" w:hint="default"/>
          <w:sz w:val="27"/>
          <w:szCs w:val="27"/>
        </w:rPr>
      </w:pPr>
    </w:p>
    <w:p>
      <w:pPr>
        <w:pStyle w:val="BodyText"/>
        <w:spacing w:line="240" w:lineRule="auto"/>
        <w:ind w:right="2465"/>
        <w:jc w:val="left"/>
      </w:pPr>
      <w:r>
        <w:rPr/>
        <w:t>非同一控制下的企业合并</w:t>
      </w:r>
    </w:p>
    <w:p>
      <w:pPr>
        <w:spacing w:line="240" w:lineRule="auto" w:before="0"/>
        <w:rPr>
          <w:rFonts w:ascii="宋体" w:hAnsi="宋体" w:cs="宋体" w:eastAsia="宋体" w:hint="default"/>
          <w:sz w:val="20"/>
          <w:szCs w:val="20"/>
        </w:rPr>
      </w:pPr>
    </w:p>
    <w:p>
      <w:pPr>
        <w:pStyle w:val="BodyText"/>
        <w:spacing w:line="297" w:lineRule="auto" w:before="145"/>
        <w:ind w:right="317"/>
        <w:jc w:val="both"/>
      </w:pPr>
      <w:r>
        <w:rPr>
          <w:spacing w:val="-2"/>
        </w:rPr>
        <w:t>参与合并的企业在合并前后不受同一方或相同多方最终控制的，为非同一控制下的企业合并。非</w:t>
      </w:r>
      <w:r>
        <w:rPr>
          <w:spacing w:val="-25"/>
        </w:rPr>
        <w:t> </w:t>
      </w:r>
      <w:r>
        <w:rPr>
          <w:spacing w:val="-25"/>
        </w:rPr>
      </w:r>
      <w:r>
        <w:rPr>
          <w:spacing w:val="-2"/>
        </w:rPr>
        <w:t>同一控制下的企业合并，在购买日取得对其他参与合并企业控制权的一方为购买方，参与合并的</w:t>
      </w:r>
      <w:r>
        <w:rPr>
          <w:spacing w:val="-25"/>
        </w:rPr>
        <w:t> </w:t>
      </w:r>
      <w:r>
        <w:rPr>
          <w:spacing w:val="-25"/>
        </w:rPr>
      </w:r>
      <w:r>
        <w:rPr/>
        <w:t>其他企业为被购买方。购买日是指为购买方实际取得对被购买方控制权的日期。</w:t>
      </w:r>
    </w:p>
    <w:p>
      <w:pPr>
        <w:spacing w:line="240" w:lineRule="auto" w:before="4"/>
        <w:rPr>
          <w:rFonts w:ascii="宋体" w:hAnsi="宋体" w:cs="宋体" w:eastAsia="宋体" w:hint="default"/>
          <w:sz w:val="27"/>
          <w:szCs w:val="27"/>
        </w:rPr>
      </w:pPr>
    </w:p>
    <w:p>
      <w:pPr>
        <w:pStyle w:val="BodyText"/>
        <w:spacing w:line="297" w:lineRule="auto"/>
        <w:ind w:right="225"/>
        <w:jc w:val="left"/>
      </w:pPr>
      <w:r>
        <w:rPr>
          <w:spacing w:val="-2"/>
        </w:rPr>
        <w:t>非同一控制下企业合并中所取得的被购买方可辨认资产、负债及或有负债在收购日以公允价值计</w:t>
      </w:r>
      <w:r>
        <w:rPr>
          <w:spacing w:val="-25"/>
        </w:rPr>
        <w:t> </w:t>
      </w:r>
      <w:r>
        <w:rPr>
          <w:spacing w:val="-25"/>
        </w:rPr>
      </w:r>
      <w:r>
        <w:rPr/>
        <w:t>量。</w:t>
      </w:r>
    </w:p>
    <w:p>
      <w:pPr>
        <w:spacing w:line="240" w:lineRule="auto" w:before="3"/>
        <w:rPr>
          <w:rFonts w:ascii="宋体" w:hAnsi="宋体" w:cs="宋体" w:eastAsia="宋体" w:hint="default"/>
          <w:sz w:val="27"/>
          <w:szCs w:val="27"/>
        </w:rPr>
      </w:pPr>
    </w:p>
    <w:p>
      <w:pPr>
        <w:pStyle w:val="BodyText"/>
        <w:spacing w:line="297" w:lineRule="auto"/>
        <w:ind w:right="225"/>
        <w:jc w:val="left"/>
      </w:pPr>
      <w:r>
        <w:rPr>
          <w:spacing w:val="-2"/>
        </w:rPr>
        <w:t>支付的合并对价的公允价值</w:t>
      </w:r>
      <w:r>
        <w:rPr>
          <w:rFonts w:ascii="宋体" w:hAnsi="宋体" w:cs="宋体" w:eastAsia="宋体" w:hint="default"/>
          <w:spacing w:val="-2"/>
        </w:rPr>
        <w:t>(</w:t>
      </w:r>
      <w:r>
        <w:rPr>
          <w:spacing w:val="-2"/>
        </w:rPr>
        <w:t>或发行的权益性证券的公允价值</w:t>
      </w:r>
      <w:r>
        <w:rPr>
          <w:rFonts w:ascii="宋体" w:hAnsi="宋体" w:cs="宋体" w:eastAsia="宋体" w:hint="default"/>
          <w:spacing w:val="-2"/>
        </w:rPr>
        <w:t>)</w:t>
      </w:r>
      <w:r>
        <w:rPr>
          <w:spacing w:val="-2"/>
        </w:rPr>
        <w:t>与购买日之前持有的被购买方的股</w:t>
      </w:r>
      <w:r>
        <w:rPr>
          <w:spacing w:val="-30"/>
        </w:rPr>
        <w:t> </w:t>
      </w:r>
      <w:r>
        <w:rPr>
          <w:spacing w:val="-30"/>
        </w:rPr>
      </w:r>
      <w:r>
        <w:rPr>
          <w:spacing w:val="-2"/>
        </w:rPr>
        <w:t>权的公允价值之和大于合并中取得的被购买方可辨认净资产公允价值份额的差额，确认为商誉，</w:t>
      </w:r>
      <w:r>
        <w:rPr>
          <w:spacing w:val="-25"/>
        </w:rPr>
        <w:t> </w:t>
      </w:r>
      <w:r>
        <w:rPr>
          <w:spacing w:val="-25"/>
        </w:rPr>
      </w:r>
      <w:r>
        <w:rPr>
          <w:spacing w:val="-4"/>
          <w:w w:val="100"/>
        </w:rPr>
        <w:t>并以成本减去累计减值损失进行后续计量。合并成本支付的合并对价的公允价值</w:t>
      </w:r>
      <w:r>
        <w:rPr>
          <w:rFonts w:ascii="宋体" w:hAnsi="宋体" w:cs="宋体" w:eastAsia="宋体" w:hint="default"/>
          <w:spacing w:val="-4"/>
          <w:w w:val="100"/>
        </w:rPr>
        <w:t>(</w:t>
      </w:r>
      <w:r>
        <w:rPr>
          <w:spacing w:val="-4"/>
          <w:w w:val="100"/>
        </w:rPr>
        <w:t>或发行的权益性</w:t>
      </w:r>
      <w:r>
        <w:rPr>
          <w:spacing w:val="-85"/>
          <w:w w:val="100"/>
        </w:rPr>
        <w:t> </w:t>
      </w:r>
      <w:r>
        <w:rPr>
          <w:spacing w:val="-85"/>
          <w:w w:val="100"/>
        </w:rPr>
      </w:r>
      <w:r>
        <w:rPr/>
        <w:t>证券的公允价值</w:t>
      </w:r>
      <w:r>
        <w:rPr>
          <w:rFonts w:ascii="宋体" w:hAnsi="宋体" w:cs="宋体" w:eastAsia="宋体" w:hint="default"/>
        </w:rPr>
        <w:t>)</w:t>
      </w:r>
      <w:r>
        <w:rPr/>
        <w:t>与购买日之前持有的被购买方的股权的公允价值之和小于合并中取得的被购买</w:t>
      </w:r>
      <w:r>
        <w:rPr>
          <w:w w:val="100"/>
        </w:rPr>
        <w:t> </w:t>
      </w:r>
      <w:r>
        <w:rPr>
          <w:spacing w:val="-2"/>
        </w:rPr>
        <w:t>方可辨认净资产公允价值份额的，首先对取得的被购买方各项可辨认资产、负债及或有负债的公</w:t>
      </w:r>
      <w:r>
        <w:rPr>
          <w:spacing w:val="-25"/>
        </w:rPr>
        <w:t> </w:t>
      </w:r>
      <w:r>
        <w:rPr>
          <w:spacing w:val="-25"/>
        </w:rPr>
      </w:r>
      <w:r>
        <w:rPr>
          <w:spacing w:val="-2"/>
        </w:rPr>
        <w:t>允价值以及支付的合并对价的公允价值</w:t>
      </w:r>
      <w:r>
        <w:rPr>
          <w:rFonts w:ascii="宋体" w:hAnsi="宋体" w:cs="宋体" w:eastAsia="宋体" w:hint="default"/>
          <w:spacing w:val="-2"/>
        </w:rPr>
        <w:t>(</w:t>
      </w:r>
      <w:r>
        <w:rPr>
          <w:spacing w:val="-2"/>
        </w:rPr>
        <w:t>或发行的权益性证券的公允价值</w:t>
      </w:r>
      <w:r>
        <w:rPr>
          <w:rFonts w:ascii="宋体" w:hAnsi="宋体" w:cs="宋体" w:eastAsia="宋体" w:hint="default"/>
          <w:spacing w:val="-2"/>
        </w:rPr>
        <w:t>)</w:t>
      </w:r>
      <w:r>
        <w:rPr>
          <w:spacing w:val="-2"/>
        </w:rPr>
        <w:t>及购买日之前持有的被</w:t>
      </w:r>
      <w:r>
        <w:rPr>
          <w:spacing w:val="-29"/>
        </w:rPr>
        <w:t> </w:t>
      </w:r>
      <w:r>
        <w:rPr>
          <w:spacing w:val="-29"/>
        </w:rPr>
      </w:r>
      <w:r>
        <w:rPr>
          <w:spacing w:val="-4"/>
          <w:w w:val="100"/>
        </w:rPr>
        <w:t>购买方的股权的公允价值的计量进行复核，复核后合并成本支付的合并对价的公允价值</w:t>
      </w:r>
      <w:r>
        <w:rPr>
          <w:rFonts w:ascii="宋体" w:hAnsi="宋体" w:cs="宋体" w:eastAsia="宋体" w:hint="default"/>
          <w:spacing w:val="-4"/>
          <w:w w:val="100"/>
        </w:rPr>
        <w:t>(</w:t>
      </w:r>
      <w:r>
        <w:rPr>
          <w:spacing w:val="-4"/>
          <w:w w:val="100"/>
        </w:rPr>
        <w:t>或发行的</w:t>
      </w:r>
    </w:p>
    <w:p>
      <w:pPr>
        <w:spacing w:after="0" w:line="297" w:lineRule="auto"/>
        <w:jc w:val="left"/>
        <w:sectPr>
          <w:pgSz w:w="11910" w:h="16840"/>
          <w:pgMar w:header="926" w:footer="1335" w:top="1120" w:bottom="1520" w:left="1660" w:right="960"/>
        </w:sectPr>
      </w:pPr>
    </w:p>
    <w:p>
      <w:pPr>
        <w:spacing w:line="240" w:lineRule="auto" w:before="1"/>
        <w:rPr>
          <w:rFonts w:ascii="宋体" w:hAnsi="宋体" w:cs="宋体" w:eastAsia="宋体" w:hint="default"/>
          <w:sz w:val="25"/>
          <w:szCs w:val="25"/>
        </w:rPr>
      </w:pPr>
    </w:p>
    <w:p>
      <w:pPr>
        <w:pStyle w:val="BodyText"/>
        <w:spacing w:line="297" w:lineRule="auto" w:before="36"/>
        <w:ind w:right="144"/>
        <w:jc w:val="left"/>
      </w:pPr>
      <w:r>
        <w:rPr>
          <w:spacing w:val="-2"/>
        </w:rPr>
        <w:t>权益性证券的公允价值</w:t>
      </w:r>
      <w:r>
        <w:rPr>
          <w:rFonts w:ascii="宋体" w:hAnsi="宋体" w:cs="宋体" w:eastAsia="宋体" w:hint="default"/>
          <w:spacing w:val="-2"/>
        </w:rPr>
        <w:t>)</w:t>
      </w:r>
      <w:r>
        <w:rPr>
          <w:spacing w:val="-2"/>
        </w:rPr>
        <w:t>与购买日之前持有的被购买方的股权的公允价值之和仍小于合并中取得</w:t>
      </w:r>
      <w:r>
        <w:rPr>
          <w:spacing w:val="-28"/>
        </w:rPr>
        <w:t> </w:t>
      </w:r>
      <w:r>
        <w:rPr>
          <w:spacing w:val="-28"/>
        </w:rPr>
      </w:r>
      <w:r>
        <w:rPr/>
        <w:t>的被购买方可辨认净资产公允价值份额的，其差额计入当期损益。</w:t>
      </w:r>
    </w:p>
    <w:p>
      <w:pPr>
        <w:spacing w:line="240" w:lineRule="auto" w:before="9"/>
        <w:rPr>
          <w:rFonts w:ascii="宋体" w:hAnsi="宋体" w:cs="宋体" w:eastAsia="宋体" w:hint="default"/>
          <w:sz w:val="26"/>
          <w:szCs w:val="26"/>
        </w:rPr>
      </w:pPr>
    </w:p>
    <w:p>
      <w:pPr>
        <w:pStyle w:val="Heading2"/>
        <w:spacing w:line="240" w:lineRule="auto" w:before="0"/>
        <w:ind w:left="138" w:right="0"/>
        <w:jc w:val="both"/>
        <w:rPr>
          <w:b w:val="0"/>
          <w:bCs w:val="0"/>
        </w:rPr>
      </w:pPr>
      <w:r>
        <w:rPr>
          <w:rFonts w:ascii="Calibri" w:hAnsi="Calibri" w:cs="Calibri" w:eastAsia="Calibri" w:hint="default"/>
        </w:rPr>
        <w:t>6.    </w:t>
      </w:r>
      <w:r>
        <w:rPr>
          <w:rFonts w:ascii="Calibri" w:hAnsi="Calibri" w:cs="Calibri" w:eastAsia="Calibri" w:hint="default"/>
          <w:spacing w:val="24"/>
        </w:rPr>
        <w:t> </w:t>
      </w:r>
      <w:r>
        <w:rPr/>
        <w:t>合并财务报表的编制方法</w:t>
      </w:r>
      <w:r>
        <w:rPr>
          <w:b w:val="0"/>
          <w:bCs w:val="0"/>
        </w:rPr>
      </w:r>
    </w:p>
    <w:p>
      <w:pPr>
        <w:pStyle w:val="BodyText"/>
        <w:spacing w:line="297" w:lineRule="auto" w:before="29"/>
        <w:ind w:right="148"/>
        <w:jc w:val="both"/>
      </w:pPr>
      <w:r>
        <w:rPr>
          <w:spacing w:val="-5"/>
          <w:w w:val="100"/>
        </w:rPr>
        <w:t>合并财务报表的合并范围以控制为基础确定，包括本公司及全部子公司截至</w:t>
      </w:r>
      <w:r>
        <w:rPr>
          <w:spacing w:val="-49"/>
          <w:w w:val="100"/>
        </w:rPr>
        <w:t> </w:t>
      </w:r>
      <w:r>
        <w:rPr>
          <w:rFonts w:ascii="宋体" w:hAnsi="宋体" w:cs="宋体" w:eastAsia="宋体" w:hint="default"/>
          <w:spacing w:val="-2"/>
          <w:w w:val="100"/>
        </w:rPr>
        <w:t>2015</w:t>
      </w:r>
      <w:r>
        <w:rPr>
          <w:rFonts w:ascii="宋体" w:hAnsi="宋体" w:cs="宋体" w:eastAsia="宋体" w:hint="default"/>
          <w:spacing w:val="-48"/>
          <w:w w:val="100"/>
        </w:rPr>
        <w:t> </w:t>
      </w:r>
      <w:r>
        <w:rPr>
          <w:w w:val="100"/>
        </w:rPr>
        <w:t>年</w:t>
      </w:r>
      <w:r>
        <w:rPr>
          <w:spacing w:val="-49"/>
          <w:w w:val="100"/>
        </w:rPr>
        <w:t> </w:t>
      </w:r>
      <w:r>
        <w:rPr>
          <w:rFonts w:ascii="宋体" w:hAnsi="宋体" w:cs="宋体" w:eastAsia="宋体" w:hint="default"/>
          <w:spacing w:val="-2"/>
          <w:w w:val="100"/>
        </w:rPr>
        <w:t>12</w:t>
      </w:r>
      <w:r>
        <w:rPr>
          <w:rFonts w:ascii="宋体" w:hAnsi="宋体" w:cs="宋体" w:eastAsia="宋体" w:hint="default"/>
          <w:spacing w:val="-49"/>
          <w:w w:val="100"/>
        </w:rPr>
        <w:t> </w:t>
      </w:r>
      <w:r>
        <w:rPr>
          <w:w w:val="100"/>
        </w:rPr>
        <w:t>月</w:t>
      </w:r>
      <w:r>
        <w:rPr>
          <w:spacing w:val="-51"/>
          <w:w w:val="100"/>
        </w:rPr>
        <w:t> </w:t>
      </w:r>
      <w:r>
        <w:rPr>
          <w:rFonts w:ascii="宋体" w:hAnsi="宋体" w:cs="宋体" w:eastAsia="宋体" w:hint="default"/>
          <w:w w:val="100"/>
        </w:rPr>
        <w:t>31</w:t>
      </w:r>
      <w:r>
        <w:rPr>
          <w:rFonts w:ascii="宋体" w:hAnsi="宋体" w:cs="宋体" w:eastAsia="宋体" w:hint="default"/>
          <w:spacing w:val="-51"/>
          <w:w w:val="100"/>
        </w:rPr>
        <w:t> </w:t>
      </w:r>
      <w:r>
        <w:rPr>
          <w:w w:val="100"/>
        </w:rPr>
        <w:t>日止</w:t>
      </w:r>
      <w:r>
        <w:rPr>
          <w:spacing w:val="-104"/>
          <w:w w:val="100"/>
        </w:rPr>
        <w:t> </w:t>
      </w:r>
      <w:r>
        <w:rPr>
          <w:spacing w:val="-4"/>
        </w:rPr>
        <w:t>年度的财务报表。子公司，是指被本公司控制的主体</w:t>
      </w:r>
      <w:r>
        <w:rPr>
          <w:rFonts w:ascii="宋体" w:hAnsi="宋体" w:cs="宋体" w:eastAsia="宋体" w:hint="default"/>
          <w:spacing w:val="-4"/>
        </w:rPr>
        <w:t>(</w:t>
      </w:r>
      <w:r>
        <w:rPr>
          <w:spacing w:val="-4"/>
        </w:rPr>
        <w:t>含企业、被投资单位中可分割的部分，以及</w:t>
      </w:r>
      <w:r>
        <w:rPr>
          <w:spacing w:val="-34"/>
        </w:rPr>
        <w:t> </w:t>
      </w:r>
      <w:r>
        <w:rPr>
          <w:spacing w:val="-34"/>
        </w:rPr>
      </w:r>
      <w:r>
        <w:rPr/>
        <w:t>本公司所控制的结构化主体等</w:t>
      </w:r>
      <w:r>
        <w:rPr>
          <w:rFonts w:ascii="宋体" w:hAnsi="宋体" w:cs="宋体" w:eastAsia="宋体" w:hint="default"/>
        </w:rPr>
        <w:t>)</w:t>
      </w:r>
      <w:r>
        <w:rPr/>
        <w:t>。</w:t>
      </w:r>
    </w:p>
    <w:p>
      <w:pPr>
        <w:spacing w:line="240" w:lineRule="auto" w:before="1"/>
        <w:rPr>
          <w:rFonts w:ascii="宋体" w:hAnsi="宋体" w:cs="宋体" w:eastAsia="宋体" w:hint="default"/>
          <w:sz w:val="27"/>
          <w:szCs w:val="27"/>
        </w:rPr>
      </w:pPr>
    </w:p>
    <w:p>
      <w:pPr>
        <w:pStyle w:val="BodyText"/>
        <w:spacing w:line="297" w:lineRule="auto"/>
        <w:ind w:right="157"/>
        <w:jc w:val="both"/>
      </w:pPr>
      <w:r>
        <w:rPr>
          <w:spacing w:val="-2"/>
        </w:rPr>
        <w:t>编制合并财务报表时，子公司采用与本公司一致的会计年度和会计政策。本集团内部各公司之间</w:t>
      </w:r>
      <w:r>
        <w:rPr>
          <w:spacing w:val="-26"/>
        </w:rPr>
        <w:t> </w:t>
      </w:r>
      <w:r>
        <w:rPr>
          <w:spacing w:val="-26"/>
        </w:rPr>
      </w:r>
      <w:r>
        <w:rPr/>
        <w:t>的所有交易产生的资产、负债、权益、收入、费用和现金流量于合并时全额抵消。</w:t>
      </w:r>
    </w:p>
    <w:p>
      <w:pPr>
        <w:spacing w:line="240" w:lineRule="auto" w:before="4"/>
        <w:rPr>
          <w:rFonts w:ascii="宋体" w:hAnsi="宋体" w:cs="宋体" w:eastAsia="宋体" w:hint="default"/>
          <w:sz w:val="27"/>
          <w:szCs w:val="27"/>
        </w:rPr>
      </w:pPr>
    </w:p>
    <w:p>
      <w:pPr>
        <w:pStyle w:val="BodyText"/>
        <w:spacing w:line="297" w:lineRule="auto"/>
        <w:ind w:right="157"/>
        <w:jc w:val="both"/>
      </w:pPr>
      <w:r>
        <w:rPr>
          <w:spacing w:val="-2"/>
        </w:rPr>
        <w:t>子公司少数股东分担的当期亏损超过了少数股东在该子公司期初股东权益中所享有的份额的，其</w:t>
      </w:r>
      <w:r>
        <w:rPr>
          <w:spacing w:val="-25"/>
        </w:rPr>
        <w:t> </w:t>
      </w:r>
      <w:r>
        <w:rPr>
          <w:spacing w:val="-25"/>
        </w:rPr>
      </w:r>
      <w:r>
        <w:rPr/>
        <w:t>余额仍冲减少数股东权益。</w:t>
      </w:r>
    </w:p>
    <w:p>
      <w:pPr>
        <w:spacing w:line="240" w:lineRule="auto" w:before="3"/>
        <w:rPr>
          <w:rFonts w:ascii="宋体" w:hAnsi="宋体" w:cs="宋体" w:eastAsia="宋体" w:hint="default"/>
          <w:sz w:val="27"/>
          <w:szCs w:val="27"/>
        </w:rPr>
      </w:pPr>
    </w:p>
    <w:p>
      <w:pPr>
        <w:pStyle w:val="BodyText"/>
        <w:spacing w:line="297" w:lineRule="auto"/>
        <w:ind w:right="157"/>
        <w:jc w:val="both"/>
      </w:pPr>
      <w:r>
        <w:rPr>
          <w:spacing w:val="-2"/>
        </w:rPr>
        <w:t>对于通过非同一控制下的企业合并取得的子公司，被购买方的经营成果和现金流量自本集团取得</w:t>
      </w:r>
      <w:r>
        <w:rPr>
          <w:spacing w:val="-25"/>
        </w:rPr>
        <w:t> </w:t>
      </w:r>
      <w:r>
        <w:rPr>
          <w:spacing w:val="-25"/>
        </w:rPr>
      </w:r>
      <w:r>
        <w:rPr>
          <w:spacing w:val="-2"/>
        </w:rPr>
        <w:t>控制权之日起纳入合并财务报表，直至本集团对其控制权终止。在编制合并财务报表时，以购买</w:t>
      </w:r>
      <w:r>
        <w:rPr>
          <w:spacing w:val="-25"/>
        </w:rPr>
        <w:t> </w:t>
      </w:r>
      <w:r>
        <w:rPr>
          <w:spacing w:val="-25"/>
        </w:rPr>
      </w:r>
      <w:r>
        <w:rPr/>
        <w:t>日确定的各项可辨认资产、负债及或有负债的公允价值为基础对子公司的财务报表进行调整。</w:t>
      </w:r>
    </w:p>
    <w:p>
      <w:pPr>
        <w:spacing w:line="240" w:lineRule="auto" w:before="3"/>
        <w:rPr>
          <w:rFonts w:ascii="宋体" w:hAnsi="宋体" w:cs="宋体" w:eastAsia="宋体" w:hint="default"/>
          <w:sz w:val="27"/>
          <w:szCs w:val="27"/>
        </w:rPr>
      </w:pPr>
    </w:p>
    <w:p>
      <w:pPr>
        <w:pStyle w:val="BodyText"/>
        <w:spacing w:line="297" w:lineRule="auto"/>
        <w:ind w:right="157"/>
        <w:jc w:val="both"/>
      </w:pPr>
      <w:r>
        <w:rPr>
          <w:spacing w:val="-2"/>
        </w:rPr>
        <w:t>对于通过同一控制下的企业合并取得的子公司，被合并方的经营成果和现金流量自合并当期期初</w:t>
      </w:r>
      <w:r>
        <w:rPr>
          <w:spacing w:val="-25"/>
        </w:rPr>
        <w:t> </w:t>
      </w:r>
      <w:r>
        <w:rPr>
          <w:spacing w:val="-25"/>
        </w:rPr>
      </w:r>
      <w:r>
        <w:rPr>
          <w:spacing w:val="-2"/>
        </w:rPr>
        <w:t>纳入合并财务报表。编制比较合并财务报表时，对前期财务报表的相关项目进行调整，视同合并</w:t>
      </w:r>
      <w:r>
        <w:rPr>
          <w:spacing w:val="-25"/>
        </w:rPr>
        <w:t> </w:t>
      </w:r>
      <w:r>
        <w:rPr>
          <w:spacing w:val="-25"/>
        </w:rPr>
      </w:r>
      <w:r>
        <w:rPr/>
        <w:t>后形成的报告主体自最终控制方开始实施控制时一直存在。</w:t>
      </w:r>
    </w:p>
    <w:p>
      <w:pPr>
        <w:spacing w:line="240" w:lineRule="auto" w:before="1"/>
        <w:rPr>
          <w:rFonts w:ascii="宋体" w:hAnsi="宋体" w:cs="宋体" w:eastAsia="宋体" w:hint="default"/>
          <w:sz w:val="27"/>
          <w:szCs w:val="27"/>
        </w:rPr>
      </w:pPr>
    </w:p>
    <w:p>
      <w:pPr>
        <w:pStyle w:val="BodyText"/>
        <w:spacing w:line="297" w:lineRule="auto"/>
        <w:ind w:right="157"/>
        <w:jc w:val="both"/>
      </w:pPr>
      <w:r>
        <w:rPr>
          <w:spacing w:val="-2"/>
        </w:rPr>
        <w:t>如果相关事实和情况的变化导致对控制要素中的一项或多项发生变化的，本集团重新评估是否控</w:t>
      </w:r>
      <w:r>
        <w:rPr>
          <w:spacing w:val="-25"/>
        </w:rPr>
        <w:t> </w:t>
      </w:r>
      <w:r>
        <w:rPr>
          <w:spacing w:val="-25"/>
        </w:rPr>
      </w:r>
      <w:r>
        <w:rPr/>
        <w:t>制被投资方。</w:t>
      </w:r>
    </w:p>
    <w:p>
      <w:pPr>
        <w:spacing w:line="240" w:lineRule="auto" w:before="7"/>
        <w:rPr>
          <w:rFonts w:ascii="宋体" w:hAnsi="宋体" w:cs="宋体" w:eastAsia="宋体" w:hint="default"/>
          <w:sz w:val="26"/>
          <w:szCs w:val="26"/>
        </w:rPr>
      </w:pPr>
    </w:p>
    <w:p>
      <w:pPr>
        <w:pStyle w:val="Heading2"/>
        <w:spacing w:line="240" w:lineRule="auto" w:before="0"/>
        <w:ind w:left="138" w:right="0"/>
        <w:jc w:val="both"/>
        <w:rPr>
          <w:b w:val="0"/>
          <w:bCs w:val="0"/>
        </w:rPr>
      </w:pPr>
      <w:r>
        <w:rPr>
          <w:rFonts w:ascii="Calibri" w:hAnsi="Calibri" w:cs="Calibri" w:eastAsia="Calibri" w:hint="default"/>
        </w:rPr>
        <w:t>7.    </w:t>
      </w:r>
      <w:r>
        <w:rPr>
          <w:rFonts w:ascii="Calibri" w:hAnsi="Calibri" w:cs="Calibri" w:eastAsia="Calibri" w:hint="default"/>
          <w:spacing w:val="23"/>
        </w:rPr>
        <w:t> </w:t>
      </w:r>
      <w:r>
        <w:rPr/>
        <w:t>合营安排分类及共同经营会计处理方法</w:t>
      </w:r>
      <w:r>
        <w:rPr>
          <w:b w:val="0"/>
          <w:bCs w:val="0"/>
        </w:rPr>
      </w:r>
    </w:p>
    <w:p>
      <w:pPr>
        <w:spacing w:line="240" w:lineRule="auto" w:before="5"/>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tabs>
          <w:tab w:pos="562" w:val="left" w:leader="none"/>
        </w:tabs>
        <w:spacing w:line="280" w:lineRule="auto" w:before="36"/>
        <w:ind w:left="138" w:right="157" w:firstLine="0"/>
        <w:jc w:val="left"/>
        <w:rPr>
          <w:rFonts w:ascii="宋体" w:hAnsi="宋体" w:cs="宋体" w:eastAsia="宋体" w:hint="default"/>
          <w:sz w:val="21"/>
          <w:szCs w:val="21"/>
        </w:rPr>
      </w:pPr>
      <w:r>
        <w:rPr>
          <w:rFonts w:ascii="Calibri" w:hAnsi="Calibri" w:cs="Calibri" w:eastAsia="Calibri" w:hint="default"/>
          <w:b/>
          <w:bCs/>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现金等价物是指企业持有的期限短（一般指从购买日起三个月内到期）、流动性强、易于转换为</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已知金额现金、价值变动风险很小的投资。</w:t>
      </w:r>
    </w:p>
    <w:p>
      <w:pPr>
        <w:spacing w:line="240" w:lineRule="auto" w:before="11"/>
        <w:rPr>
          <w:rFonts w:ascii="宋体" w:hAnsi="宋体" w:cs="宋体" w:eastAsia="宋体" w:hint="default"/>
          <w:sz w:val="27"/>
          <w:szCs w:val="27"/>
        </w:rPr>
      </w:pPr>
    </w:p>
    <w:p>
      <w:pPr>
        <w:tabs>
          <w:tab w:pos="562" w:val="left" w:leader="none"/>
        </w:tabs>
        <w:spacing w:line="264" w:lineRule="auto" w:before="0"/>
        <w:ind w:left="138" w:right="1100" w:firstLine="0"/>
        <w:jc w:val="left"/>
        <w:rPr>
          <w:rFonts w:ascii="宋体" w:hAnsi="宋体" w:cs="宋体" w:eastAsia="宋体" w:hint="default"/>
          <w:sz w:val="21"/>
          <w:szCs w:val="21"/>
        </w:rPr>
      </w:pPr>
      <w:r>
        <w:rPr>
          <w:rFonts w:ascii="Calibri" w:hAnsi="Calibri" w:cs="Calibri" w:eastAsia="Calibri" w:hint="default"/>
          <w:b/>
          <w:bCs/>
          <w:sz w:val="21"/>
          <w:szCs w:val="21"/>
        </w:rPr>
        <w:t>9.</w:t>
        <w:tab/>
      </w:r>
      <w:r>
        <w:rPr>
          <w:rFonts w:ascii="宋体" w:hAnsi="宋体" w:cs="宋体" w:eastAsia="宋体" w:hint="default"/>
          <w:b/>
          <w:bCs/>
          <w:sz w:val="21"/>
          <w:szCs w:val="21"/>
        </w:rPr>
        <w:t>外币业务和外币报表折算</w:t>
      </w:r>
      <w:r>
        <w:rPr>
          <w:rFonts w:ascii="宋体" w:hAnsi="宋体" w:cs="宋体" w:eastAsia="宋体" w:hint="default"/>
          <w:b/>
          <w:bCs/>
          <w:w w:val="100"/>
          <w:sz w:val="21"/>
          <w:szCs w:val="21"/>
        </w:rPr>
        <w:t> </w:t>
      </w:r>
      <w:r>
        <w:rPr>
          <w:rFonts w:ascii="宋体" w:hAnsi="宋体" w:cs="宋体" w:eastAsia="宋体" w:hint="default"/>
          <w:sz w:val="21"/>
          <w:szCs w:val="21"/>
        </w:rPr>
        <w:t>本集团对于发生的外币交易，将外币金额折算为记账本位币金额。</w:t>
      </w:r>
    </w:p>
    <w:p>
      <w:pPr>
        <w:spacing w:line="240" w:lineRule="auto" w:before="0"/>
        <w:rPr>
          <w:rFonts w:ascii="宋体" w:hAnsi="宋体" w:cs="宋体" w:eastAsia="宋体" w:hint="default"/>
          <w:sz w:val="19"/>
          <w:szCs w:val="19"/>
        </w:rPr>
      </w:pPr>
    </w:p>
    <w:p>
      <w:pPr>
        <w:pStyle w:val="BodyText"/>
        <w:spacing w:line="297" w:lineRule="auto"/>
        <w:ind w:right="157"/>
        <w:jc w:val="both"/>
      </w:pPr>
      <w:r>
        <w:rPr>
          <w:spacing w:val="-2"/>
        </w:rPr>
        <w:t>外币交易在初始确认时，采用交易发生当期平均汇率将外币金额折算为记账本位币金额。于资产</w:t>
      </w:r>
      <w:r>
        <w:rPr>
          <w:spacing w:val="-25"/>
        </w:rPr>
        <w:t> </w:t>
      </w:r>
      <w:r>
        <w:rPr>
          <w:spacing w:val="-25"/>
        </w:rPr>
      </w:r>
      <w:r>
        <w:rPr>
          <w:spacing w:val="-2"/>
        </w:rPr>
        <w:t>负债表日，对于外币货币性项目采用资产负债表日即期汇率折算。由此产生的结算和货币性项目</w:t>
      </w:r>
      <w:r>
        <w:rPr>
          <w:spacing w:val="-25"/>
        </w:rPr>
        <w:t> </w:t>
      </w:r>
      <w:r>
        <w:rPr>
          <w:spacing w:val="-25"/>
        </w:rPr>
      </w:r>
      <w:r>
        <w:rPr>
          <w:spacing w:val="-2"/>
        </w:rPr>
        <w:t>折算差额，除属于与购建符合资本化条件的资产相关的外币专门借款产生的汇兑差额按照借款费</w:t>
      </w:r>
      <w:r>
        <w:rPr>
          <w:spacing w:val="-25"/>
        </w:rPr>
        <w:t> </w:t>
      </w:r>
      <w:r>
        <w:rPr>
          <w:spacing w:val="-25"/>
        </w:rPr>
      </w:r>
      <w:r>
        <w:rPr>
          <w:spacing w:val="-2"/>
        </w:rPr>
        <w:t>用资本化的原则处理之外，均计入当期损益。以历史成本计量的外币非货币性项目，仍采用交易</w:t>
      </w:r>
      <w:r>
        <w:rPr>
          <w:spacing w:val="-25"/>
        </w:rPr>
        <w:t> </w:t>
      </w:r>
      <w:r>
        <w:rPr>
          <w:spacing w:val="-25"/>
        </w:rPr>
      </w:r>
      <w:r>
        <w:rPr>
          <w:spacing w:val="-2"/>
        </w:rPr>
        <w:t>发生日的即期汇率折算，不改变其记账本位币金额。以公允价值计量的外币非货币性项目，采用</w:t>
      </w:r>
    </w:p>
    <w:p>
      <w:pPr>
        <w:spacing w:after="0" w:line="297" w:lineRule="auto"/>
        <w:jc w:val="both"/>
        <w:sectPr>
          <w:pgSz w:w="11910" w:h="16840"/>
          <w:pgMar w:header="926" w:footer="1335" w:top="1120" w:bottom="1520" w:left="1660" w:right="1120"/>
        </w:sectPr>
      </w:pPr>
    </w:p>
    <w:p>
      <w:pPr>
        <w:spacing w:line="240" w:lineRule="auto" w:before="7"/>
        <w:rPr>
          <w:rFonts w:ascii="宋体" w:hAnsi="宋体" w:cs="宋体" w:eastAsia="宋体" w:hint="default"/>
          <w:sz w:val="5"/>
          <w:szCs w:val="5"/>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5.3pt;height:.75pt;mso-position-horizontal-relative:char;mso-position-vertical-relative:line" coordorigin="0,0" coordsize="8906,15">
            <v:group style="position:absolute;left:7;top:7;width:8891;height:2" coordorigin="7,7" coordsize="8891,2">
              <v:shape style="position:absolute;left:7;top:7;width:8891;height:2" coordorigin="7,7" coordsize="8891,0" path="m7,7l889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4"/>
          <w:szCs w:val="24"/>
        </w:rPr>
      </w:pPr>
    </w:p>
    <w:p>
      <w:pPr>
        <w:pStyle w:val="BodyText"/>
        <w:spacing w:line="297" w:lineRule="auto" w:before="36"/>
        <w:ind w:right="157"/>
        <w:jc w:val="both"/>
      </w:pPr>
      <w:r>
        <w:rPr>
          <w:spacing w:val="-2"/>
        </w:rPr>
        <w:t>公允价值确定日的即期汇率折算，由此产生的差额根据非货币性项目的性质计入当期损益或其他</w:t>
      </w:r>
      <w:r>
        <w:rPr>
          <w:spacing w:val="-25"/>
        </w:rPr>
        <w:t> </w:t>
      </w:r>
      <w:r>
        <w:rPr>
          <w:spacing w:val="-25"/>
        </w:rPr>
      </w:r>
      <w:r>
        <w:rPr/>
        <w:t>综合收益。</w:t>
      </w:r>
    </w:p>
    <w:p>
      <w:pPr>
        <w:spacing w:line="240" w:lineRule="auto" w:before="3"/>
        <w:rPr>
          <w:rFonts w:ascii="宋体" w:hAnsi="宋体" w:cs="宋体" w:eastAsia="宋体" w:hint="default"/>
          <w:sz w:val="27"/>
          <w:szCs w:val="27"/>
        </w:rPr>
      </w:pPr>
    </w:p>
    <w:p>
      <w:pPr>
        <w:pStyle w:val="BodyText"/>
        <w:spacing w:line="297" w:lineRule="auto"/>
        <w:ind w:right="148"/>
        <w:jc w:val="both"/>
      </w:pPr>
      <w:r>
        <w:rPr>
          <w:spacing w:val="-2"/>
        </w:rPr>
        <w:t>对于境外经营，本集团在编制财务报表时将其记账本位币折算为人民币：对资产负债表中的资产</w:t>
      </w:r>
      <w:r>
        <w:rPr>
          <w:spacing w:val="-25"/>
        </w:rPr>
        <w:t> </w:t>
      </w:r>
      <w:r>
        <w:rPr>
          <w:spacing w:val="-25"/>
        </w:rPr>
      </w:r>
      <w:r>
        <w:rPr>
          <w:spacing w:val="-2"/>
        </w:rPr>
        <w:t>和负债项目，采用资产负债表日的即期汇率折算，股东权益项目除“未分配利润”项目外，其他</w:t>
      </w:r>
      <w:r>
        <w:rPr>
          <w:spacing w:val="-25"/>
        </w:rPr>
        <w:t> </w:t>
      </w:r>
      <w:r>
        <w:rPr>
          <w:spacing w:val="-25"/>
        </w:rPr>
      </w:r>
      <w:r>
        <w:rPr>
          <w:spacing w:val="-6"/>
          <w:w w:val="100"/>
        </w:rPr>
        <w:t>项目采用发生时的即期汇率折算；利润表中的收入和费用项目，采用交易发生当期平均汇率折算。</w:t>
      </w:r>
      <w:r>
        <w:rPr>
          <w:w w:val="100"/>
        </w:rPr>
        <w:t> </w:t>
      </w:r>
      <w:r>
        <w:rPr>
          <w:spacing w:val="-2"/>
        </w:rPr>
        <w:t>按照上述折算产生的外币财务报表折算差额，确认为其他综合收益。处置境外经营时，将与该境</w:t>
      </w:r>
      <w:r>
        <w:rPr>
          <w:spacing w:val="-25"/>
        </w:rPr>
        <w:t> </w:t>
      </w:r>
      <w:r>
        <w:rPr>
          <w:spacing w:val="-25"/>
        </w:rPr>
      </w:r>
      <w:r>
        <w:rPr/>
        <w:t>外经营相关的其他综合收益转入处置当期损益，部分处置的按处置比例计算。</w:t>
      </w:r>
    </w:p>
    <w:p>
      <w:pPr>
        <w:spacing w:line="240" w:lineRule="auto" w:before="3"/>
        <w:rPr>
          <w:rFonts w:ascii="宋体" w:hAnsi="宋体" w:cs="宋体" w:eastAsia="宋体" w:hint="default"/>
          <w:sz w:val="27"/>
          <w:szCs w:val="27"/>
        </w:rPr>
      </w:pPr>
    </w:p>
    <w:p>
      <w:pPr>
        <w:pStyle w:val="BodyText"/>
        <w:spacing w:line="297" w:lineRule="auto"/>
        <w:ind w:right="157"/>
        <w:jc w:val="both"/>
      </w:pPr>
      <w:r>
        <w:rPr>
          <w:spacing w:val="-2"/>
        </w:rPr>
        <w:t>外币现金流量以及境外子公司的现金流量，采用现金流量发生当期平均汇率折算。汇率变动对现</w:t>
      </w:r>
      <w:r>
        <w:rPr>
          <w:spacing w:val="-25"/>
        </w:rPr>
        <w:t> </w:t>
      </w:r>
      <w:r>
        <w:rPr>
          <w:spacing w:val="-25"/>
        </w:rPr>
      </w:r>
      <w:r>
        <w:rPr/>
        <w:t>金的影响额作为调节项目，在现金流量表中单独列报。</w:t>
      </w:r>
    </w:p>
    <w:p>
      <w:pPr>
        <w:spacing w:line="240" w:lineRule="auto" w:before="7"/>
        <w:rPr>
          <w:rFonts w:ascii="宋体" w:hAnsi="宋体" w:cs="宋体" w:eastAsia="宋体" w:hint="default"/>
          <w:sz w:val="26"/>
          <w:szCs w:val="26"/>
        </w:rPr>
      </w:pPr>
    </w:p>
    <w:p>
      <w:pPr>
        <w:pStyle w:val="BodyText"/>
        <w:spacing w:line="266" w:lineRule="auto"/>
        <w:ind w:right="144"/>
        <w:jc w:val="left"/>
      </w:pPr>
      <w:r>
        <w:rPr>
          <w:rFonts w:ascii="Calibri" w:hAnsi="Calibri" w:cs="Calibri" w:eastAsia="Calibri" w:hint="default"/>
          <w:b/>
          <w:bCs/>
        </w:rPr>
        <w:t>10.</w:t>
      </w:r>
      <w:r>
        <w:rPr>
          <w:rFonts w:ascii="Calibri" w:hAnsi="Calibri" w:cs="Calibri" w:eastAsia="Calibri" w:hint="default"/>
          <w:b/>
          <w:bCs/>
          <w:spacing w:val="12"/>
        </w:rPr>
        <w:t> </w:t>
      </w:r>
      <w:r>
        <w:rPr>
          <w:rFonts w:ascii="宋体" w:hAnsi="宋体" w:cs="宋体" w:eastAsia="宋体" w:hint="default"/>
          <w:b/>
          <w:bCs/>
        </w:rPr>
        <w:t>金融工具</w:t>
      </w:r>
      <w:r>
        <w:rPr>
          <w:rFonts w:ascii="宋体" w:hAnsi="宋体" w:cs="宋体" w:eastAsia="宋体" w:hint="default"/>
          <w:b/>
          <w:bCs/>
          <w:w w:val="100"/>
        </w:rPr>
        <w:t> </w:t>
      </w:r>
      <w:r>
        <w:rPr>
          <w:spacing w:val="-2"/>
        </w:rPr>
        <w:t>金融工具，是指形成一个企业的金融资产，并形成其他单位的金融负债或权益工具的合同。</w:t>
      </w:r>
    </w:p>
    <w:p>
      <w:pPr>
        <w:spacing w:line="240" w:lineRule="auto" w:before="2"/>
        <w:rPr>
          <w:rFonts w:ascii="宋体" w:hAnsi="宋体" w:cs="宋体" w:eastAsia="宋体" w:hint="default"/>
          <w:sz w:val="29"/>
          <w:szCs w:val="29"/>
        </w:rPr>
      </w:pPr>
    </w:p>
    <w:p>
      <w:pPr>
        <w:pStyle w:val="BodyText"/>
        <w:spacing w:line="595" w:lineRule="auto"/>
        <w:ind w:right="160"/>
        <w:jc w:val="both"/>
      </w:pPr>
      <w:r>
        <w:rPr/>
        <w:t>金融工具的确认和终止确认</w:t>
      </w:r>
      <w:r>
        <w:rPr>
          <w:w w:val="100"/>
        </w:rPr>
        <w:t> </w:t>
      </w:r>
      <w:r>
        <w:rPr/>
        <w:t>本集团于成为金融工具合同的一方时确认一项金融资产或金融负债。</w:t>
      </w:r>
    </w:p>
    <w:p>
      <w:pPr>
        <w:pStyle w:val="BodyText"/>
        <w:spacing w:line="297" w:lineRule="auto" w:before="96"/>
        <w:ind w:right="160"/>
        <w:jc w:val="both"/>
      </w:pPr>
      <w:r>
        <w:rPr>
          <w:spacing w:val="-2"/>
        </w:rPr>
        <w:t>满足下列条件的，终止确认金融资产</w:t>
      </w:r>
      <w:r>
        <w:rPr>
          <w:rFonts w:ascii="宋体" w:hAnsi="宋体" w:cs="宋体" w:eastAsia="宋体" w:hint="default"/>
          <w:spacing w:val="-2"/>
        </w:rPr>
        <w:t>(</w:t>
      </w:r>
      <w:r>
        <w:rPr>
          <w:spacing w:val="-2"/>
        </w:rPr>
        <w:t>或金融资产的一部分，或一组类似金融资产的一部分</w:t>
      </w:r>
      <w:r>
        <w:rPr>
          <w:rFonts w:ascii="宋体" w:hAnsi="宋体" w:cs="宋体" w:eastAsia="宋体" w:hint="default"/>
          <w:spacing w:val="-2"/>
        </w:rPr>
        <w:t>)</w:t>
      </w:r>
      <w:r>
        <w:rPr>
          <w:spacing w:val="-2"/>
        </w:rPr>
        <w:t>，即</w:t>
      </w:r>
      <w:r>
        <w:rPr>
          <w:spacing w:val="-26"/>
        </w:rPr>
        <w:t> </w:t>
      </w:r>
      <w:r>
        <w:rPr/>
        <w:t>从其账户和资产负债表内予以转销：</w:t>
      </w:r>
    </w:p>
    <w:p>
      <w:pPr>
        <w:spacing w:line="240" w:lineRule="auto" w:before="1"/>
        <w:rPr>
          <w:rFonts w:ascii="宋体" w:hAnsi="宋体" w:cs="宋体" w:eastAsia="宋体" w:hint="default"/>
          <w:sz w:val="27"/>
          <w:szCs w:val="27"/>
        </w:rPr>
      </w:pPr>
    </w:p>
    <w:p>
      <w:pPr>
        <w:pStyle w:val="BodyText"/>
        <w:spacing w:line="240" w:lineRule="auto"/>
        <w:ind w:right="0"/>
        <w:jc w:val="both"/>
      </w:pPr>
      <w:r>
        <w:rPr>
          <w:rFonts w:ascii="宋体" w:hAnsi="宋体" w:cs="宋体" w:eastAsia="宋体" w:hint="default"/>
        </w:rPr>
        <w:t>(1)</w:t>
      </w:r>
      <w:r>
        <w:rPr>
          <w:rFonts w:ascii="宋体" w:hAnsi="宋体" w:cs="宋体" w:eastAsia="宋体" w:hint="default"/>
          <w:spacing w:val="1"/>
        </w:rPr>
        <w:t> </w:t>
      </w:r>
      <w:r>
        <w:rPr/>
        <w:t>收取金融资产现金流量的权利届满；</w:t>
      </w:r>
    </w:p>
    <w:p>
      <w:pPr>
        <w:pStyle w:val="BodyText"/>
        <w:spacing w:line="297" w:lineRule="auto" w:before="66"/>
        <w:ind w:right="157"/>
        <w:jc w:val="both"/>
      </w:pPr>
      <w:r>
        <w:rPr>
          <w:rFonts w:ascii="宋体" w:hAnsi="宋体" w:cs="宋体" w:eastAsia="宋体" w:hint="default"/>
        </w:rPr>
        <w:t>(2)</w:t>
      </w:r>
      <w:r>
        <w:rPr>
          <w:rFonts w:ascii="宋体" w:hAnsi="宋体" w:cs="宋体" w:eastAsia="宋体" w:hint="default"/>
          <w:spacing w:val="-3"/>
        </w:rPr>
        <w:t> </w:t>
      </w:r>
      <w:r>
        <w:rPr/>
        <w:t>转移了收取金融资产现金流量的权利，或在“过手协议”下承担了及时将收取的现金流量全</w:t>
      </w:r>
      <w:r>
        <w:rPr>
          <w:w w:val="100"/>
        </w:rPr>
        <w:t> </w:t>
      </w:r>
      <w:r>
        <w:rPr>
          <w:spacing w:val="-2"/>
        </w:rPr>
        <w:t>额支付给第三方的义务；并且</w:t>
      </w:r>
      <w:r>
        <w:rPr>
          <w:rFonts w:ascii="宋体" w:hAnsi="宋体" w:cs="宋体" w:eastAsia="宋体" w:hint="default"/>
          <w:spacing w:val="-2"/>
        </w:rPr>
        <w:t>(a)</w:t>
      </w:r>
      <w:r>
        <w:rPr>
          <w:spacing w:val="-2"/>
        </w:rPr>
        <w:t>实质上转让了金融资产所有权上几乎所有的风险和报酬，或</w:t>
      </w:r>
      <w:r>
        <w:rPr>
          <w:rFonts w:ascii="宋体" w:hAnsi="宋体" w:cs="宋体" w:eastAsia="宋体" w:hint="default"/>
          <w:spacing w:val="-2"/>
        </w:rPr>
        <w:t>(b)</w:t>
      </w:r>
      <w:r>
        <w:rPr>
          <w:rFonts w:ascii="宋体" w:hAnsi="宋体" w:cs="宋体" w:eastAsia="宋体" w:hint="default"/>
          <w:spacing w:val="-23"/>
        </w:rPr>
        <w:t> </w:t>
      </w:r>
      <w:r>
        <w:rPr>
          <w:spacing w:val="-2"/>
        </w:rPr>
        <w:t>虽然实质上既没有转移也没有保留金融资产所有权上几乎所有的风险和报酬，但放弃了对该金融</w:t>
      </w:r>
      <w:r>
        <w:rPr>
          <w:spacing w:val="-25"/>
        </w:rPr>
        <w:t> </w:t>
      </w:r>
      <w:r>
        <w:rPr>
          <w:spacing w:val="-25"/>
        </w:rPr>
      </w:r>
      <w:r>
        <w:rPr/>
        <w:t>资产的控制。</w:t>
      </w:r>
    </w:p>
    <w:p>
      <w:pPr>
        <w:spacing w:line="240" w:lineRule="auto" w:before="1"/>
        <w:rPr>
          <w:rFonts w:ascii="宋体" w:hAnsi="宋体" w:cs="宋体" w:eastAsia="宋体" w:hint="default"/>
          <w:sz w:val="27"/>
          <w:szCs w:val="27"/>
        </w:rPr>
      </w:pPr>
    </w:p>
    <w:p>
      <w:pPr>
        <w:pStyle w:val="BodyText"/>
        <w:spacing w:line="297" w:lineRule="auto"/>
        <w:ind w:right="157"/>
        <w:jc w:val="both"/>
      </w:pPr>
      <w:r>
        <w:rPr>
          <w:spacing w:val="-2"/>
        </w:rPr>
        <w:t>如果金融负债的责任已履行、撤销或届满，则对金融负债进行终止确认。如果现有金融负债被同</w:t>
      </w:r>
      <w:r>
        <w:rPr>
          <w:spacing w:val="-25"/>
        </w:rPr>
        <w:t> </w:t>
      </w:r>
      <w:r>
        <w:rPr>
          <w:spacing w:val="-25"/>
        </w:rPr>
      </w:r>
      <w:r>
        <w:rPr>
          <w:spacing w:val="-2"/>
        </w:rPr>
        <w:t>一债权人以实质上几乎完全不同条款的另一金融负债所取代，或现有负债的条款几乎全部被实质</w:t>
      </w:r>
      <w:r>
        <w:rPr>
          <w:spacing w:val="-25"/>
        </w:rPr>
        <w:t> </w:t>
      </w:r>
      <w:r>
        <w:rPr>
          <w:spacing w:val="-25"/>
        </w:rPr>
      </w:r>
      <w:r>
        <w:rPr/>
        <w:t>性修改，则此类替换或修改作为终止确认原负债和确认新负债处理，差额计入当期损益。</w:t>
      </w:r>
    </w:p>
    <w:p>
      <w:pPr>
        <w:spacing w:line="240" w:lineRule="auto" w:before="3"/>
        <w:rPr>
          <w:rFonts w:ascii="宋体" w:hAnsi="宋体" w:cs="宋体" w:eastAsia="宋体" w:hint="default"/>
          <w:sz w:val="27"/>
          <w:szCs w:val="27"/>
        </w:rPr>
      </w:pPr>
    </w:p>
    <w:p>
      <w:pPr>
        <w:pStyle w:val="BodyText"/>
        <w:spacing w:line="297" w:lineRule="auto"/>
        <w:ind w:right="157"/>
        <w:jc w:val="both"/>
      </w:pPr>
      <w:r>
        <w:rPr>
          <w:spacing w:val="-2"/>
        </w:rPr>
        <w:t>以常规方式买卖金融资产，按交易日会计进行确认和终止确认。常规方式买卖金融资产，是指按</w:t>
      </w:r>
      <w:r>
        <w:rPr>
          <w:spacing w:val="-26"/>
        </w:rPr>
        <w:t> </w:t>
      </w:r>
      <w:r>
        <w:rPr>
          <w:spacing w:val="-26"/>
        </w:rPr>
      </w:r>
      <w:r>
        <w:rPr>
          <w:spacing w:val="-2"/>
        </w:rPr>
        <w:t>照合同条款的约定，在法规或通行惯例规定的期限内收取或交付金融资产。交易日，是指本集团</w:t>
      </w:r>
      <w:r>
        <w:rPr>
          <w:spacing w:val="-25"/>
        </w:rPr>
        <w:t> </w:t>
      </w:r>
      <w:r>
        <w:rPr>
          <w:spacing w:val="-25"/>
        </w:rPr>
      </w:r>
      <w:r>
        <w:rPr/>
        <w:t>承诺买入或卖出金融资产的日期。</w:t>
      </w:r>
    </w:p>
    <w:p>
      <w:pPr>
        <w:spacing w:line="240" w:lineRule="auto" w:before="3"/>
        <w:rPr>
          <w:rFonts w:ascii="宋体" w:hAnsi="宋体" w:cs="宋体" w:eastAsia="宋体" w:hint="default"/>
          <w:sz w:val="27"/>
          <w:szCs w:val="27"/>
        </w:rPr>
      </w:pPr>
    </w:p>
    <w:p>
      <w:pPr>
        <w:pStyle w:val="BodyText"/>
        <w:spacing w:line="240" w:lineRule="auto"/>
        <w:ind w:right="0"/>
        <w:jc w:val="both"/>
      </w:pPr>
      <w:r>
        <w:rPr/>
        <w:t>金融资产分类和计量</w:t>
      </w:r>
    </w:p>
    <w:p>
      <w:pPr>
        <w:spacing w:line="240" w:lineRule="auto" w:before="0"/>
        <w:rPr>
          <w:rFonts w:ascii="宋体" w:hAnsi="宋体" w:cs="宋体" w:eastAsia="宋体" w:hint="default"/>
          <w:sz w:val="20"/>
          <w:szCs w:val="20"/>
        </w:rPr>
      </w:pPr>
    </w:p>
    <w:p>
      <w:pPr>
        <w:pStyle w:val="BodyText"/>
        <w:spacing w:line="297" w:lineRule="auto" w:before="145"/>
        <w:ind w:right="157"/>
        <w:jc w:val="both"/>
      </w:pPr>
      <w:r>
        <w:rPr>
          <w:spacing w:val="-2"/>
        </w:rPr>
        <w:t>本集团的金融资产于初始确认时分类为：以公允价值计量且其变动计入当期损益的金融资产、持</w:t>
      </w:r>
      <w:r>
        <w:rPr>
          <w:spacing w:val="-25"/>
        </w:rPr>
        <w:t> </w:t>
      </w:r>
      <w:r>
        <w:rPr>
          <w:spacing w:val="-25"/>
        </w:rPr>
      </w:r>
      <w:r>
        <w:rPr>
          <w:spacing w:val="-2"/>
        </w:rPr>
        <w:t>有至到期投资、贷款和应收款项、可供出售金融资产、被指定为有效套期工具的衍生工具。金融</w:t>
      </w:r>
    </w:p>
    <w:p>
      <w:pPr>
        <w:spacing w:after="0" w:line="297" w:lineRule="auto"/>
        <w:jc w:val="both"/>
        <w:sectPr>
          <w:headerReference w:type="default" r:id="rId40"/>
          <w:footerReference w:type="default" r:id="rId41"/>
          <w:pgSz w:w="11910" w:h="16840"/>
          <w:pgMar w:header="0" w:footer="1335" w:top="1020" w:bottom="1520" w:left="1660" w:right="1120"/>
          <w:pgNumType w:start="21"/>
        </w:sectPr>
      </w:pPr>
    </w:p>
    <w:p>
      <w:pPr>
        <w:spacing w:line="240" w:lineRule="auto" w:before="1"/>
        <w:rPr>
          <w:rFonts w:ascii="宋体" w:hAnsi="宋体" w:cs="宋体" w:eastAsia="宋体" w:hint="default"/>
          <w:sz w:val="25"/>
          <w:szCs w:val="25"/>
        </w:rPr>
      </w:pPr>
    </w:p>
    <w:p>
      <w:pPr>
        <w:pStyle w:val="BodyText"/>
        <w:spacing w:line="297" w:lineRule="auto" w:before="36"/>
        <w:ind w:right="144"/>
        <w:jc w:val="left"/>
      </w:pPr>
      <w:r>
        <w:rPr>
          <w:spacing w:val="-2"/>
        </w:rPr>
        <w:t>资产在初始确认时以公允价值计量。对于以公允价值计量且其变动计入当期损益的金融资产，相</w:t>
      </w:r>
      <w:r>
        <w:rPr>
          <w:spacing w:val="-25"/>
        </w:rPr>
        <w:t> </w:t>
      </w:r>
      <w:r>
        <w:rPr>
          <w:spacing w:val="-25"/>
        </w:rPr>
      </w:r>
      <w:r>
        <w:rPr/>
        <w:t>关交易费用直接计入当期损益，其他类别的金融资产相关交易费用计入其初始确认金额。</w:t>
      </w:r>
    </w:p>
    <w:p>
      <w:pPr>
        <w:pStyle w:val="BodyText"/>
        <w:spacing w:line="682" w:lineRule="exact" w:before="56"/>
        <w:ind w:right="3487"/>
        <w:jc w:val="left"/>
      </w:pPr>
      <w:r>
        <w:rPr/>
        <w:t>金融资产的后续计量取决于其分类：</w:t>
      </w:r>
      <w:r>
        <w:rPr>
          <w:w w:val="100"/>
        </w:rPr>
        <w:t> </w:t>
      </w:r>
      <w:r>
        <w:rPr>
          <w:spacing w:val="-2"/>
        </w:rPr>
        <w:t>以公允价值计量且其变动计入当期损益的金融资产</w:t>
      </w:r>
    </w:p>
    <w:p>
      <w:pPr>
        <w:pStyle w:val="BodyText"/>
        <w:spacing w:line="232" w:lineRule="exact"/>
        <w:ind w:right="0"/>
        <w:jc w:val="left"/>
      </w:pPr>
      <w:r>
        <w:rPr/>
        <w:t>以公允价值计量且其变动计入当期损益的金融资产，包括交易性金融资产和初始确认时指定为以</w:t>
      </w:r>
    </w:p>
    <w:p>
      <w:pPr>
        <w:pStyle w:val="BodyText"/>
        <w:spacing w:line="297" w:lineRule="auto" w:before="66"/>
        <w:ind w:right="150"/>
        <w:jc w:val="both"/>
      </w:pPr>
      <w:r>
        <w:rPr>
          <w:spacing w:val="-2"/>
        </w:rPr>
        <w:t>公允价值计量且其变动计入当期损益的金融资产。交易性金融资产，是指满足下列条件之一的金</w:t>
      </w:r>
      <w:r>
        <w:rPr>
          <w:spacing w:val="-25"/>
        </w:rPr>
        <w:t> </w:t>
      </w:r>
      <w:r>
        <w:rPr>
          <w:spacing w:val="-25"/>
        </w:rPr>
      </w:r>
      <w:r>
        <w:rPr>
          <w:spacing w:val="-2"/>
        </w:rPr>
        <w:t>融资产：取得该金融资产的目的是为了在短期内出售；属于进行集中管理的可辨认金融工具组合</w:t>
      </w:r>
      <w:r>
        <w:rPr>
          <w:spacing w:val="-25"/>
        </w:rPr>
        <w:t> </w:t>
      </w:r>
      <w:r>
        <w:rPr>
          <w:spacing w:val="-25"/>
        </w:rPr>
      </w:r>
      <w:r>
        <w:rPr>
          <w:spacing w:val="-2"/>
        </w:rPr>
        <w:t>的一部分，且有客观证据表明企业近期采用短期获利方式对该组合进行管理；属于衍生工具，但</w:t>
      </w:r>
      <w:r>
        <w:rPr>
          <w:spacing w:val="-25"/>
        </w:rPr>
        <w:t> </w:t>
      </w:r>
      <w:r>
        <w:rPr>
          <w:spacing w:val="-25"/>
        </w:rPr>
      </w:r>
      <w:r>
        <w:rPr>
          <w:spacing w:val="-2"/>
        </w:rPr>
        <w:t>是，被指定且为有效套期工具的衍生工具、属于财务担保合同的衍生工具、与在活跃市场中没有</w:t>
      </w:r>
      <w:r>
        <w:rPr>
          <w:spacing w:val="-25"/>
        </w:rPr>
        <w:t> </w:t>
      </w:r>
      <w:r>
        <w:rPr>
          <w:spacing w:val="-25"/>
        </w:rPr>
      </w:r>
      <w:r>
        <w:rPr>
          <w:spacing w:val="-2"/>
        </w:rPr>
        <w:t>报价且其公允价值不能可靠计量的权益工具投资挂钩并须通过交付该权益工具结算的衍生工具除</w:t>
      </w:r>
      <w:r>
        <w:rPr>
          <w:spacing w:val="-25"/>
        </w:rPr>
        <w:t> </w:t>
      </w:r>
      <w:r>
        <w:rPr>
          <w:spacing w:val="-25"/>
        </w:rPr>
      </w:r>
      <w:r>
        <w:rPr>
          <w:spacing w:val="-2"/>
        </w:rPr>
        <w:t>外。对于此类金融资产，采用公允价值进行后续计量，所有已实现和未实现的损益均计入当期损</w:t>
      </w:r>
      <w:r>
        <w:rPr>
          <w:spacing w:val="-26"/>
        </w:rPr>
        <w:t> </w:t>
      </w:r>
      <w:r>
        <w:rPr>
          <w:spacing w:val="-26"/>
        </w:rPr>
      </w:r>
      <w:r>
        <w:rPr>
          <w:spacing w:val="-6"/>
          <w:w w:val="100"/>
        </w:rPr>
        <w:t>益。与以公允价值计量且其变动计入当期损益的金融资产相关的股利或利息收入，计入当期损益。</w:t>
      </w:r>
    </w:p>
    <w:p>
      <w:pPr>
        <w:spacing w:line="240" w:lineRule="auto" w:before="3"/>
        <w:rPr>
          <w:rFonts w:ascii="宋体" w:hAnsi="宋体" w:cs="宋体" w:eastAsia="宋体" w:hint="default"/>
          <w:sz w:val="27"/>
          <w:szCs w:val="27"/>
        </w:rPr>
      </w:pPr>
    </w:p>
    <w:p>
      <w:pPr>
        <w:pStyle w:val="BodyText"/>
        <w:spacing w:line="297" w:lineRule="auto"/>
        <w:ind w:right="144"/>
        <w:jc w:val="left"/>
      </w:pPr>
      <w:r>
        <w:rPr/>
        <w:t>持有至到期投资</w:t>
      </w:r>
      <w:r>
        <w:rPr>
          <w:spacing w:val="-103"/>
        </w:rPr>
        <w:t> </w:t>
      </w:r>
      <w:r>
        <w:rPr>
          <w:spacing w:val="-103"/>
        </w:rPr>
      </w:r>
      <w:r>
        <w:rPr>
          <w:spacing w:val="-2"/>
        </w:rPr>
        <w:t>持有至到期投资，是指到期日固定、回收金额固定或可确定，且本集团有明确意图和能力持有至</w:t>
      </w:r>
      <w:r>
        <w:rPr>
          <w:spacing w:val="-25"/>
        </w:rPr>
        <w:t> </w:t>
      </w:r>
      <w:r>
        <w:rPr>
          <w:spacing w:val="-25"/>
        </w:rPr>
      </w:r>
      <w:r>
        <w:rPr>
          <w:spacing w:val="-2"/>
        </w:rPr>
        <w:t>到期的非衍生金融资产。对于此类金融资产，采用实际利率法，按照摊余成本进行后续计量，其</w:t>
      </w:r>
      <w:r>
        <w:rPr>
          <w:spacing w:val="-25"/>
        </w:rPr>
        <w:t> </w:t>
      </w:r>
      <w:r>
        <w:rPr>
          <w:spacing w:val="-25"/>
        </w:rPr>
      </w:r>
      <w:r>
        <w:rPr/>
        <w:t>摊销或减值以及终止确认产生的利得或损失，均计入当期损益。</w:t>
      </w:r>
    </w:p>
    <w:p>
      <w:pPr>
        <w:spacing w:line="240" w:lineRule="auto" w:before="1"/>
        <w:rPr>
          <w:rFonts w:ascii="宋体" w:hAnsi="宋体" w:cs="宋体" w:eastAsia="宋体" w:hint="default"/>
          <w:sz w:val="27"/>
          <w:szCs w:val="27"/>
        </w:rPr>
      </w:pPr>
    </w:p>
    <w:p>
      <w:pPr>
        <w:pStyle w:val="BodyText"/>
        <w:spacing w:line="297" w:lineRule="auto"/>
        <w:ind w:right="144"/>
        <w:jc w:val="left"/>
      </w:pPr>
      <w:r>
        <w:rPr/>
        <w:t>贷款和应收款项</w:t>
      </w:r>
      <w:r>
        <w:rPr>
          <w:spacing w:val="-103"/>
        </w:rPr>
        <w:t> </w:t>
      </w:r>
      <w:r>
        <w:rPr>
          <w:spacing w:val="-103"/>
        </w:rPr>
      </w:r>
      <w:r>
        <w:rPr>
          <w:spacing w:val="-2"/>
        </w:rPr>
        <w:t>贷款和应收款项，是指在活跃市场中没有报价、回收金额固定或可确定的非衍生金融资产。对于</w:t>
      </w:r>
      <w:r>
        <w:rPr>
          <w:spacing w:val="-25"/>
        </w:rPr>
        <w:t> </w:t>
      </w:r>
      <w:r>
        <w:rPr>
          <w:spacing w:val="-25"/>
        </w:rPr>
      </w:r>
      <w:r>
        <w:rPr>
          <w:spacing w:val="-7"/>
        </w:rPr>
        <w:t>此类金融资产，采用实际利率法，按照摊余成本进行后续计量，其摊销或减值产生的利得或损失，</w:t>
      </w:r>
      <w:r>
        <w:rPr>
          <w:spacing w:val="-12"/>
        </w:rPr>
        <w:t> </w:t>
      </w:r>
      <w:r>
        <w:rPr>
          <w:spacing w:val="-12"/>
        </w:rPr>
      </w:r>
      <w:r>
        <w:rPr/>
        <w:t>均计入当期损益。</w:t>
      </w:r>
    </w:p>
    <w:p>
      <w:pPr>
        <w:spacing w:line="240" w:lineRule="auto" w:before="3"/>
        <w:rPr>
          <w:rFonts w:ascii="宋体" w:hAnsi="宋体" w:cs="宋体" w:eastAsia="宋体" w:hint="default"/>
          <w:sz w:val="27"/>
          <w:szCs w:val="27"/>
        </w:rPr>
      </w:pPr>
    </w:p>
    <w:p>
      <w:pPr>
        <w:pStyle w:val="BodyText"/>
        <w:spacing w:line="297" w:lineRule="auto"/>
        <w:ind w:right="144"/>
        <w:jc w:val="left"/>
      </w:pPr>
      <w:r>
        <w:rPr/>
        <w:t>可供出售金融资产</w:t>
      </w:r>
      <w:r>
        <w:rPr>
          <w:w w:val="100"/>
        </w:rPr>
        <w:t> </w:t>
      </w:r>
      <w:r>
        <w:rPr>
          <w:spacing w:val="-2"/>
        </w:rPr>
        <w:t>可供出售金融资产，是指初始确认时即指定为可供出售的非衍生金融资产，以及除上述金融资产</w:t>
      </w:r>
      <w:r>
        <w:rPr>
          <w:spacing w:val="-25"/>
        </w:rPr>
        <w:t> </w:t>
      </w:r>
      <w:r>
        <w:rPr>
          <w:spacing w:val="-25"/>
        </w:rPr>
      </w:r>
      <w:r>
        <w:rPr>
          <w:spacing w:val="-2"/>
        </w:rPr>
        <w:t>类别以外的金融资产。对于此类金融资产，采用公允价值进行后续计量。其折价或溢价采用实际</w:t>
      </w:r>
      <w:r>
        <w:rPr>
          <w:spacing w:val="-25"/>
        </w:rPr>
        <w:t> </w:t>
      </w:r>
      <w:r>
        <w:rPr>
          <w:spacing w:val="-25"/>
        </w:rPr>
      </w:r>
      <w:r>
        <w:rPr>
          <w:spacing w:val="-2"/>
        </w:rPr>
        <w:t>利率法进行摊销并确认为利息收入或费用。除减值损失及外币货币性金融资产的汇兑差额确认为</w:t>
      </w:r>
      <w:r>
        <w:rPr>
          <w:spacing w:val="-25"/>
        </w:rPr>
        <w:t> </w:t>
      </w:r>
      <w:r>
        <w:rPr>
          <w:spacing w:val="-25"/>
        </w:rPr>
      </w:r>
      <w:r>
        <w:rPr>
          <w:spacing w:val="-2"/>
        </w:rPr>
        <w:t>当期损益外，可供出售金融资产的公允价值变动作为其他综合收益确认，直到该金融资产终止确</w:t>
      </w:r>
      <w:r>
        <w:rPr>
          <w:spacing w:val="-25"/>
        </w:rPr>
        <w:t> </w:t>
      </w:r>
      <w:r>
        <w:rPr>
          <w:spacing w:val="-25"/>
        </w:rPr>
      </w:r>
      <w:r>
        <w:rPr>
          <w:spacing w:val="-6"/>
          <w:w w:val="100"/>
        </w:rPr>
        <w:t>认或发生减值时，其累计利得或损失转入当期损益。与可供出售金融资产相关的股利或利息收入，</w:t>
      </w:r>
      <w:r>
        <w:rPr>
          <w:w w:val="100"/>
        </w:rPr>
        <w:t> </w:t>
      </w:r>
      <w:r>
        <w:rPr/>
        <w:t>计入当期损益。</w:t>
      </w:r>
    </w:p>
    <w:p>
      <w:pPr>
        <w:spacing w:line="240" w:lineRule="auto" w:before="1"/>
        <w:rPr>
          <w:rFonts w:ascii="宋体" w:hAnsi="宋体" w:cs="宋体" w:eastAsia="宋体" w:hint="default"/>
          <w:sz w:val="27"/>
          <w:szCs w:val="27"/>
        </w:rPr>
      </w:pPr>
    </w:p>
    <w:p>
      <w:pPr>
        <w:pStyle w:val="BodyText"/>
        <w:spacing w:line="595" w:lineRule="auto"/>
        <w:ind w:right="144"/>
        <w:jc w:val="left"/>
      </w:pPr>
      <w:r>
        <w:rPr/>
        <w:t>对于在活跃市场中没有报价且其公允价值不能可靠计量的权益工具投资，按成本计量。</w:t>
      </w:r>
      <w:r>
        <w:rPr>
          <w:w w:val="100"/>
        </w:rPr>
        <w:t> </w:t>
      </w:r>
      <w:r>
        <w:rPr/>
        <w:t>金融负债分类和计量</w:t>
      </w:r>
    </w:p>
    <w:p>
      <w:pPr>
        <w:pStyle w:val="BodyText"/>
        <w:spacing w:line="297" w:lineRule="auto" w:before="96"/>
        <w:ind w:right="150"/>
        <w:jc w:val="both"/>
      </w:pPr>
      <w:r>
        <w:rPr>
          <w:spacing w:val="-2"/>
        </w:rPr>
        <w:t>本集团的金融负债于初始确认时分类为：以公允价值计量且其变动计入当期损益的金融负债、其</w:t>
      </w:r>
      <w:r>
        <w:rPr>
          <w:spacing w:val="-25"/>
        </w:rPr>
        <w:t> </w:t>
      </w:r>
      <w:r>
        <w:rPr>
          <w:spacing w:val="-25"/>
        </w:rPr>
      </w:r>
      <w:r>
        <w:rPr>
          <w:spacing w:val="-2"/>
        </w:rPr>
        <w:t>他金融负债、被指定为有效套期工具的衍生工具。对于以公允价值计量且其变动计入当期损益的</w:t>
      </w:r>
      <w:r>
        <w:rPr>
          <w:spacing w:val="-25"/>
        </w:rPr>
        <w:t> </w:t>
      </w:r>
      <w:r>
        <w:rPr>
          <w:spacing w:val="-25"/>
        </w:rPr>
      </w:r>
      <w:r>
        <w:rPr>
          <w:spacing w:val="-7"/>
          <w:w w:val="100"/>
        </w:rPr>
        <w:t>金融负债，相关交易费用直接计入当期损益，其他金融负债的相关交易费用计入其初始确认金额。</w:t>
      </w:r>
    </w:p>
    <w:p>
      <w:pPr>
        <w:spacing w:after="0" w:line="297" w:lineRule="auto"/>
        <w:jc w:val="both"/>
        <w:sectPr>
          <w:headerReference w:type="default" r:id="rId42"/>
          <w:footerReference w:type="default" r:id="rId43"/>
          <w:pgSz w:w="11910" w:h="16840"/>
          <w:pgMar w:header="926" w:footer="1335" w:top="1120" w:bottom="1520" w:left="1660" w:right="1120"/>
          <w:pgNumType w:start="2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0"/>
        <w:jc w:val="both"/>
      </w:pPr>
      <w:r>
        <w:rPr/>
        <w:t>金融负债的后续计量取决于其分类：</w:t>
      </w:r>
    </w:p>
    <w:p>
      <w:pPr>
        <w:spacing w:line="240" w:lineRule="auto" w:before="0"/>
        <w:rPr>
          <w:rFonts w:ascii="宋体" w:hAnsi="宋体" w:cs="宋体" w:eastAsia="宋体" w:hint="default"/>
          <w:sz w:val="20"/>
          <w:szCs w:val="20"/>
        </w:rPr>
      </w:pPr>
    </w:p>
    <w:p>
      <w:pPr>
        <w:pStyle w:val="BodyText"/>
        <w:spacing w:line="297" w:lineRule="auto" w:before="145"/>
        <w:ind w:right="144"/>
        <w:jc w:val="left"/>
      </w:pPr>
      <w:r>
        <w:rPr/>
        <w:t>以公允价值计量且其变动计入当期损益的金融负债</w:t>
      </w:r>
      <w:r>
        <w:rPr>
          <w:w w:val="100"/>
        </w:rPr>
        <w:t> </w:t>
      </w:r>
      <w:r>
        <w:rPr>
          <w:spacing w:val="-2"/>
        </w:rPr>
        <w:t>以公允价值计量且其变动计入当期损益的金融负债，包括交易性金融负债和初始确认时指定为以</w:t>
      </w:r>
      <w:r>
        <w:rPr>
          <w:spacing w:val="-26"/>
        </w:rPr>
        <w:t> </w:t>
      </w:r>
      <w:r>
        <w:rPr>
          <w:spacing w:val="-26"/>
        </w:rPr>
      </w:r>
      <w:r>
        <w:rPr>
          <w:spacing w:val="-2"/>
        </w:rPr>
        <w:t>公允价值计量且其变动计入当期损益的金融负债。交易性金融负债，是指满足下列条件之一的金</w:t>
      </w:r>
      <w:r>
        <w:rPr>
          <w:spacing w:val="-25"/>
        </w:rPr>
        <w:t> </w:t>
      </w:r>
      <w:r>
        <w:rPr>
          <w:spacing w:val="-25"/>
        </w:rPr>
      </w:r>
      <w:r>
        <w:rPr>
          <w:spacing w:val="-2"/>
        </w:rPr>
        <w:t>融负债：承担该金融负债的目的是为了在近期内回购；属于进行集中管理的可辨认金融工具组合</w:t>
      </w:r>
      <w:r>
        <w:rPr>
          <w:spacing w:val="-25"/>
        </w:rPr>
        <w:t> </w:t>
      </w:r>
      <w:r>
        <w:rPr>
          <w:spacing w:val="-25"/>
        </w:rPr>
      </w:r>
      <w:r>
        <w:rPr>
          <w:spacing w:val="-2"/>
        </w:rPr>
        <w:t>的一部分，且有客观证据表明企业近期采用短期获利方式对该组合进行管理；属于衍生工具，但</w:t>
      </w:r>
      <w:r>
        <w:rPr>
          <w:spacing w:val="-25"/>
        </w:rPr>
        <w:t> </w:t>
      </w:r>
      <w:r>
        <w:rPr>
          <w:spacing w:val="-25"/>
        </w:rPr>
      </w:r>
      <w:r>
        <w:rPr>
          <w:spacing w:val="-2"/>
        </w:rPr>
        <w:t>是，被指定且为有效套期工具的衍生工具、属于财务担保合同的衍生工具、与在活跃市场中没有</w:t>
      </w:r>
      <w:r>
        <w:rPr>
          <w:spacing w:val="-25"/>
        </w:rPr>
        <w:t> </w:t>
      </w:r>
      <w:r>
        <w:rPr>
          <w:spacing w:val="-25"/>
        </w:rPr>
      </w:r>
      <w:r>
        <w:rPr>
          <w:spacing w:val="-2"/>
        </w:rPr>
        <w:t>报价且其公允价值不能可靠计量的权益工具投资挂钩并须通过交付该权益工具结算的衍生工具除</w:t>
      </w:r>
      <w:r>
        <w:rPr>
          <w:spacing w:val="-25"/>
        </w:rPr>
        <w:t> </w:t>
      </w:r>
      <w:r>
        <w:rPr>
          <w:spacing w:val="-25"/>
        </w:rPr>
      </w:r>
      <w:r>
        <w:rPr>
          <w:spacing w:val="-2"/>
        </w:rPr>
        <w:t>外。对于此类金融负债，按照公允价值进行后续计量，所有已实现和未实现的损益均计入当期损</w:t>
      </w:r>
      <w:r>
        <w:rPr>
          <w:spacing w:val="-26"/>
        </w:rPr>
        <w:t> </w:t>
      </w:r>
      <w:r>
        <w:rPr>
          <w:spacing w:val="-26"/>
        </w:rPr>
      </w:r>
      <w:r>
        <w:rPr/>
        <w:t>益。</w:t>
      </w:r>
    </w:p>
    <w:p>
      <w:pPr>
        <w:spacing w:line="240" w:lineRule="auto" w:before="1"/>
        <w:rPr>
          <w:rFonts w:ascii="宋体" w:hAnsi="宋体" w:cs="宋体" w:eastAsia="宋体" w:hint="default"/>
          <w:sz w:val="27"/>
          <w:szCs w:val="27"/>
        </w:rPr>
      </w:pPr>
    </w:p>
    <w:p>
      <w:pPr>
        <w:pStyle w:val="BodyText"/>
        <w:spacing w:line="297" w:lineRule="auto"/>
        <w:ind w:right="1508"/>
        <w:jc w:val="left"/>
      </w:pPr>
      <w:r>
        <w:rPr/>
        <w:t>其他金融负债</w:t>
      </w:r>
      <w:r>
        <w:rPr>
          <w:w w:val="100"/>
        </w:rPr>
        <w:t> </w:t>
      </w:r>
      <w:r>
        <w:rPr>
          <w:spacing w:val="-2"/>
        </w:rPr>
        <w:t>对于此类金融负债，采用实际利率法，按照摊余成本进行后续计量。</w:t>
      </w:r>
    </w:p>
    <w:p>
      <w:pPr>
        <w:spacing w:line="240" w:lineRule="auto" w:before="3"/>
        <w:rPr>
          <w:rFonts w:ascii="宋体" w:hAnsi="宋体" w:cs="宋体" w:eastAsia="宋体" w:hint="default"/>
          <w:sz w:val="27"/>
          <w:szCs w:val="27"/>
        </w:rPr>
      </w:pPr>
    </w:p>
    <w:p>
      <w:pPr>
        <w:pStyle w:val="BodyText"/>
        <w:spacing w:line="240" w:lineRule="auto"/>
        <w:ind w:right="0"/>
        <w:jc w:val="both"/>
      </w:pPr>
      <w:r>
        <w:rPr/>
        <w:t>金融工具抵销</w:t>
      </w:r>
    </w:p>
    <w:p>
      <w:pPr>
        <w:spacing w:line="240" w:lineRule="auto" w:before="0"/>
        <w:rPr>
          <w:rFonts w:ascii="宋体" w:hAnsi="宋体" w:cs="宋体" w:eastAsia="宋体" w:hint="default"/>
          <w:sz w:val="20"/>
          <w:szCs w:val="20"/>
        </w:rPr>
      </w:pPr>
    </w:p>
    <w:p>
      <w:pPr>
        <w:pStyle w:val="BodyText"/>
        <w:spacing w:line="297" w:lineRule="auto" w:before="145"/>
        <w:ind w:right="157"/>
        <w:jc w:val="both"/>
      </w:pPr>
      <w:r>
        <w:rPr>
          <w:spacing w:val="-2"/>
        </w:rPr>
        <w:t>同时满足下列条件的，金融资产和金融负债以相互抵销后的净额在资产负债表内列示：具有抵销</w:t>
      </w:r>
      <w:r>
        <w:rPr>
          <w:spacing w:val="-25"/>
        </w:rPr>
        <w:t> </w:t>
      </w:r>
      <w:r>
        <w:rPr>
          <w:spacing w:val="-25"/>
        </w:rPr>
      </w:r>
      <w:r>
        <w:rPr>
          <w:spacing w:val="-2"/>
        </w:rPr>
        <w:t>已确认金额的法定权利，且该种法定权利是当前可执行的；计划以净额结算，或同时变现该金融</w:t>
      </w:r>
      <w:r>
        <w:rPr>
          <w:spacing w:val="-25"/>
        </w:rPr>
        <w:t> </w:t>
      </w:r>
      <w:r>
        <w:rPr>
          <w:spacing w:val="-25"/>
        </w:rPr>
      </w:r>
      <w:r>
        <w:rPr/>
        <w:t>资产和清偿该金融负债。</w:t>
      </w:r>
    </w:p>
    <w:p>
      <w:pPr>
        <w:spacing w:line="240" w:lineRule="auto" w:before="3"/>
        <w:rPr>
          <w:rFonts w:ascii="宋体" w:hAnsi="宋体" w:cs="宋体" w:eastAsia="宋体" w:hint="default"/>
          <w:sz w:val="27"/>
          <w:szCs w:val="27"/>
        </w:rPr>
      </w:pPr>
    </w:p>
    <w:p>
      <w:pPr>
        <w:pStyle w:val="BodyText"/>
        <w:spacing w:line="240" w:lineRule="auto"/>
        <w:ind w:right="0"/>
        <w:jc w:val="both"/>
      </w:pPr>
      <w:r>
        <w:rPr/>
        <w:t>财务担保合同</w:t>
      </w:r>
    </w:p>
    <w:p>
      <w:pPr>
        <w:spacing w:line="240" w:lineRule="auto" w:before="0"/>
        <w:rPr>
          <w:rFonts w:ascii="宋体" w:hAnsi="宋体" w:cs="宋体" w:eastAsia="宋体" w:hint="default"/>
          <w:sz w:val="20"/>
          <w:szCs w:val="20"/>
        </w:rPr>
      </w:pPr>
    </w:p>
    <w:p>
      <w:pPr>
        <w:pStyle w:val="BodyText"/>
        <w:spacing w:line="297" w:lineRule="auto" w:before="145"/>
        <w:ind w:right="157"/>
        <w:jc w:val="both"/>
      </w:pPr>
      <w:r>
        <w:rPr>
          <w:spacing w:val="-2"/>
        </w:rPr>
        <w:t>财务担保合同，是指保证人和债权人约定，当债务人不履行债务时，保证人按照约定履行债务或</w:t>
      </w:r>
      <w:r>
        <w:rPr>
          <w:spacing w:val="-25"/>
        </w:rPr>
        <w:t> </w:t>
      </w:r>
      <w:r>
        <w:rPr>
          <w:spacing w:val="-25"/>
        </w:rPr>
      </w:r>
      <w:r>
        <w:rPr>
          <w:spacing w:val="-2"/>
        </w:rPr>
        <w:t>者承担责任的合同。财务担保合同在初始确认时按照公允价值计量，不属于指定为以公允价值计</w:t>
      </w:r>
      <w:r>
        <w:rPr>
          <w:spacing w:val="-25"/>
        </w:rPr>
        <w:t> </w:t>
      </w:r>
      <w:r>
        <w:rPr>
          <w:spacing w:val="-25"/>
        </w:rPr>
      </w:r>
      <w:r>
        <w:rPr>
          <w:spacing w:val="-2"/>
        </w:rPr>
        <w:t>量且其变动计入当期损益的金融负债的财务担保合同，在初始确认后，按照资产负债表日履行相</w:t>
      </w:r>
      <w:r>
        <w:rPr>
          <w:spacing w:val="-25"/>
        </w:rPr>
        <w:t> </w:t>
      </w:r>
      <w:r>
        <w:rPr>
          <w:spacing w:val="-25"/>
        </w:rPr>
      </w:r>
      <w:r>
        <w:rPr>
          <w:spacing w:val="-2"/>
        </w:rPr>
        <w:t>关现时义务所需支出的当前最佳估计数确定的金额，和初始确认金额扣除按照收入确认原则确定</w:t>
      </w:r>
      <w:r>
        <w:rPr>
          <w:spacing w:val="-25"/>
        </w:rPr>
        <w:t> </w:t>
      </w:r>
      <w:r>
        <w:rPr>
          <w:spacing w:val="-25"/>
        </w:rPr>
      </w:r>
      <w:r>
        <w:rPr/>
        <w:t>的累计摊销额后的余额，以两者之中的较高者进行后续计量。</w:t>
      </w:r>
    </w:p>
    <w:p>
      <w:pPr>
        <w:spacing w:line="240" w:lineRule="auto" w:before="4"/>
        <w:rPr>
          <w:rFonts w:ascii="宋体" w:hAnsi="宋体" w:cs="宋体" w:eastAsia="宋体" w:hint="default"/>
          <w:sz w:val="27"/>
          <w:szCs w:val="27"/>
        </w:rPr>
      </w:pPr>
    </w:p>
    <w:p>
      <w:pPr>
        <w:pStyle w:val="BodyText"/>
        <w:spacing w:line="240" w:lineRule="auto"/>
        <w:ind w:right="0"/>
        <w:jc w:val="both"/>
      </w:pPr>
      <w:r>
        <w:rPr/>
        <w:t>衍生金融工具</w:t>
      </w:r>
    </w:p>
    <w:p>
      <w:pPr>
        <w:spacing w:line="240" w:lineRule="auto" w:before="0"/>
        <w:rPr>
          <w:rFonts w:ascii="宋体" w:hAnsi="宋体" w:cs="宋体" w:eastAsia="宋体" w:hint="default"/>
          <w:sz w:val="20"/>
          <w:szCs w:val="20"/>
        </w:rPr>
      </w:pPr>
    </w:p>
    <w:p>
      <w:pPr>
        <w:pStyle w:val="BodyText"/>
        <w:spacing w:line="297" w:lineRule="auto" w:before="142"/>
        <w:ind w:right="157"/>
        <w:jc w:val="both"/>
      </w:pPr>
      <w:r>
        <w:rPr>
          <w:spacing w:val="-2"/>
        </w:rPr>
        <w:t>本集团使用衍生金融工具，以远期外汇合同对汇率风险进行套期保值。衍生金融工具初始以衍生</w:t>
      </w:r>
      <w:r>
        <w:rPr>
          <w:spacing w:val="-25"/>
        </w:rPr>
        <w:t> </w:t>
      </w:r>
      <w:r>
        <w:rPr>
          <w:spacing w:val="-25"/>
        </w:rPr>
      </w:r>
      <w:r>
        <w:rPr>
          <w:spacing w:val="-2"/>
        </w:rPr>
        <w:t>交易合同签订当日的公允价值进行计量，并以其公允价值进行后续计量。公允价值为正数的衍生</w:t>
      </w:r>
      <w:r>
        <w:rPr>
          <w:spacing w:val="-25"/>
        </w:rPr>
        <w:t> </w:t>
      </w:r>
      <w:r>
        <w:rPr>
          <w:spacing w:val="-25"/>
        </w:rPr>
      </w:r>
      <w:r>
        <w:rPr>
          <w:spacing w:val="-2"/>
        </w:rPr>
        <w:t>金融工具确认为一项资产，公允价值为负数的确认为一项负债。但对于在活跃市场中没有报价且</w:t>
      </w:r>
      <w:r>
        <w:rPr>
          <w:spacing w:val="-25"/>
        </w:rPr>
        <w:t> </w:t>
      </w:r>
      <w:r>
        <w:rPr>
          <w:spacing w:val="-25"/>
        </w:rPr>
      </w:r>
      <w:r>
        <w:rPr>
          <w:spacing w:val="-2"/>
        </w:rPr>
        <w:t>其公允价值不能可靠计量的权益工具挂钩并须通过交付该权益工具结算的衍生金融工具，按成本</w:t>
      </w:r>
      <w:r>
        <w:rPr>
          <w:spacing w:val="-25"/>
        </w:rPr>
        <w:t> </w:t>
      </w:r>
      <w:r>
        <w:rPr>
          <w:spacing w:val="-25"/>
        </w:rPr>
      </w:r>
      <w:r>
        <w:rPr/>
        <w:t>计量。</w:t>
      </w:r>
    </w:p>
    <w:p>
      <w:pPr>
        <w:spacing w:line="240" w:lineRule="auto" w:before="3"/>
        <w:rPr>
          <w:rFonts w:ascii="宋体" w:hAnsi="宋体" w:cs="宋体" w:eastAsia="宋体" w:hint="default"/>
          <w:sz w:val="27"/>
          <w:szCs w:val="27"/>
        </w:rPr>
      </w:pPr>
    </w:p>
    <w:p>
      <w:pPr>
        <w:pStyle w:val="BodyText"/>
        <w:spacing w:line="295" w:lineRule="auto"/>
        <w:ind w:right="157"/>
        <w:jc w:val="both"/>
      </w:pPr>
      <w:r>
        <w:rPr>
          <w:spacing w:val="-2"/>
        </w:rPr>
        <w:t>除现金流量套期中属于有效套期的部分计入其他综合收益并于被套期项目影响损益时转出计入当</w:t>
      </w:r>
      <w:r>
        <w:rPr>
          <w:spacing w:val="-25"/>
        </w:rPr>
        <w:t> </w:t>
      </w:r>
      <w:r>
        <w:rPr>
          <w:spacing w:val="-25"/>
        </w:rPr>
      </w:r>
      <w:r>
        <w:rPr/>
        <w:t>期损益之外，衍生工具公允价值变动而产生的利得或损失，直接计入当期损益。</w:t>
      </w:r>
    </w:p>
    <w:p>
      <w:pPr>
        <w:spacing w:after="0" w:line="295" w:lineRule="auto"/>
        <w:jc w:val="both"/>
        <w:sectPr>
          <w:footerReference w:type="default" r:id="rId44"/>
          <w:pgSz w:w="11910" w:h="16840"/>
          <w:pgMar w:footer="1335" w:header="926" w:top="1120" w:bottom="1520" w:left="1660" w:right="1120"/>
          <w:pgNumType w:start="23"/>
        </w:sectPr>
      </w:pPr>
    </w:p>
    <w:p>
      <w:pPr>
        <w:spacing w:line="240" w:lineRule="auto" w:before="7"/>
        <w:rPr>
          <w:rFonts w:ascii="宋体" w:hAnsi="宋体" w:cs="宋体" w:eastAsia="宋体" w:hint="default"/>
          <w:sz w:val="5"/>
          <w:szCs w:val="5"/>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5.3pt;height:.75pt;mso-position-horizontal-relative:char;mso-position-vertical-relative:line" coordorigin="0,0" coordsize="8906,15">
            <v:group style="position:absolute;left:7;top:7;width:8891;height:2" coordorigin="7,7" coordsize="8891,2">
              <v:shape style="position:absolute;left:7;top:7;width:8891;height:2" coordorigin="7,7" coordsize="8891,0" path="m7,7l889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4"/>
          <w:szCs w:val="24"/>
        </w:rPr>
      </w:pPr>
    </w:p>
    <w:p>
      <w:pPr>
        <w:pStyle w:val="BodyText"/>
        <w:spacing w:line="240" w:lineRule="auto" w:before="36"/>
        <w:ind w:right="103"/>
        <w:jc w:val="left"/>
      </w:pPr>
      <w:r>
        <w:rPr/>
        <w:t>金融资产减值</w:t>
      </w:r>
    </w:p>
    <w:p>
      <w:pPr>
        <w:spacing w:line="240" w:lineRule="auto" w:before="0"/>
        <w:rPr>
          <w:rFonts w:ascii="宋体" w:hAnsi="宋体" w:cs="宋体" w:eastAsia="宋体" w:hint="default"/>
          <w:sz w:val="20"/>
          <w:szCs w:val="20"/>
        </w:rPr>
      </w:pPr>
    </w:p>
    <w:p>
      <w:pPr>
        <w:pStyle w:val="BodyText"/>
        <w:spacing w:line="297" w:lineRule="auto" w:before="145"/>
        <w:ind w:right="101"/>
        <w:jc w:val="left"/>
      </w:pPr>
      <w:r>
        <w:rPr>
          <w:spacing w:val="-4"/>
          <w:w w:val="100"/>
        </w:rPr>
        <w:t>本集团于资产负债表日对金融资产的账面价值进行检查，有客观证据表明该金融资产发生减值的，</w:t>
      </w:r>
      <w:r>
        <w:rPr>
          <w:spacing w:val="-86"/>
          <w:w w:val="100"/>
        </w:rPr>
        <w:t> </w:t>
      </w:r>
      <w:r>
        <w:rPr>
          <w:spacing w:val="-86"/>
          <w:w w:val="100"/>
        </w:rPr>
      </w:r>
      <w:r>
        <w:rPr/>
        <w:t>计提减值准备。表明金融资产发生减值的客观证据，是指金融资产初始确认后实际发生的、对该</w:t>
      </w:r>
      <w:r>
        <w:rPr>
          <w:w w:val="100"/>
        </w:rPr>
        <w:t> </w:t>
      </w:r>
      <w:r>
        <w:rPr/>
        <w:t>金融资产的预计未来现金流量有影响，且企业能够对该影响进行可靠计量的事项。金融资产发生</w:t>
      </w:r>
      <w:r>
        <w:rPr>
          <w:w w:val="100"/>
        </w:rPr>
        <w:t> </w:t>
      </w:r>
      <w:r>
        <w:rPr>
          <w:spacing w:val="-4"/>
        </w:rPr>
        <w:t>减值的客观证据，包括发行人或债务人发生严重财务困难、债务人违反合同条款</w:t>
      </w:r>
      <w:r>
        <w:rPr>
          <w:rFonts w:ascii="宋体" w:hAnsi="宋体" w:cs="宋体" w:eastAsia="宋体" w:hint="default"/>
          <w:spacing w:val="-4"/>
        </w:rPr>
        <w:t>(</w:t>
      </w:r>
      <w:r>
        <w:rPr>
          <w:spacing w:val="-4"/>
        </w:rPr>
        <w:t>如偿付利息或本</w:t>
      </w:r>
      <w:r>
        <w:rPr>
          <w:spacing w:val="-35"/>
        </w:rPr>
        <w:t> </w:t>
      </w:r>
      <w:r>
        <w:rPr>
          <w:spacing w:val="-35"/>
        </w:rPr>
      </w:r>
      <w:r>
        <w:rPr>
          <w:spacing w:val="-4"/>
        </w:rPr>
        <w:t>金发生违约或逾期等</w:t>
      </w:r>
      <w:r>
        <w:rPr>
          <w:rFonts w:ascii="宋体" w:hAnsi="宋体" w:cs="宋体" w:eastAsia="宋体" w:hint="default"/>
          <w:spacing w:val="-4"/>
        </w:rPr>
        <w:t>)</w:t>
      </w:r>
      <w:r>
        <w:rPr>
          <w:spacing w:val="-4"/>
        </w:rPr>
        <w:t>、债务人很可能倒闭或进行其他财务重组，以及公开的数据显示预计未来现</w:t>
      </w:r>
      <w:r>
        <w:rPr>
          <w:spacing w:val="-32"/>
        </w:rPr>
        <w:t> </w:t>
      </w:r>
      <w:r>
        <w:rPr>
          <w:spacing w:val="-32"/>
        </w:rPr>
      </w:r>
      <w:r>
        <w:rPr/>
        <w:t>金流量确已减少且可计量。</w:t>
      </w:r>
    </w:p>
    <w:p>
      <w:pPr>
        <w:spacing w:line="240" w:lineRule="auto" w:before="3"/>
        <w:rPr>
          <w:rFonts w:ascii="宋体" w:hAnsi="宋体" w:cs="宋体" w:eastAsia="宋体" w:hint="default"/>
          <w:sz w:val="27"/>
          <w:szCs w:val="27"/>
        </w:rPr>
      </w:pPr>
    </w:p>
    <w:p>
      <w:pPr>
        <w:pStyle w:val="BodyText"/>
        <w:spacing w:line="297" w:lineRule="auto"/>
        <w:ind w:right="103"/>
        <w:jc w:val="left"/>
      </w:pPr>
      <w:r>
        <w:rPr/>
        <w:t>以摊余成本计量的金融资产</w:t>
      </w:r>
      <w:r>
        <w:rPr>
          <w:w w:val="100"/>
        </w:rPr>
        <w:t> </w:t>
      </w:r>
      <w:r>
        <w:rPr>
          <w:spacing w:val="-4"/>
          <w:w w:val="100"/>
        </w:rPr>
        <w:t>发生减值时，将该金融资产的账面通过备抵项目价值减记至预计未来现金流量</w:t>
      </w:r>
      <w:r>
        <w:rPr>
          <w:rFonts w:ascii="宋体" w:hAnsi="宋体" w:cs="宋体" w:eastAsia="宋体" w:hint="default"/>
          <w:spacing w:val="-4"/>
          <w:w w:val="100"/>
        </w:rPr>
        <w:t>(</w:t>
      </w:r>
      <w:r>
        <w:rPr>
          <w:spacing w:val="-4"/>
          <w:w w:val="100"/>
        </w:rPr>
        <w:t>不包括尚未发生的</w:t>
      </w:r>
      <w:r>
        <w:rPr>
          <w:spacing w:val="-84"/>
          <w:w w:val="100"/>
        </w:rPr>
        <w:t> </w:t>
      </w:r>
      <w:r>
        <w:rPr>
          <w:spacing w:val="-84"/>
          <w:w w:val="100"/>
        </w:rPr>
      </w:r>
      <w:r>
        <w:rPr>
          <w:spacing w:val="-4"/>
        </w:rPr>
        <w:t>未来信用损失</w:t>
      </w:r>
      <w:r>
        <w:rPr>
          <w:rFonts w:ascii="宋体" w:hAnsi="宋体" w:cs="宋体" w:eastAsia="宋体" w:hint="default"/>
          <w:spacing w:val="-4"/>
        </w:rPr>
        <w:t>)</w:t>
      </w:r>
      <w:r>
        <w:rPr>
          <w:spacing w:val="-4"/>
        </w:rPr>
        <w:t>现值，减记金额计入当期损益。预计未来现金流量现值，按照该金融资产原实际利</w:t>
      </w:r>
      <w:r>
        <w:rPr>
          <w:spacing w:val="-33"/>
        </w:rPr>
        <w:t> </w:t>
      </w:r>
      <w:r>
        <w:rPr>
          <w:spacing w:val="-33"/>
        </w:rPr>
      </w:r>
      <w:r>
        <w:rPr>
          <w:spacing w:val="-2"/>
        </w:rPr>
        <w:t>率</w:t>
      </w:r>
      <w:r>
        <w:rPr>
          <w:rFonts w:ascii="宋体" w:hAnsi="宋体" w:cs="宋体" w:eastAsia="宋体" w:hint="default"/>
          <w:spacing w:val="-2"/>
        </w:rPr>
        <w:t>(</w:t>
      </w:r>
      <w:r>
        <w:rPr>
          <w:spacing w:val="-2"/>
        </w:rPr>
        <w:t>即初始确认时确定的实际利率</w:t>
      </w:r>
      <w:r>
        <w:rPr>
          <w:rFonts w:ascii="宋体" w:hAnsi="宋体" w:cs="宋体" w:eastAsia="宋体" w:hint="default"/>
          <w:spacing w:val="-2"/>
        </w:rPr>
        <w:t>)</w:t>
      </w:r>
      <w:r>
        <w:rPr>
          <w:spacing w:val="-2"/>
        </w:rPr>
        <w:t>折现确定，并考虑相关担保物的价值。减值后利息收入按照确</w:t>
      </w:r>
      <w:r>
        <w:rPr>
          <w:spacing w:val="-30"/>
        </w:rPr>
        <w:t> </w:t>
      </w:r>
      <w:r>
        <w:rPr>
          <w:spacing w:val="-30"/>
        </w:rPr>
      </w:r>
      <w:r>
        <w:rPr>
          <w:spacing w:val="-2"/>
        </w:rPr>
        <w:t>定减值损失时对未来现金流量进行折现采用的折现率作为利率计算确认。对于贷款和应收款项，</w:t>
      </w:r>
      <w:r>
        <w:rPr>
          <w:spacing w:val="-25"/>
        </w:rPr>
        <w:t> </w:t>
      </w:r>
      <w:r>
        <w:rPr>
          <w:spacing w:val="-25"/>
        </w:rPr>
      </w:r>
      <w:r>
        <w:rPr>
          <w:spacing w:val="-2"/>
        </w:rPr>
        <w:t>如果没有未来收回的现实预期且所有抵押品均已变现或已转入本集团，则转销贷款和应收款项以</w:t>
      </w:r>
      <w:r>
        <w:rPr>
          <w:spacing w:val="-25"/>
        </w:rPr>
        <w:t> </w:t>
      </w:r>
      <w:r>
        <w:rPr>
          <w:spacing w:val="-25"/>
        </w:rPr>
      </w:r>
      <w:r>
        <w:rPr/>
        <w:t>及与之相关的减值准备。</w:t>
      </w:r>
    </w:p>
    <w:p>
      <w:pPr>
        <w:spacing w:line="240" w:lineRule="auto" w:before="3"/>
        <w:rPr>
          <w:rFonts w:ascii="宋体" w:hAnsi="宋体" w:cs="宋体" w:eastAsia="宋体" w:hint="default"/>
          <w:sz w:val="27"/>
          <w:szCs w:val="27"/>
        </w:rPr>
      </w:pPr>
    </w:p>
    <w:p>
      <w:pPr>
        <w:pStyle w:val="BodyText"/>
        <w:spacing w:line="297" w:lineRule="auto"/>
        <w:ind w:right="102"/>
        <w:jc w:val="both"/>
      </w:pPr>
      <w:r>
        <w:rPr>
          <w:spacing w:val="-6"/>
          <w:w w:val="100"/>
        </w:rPr>
        <w:t>对单项金额重大的金融资产单独进行减值测试，如有客观证据表明其已发生减值，确认减值损失，</w:t>
      </w:r>
      <w:r>
        <w:rPr>
          <w:w w:val="100"/>
        </w:rPr>
        <w:t> </w:t>
      </w:r>
      <w:r>
        <w:rPr/>
        <w:t>计入当期损益。对单项金额不重大的金融资产，包括在具有类似信用风险特征的金融资产组合中</w:t>
      </w:r>
      <w:r>
        <w:rPr>
          <w:w w:val="100"/>
        </w:rPr>
        <w:t> </w:t>
      </w:r>
      <w:r>
        <w:rPr/>
        <w:t>进行减值测试。单独测试未发生减值的金融资产</w:t>
      </w:r>
      <w:r>
        <w:rPr>
          <w:rFonts w:ascii="宋体" w:hAnsi="宋体" w:cs="宋体" w:eastAsia="宋体" w:hint="default"/>
        </w:rPr>
        <w:t>(</w:t>
      </w:r>
      <w:r>
        <w:rPr/>
        <w:t>包括单项金额重大和不重大的金融资产</w:t>
      </w:r>
      <w:r>
        <w:rPr>
          <w:rFonts w:ascii="宋体" w:hAnsi="宋体" w:cs="宋体" w:eastAsia="宋体" w:hint="default"/>
        </w:rPr>
        <w:t>)</w:t>
      </w:r>
      <w:r>
        <w:rPr/>
        <w:t>，包括</w:t>
      </w:r>
      <w:r>
        <w:rPr>
          <w:w w:val="100"/>
        </w:rPr>
        <w:t> </w:t>
      </w:r>
      <w:r>
        <w:rPr/>
        <w:t>在具有类似信用风险特征的金融资产组合中再进行减值测试。已单项确认减值损失的金融资产，</w:t>
      </w:r>
      <w:r>
        <w:rPr>
          <w:w w:val="100"/>
        </w:rPr>
        <w:t> </w:t>
      </w:r>
      <w:r>
        <w:rPr/>
        <w:t>不包括在具有类似信用风险特征的金融资产组合中进行减值测试。</w:t>
      </w:r>
    </w:p>
    <w:p>
      <w:pPr>
        <w:spacing w:line="240" w:lineRule="auto" w:before="3"/>
        <w:rPr>
          <w:rFonts w:ascii="宋体" w:hAnsi="宋体" w:cs="宋体" w:eastAsia="宋体" w:hint="default"/>
          <w:sz w:val="27"/>
          <w:szCs w:val="27"/>
        </w:rPr>
      </w:pPr>
    </w:p>
    <w:p>
      <w:pPr>
        <w:pStyle w:val="BodyText"/>
        <w:spacing w:line="297" w:lineRule="auto"/>
        <w:ind w:right="101"/>
        <w:jc w:val="left"/>
      </w:pPr>
      <w:r>
        <w:rPr>
          <w:spacing w:val="-4"/>
          <w:w w:val="100"/>
        </w:rPr>
        <w:t>本集团对以摊余成本计量的金融资产确认减值损失后，如有客观证据表明该金融资产价值已恢复，</w:t>
      </w:r>
      <w:r>
        <w:rPr>
          <w:spacing w:val="-85"/>
          <w:w w:val="100"/>
        </w:rPr>
        <w:t> </w:t>
      </w:r>
      <w:r>
        <w:rPr>
          <w:spacing w:val="-85"/>
          <w:w w:val="100"/>
        </w:rPr>
      </w:r>
      <w:r>
        <w:rPr/>
        <w:t>且客观上与确认该损失后发生事项有关，原确认减值损失予以转入当期损益。但该转回后的账面</w:t>
      </w:r>
      <w:r>
        <w:rPr>
          <w:w w:val="100"/>
        </w:rPr>
        <w:t> </w:t>
      </w:r>
      <w:r>
        <w:rPr/>
        <w:t>价值不超过假定不计提减值准备情况下该金融资产在转回日的摊余成本。</w:t>
      </w:r>
    </w:p>
    <w:p>
      <w:pPr>
        <w:spacing w:line="240" w:lineRule="auto" w:before="1"/>
        <w:rPr>
          <w:rFonts w:ascii="宋体" w:hAnsi="宋体" w:cs="宋体" w:eastAsia="宋体" w:hint="default"/>
          <w:sz w:val="27"/>
          <w:szCs w:val="27"/>
        </w:rPr>
      </w:pPr>
    </w:p>
    <w:p>
      <w:pPr>
        <w:pStyle w:val="BodyText"/>
        <w:spacing w:line="240" w:lineRule="auto"/>
        <w:ind w:right="103"/>
        <w:jc w:val="left"/>
      </w:pPr>
      <w:r>
        <w:rPr/>
        <w:t>可供出售金融资产</w:t>
      </w:r>
    </w:p>
    <w:p>
      <w:pPr>
        <w:spacing w:line="240" w:lineRule="auto" w:before="0"/>
        <w:rPr>
          <w:rFonts w:ascii="宋体" w:hAnsi="宋体" w:cs="宋体" w:eastAsia="宋体" w:hint="default"/>
          <w:sz w:val="20"/>
          <w:szCs w:val="20"/>
        </w:rPr>
      </w:pPr>
    </w:p>
    <w:p>
      <w:pPr>
        <w:pStyle w:val="BodyText"/>
        <w:spacing w:line="297" w:lineRule="auto" w:before="145"/>
        <w:ind w:right="217"/>
        <w:jc w:val="both"/>
      </w:pPr>
      <w:r>
        <w:rPr>
          <w:spacing w:val="-2"/>
        </w:rPr>
        <w:t>如果有客观证据表明该金融资产发生减值，原计入其他综合收益的因公允价值下降形成的累计损</w:t>
      </w:r>
      <w:r>
        <w:rPr>
          <w:spacing w:val="-25"/>
        </w:rPr>
        <w:t> </w:t>
      </w:r>
      <w:r>
        <w:rPr>
          <w:spacing w:val="-25"/>
        </w:rPr>
      </w:r>
      <w:r>
        <w:rPr>
          <w:spacing w:val="-2"/>
        </w:rPr>
        <w:t>失，予以转出，计入当期损益。该转出的累计损失，为可供出售金融资产的初始取得成本扣除已</w:t>
      </w:r>
      <w:r>
        <w:rPr>
          <w:spacing w:val="-25"/>
        </w:rPr>
        <w:t> </w:t>
      </w:r>
      <w:r>
        <w:rPr>
          <w:spacing w:val="-25"/>
        </w:rPr>
      </w:r>
      <w:r>
        <w:rPr/>
        <w:t>收回本金和已摊销金额、当前公允价值和原已计入损益的减值损失后的余额。</w:t>
      </w:r>
    </w:p>
    <w:p>
      <w:pPr>
        <w:spacing w:line="240" w:lineRule="auto" w:before="1"/>
        <w:rPr>
          <w:rFonts w:ascii="宋体" w:hAnsi="宋体" w:cs="宋体" w:eastAsia="宋体" w:hint="default"/>
          <w:sz w:val="27"/>
          <w:szCs w:val="27"/>
        </w:rPr>
      </w:pPr>
    </w:p>
    <w:p>
      <w:pPr>
        <w:pStyle w:val="BodyText"/>
        <w:spacing w:line="297" w:lineRule="auto"/>
        <w:ind w:right="217"/>
        <w:jc w:val="both"/>
      </w:pPr>
      <w:r>
        <w:rPr>
          <w:spacing w:val="-2"/>
        </w:rPr>
        <w:t>可供出售权益工具投资发生减值的客观证据，包括公允价值发生严重或非暂时性下跌。“严重”</w:t>
      </w:r>
      <w:r>
        <w:rPr>
          <w:spacing w:val="-25"/>
        </w:rPr>
        <w:t> </w:t>
      </w:r>
      <w:r>
        <w:rPr>
          <w:spacing w:val="-25"/>
        </w:rPr>
      </w:r>
      <w:r>
        <w:rPr>
          <w:spacing w:val="-2"/>
        </w:rPr>
        <w:t>根据公允价值低于成本的程度进行判断，“非暂时性”根据公允价值低于成本的期间长短进行判</w:t>
      </w:r>
      <w:r>
        <w:rPr>
          <w:spacing w:val="-25"/>
        </w:rPr>
        <w:t> </w:t>
      </w:r>
      <w:r>
        <w:rPr>
          <w:spacing w:val="-25"/>
        </w:rPr>
      </w:r>
      <w:r>
        <w:rPr>
          <w:spacing w:val="-2"/>
        </w:rPr>
        <w:t>断。存在发生减值的客观证据的，转出的累计损失，为取得成本扣除当前公允价值和原已计入损</w:t>
      </w:r>
      <w:r>
        <w:rPr>
          <w:spacing w:val="-25"/>
        </w:rPr>
        <w:t> </w:t>
      </w:r>
      <w:r>
        <w:rPr>
          <w:spacing w:val="-25"/>
        </w:rPr>
      </w:r>
      <w:r>
        <w:rPr>
          <w:spacing w:val="-2"/>
        </w:rPr>
        <w:t>益的减值损失后的余额。可供出售权益工具投资发生的减值损失，不通过损益转回，减值之后发</w:t>
      </w:r>
      <w:r>
        <w:rPr>
          <w:spacing w:val="-26"/>
        </w:rPr>
        <w:t> </w:t>
      </w:r>
      <w:r>
        <w:rPr>
          <w:spacing w:val="-26"/>
        </w:rPr>
      </w:r>
      <w:r>
        <w:rPr/>
        <w:t>生的公允价值增加直接在其他综合收益中确认。</w:t>
      </w:r>
    </w:p>
    <w:p>
      <w:pPr>
        <w:spacing w:after="0" w:line="297" w:lineRule="auto"/>
        <w:jc w:val="both"/>
        <w:sectPr>
          <w:headerReference w:type="default" r:id="rId45"/>
          <w:footerReference w:type="default" r:id="rId46"/>
          <w:pgSz w:w="11910" w:h="16840"/>
          <w:pgMar w:header="0" w:footer="1335" w:top="1020" w:bottom="1520" w:left="1660" w:right="1060"/>
          <w:pgNumType w:start="24"/>
        </w:sectPr>
      </w:pPr>
    </w:p>
    <w:p>
      <w:pPr>
        <w:spacing w:line="240" w:lineRule="auto" w:before="7"/>
        <w:rPr>
          <w:rFonts w:ascii="宋体" w:hAnsi="宋体" w:cs="宋体" w:eastAsia="宋体" w:hint="default"/>
          <w:sz w:val="5"/>
          <w:szCs w:val="5"/>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5.3pt;height:.75pt;mso-position-horizontal-relative:char;mso-position-vertical-relative:line" coordorigin="0,0" coordsize="8906,15">
            <v:group style="position:absolute;left:7;top:7;width:8891;height:2" coordorigin="7,7" coordsize="8891,2">
              <v:shape style="position:absolute;left:7;top:7;width:8891;height:2" coordorigin="7,7" coordsize="8891,0" path="m7,7l889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4"/>
          <w:szCs w:val="24"/>
        </w:rPr>
      </w:pPr>
    </w:p>
    <w:p>
      <w:pPr>
        <w:pStyle w:val="BodyText"/>
        <w:spacing w:line="297" w:lineRule="auto" w:before="36"/>
        <w:ind w:left="218" w:right="237"/>
        <w:jc w:val="both"/>
      </w:pPr>
      <w:r>
        <w:rPr>
          <w:spacing w:val="-2"/>
        </w:rPr>
        <w:t>在确定何谓“严重”或“非暂时性”时，需要进行判断。本集团根据公允价值低于成本的程度或</w:t>
      </w:r>
      <w:r>
        <w:rPr>
          <w:spacing w:val="-25"/>
        </w:rPr>
        <w:t> </w:t>
      </w:r>
      <w:r>
        <w:rPr>
          <w:spacing w:val="-25"/>
        </w:rPr>
      </w:r>
      <w:r>
        <w:rPr/>
        <w:t>期间长短，结合其他因素进行判断。</w:t>
      </w:r>
    </w:p>
    <w:p>
      <w:pPr>
        <w:spacing w:line="240" w:lineRule="auto" w:before="3"/>
        <w:rPr>
          <w:rFonts w:ascii="宋体" w:hAnsi="宋体" w:cs="宋体" w:eastAsia="宋体" w:hint="default"/>
          <w:sz w:val="27"/>
          <w:szCs w:val="27"/>
        </w:rPr>
      </w:pPr>
    </w:p>
    <w:p>
      <w:pPr>
        <w:pStyle w:val="BodyText"/>
        <w:spacing w:line="297" w:lineRule="auto"/>
        <w:ind w:left="218" w:right="237"/>
        <w:jc w:val="both"/>
      </w:pPr>
      <w:r>
        <w:rPr>
          <w:spacing w:val="-2"/>
        </w:rPr>
        <w:t>对于可供出售债务工具投资，其减值按照与以摊余成本计量的金融资产相同的方法评估。不过，</w:t>
      </w:r>
      <w:r>
        <w:rPr>
          <w:spacing w:val="-25"/>
        </w:rPr>
        <w:t> </w:t>
      </w:r>
      <w:r>
        <w:rPr>
          <w:spacing w:val="-25"/>
        </w:rPr>
      </w:r>
      <w:r>
        <w:rPr>
          <w:spacing w:val="-2"/>
        </w:rPr>
        <w:t>转出的累计损失，为摊余成本扣除当前公允价值和原已计入损益的减值损失后的余额。减值后利</w:t>
      </w:r>
      <w:r>
        <w:rPr>
          <w:spacing w:val="-25"/>
        </w:rPr>
        <w:t> </w:t>
      </w:r>
      <w:r>
        <w:rPr>
          <w:spacing w:val="-25"/>
        </w:rPr>
      </w:r>
      <w:r>
        <w:rPr/>
        <w:t>息收入按照确定减值损失时对未来现金流量进行折现采用的折现率作为利率计算确认。</w:t>
      </w:r>
    </w:p>
    <w:p>
      <w:pPr>
        <w:spacing w:line="240" w:lineRule="auto" w:before="1"/>
        <w:rPr>
          <w:rFonts w:ascii="宋体" w:hAnsi="宋体" w:cs="宋体" w:eastAsia="宋体" w:hint="default"/>
          <w:sz w:val="27"/>
          <w:szCs w:val="27"/>
        </w:rPr>
      </w:pPr>
    </w:p>
    <w:p>
      <w:pPr>
        <w:pStyle w:val="BodyText"/>
        <w:spacing w:line="297" w:lineRule="auto"/>
        <w:ind w:left="218" w:right="237"/>
        <w:jc w:val="both"/>
      </w:pPr>
      <w:r>
        <w:rPr>
          <w:spacing w:val="-2"/>
        </w:rPr>
        <w:t>对于已确认减值损失的可供出售债务工具，在随后的会计期间公允价值已上升且客观上与确认原</w:t>
      </w:r>
      <w:r>
        <w:rPr>
          <w:spacing w:val="-25"/>
        </w:rPr>
        <w:t> </w:t>
      </w:r>
      <w:r>
        <w:rPr>
          <w:spacing w:val="-25"/>
        </w:rPr>
      </w:r>
      <w:r>
        <w:rPr/>
        <w:t>减值损失确认后发生的事项有关的，原确认的减值损失予以转回，计入当期损益。</w:t>
      </w:r>
    </w:p>
    <w:p>
      <w:pPr>
        <w:spacing w:line="240" w:lineRule="auto" w:before="4"/>
        <w:rPr>
          <w:rFonts w:ascii="宋体" w:hAnsi="宋体" w:cs="宋体" w:eastAsia="宋体" w:hint="default"/>
          <w:sz w:val="27"/>
          <w:szCs w:val="27"/>
        </w:rPr>
      </w:pPr>
    </w:p>
    <w:p>
      <w:pPr>
        <w:pStyle w:val="BodyText"/>
        <w:spacing w:line="297" w:lineRule="auto"/>
        <w:ind w:left="218" w:right="225"/>
        <w:jc w:val="left"/>
      </w:pPr>
      <w:r>
        <w:rPr/>
        <w:t>以成本计量的金融资产</w:t>
      </w:r>
      <w:r>
        <w:rPr>
          <w:w w:val="100"/>
        </w:rPr>
        <w:t> </w:t>
      </w:r>
      <w:r>
        <w:rPr>
          <w:spacing w:val="-2"/>
        </w:rPr>
        <w:t>如果有客观证据表明该金融资产发生减值，将该金融资产的账面价值，与按照类似金融资产当时</w:t>
      </w:r>
      <w:r>
        <w:rPr>
          <w:spacing w:val="-25"/>
        </w:rPr>
        <w:t> </w:t>
      </w:r>
      <w:r>
        <w:rPr>
          <w:spacing w:val="-25"/>
        </w:rPr>
      </w:r>
      <w:r>
        <w:rPr>
          <w:spacing w:val="-2"/>
        </w:rPr>
        <w:t>市场收益率对未来现金流量折现确定的现值之间的差额，确认为减值损失，计入当期损益。发生</w:t>
      </w:r>
      <w:r>
        <w:rPr>
          <w:spacing w:val="-25"/>
        </w:rPr>
        <w:t> </w:t>
      </w:r>
      <w:r>
        <w:rPr>
          <w:spacing w:val="-25"/>
        </w:rPr>
      </w:r>
      <w:r>
        <w:rPr/>
        <w:t>的减值损失一经确认，不再转回。</w:t>
      </w:r>
    </w:p>
    <w:p>
      <w:pPr>
        <w:spacing w:line="240" w:lineRule="auto" w:before="3"/>
        <w:rPr>
          <w:rFonts w:ascii="宋体" w:hAnsi="宋体" w:cs="宋体" w:eastAsia="宋体" w:hint="default"/>
          <w:sz w:val="27"/>
          <w:szCs w:val="27"/>
        </w:rPr>
      </w:pPr>
    </w:p>
    <w:p>
      <w:pPr>
        <w:pStyle w:val="BodyText"/>
        <w:spacing w:line="240" w:lineRule="auto"/>
        <w:ind w:left="218" w:right="0"/>
        <w:jc w:val="both"/>
      </w:pPr>
      <w:r>
        <w:rPr/>
        <w:t>金融资产转移</w:t>
      </w:r>
    </w:p>
    <w:p>
      <w:pPr>
        <w:spacing w:line="240" w:lineRule="auto" w:before="0"/>
        <w:rPr>
          <w:rFonts w:ascii="宋体" w:hAnsi="宋体" w:cs="宋体" w:eastAsia="宋体" w:hint="default"/>
          <w:sz w:val="20"/>
          <w:szCs w:val="20"/>
        </w:rPr>
      </w:pPr>
    </w:p>
    <w:p>
      <w:pPr>
        <w:pStyle w:val="BodyText"/>
        <w:spacing w:line="297" w:lineRule="auto" w:before="145"/>
        <w:ind w:left="218" w:right="237"/>
        <w:jc w:val="both"/>
      </w:pPr>
      <w:r>
        <w:rPr>
          <w:spacing w:val="-2"/>
        </w:rPr>
        <w:t>本集团已将金融资产所有权上几乎所有的风险和报酬转移给转入方的，终止确认该金融资产；保</w:t>
      </w:r>
      <w:r>
        <w:rPr>
          <w:spacing w:val="-25"/>
        </w:rPr>
        <w:t> </w:t>
      </w:r>
      <w:r>
        <w:rPr>
          <w:spacing w:val="-25"/>
        </w:rPr>
      </w:r>
      <w:r>
        <w:rPr/>
        <w:t>留了金融资产所有权上几乎所有的风险和报酬的，不终止确认该金融资产。</w:t>
      </w:r>
    </w:p>
    <w:p>
      <w:pPr>
        <w:spacing w:line="240" w:lineRule="auto" w:before="1"/>
        <w:rPr>
          <w:rFonts w:ascii="宋体" w:hAnsi="宋体" w:cs="宋体" w:eastAsia="宋体" w:hint="default"/>
          <w:sz w:val="27"/>
          <w:szCs w:val="27"/>
        </w:rPr>
      </w:pPr>
    </w:p>
    <w:p>
      <w:pPr>
        <w:pStyle w:val="BodyText"/>
        <w:spacing w:line="297" w:lineRule="auto"/>
        <w:ind w:left="218" w:right="237"/>
        <w:jc w:val="both"/>
      </w:pPr>
      <w:r>
        <w:rPr>
          <w:spacing w:val="-2"/>
        </w:rPr>
        <w:t>本集团既没有转移也没有保留金融资产所有权上几乎所有的风险和报酬的，分别下列情况处理：</w:t>
      </w:r>
      <w:r>
        <w:rPr>
          <w:spacing w:val="-25"/>
        </w:rPr>
        <w:t> </w:t>
      </w:r>
      <w:r>
        <w:rPr>
          <w:spacing w:val="-25"/>
        </w:rPr>
      </w:r>
      <w:r>
        <w:rPr>
          <w:spacing w:val="-2"/>
        </w:rPr>
        <w:t>放弃了对该金融资产控制的，终止确认该金融资产并确认产生的资产和负债；未放弃对该金融资</w:t>
      </w:r>
      <w:r>
        <w:rPr>
          <w:spacing w:val="-25"/>
        </w:rPr>
        <w:t> </w:t>
      </w:r>
      <w:r>
        <w:rPr>
          <w:spacing w:val="-25"/>
        </w:rPr>
      </w:r>
      <w:r>
        <w:rPr/>
        <w:t>产控制的，按照其继续涉入所转移金融资产的程度确认有关金融资产，并相应确认有关负债。</w:t>
      </w:r>
    </w:p>
    <w:p>
      <w:pPr>
        <w:spacing w:line="240" w:lineRule="auto" w:before="3"/>
        <w:rPr>
          <w:rFonts w:ascii="宋体" w:hAnsi="宋体" w:cs="宋体" w:eastAsia="宋体" w:hint="default"/>
          <w:sz w:val="27"/>
          <w:szCs w:val="27"/>
        </w:rPr>
      </w:pPr>
    </w:p>
    <w:p>
      <w:pPr>
        <w:pStyle w:val="BodyText"/>
        <w:spacing w:line="297" w:lineRule="auto"/>
        <w:ind w:left="218" w:right="237"/>
        <w:jc w:val="both"/>
      </w:pPr>
      <w:r>
        <w:rPr>
          <w:spacing w:val="-2"/>
        </w:rPr>
        <w:t>通过对所转移金融资产提供财务担保方式继续涉入的，按照金融资产的账面价值和财务担保金额</w:t>
      </w:r>
      <w:r>
        <w:rPr>
          <w:spacing w:val="-25"/>
        </w:rPr>
        <w:t> </w:t>
      </w:r>
      <w:r>
        <w:rPr>
          <w:spacing w:val="-25"/>
        </w:rPr>
      </w:r>
      <w:r>
        <w:rPr>
          <w:spacing w:val="-2"/>
        </w:rPr>
        <w:t>两者之中的较低者，确认继续涉入形成的资产。财务担保金额，是指所收到的对价中，将被要求</w:t>
      </w:r>
      <w:r>
        <w:rPr>
          <w:spacing w:val="-25"/>
        </w:rPr>
        <w:t> </w:t>
      </w:r>
      <w:r>
        <w:rPr>
          <w:spacing w:val="-25"/>
        </w:rPr>
      </w:r>
      <w:r>
        <w:rPr/>
        <w:t>偿还的最高金额。</w:t>
      </w:r>
    </w:p>
    <w:p>
      <w:pPr>
        <w:spacing w:line="240" w:lineRule="auto" w:before="9"/>
        <w:rPr>
          <w:rFonts w:ascii="宋体" w:hAnsi="宋体" w:cs="宋体" w:eastAsia="宋体" w:hint="default"/>
          <w:sz w:val="26"/>
          <w:szCs w:val="26"/>
        </w:rPr>
      </w:pPr>
    </w:p>
    <w:p>
      <w:pPr>
        <w:pStyle w:val="Heading2"/>
        <w:spacing w:line="264" w:lineRule="auto" w:before="0"/>
        <w:ind w:right="440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350"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宋体" w:hAnsi="宋体" w:cs="宋体" w:eastAsia="宋体" w:hint="default"/>
                <w:sz w:val="21"/>
                <w:szCs w:val="21"/>
              </w:rPr>
              <w:t>2,000,000</w:t>
            </w:r>
            <w:r>
              <w:rPr>
                <w:rFonts w:ascii="宋体" w:hAnsi="宋体" w:cs="宋体" w:eastAsia="宋体" w:hint="default"/>
                <w:spacing w:val="-53"/>
                <w:sz w:val="21"/>
                <w:szCs w:val="21"/>
              </w:rPr>
              <w:t> </w:t>
            </w:r>
            <w:r>
              <w:rPr>
                <w:rFonts w:ascii="宋体" w:hAnsi="宋体" w:cs="宋体" w:eastAsia="宋体" w:hint="default"/>
                <w:sz w:val="21"/>
                <w:szCs w:val="21"/>
              </w:rPr>
              <w:t>元以上</w:t>
            </w:r>
          </w:p>
        </w:tc>
      </w:tr>
      <w:tr>
        <w:trPr>
          <w:trHeight w:val="239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对单项金额重大</w:t>
            </w:r>
            <w:r>
              <w:rPr>
                <w:rFonts w:ascii="宋体" w:hAnsi="宋体" w:cs="宋体" w:eastAsia="宋体" w:hint="default"/>
                <w:sz w:val="21"/>
                <w:szCs w:val="21"/>
              </w:rPr>
              <w:t>(</w:t>
            </w:r>
            <w:r>
              <w:rPr>
                <w:rFonts w:ascii="宋体" w:hAnsi="宋体" w:cs="宋体" w:eastAsia="宋体" w:hint="default"/>
                <w:sz w:val="21"/>
                <w:szCs w:val="21"/>
              </w:rPr>
              <w:t>人民币</w:t>
            </w:r>
            <w:r>
              <w:rPr>
                <w:rFonts w:ascii="宋体" w:hAnsi="宋体" w:cs="宋体" w:eastAsia="宋体" w:hint="default"/>
                <w:spacing w:val="-55"/>
                <w:sz w:val="21"/>
                <w:szCs w:val="21"/>
              </w:rPr>
              <w:t> </w:t>
            </w:r>
            <w:r>
              <w:rPr>
                <w:rFonts w:ascii="宋体" w:hAnsi="宋体" w:cs="宋体" w:eastAsia="宋体" w:hint="default"/>
                <w:sz w:val="21"/>
                <w:szCs w:val="21"/>
              </w:rPr>
              <w:t>2,000,000</w:t>
            </w:r>
            <w:r>
              <w:rPr>
                <w:rFonts w:ascii="宋体" w:hAnsi="宋体" w:cs="宋体" w:eastAsia="宋体" w:hint="default"/>
                <w:spacing w:val="-55"/>
                <w:sz w:val="21"/>
                <w:szCs w:val="21"/>
              </w:rPr>
              <w:t> </w:t>
            </w:r>
            <w:r>
              <w:rPr>
                <w:rFonts w:ascii="宋体" w:hAnsi="宋体" w:cs="宋体" w:eastAsia="宋体" w:hint="default"/>
                <w:sz w:val="21"/>
                <w:szCs w:val="21"/>
              </w:rPr>
              <w:t>元以上</w:t>
            </w:r>
            <w:r>
              <w:rPr>
                <w:rFonts w:ascii="宋体" w:hAnsi="宋体" w:cs="宋体" w:eastAsia="宋体" w:hint="default"/>
                <w:sz w:val="21"/>
                <w:szCs w:val="21"/>
              </w:rPr>
              <w:t>)</w:t>
            </w:r>
            <w:r>
              <w:rPr>
                <w:rFonts w:ascii="宋体" w:hAnsi="宋体" w:cs="宋体" w:eastAsia="宋体" w:hint="default"/>
                <w:sz w:val="21"/>
                <w:szCs w:val="21"/>
              </w:rPr>
              <w:t>的</w:t>
            </w:r>
          </w:p>
          <w:p>
            <w:pPr>
              <w:pStyle w:val="TableParagraph"/>
              <w:spacing w:line="297" w:lineRule="auto" w:before="66"/>
              <w:ind w:left="103" w:right="146"/>
              <w:jc w:val="both"/>
              <w:rPr>
                <w:rFonts w:ascii="宋体" w:hAnsi="宋体" w:cs="宋体" w:eastAsia="宋体" w:hint="default"/>
                <w:sz w:val="21"/>
                <w:szCs w:val="21"/>
              </w:rPr>
            </w:pPr>
            <w:r>
              <w:rPr>
                <w:rFonts w:ascii="宋体" w:hAnsi="宋体" w:cs="宋体" w:eastAsia="宋体" w:hint="default"/>
                <w:spacing w:val="-2"/>
                <w:sz w:val="21"/>
                <w:szCs w:val="21"/>
              </w:rPr>
              <w:t>应收款项单独进行减值测试，如有客观证据表</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明其已发生减值，根据其未来现金流量现值低</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于其账面价值的差额确认减值损失，计入当期</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损益。单独测试未发生减值的单项重大的应收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款项，应包括在具有类似信用风险特征的金融</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资产组合中再进行减值测试。</w:t>
            </w:r>
          </w:p>
        </w:tc>
      </w:tr>
    </w:tbl>
    <w:p>
      <w:pPr>
        <w:spacing w:after="0" w:line="297" w:lineRule="auto"/>
        <w:jc w:val="both"/>
        <w:rPr>
          <w:rFonts w:ascii="宋体" w:hAnsi="宋体" w:cs="宋体" w:eastAsia="宋体" w:hint="default"/>
          <w:sz w:val="21"/>
          <w:szCs w:val="21"/>
        </w:rPr>
        <w:sectPr>
          <w:headerReference w:type="default" r:id="rId47"/>
          <w:footerReference w:type="default" r:id="rId48"/>
          <w:pgSz w:w="11910" w:h="16840"/>
          <w:pgMar w:header="0" w:footer="1335" w:top="1020" w:bottom="1520" w:left="1580" w:right="1040"/>
          <w:pgNumType w:start="25"/>
        </w:sectPr>
      </w:pPr>
    </w:p>
    <w:p>
      <w:pPr>
        <w:spacing w:line="240" w:lineRule="auto" w:before="7"/>
        <w:rPr>
          <w:rFonts w:ascii="宋体" w:hAnsi="宋体" w:cs="宋体" w:eastAsia="宋体" w:hint="default"/>
          <w:b/>
          <w:bCs/>
          <w:sz w:val="5"/>
          <w:szCs w:val="5"/>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5.3pt;height:.75pt;mso-position-horizontal-relative:char;mso-position-vertical-relative:line" coordorigin="0,0" coordsize="8906,15">
            <v:group style="position:absolute;left:7;top:7;width:8891;height:2" coordorigin="7,7" coordsize="8891,2">
              <v:shape style="position:absolute;left:7;top:7;width:8891;height:2" coordorigin="7,7" coordsize="8891,0" path="m7,7l889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24"/>
          <w:szCs w:val="24"/>
        </w:rPr>
      </w:pPr>
    </w:p>
    <w:p>
      <w:pPr>
        <w:pStyle w:val="Heading2"/>
        <w:spacing w:line="240" w:lineRule="auto"/>
        <w:ind w:right="2465"/>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6"/>
          <w:szCs w:val="6"/>
        </w:rPr>
      </w:pPr>
    </w:p>
    <w:p>
      <w:pPr>
        <w:spacing w:line="866" w:lineRule="exact"/>
        <w:ind w:left="105"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53pt;height:43.35pt;mso-position-horizontal-relative:char;mso-position-vertical-relative:line" coordorigin="0,0" coordsize="9060,867">
            <v:group style="position:absolute;left:10;top:10;width:9040;height:2" coordorigin="10,10" coordsize="9040,2">
              <v:shape style="position:absolute;left:10;top:10;width:9040;height:2" coordorigin="10,10" coordsize="9040,0" path="m10,10l9049,10e" filled="false" stroked="true" strokeweight=".48pt" strokecolor="#000000">
                <v:path arrowok="t"/>
              </v:shape>
            </v:group>
            <v:group style="position:absolute;left:10;top:293;width:4573;height:2" coordorigin="10,293" coordsize="4573,2">
              <v:shape style="position:absolute;left:10;top:293;width:4573;height:2" coordorigin="10,293" coordsize="4573,0" path="m10,293l4582,293e" filled="false" stroked="true" strokeweight=".48pt" strokecolor="#000000">
                <v:path arrowok="t"/>
              </v:shape>
            </v:group>
            <v:group style="position:absolute;left:4592;top:293;width:4458;height:2" coordorigin="4592,293" coordsize="4458,2">
              <v:shape style="position:absolute;left:4592;top:293;width:4458;height:2" coordorigin="4592,293" coordsize="4458,0" path="m4592,293l9050,293e" filled="false" stroked="true" strokeweight=".48pt" strokecolor="#000000">
                <v:path arrowok="t"/>
              </v:shape>
            </v:group>
            <v:group style="position:absolute;left:10;top:574;width:4573;height:2" coordorigin="10,574" coordsize="4573,2">
              <v:shape style="position:absolute;left:10;top:574;width:4573;height:2" coordorigin="10,574" coordsize="4573,0" path="m10,574l4582,574e" filled="false" stroked="true" strokeweight=".48pt" strokecolor="#000000">
                <v:path arrowok="t"/>
              </v:shape>
            </v:group>
            <v:group style="position:absolute;left:4592;top:574;width:4458;height:2" coordorigin="4592,574" coordsize="4458,2">
              <v:shape style="position:absolute;left:4592;top:574;width:4458;height:2" coordorigin="4592,574" coordsize="4458,0" path="m4592,574l9050,574e" filled="false" stroked="true" strokeweight=".48pt" strokecolor="#000000">
                <v:path arrowok="t"/>
              </v:shape>
            </v:group>
            <v:group style="position:absolute;left:5;top:5;width:2;height:857" coordorigin="5,5" coordsize="2,857">
              <v:shape style="position:absolute;left:5;top:5;width:2;height:857" coordorigin="5,5" coordsize="0,857" path="m5,5l5,862e" filled="false" stroked="true" strokeweight=".48pt" strokecolor="#000000">
                <v:path arrowok="t"/>
              </v:shape>
            </v:group>
            <v:group style="position:absolute;left:10;top:857;width:4573;height:2" coordorigin="10,857" coordsize="4573,2">
              <v:shape style="position:absolute;left:10;top:857;width:4573;height:2" coordorigin="10,857" coordsize="4573,0" path="m10,857l4582,857e" filled="false" stroked="true" strokeweight=".48pt" strokecolor="#000000">
                <v:path arrowok="t"/>
              </v:shape>
            </v:group>
            <v:group style="position:absolute;left:4587;top:288;width:2;height:574" coordorigin="4587,288" coordsize="2,574">
              <v:shape style="position:absolute;left:4587;top:288;width:2;height:574" coordorigin="4587,288" coordsize="0,574" path="m4587,288l4587,862e" filled="false" stroked="true" strokeweight=".47998pt" strokecolor="#000000">
                <v:path arrowok="t"/>
              </v:shape>
            </v:group>
            <v:group style="position:absolute;left:4592;top:857;width:4458;height:2" coordorigin="4592,857" coordsize="4458,2">
              <v:shape style="position:absolute;left:4592;top:857;width:4458;height:2" coordorigin="4592,857" coordsize="4458,0" path="m4592,857l9050,857e" filled="false" stroked="true" strokeweight=".48pt" strokecolor="#000000">
                <v:path arrowok="t"/>
              </v:shape>
            </v:group>
            <v:group style="position:absolute;left:9054;top:5;width:2;height:857" coordorigin="9054,5" coordsize="2,857">
              <v:shape style="position:absolute;left:9054;top:5;width:2;height:857" coordorigin="9054,5" coordsize="0,857" path="m9054,5l9054,862e" filled="false" stroked="true" strokeweight=".47998pt" strokecolor="#000000">
                <v:path arrowok="t"/>
              </v:shape>
              <v:shape style="position:absolute;left:5;top:10;width:9050;height:284" type="#_x0000_t202" filled="false" stroked="false">
                <v:textbox inset="0,0,0,0">
                  <w:txbxContent>
                    <w:p>
                      <w:pPr>
                        <w:spacing w:line="246"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xbxContent>
                </v:textbox>
                <w10:wrap type="none"/>
              </v:shape>
            </v:group>
          </v:group>
        </w:pict>
      </w:r>
      <w:r>
        <w:rPr>
          <w:rFonts w:ascii="宋体" w:hAnsi="宋体" w:cs="宋体" w:eastAsia="宋体" w:hint="default"/>
          <w:position w:val="-16"/>
          <w:sz w:val="20"/>
          <w:szCs w:val="20"/>
        </w:rPr>
      </w:r>
    </w:p>
    <w:p>
      <w:pPr>
        <w:spacing w:line="240" w:lineRule="auto" w:before="0"/>
        <w:rPr>
          <w:rFonts w:ascii="宋体" w:hAnsi="宋体" w:cs="宋体" w:eastAsia="宋体" w:hint="default"/>
          <w:b/>
          <w:bCs/>
          <w:sz w:val="15"/>
          <w:szCs w:val="15"/>
        </w:rPr>
      </w:pPr>
    </w:p>
    <w:p>
      <w:pPr>
        <w:pStyle w:val="BodyText"/>
        <w:spacing w:line="274" w:lineRule="exact" w:before="36"/>
        <w:ind w:left="218" w:right="2465"/>
        <w:jc w:val="left"/>
      </w:pPr>
      <w:r>
        <w:rPr/>
        <w:t>组合中，采用账龄分析法计提坏账准备的</w:t>
      </w:r>
    </w:p>
    <w:p>
      <w:pPr>
        <w:pStyle w:val="BodyText"/>
        <w:spacing w:line="274" w:lineRule="exact"/>
        <w:ind w:left="218" w:right="246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218" w:right="2465"/>
        <w:jc w:val="left"/>
      </w:pPr>
      <w:r>
        <w:rPr/>
        <w:t>组合中，采用余额百分比法计提坏账准备的</w:t>
      </w:r>
    </w:p>
    <w:p>
      <w:pPr>
        <w:pStyle w:val="BodyText"/>
        <w:spacing w:line="272" w:lineRule="exact" w:before="27"/>
        <w:ind w:left="218" w:right="5362"/>
        <w:jc w:val="left"/>
      </w:pPr>
      <w:r>
        <w:rPr/>
        <w:t>□适用</w:t>
      </w:r>
      <w:r>
        <w:rPr>
          <w:spacing w:val="-2"/>
        </w:rPr>
        <w:t> </w:t>
      </w:r>
      <w:r>
        <w:rPr/>
        <w:t>√不适用</w:t>
      </w:r>
      <w:r>
        <w:rPr>
          <w:w w:val="100"/>
        </w:rPr>
        <w:t> </w:t>
      </w:r>
      <w:r>
        <w:rPr>
          <w:spacing w:val="-2"/>
        </w:rPr>
        <w:t>组合中，采用其他方法计提坏账准备的</w:t>
      </w:r>
    </w:p>
    <w:p>
      <w:pPr>
        <w:pStyle w:val="BodyText"/>
        <w:spacing w:line="249" w:lineRule="exact"/>
        <w:ind w:left="218" w:right="2465"/>
        <w:jc w:val="left"/>
      </w:pPr>
      <w:r>
        <w:rPr/>
        <w:t>□适用</w:t>
      </w:r>
      <w:r>
        <w:rPr>
          <w:spacing w:val="-1"/>
        </w:rPr>
        <w:t> </w:t>
      </w:r>
      <w:r>
        <w:rPr/>
        <w:t>√不适用</w:t>
      </w:r>
    </w:p>
    <w:p>
      <w:pPr>
        <w:pStyle w:val="Heading2"/>
        <w:spacing w:line="240" w:lineRule="auto" w:before="56"/>
        <w:ind w:right="2465"/>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1032"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与对方存在争议或涉及诉讼、仲裁的应收款项；</w:t>
            </w:r>
          </w:p>
          <w:p>
            <w:pPr>
              <w:pStyle w:val="TableParagraph"/>
              <w:spacing w:line="297" w:lineRule="auto" w:before="66"/>
              <w:ind w:left="100" w:right="183"/>
              <w:jc w:val="left"/>
              <w:rPr>
                <w:rFonts w:ascii="宋体" w:hAnsi="宋体" w:cs="宋体" w:eastAsia="宋体" w:hint="default"/>
                <w:sz w:val="21"/>
                <w:szCs w:val="21"/>
              </w:rPr>
            </w:pPr>
            <w:r>
              <w:rPr>
                <w:rFonts w:ascii="宋体" w:hAnsi="宋体" w:cs="宋体" w:eastAsia="宋体" w:hint="default"/>
                <w:spacing w:val="-2"/>
                <w:sz w:val="21"/>
                <w:szCs w:val="21"/>
              </w:rPr>
              <w:t>已有明显迹象表明债务人很可能无法履行还款义</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务的应收款项等。</w:t>
            </w:r>
          </w:p>
        </w:tc>
      </w:tr>
      <w:tr>
        <w:trPr>
          <w:trHeight w:val="1370"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公司对于单项金额不重大但具备以下特征的应收</w:t>
            </w:r>
          </w:p>
          <w:p>
            <w:pPr>
              <w:pStyle w:val="TableParagraph"/>
              <w:spacing w:line="297" w:lineRule="auto" w:before="66"/>
              <w:ind w:left="100" w:right="-5"/>
              <w:jc w:val="left"/>
              <w:rPr>
                <w:rFonts w:ascii="宋体" w:hAnsi="宋体" w:cs="宋体" w:eastAsia="宋体" w:hint="default"/>
                <w:sz w:val="21"/>
                <w:szCs w:val="21"/>
              </w:rPr>
            </w:pPr>
            <w:r>
              <w:rPr>
                <w:rFonts w:ascii="宋体" w:hAnsi="宋体" w:cs="宋体" w:eastAsia="宋体" w:hint="default"/>
                <w:sz w:val="21"/>
                <w:szCs w:val="21"/>
              </w:rPr>
              <w:t>款项，单独进行减值测试，如有客观证据表明其</w:t>
            </w:r>
            <w:r>
              <w:rPr>
                <w:rFonts w:ascii="宋体" w:hAnsi="宋体" w:cs="宋体" w:eastAsia="宋体" w:hint="default"/>
                <w:w w:val="100"/>
                <w:sz w:val="21"/>
                <w:szCs w:val="21"/>
              </w:rPr>
              <w:t> </w:t>
            </w:r>
            <w:r>
              <w:rPr>
                <w:rFonts w:ascii="宋体" w:hAnsi="宋体" w:cs="宋体" w:eastAsia="宋体" w:hint="default"/>
                <w:sz w:val="21"/>
                <w:szCs w:val="21"/>
              </w:rPr>
              <w:t>发生了减值的，根据其未来现金流量现值低于其</w:t>
            </w:r>
            <w:r>
              <w:rPr>
                <w:rFonts w:ascii="宋体" w:hAnsi="宋体" w:cs="宋体" w:eastAsia="宋体" w:hint="default"/>
                <w:w w:val="100"/>
                <w:sz w:val="21"/>
                <w:szCs w:val="21"/>
              </w:rPr>
              <w:t> </w:t>
            </w:r>
            <w:r>
              <w:rPr>
                <w:rFonts w:ascii="宋体" w:hAnsi="宋体" w:cs="宋体" w:eastAsia="宋体" w:hint="default"/>
                <w:spacing w:val="-3"/>
                <w:sz w:val="21"/>
                <w:szCs w:val="21"/>
              </w:rPr>
              <w:t>账面价值的差额，确认减值损失，计提坏账准备。</w:t>
            </w:r>
          </w:p>
        </w:tc>
      </w:tr>
    </w:tbl>
    <w:p>
      <w:pPr>
        <w:spacing w:line="240" w:lineRule="auto" w:before="2"/>
        <w:rPr>
          <w:rFonts w:ascii="宋体" w:hAnsi="宋体" w:cs="宋体" w:eastAsia="宋体" w:hint="default"/>
          <w:b/>
          <w:bCs/>
          <w:sz w:val="20"/>
          <w:szCs w:val="20"/>
        </w:rPr>
      </w:pPr>
    </w:p>
    <w:p>
      <w:pPr>
        <w:spacing w:line="264" w:lineRule="auto" w:before="36"/>
        <w:ind w:left="218" w:right="4594" w:firstLine="0"/>
        <w:jc w:val="left"/>
        <w:rPr>
          <w:rFonts w:ascii="宋体" w:hAnsi="宋体" w:cs="宋体" w:eastAsia="宋体" w:hint="default"/>
          <w:sz w:val="21"/>
          <w:szCs w:val="21"/>
        </w:rPr>
      </w:pPr>
      <w:r>
        <w:rPr>
          <w:rFonts w:ascii="Calibri" w:hAnsi="Calibri" w:cs="Calibri" w:eastAsia="Calibri" w:hint="default"/>
          <w:b/>
          <w:bCs/>
          <w:sz w:val="21"/>
          <w:szCs w:val="21"/>
        </w:rPr>
        <w:t>12.</w:t>
      </w:r>
      <w:r>
        <w:rPr>
          <w:rFonts w:ascii="Calibri" w:hAnsi="Calibri" w:cs="Calibri" w:eastAsia="Calibri" w:hint="default"/>
          <w:b/>
          <w:bCs/>
          <w:spacing w:val="12"/>
          <w:sz w:val="21"/>
          <w:szCs w:val="21"/>
        </w:rPr>
        <w:t> </w:t>
      </w:r>
      <w:r>
        <w:rPr>
          <w:rFonts w:ascii="宋体" w:hAnsi="宋体" w:cs="宋体" w:eastAsia="宋体" w:hint="default"/>
          <w:b/>
          <w:bCs/>
          <w:sz w:val="21"/>
          <w:szCs w:val="21"/>
        </w:rPr>
        <w:t>存货</w:t>
      </w:r>
      <w:r>
        <w:rPr>
          <w:rFonts w:ascii="宋体" w:hAnsi="宋体" w:cs="宋体" w:eastAsia="宋体" w:hint="default"/>
          <w:b/>
          <w:bCs/>
          <w:w w:val="100"/>
          <w:sz w:val="21"/>
          <w:szCs w:val="21"/>
        </w:rPr>
        <w:t> </w:t>
      </w:r>
      <w:r>
        <w:rPr>
          <w:rFonts w:ascii="宋体" w:hAnsi="宋体" w:cs="宋体" w:eastAsia="宋体" w:hint="default"/>
          <w:spacing w:val="-2"/>
          <w:sz w:val="21"/>
          <w:szCs w:val="21"/>
        </w:rPr>
        <w:t>存货包括原材料、库存商品和周转材料。</w:t>
      </w:r>
    </w:p>
    <w:p>
      <w:pPr>
        <w:spacing w:line="240" w:lineRule="auto" w:before="6"/>
        <w:rPr>
          <w:rFonts w:ascii="宋体" w:hAnsi="宋体" w:cs="宋体" w:eastAsia="宋体" w:hint="default"/>
          <w:sz w:val="29"/>
          <w:szCs w:val="29"/>
        </w:rPr>
      </w:pPr>
    </w:p>
    <w:p>
      <w:pPr>
        <w:pStyle w:val="BodyText"/>
        <w:spacing w:line="297" w:lineRule="auto"/>
        <w:ind w:left="218" w:right="237"/>
        <w:jc w:val="both"/>
      </w:pPr>
      <w:r>
        <w:rPr>
          <w:spacing w:val="-2"/>
        </w:rPr>
        <w:t>存货按照成本进行初始计量。存货成本包括采购成本、加工成本和其他成本。发出存货，采用加</w:t>
      </w:r>
      <w:r>
        <w:rPr>
          <w:spacing w:val="-25"/>
        </w:rPr>
        <w:t> </w:t>
      </w:r>
      <w:r>
        <w:rPr>
          <w:spacing w:val="-25"/>
        </w:rPr>
      </w:r>
      <w:r>
        <w:rPr>
          <w:spacing w:val="-2"/>
        </w:rPr>
        <w:t>权平均法确定其实际成本。周转材料包括低值易耗品和包装物等，低值易耗品和包装物釆用一次</w:t>
      </w:r>
      <w:r>
        <w:rPr>
          <w:spacing w:val="-25"/>
        </w:rPr>
        <w:t> </w:t>
      </w:r>
      <w:r>
        <w:rPr>
          <w:spacing w:val="-25"/>
        </w:rPr>
      </w:r>
      <w:r>
        <w:rPr/>
        <w:t>转销法进行摊销。</w:t>
      </w:r>
    </w:p>
    <w:p>
      <w:pPr>
        <w:spacing w:line="240" w:lineRule="auto" w:before="1"/>
        <w:rPr>
          <w:rFonts w:ascii="宋体" w:hAnsi="宋体" w:cs="宋体" w:eastAsia="宋体" w:hint="default"/>
          <w:sz w:val="27"/>
          <w:szCs w:val="27"/>
        </w:rPr>
      </w:pPr>
    </w:p>
    <w:p>
      <w:pPr>
        <w:pStyle w:val="BodyText"/>
        <w:spacing w:line="240" w:lineRule="auto"/>
        <w:ind w:left="218" w:right="0"/>
        <w:jc w:val="both"/>
      </w:pPr>
      <w:r>
        <w:rPr/>
        <w:t>存货的盘存制度采用永续盘存制。</w:t>
      </w:r>
    </w:p>
    <w:p>
      <w:pPr>
        <w:spacing w:after="0" w:line="240" w:lineRule="auto"/>
        <w:jc w:val="both"/>
        <w:sectPr>
          <w:headerReference w:type="default" r:id="rId49"/>
          <w:footerReference w:type="default" r:id="rId50"/>
          <w:pgSz w:w="11910" w:h="16840"/>
          <w:pgMar w:header="0" w:footer="1335" w:top="1020" w:bottom="1520" w:left="1580" w:right="1040"/>
          <w:pgNumType w:start="26"/>
        </w:sectPr>
      </w:pPr>
    </w:p>
    <w:p>
      <w:pPr>
        <w:spacing w:line="240" w:lineRule="auto" w:before="7"/>
        <w:rPr>
          <w:rFonts w:ascii="宋体" w:hAnsi="宋体" w:cs="宋体" w:eastAsia="宋体" w:hint="default"/>
          <w:sz w:val="5"/>
          <w:szCs w:val="5"/>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5.3pt;height:.75pt;mso-position-horizontal-relative:char;mso-position-vertical-relative:line" coordorigin="0,0" coordsize="8906,15">
            <v:group style="position:absolute;left:7;top:7;width:8891;height:2" coordorigin="7,7" coordsize="8891,2">
              <v:shape style="position:absolute;left:7;top:7;width:8891;height:2" coordorigin="7,7" coordsize="8891,0" path="m7,7l889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4"/>
          <w:szCs w:val="24"/>
        </w:rPr>
      </w:pPr>
    </w:p>
    <w:p>
      <w:pPr>
        <w:pStyle w:val="BodyText"/>
        <w:spacing w:line="297" w:lineRule="auto" w:before="36"/>
        <w:ind w:right="317"/>
        <w:jc w:val="both"/>
      </w:pPr>
      <w:r>
        <w:rPr>
          <w:spacing w:val="-2"/>
        </w:rPr>
        <w:t>于资产负债表日，存货按照成本与可变现净值孰低计量，对成本高于可变现净值的，计提存货跌</w:t>
      </w:r>
      <w:r>
        <w:rPr>
          <w:spacing w:val="-26"/>
        </w:rPr>
        <w:t> </w:t>
      </w:r>
      <w:r>
        <w:rPr>
          <w:spacing w:val="-26"/>
        </w:rPr>
      </w:r>
      <w:r>
        <w:rPr>
          <w:spacing w:val="-2"/>
        </w:rPr>
        <w:t>价准备，计入当期损益。如果以前计提存货跌价准备的影响因素已经消失，使得存货的可变现净</w:t>
      </w:r>
      <w:r>
        <w:rPr>
          <w:spacing w:val="-25"/>
        </w:rPr>
        <w:t> </w:t>
      </w:r>
      <w:r>
        <w:rPr>
          <w:spacing w:val="-25"/>
        </w:rPr>
      </w:r>
      <w:r>
        <w:rPr>
          <w:spacing w:val="-2"/>
        </w:rPr>
        <w:t>值高于其账面价值，则在原已计提的存货跌价准备金额内，将以前减记的金额予以恢复，转回的</w:t>
      </w:r>
      <w:r>
        <w:rPr>
          <w:spacing w:val="-25"/>
        </w:rPr>
        <w:t> </w:t>
      </w:r>
      <w:r>
        <w:rPr>
          <w:spacing w:val="-25"/>
        </w:rPr>
      </w:r>
      <w:r>
        <w:rPr/>
        <w:t>金额计入当期损益。</w:t>
      </w:r>
    </w:p>
    <w:p>
      <w:pPr>
        <w:spacing w:line="240" w:lineRule="auto" w:before="3"/>
        <w:rPr>
          <w:rFonts w:ascii="宋体" w:hAnsi="宋体" w:cs="宋体" w:eastAsia="宋体" w:hint="default"/>
          <w:sz w:val="27"/>
          <w:szCs w:val="27"/>
        </w:rPr>
      </w:pPr>
    </w:p>
    <w:p>
      <w:pPr>
        <w:pStyle w:val="BodyText"/>
        <w:spacing w:line="297" w:lineRule="auto"/>
        <w:ind w:right="317"/>
        <w:jc w:val="both"/>
      </w:pPr>
      <w:r>
        <w:rPr>
          <w:spacing w:val="-2"/>
        </w:rPr>
        <w:t>可变现净值，是指在日常活动中，存货的估计售价减去至完工时估计将要发生的成本、估计的销</w:t>
      </w:r>
      <w:r>
        <w:rPr>
          <w:spacing w:val="-25"/>
        </w:rPr>
        <w:t> </w:t>
      </w:r>
      <w:r>
        <w:rPr>
          <w:spacing w:val="-25"/>
        </w:rPr>
      </w:r>
      <w:r>
        <w:rPr>
          <w:spacing w:val="-2"/>
        </w:rPr>
        <w:t>售费用以及相关税费后的金额。计提存货跌价准备时，原材料按类别计提，产成品按单个存货项</w:t>
      </w:r>
      <w:r>
        <w:rPr>
          <w:spacing w:val="-25"/>
        </w:rPr>
        <w:t> </w:t>
      </w:r>
      <w:r>
        <w:rPr>
          <w:spacing w:val="-25"/>
        </w:rPr>
      </w:r>
      <w:r>
        <w:rPr/>
        <w:t>目计提。</w:t>
      </w:r>
    </w:p>
    <w:p>
      <w:pPr>
        <w:spacing w:line="240" w:lineRule="auto" w:before="9"/>
        <w:rPr>
          <w:rFonts w:ascii="宋体" w:hAnsi="宋体" w:cs="宋体" w:eastAsia="宋体" w:hint="default"/>
          <w:sz w:val="26"/>
          <w:szCs w:val="26"/>
        </w:rPr>
      </w:pPr>
    </w:p>
    <w:p>
      <w:pPr>
        <w:pStyle w:val="Heading2"/>
        <w:spacing w:line="240" w:lineRule="auto" w:before="0"/>
        <w:ind w:left="138" w:right="0"/>
        <w:jc w:val="both"/>
        <w:rPr>
          <w:b w:val="0"/>
          <w:bCs w:val="0"/>
        </w:rPr>
      </w:pPr>
      <w:r>
        <w:rPr>
          <w:rFonts w:ascii="Calibri" w:hAnsi="Calibri" w:cs="Calibri" w:eastAsia="Calibri" w:hint="default"/>
        </w:rPr>
        <w:t>13.  </w:t>
      </w:r>
      <w:r>
        <w:rPr>
          <w:rFonts w:ascii="Calibri" w:hAnsi="Calibri" w:cs="Calibri" w:eastAsia="Calibri" w:hint="default"/>
          <w:spacing w:val="14"/>
        </w:rPr>
        <w:t> </w:t>
      </w:r>
      <w:r>
        <w:rPr/>
        <w:t>划分为持有待售资产</w:t>
      </w:r>
      <w:r>
        <w:rPr>
          <w:b w:val="0"/>
          <w:bCs w:val="0"/>
        </w:rPr>
      </w:r>
    </w:p>
    <w:p>
      <w:pPr>
        <w:spacing w:line="240" w:lineRule="auto" w:before="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line="264" w:lineRule="auto" w:before="36"/>
        <w:ind w:left="138" w:right="4063" w:firstLine="0"/>
        <w:jc w:val="left"/>
        <w:rPr>
          <w:rFonts w:ascii="宋体" w:hAnsi="宋体" w:cs="宋体" w:eastAsia="宋体" w:hint="default"/>
          <w:sz w:val="21"/>
          <w:szCs w:val="21"/>
        </w:rPr>
      </w:pPr>
      <w:r>
        <w:rPr>
          <w:rFonts w:ascii="Calibri" w:hAnsi="Calibri" w:cs="Calibri" w:eastAsia="Calibri" w:hint="default"/>
          <w:b/>
          <w:bCs/>
          <w:sz w:val="21"/>
          <w:szCs w:val="21"/>
        </w:rPr>
        <w:t>14.</w:t>
      </w:r>
      <w:r>
        <w:rPr>
          <w:rFonts w:ascii="Calibri" w:hAnsi="Calibri" w:cs="Calibri" w:eastAsia="Calibri" w:hint="default"/>
          <w:b/>
          <w:bCs/>
          <w:spacing w:val="12"/>
          <w:sz w:val="21"/>
          <w:szCs w:val="21"/>
        </w:rPr>
        <w:t> </w:t>
      </w:r>
      <w:r>
        <w:rPr>
          <w:rFonts w:ascii="宋体" w:hAnsi="宋体" w:cs="宋体" w:eastAsia="宋体" w:hint="default"/>
          <w:b/>
          <w:bCs/>
          <w:sz w:val="21"/>
          <w:szCs w:val="21"/>
        </w:rPr>
        <w:t>长期股权投资</w:t>
      </w:r>
      <w:r>
        <w:rPr>
          <w:rFonts w:ascii="宋体" w:hAnsi="宋体" w:cs="宋体" w:eastAsia="宋体" w:hint="default"/>
          <w:b/>
          <w:bCs/>
          <w:w w:val="100"/>
          <w:sz w:val="21"/>
          <w:szCs w:val="21"/>
        </w:rPr>
        <w:t> </w:t>
      </w:r>
      <w:r>
        <w:rPr>
          <w:rFonts w:ascii="宋体" w:hAnsi="宋体" w:cs="宋体" w:eastAsia="宋体" w:hint="default"/>
          <w:spacing w:val="-2"/>
          <w:sz w:val="21"/>
          <w:szCs w:val="21"/>
        </w:rPr>
        <w:t>长期股权投资包括对子公司和联营企业的权益性投资。</w:t>
      </w:r>
    </w:p>
    <w:p>
      <w:pPr>
        <w:spacing w:line="240" w:lineRule="auto" w:before="4"/>
        <w:rPr>
          <w:rFonts w:ascii="宋体" w:hAnsi="宋体" w:cs="宋体" w:eastAsia="宋体" w:hint="default"/>
          <w:sz w:val="29"/>
          <w:szCs w:val="29"/>
        </w:rPr>
      </w:pPr>
    </w:p>
    <w:p>
      <w:pPr>
        <w:pStyle w:val="BodyText"/>
        <w:spacing w:line="297" w:lineRule="auto"/>
        <w:ind w:right="99"/>
        <w:jc w:val="left"/>
      </w:pPr>
      <w:r>
        <w:rPr/>
        <w:t>长期股权投资在取得时以初始投资成本进行初始计量。通过同一控制下的企业合并取得的长期股</w:t>
      </w:r>
      <w:r>
        <w:rPr>
          <w:spacing w:val="-97"/>
        </w:rPr>
        <w:t> </w:t>
      </w:r>
      <w:r>
        <w:rPr>
          <w:spacing w:val="-97"/>
        </w:rPr>
      </w:r>
      <w:r>
        <w:rPr/>
        <w:t>权投资，以合并日取得被合并方所有者权益在最终控制方合并财务报表中的账面价值的份额作为</w:t>
      </w:r>
      <w:r>
        <w:rPr>
          <w:spacing w:val="-97"/>
        </w:rPr>
        <w:t> </w:t>
      </w:r>
      <w:r>
        <w:rPr>
          <w:spacing w:val="-97"/>
        </w:rPr>
      </w:r>
      <w:r>
        <w:rPr>
          <w:spacing w:val="-4"/>
        </w:rPr>
        <w:t>初始投资成本；初始投资成本与合并对价账面价值之间差额，调整资本公积</w:t>
      </w:r>
      <w:r>
        <w:rPr>
          <w:rFonts w:ascii="宋体" w:hAnsi="宋体" w:cs="宋体" w:eastAsia="宋体" w:hint="default"/>
          <w:spacing w:val="-4"/>
        </w:rPr>
        <w:t>(</w:t>
      </w:r>
      <w:r>
        <w:rPr>
          <w:spacing w:val="-4"/>
        </w:rPr>
        <w:t>不足冲减的，冲减留</w:t>
      </w:r>
      <w:r>
        <w:rPr>
          <w:spacing w:val="-34"/>
        </w:rPr>
        <w:t> </w:t>
      </w:r>
      <w:r>
        <w:rPr>
          <w:spacing w:val="-34"/>
        </w:rPr>
      </w:r>
      <w:r>
        <w:rPr>
          <w:spacing w:val="-4"/>
        </w:rPr>
        <w:t>存收益</w:t>
      </w:r>
      <w:r>
        <w:rPr>
          <w:rFonts w:ascii="宋体" w:hAnsi="宋体" w:cs="宋体" w:eastAsia="宋体" w:hint="default"/>
          <w:spacing w:val="-4"/>
        </w:rPr>
        <w:t>)</w:t>
      </w:r>
      <w:r>
        <w:rPr>
          <w:spacing w:val="-4"/>
        </w:rPr>
        <w:t>；合并日之前的其他综合收益，在处置该项投资时采用与被投资单位直接处置相关资产或</w:t>
      </w:r>
      <w:r>
        <w:rPr>
          <w:spacing w:val="-32"/>
        </w:rPr>
        <w:t> </w:t>
      </w:r>
      <w:r>
        <w:rPr>
          <w:spacing w:val="-32"/>
        </w:rPr>
      </w:r>
      <w:r>
        <w:rPr/>
        <w:t>负债相同的基础进行会计处理，因被投资方除净损益、其他综合收益和利润分配以外的其他股东</w:t>
      </w:r>
      <w:r>
        <w:rPr>
          <w:spacing w:val="-97"/>
        </w:rPr>
        <w:t> </w:t>
      </w:r>
      <w:r>
        <w:rPr>
          <w:spacing w:val="-97"/>
        </w:rPr>
      </w:r>
      <w:r>
        <w:rPr/>
        <w:t>权益变动而确认的股东权益，在处置该项投资时转入当期损益；其中，处置后仍为长期股权投资</w:t>
      </w:r>
      <w:r>
        <w:rPr>
          <w:spacing w:val="-97"/>
        </w:rPr>
        <w:t> </w:t>
      </w:r>
      <w:r>
        <w:rPr>
          <w:spacing w:val="-97"/>
        </w:rPr>
      </w:r>
      <w:r>
        <w:rPr/>
        <w:t>的按比例结转，处置后转换为金融工具的则全额结转。通过非同一控制下的企业合并取得的长期</w:t>
      </w:r>
      <w:r>
        <w:rPr>
          <w:spacing w:val="-98"/>
        </w:rPr>
        <w:t> </w:t>
      </w:r>
      <w:r>
        <w:rPr>
          <w:spacing w:val="-98"/>
        </w:rPr>
      </w:r>
      <w:r>
        <w:rPr>
          <w:spacing w:val="-4"/>
        </w:rPr>
        <w:t>股权投资，以合并成本作为初始投资成本</w:t>
      </w:r>
      <w:r>
        <w:rPr>
          <w:rFonts w:ascii="宋体" w:hAnsi="宋体" w:cs="宋体" w:eastAsia="宋体" w:hint="default"/>
          <w:spacing w:val="-4"/>
        </w:rPr>
        <w:t>(</w:t>
      </w:r>
      <w:r>
        <w:rPr>
          <w:spacing w:val="-4"/>
        </w:rPr>
        <w:t>通过多次交易分步实现非同一控制下的企业合并的，以</w:t>
      </w:r>
      <w:r>
        <w:rPr>
          <w:spacing w:val="-36"/>
        </w:rPr>
        <w:t> </w:t>
      </w:r>
      <w:r>
        <w:rPr>
          <w:spacing w:val="-36"/>
        </w:rPr>
      </w:r>
      <w:r>
        <w:rPr/>
        <w:t>购买日之前所持被购买方的股权投资的账面价值与购买日新增投资成本之和作为初始投资成本</w:t>
      </w:r>
      <w:r>
        <w:rPr>
          <w:rFonts w:ascii="宋体" w:hAnsi="宋体" w:cs="宋体" w:eastAsia="宋体" w:hint="default"/>
        </w:rPr>
        <w:t>)</w:t>
      </w:r>
      <w:r>
        <w:rPr/>
        <w:t>，</w:t>
      </w:r>
      <w:r>
        <w:rPr>
          <w:spacing w:val="-96"/>
        </w:rPr>
        <w:t> </w:t>
      </w:r>
      <w:r>
        <w:rPr/>
        <w:t>合并成本包括购买方付出的资产、发生或承担的负债、发行的权益性证券的公允价值之和；购买</w:t>
      </w:r>
      <w:r>
        <w:rPr>
          <w:spacing w:val="-97"/>
        </w:rPr>
        <w:t> </w:t>
      </w:r>
      <w:r>
        <w:rPr>
          <w:spacing w:val="-97"/>
        </w:rPr>
      </w:r>
      <w:r>
        <w:rPr/>
        <w:t>日之前持有的因采用权益法核算而确认的其他综合收益，在处置该项投资时采用与被投资单位直</w:t>
      </w:r>
      <w:r>
        <w:rPr>
          <w:spacing w:val="-97"/>
        </w:rPr>
        <w:t> </w:t>
      </w:r>
      <w:r>
        <w:rPr>
          <w:spacing w:val="-97"/>
        </w:rPr>
      </w:r>
      <w:r>
        <w:rPr/>
        <w:t>接处置相关资产或负债相同的基础进行会计处理，因被投资方除净损益、其他综合收益和利润分</w:t>
      </w:r>
      <w:r>
        <w:rPr>
          <w:spacing w:val="-97"/>
        </w:rPr>
        <w:t> </w:t>
      </w:r>
      <w:r>
        <w:rPr>
          <w:spacing w:val="-97"/>
        </w:rPr>
      </w:r>
      <w:r>
        <w:rPr/>
        <w:t>配以外的其他股东权益变动而确认的股东权益，在处置该项投资时转入当期损益；其中，处置后</w:t>
      </w:r>
      <w:r>
        <w:rPr>
          <w:spacing w:val="-97"/>
        </w:rPr>
        <w:t> </w:t>
      </w:r>
      <w:r>
        <w:rPr>
          <w:spacing w:val="-97"/>
        </w:rPr>
      </w:r>
      <w:r>
        <w:rPr/>
        <w:t>仍为长期股权投资的按比例结转，处置后转换为金融工具的则全额结转；购买日之前持有的股权</w:t>
      </w:r>
      <w:r>
        <w:rPr>
          <w:spacing w:val="-97"/>
        </w:rPr>
        <w:t> </w:t>
      </w:r>
      <w:r>
        <w:rPr>
          <w:spacing w:val="-97"/>
        </w:rPr>
      </w:r>
      <w:r>
        <w:rPr>
          <w:spacing w:val="-2"/>
        </w:rPr>
        <w:t>投资作为金融工具计入其他综合收益的累计公允价值变动在改按成本法核算时全部转入当期损益。</w:t>
      </w:r>
      <w:r>
        <w:rPr>
          <w:spacing w:val="-13"/>
        </w:rPr>
        <w:t> </w:t>
      </w:r>
      <w:r>
        <w:rPr>
          <w:spacing w:val="-13"/>
        </w:rPr>
      </w:r>
      <w:r>
        <w:rPr>
          <w:spacing w:val="-4"/>
          <w:w w:val="100"/>
        </w:rPr>
        <w:t>除企业合并形成的长期股权投资以外方式取得的长期股权投资，按照下列方法确定初始投资成本：</w:t>
      </w:r>
      <w:r>
        <w:rPr>
          <w:spacing w:val="-85"/>
          <w:w w:val="100"/>
        </w:rPr>
        <w:t> </w:t>
      </w:r>
      <w:r>
        <w:rPr>
          <w:spacing w:val="-85"/>
          <w:w w:val="100"/>
        </w:rPr>
      </w:r>
      <w:r>
        <w:rPr/>
        <w:t>支付现金取得的，以实际支付的购买价款及与取得长期股权投资直接相关的费用、税金及其他必</w:t>
      </w:r>
      <w:r>
        <w:rPr>
          <w:spacing w:val="-97"/>
        </w:rPr>
        <w:t> </w:t>
      </w:r>
      <w:r>
        <w:rPr>
          <w:spacing w:val="-97"/>
        </w:rPr>
      </w:r>
      <w:r>
        <w:rPr/>
        <w:t>要支出作为初始投资成本；发行权益性证券取得的，以发行权益性证券的公允价值作为初始投资</w:t>
      </w:r>
      <w:r>
        <w:rPr>
          <w:spacing w:val="-97"/>
        </w:rPr>
        <w:t> </w:t>
      </w:r>
      <w:r>
        <w:rPr>
          <w:spacing w:val="-97"/>
        </w:rPr>
      </w:r>
      <w:r>
        <w:rPr>
          <w:spacing w:val="-4"/>
        </w:rPr>
        <w:t>成本；通过非货币性资产交换取得的，按照《企业会计准则第</w:t>
      </w:r>
      <w:r>
        <w:rPr>
          <w:rFonts w:ascii="宋体" w:hAnsi="宋体" w:cs="宋体" w:eastAsia="宋体" w:hint="default"/>
          <w:spacing w:val="-4"/>
        </w:rPr>
        <w:t>7</w:t>
      </w:r>
      <w:r>
        <w:rPr>
          <w:spacing w:val="-4"/>
        </w:rPr>
        <w:t>号——非货币性资产交换》确定初</w:t>
      </w:r>
      <w:r>
        <w:rPr>
          <w:spacing w:val="-38"/>
        </w:rPr>
        <w:t> </w:t>
      </w:r>
      <w:r>
        <w:rPr>
          <w:spacing w:val="-38"/>
        </w:rPr>
      </w:r>
      <w:r>
        <w:rPr/>
        <w:t>始投资成本。</w:t>
      </w:r>
    </w:p>
    <w:p>
      <w:pPr>
        <w:spacing w:line="240" w:lineRule="auto" w:before="3"/>
        <w:rPr>
          <w:rFonts w:ascii="宋体" w:hAnsi="宋体" w:cs="宋体" w:eastAsia="宋体" w:hint="default"/>
          <w:sz w:val="27"/>
          <w:szCs w:val="27"/>
        </w:rPr>
      </w:pPr>
    </w:p>
    <w:p>
      <w:pPr>
        <w:pStyle w:val="BodyText"/>
        <w:spacing w:line="297" w:lineRule="auto"/>
        <w:ind w:right="308"/>
        <w:jc w:val="both"/>
      </w:pPr>
      <w:r>
        <w:rPr>
          <w:spacing w:val="-1"/>
        </w:rPr>
        <w:t>本公司能够对被投资单位实施控制的长期股权投资，在本公司个别财务报表中采用成本法核算。</w:t>
      </w:r>
      <w:r>
        <w:rPr>
          <w:spacing w:val="-55"/>
        </w:rPr>
        <w:t> </w:t>
      </w:r>
      <w:r>
        <w:rPr>
          <w:spacing w:val="-55"/>
        </w:rPr>
      </w:r>
      <w:r>
        <w:rPr>
          <w:spacing w:val="-1"/>
        </w:rPr>
        <w:t>控制，是指拥有对被投资方的权力，通过参与被投资方的相关活动而享有可变回报，并且有能力</w:t>
      </w:r>
      <w:r>
        <w:rPr>
          <w:spacing w:val="-55"/>
        </w:rPr>
        <w:t> </w:t>
      </w:r>
      <w:r>
        <w:rPr>
          <w:spacing w:val="-55"/>
        </w:rPr>
      </w:r>
      <w:r>
        <w:rPr/>
        <w:t>运用对被投资方的权力影响回报金额。</w:t>
      </w:r>
    </w:p>
    <w:p>
      <w:pPr>
        <w:spacing w:after="0" w:line="297" w:lineRule="auto"/>
        <w:jc w:val="both"/>
        <w:sectPr>
          <w:headerReference w:type="default" r:id="rId51"/>
          <w:footerReference w:type="default" r:id="rId52"/>
          <w:pgSz w:w="11910" w:h="16840"/>
          <w:pgMar w:header="0" w:footer="1335" w:top="1020" w:bottom="1520" w:left="1660" w:right="960"/>
          <w:pgNumType w:start="27"/>
        </w:sectPr>
      </w:pPr>
    </w:p>
    <w:p>
      <w:pPr>
        <w:spacing w:line="240" w:lineRule="auto" w:before="12"/>
        <w:rPr>
          <w:rFonts w:ascii="宋体" w:hAnsi="宋体" w:cs="宋体" w:eastAsia="宋体" w:hint="default"/>
          <w:sz w:val="24"/>
          <w:szCs w:val="24"/>
        </w:rPr>
      </w:pPr>
    </w:p>
    <w:p>
      <w:pPr>
        <w:pStyle w:val="BodyText"/>
        <w:spacing w:line="297" w:lineRule="auto" w:before="36"/>
        <w:ind w:right="144"/>
        <w:jc w:val="left"/>
      </w:pPr>
      <w:r>
        <w:rPr>
          <w:spacing w:val="-1"/>
        </w:rPr>
        <w:t>采用成本法时，长期股权投资按初始投资成本计价。追加或收回投资的，调整长期股权投资的成</w:t>
      </w:r>
      <w:r>
        <w:rPr>
          <w:spacing w:val="-55"/>
        </w:rPr>
        <w:t> </w:t>
      </w:r>
      <w:r>
        <w:rPr>
          <w:spacing w:val="-55"/>
        </w:rPr>
      </w:r>
      <w:r>
        <w:rPr/>
        <w:t>本。被投资单位宣告分派的现金股利或利润，确认为当期投资收益。</w:t>
      </w:r>
      <w:r>
        <w:rPr>
          <w:w w:val="100"/>
        </w:rPr>
        <w:t> </w:t>
      </w:r>
      <w:r>
        <w:rPr>
          <w:spacing w:val="-1"/>
        </w:rPr>
        <w:t>本集团对被投资单位具有共同控制或重大影响的，长期股权投资采用权益法核算。共同控制，是</w:t>
      </w:r>
      <w:r>
        <w:rPr>
          <w:spacing w:val="-55"/>
        </w:rPr>
        <w:t> </w:t>
      </w:r>
      <w:r>
        <w:rPr>
          <w:spacing w:val="-55"/>
        </w:rPr>
      </w:r>
      <w:r>
        <w:rPr>
          <w:spacing w:val="-1"/>
        </w:rPr>
        <w:t>指按照相关约定对某项安排所共有的控制，并且该安排的相关活动必须经过分享控制权的参与方</w:t>
      </w:r>
      <w:r>
        <w:rPr>
          <w:spacing w:val="-55"/>
        </w:rPr>
        <w:t> </w:t>
      </w:r>
      <w:r>
        <w:rPr>
          <w:spacing w:val="-55"/>
        </w:rPr>
      </w:r>
      <w:r>
        <w:rPr>
          <w:spacing w:val="-1"/>
        </w:rPr>
        <w:t>一致同意后才能决策。重大影响，是指对被投资单位的财务和经营政策有参与决策的权力，但并</w:t>
      </w:r>
      <w:r>
        <w:rPr>
          <w:spacing w:val="-55"/>
        </w:rPr>
        <w:t> </w:t>
      </w:r>
      <w:r>
        <w:rPr>
          <w:spacing w:val="-55"/>
        </w:rPr>
      </w:r>
      <w:r>
        <w:rPr/>
        <w:t>不能够控制或者与其他方一起共同控制这些政策的制定。</w:t>
      </w:r>
    </w:p>
    <w:p>
      <w:pPr>
        <w:spacing w:line="240" w:lineRule="auto" w:before="1"/>
        <w:rPr>
          <w:rFonts w:ascii="宋体" w:hAnsi="宋体" w:cs="宋体" w:eastAsia="宋体" w:hint="default"/>
          <w:sz w:val="27"/>
          <w:szCs w:val="27"/>
        </w:rPr>
      </w:pPr>
    </w:p>
    <w:p>
      <w:pPr>
        <w:pStyle w:val="BodyText"/>
        <w:spacing w:line="297" w:lineRule="auto"/>
        <w:ind w:right="148"/>
        <w:jc w:val="both"/>
      </w:pPr>
      <w:r>
        <w:rPr>
          <w:spacing w:val="-1"/>
        </w:rPr>
        <w:t>采用权益法时，长期股权投资的初始投资成本大于投资时应享有被投资单位可辨认净资产公允价</w:t>
      </w:r>
      <w:r>
        <w:rPr>
          <w:spacing w:val="-55"/>
        </w:rPr>
        <w:t> </w:t>
      </w:r>
      <w:r>
        <w:rPr>
          <w:spacing w:val="-55"/>
        </w:rPr>
      </w:r>
      <w:r>
        <w:rPr>
          <w:spacing w:val="-1"/>
        </w:rPr>
        <w:t>值份额的，归入长期股权投资的初始投资成本；长期股权投资的初始投资成本小于投资时应享有</w:t>
      </w:r>
      <w:r>
        <w:rPr>
          <w:spacing w:val="-55"/>
        </w:rPr>
        <w:t> </w:t>
      </w:r>
      <w:r>
        <w:rPr>
          <w:spacing w:val="-55"/>
        </w:rPr>
      </w:r>
      <w:r>
        <w:rPr>
          <w:spacing w:val="-7"/>
          <w:w w:val="100"/>
        </w:rPr>
        <w:t>被投资单位可辨认净资产公允价值份额的，其差额计入当期损益，同时调整长期股权投资的成本。</w:t>
      </w:r>
    </w:p>
    <w:p>
      <w:pPr>
        <w:spacing w:line="240" w:lineRule="auto" w:before="4"/>
        <w:rPr>
          <w:rFonts w:ascii="宋体" w:hAnsi="宋体" w:cs="宋体" w:eastAsia="宋体" w:hint="default"/>
          <w:sz w:val="27"/>
          <w:szCs w:val="27"/>
        </w:rPr>
      </w:pPr>
    </w:p>
    <w:p>
      <w:pPr>
        <w:pStyle w:val="BodyText"/>
        <w:spacing w:line="297" w:lineRule="auto"/>
        <w:ind w:right="147"/>
        <w:jc w:val="both"/>
      </w:pPr>
      <w:r>
        <w:rPr>
          <w:spacing w:val="-1"/>
        </w:rPr>
        <w:t>采用权益法时，取得长期股权投资后，按照应享有或应分担的被投资单位实现的净损益和其他综</w:t>
      </w:r>
      <w:r>
        <w:rPr>
          <w:spacing w:val="-55"/>
        </w:rPr>
        <w:t> </w:t>
      </w:r>
      <w:r>
        <w:rPr>
          <w:spacing w:val="-55"/>
        </w:rPr>
      </w:r>
      <w:r>
        <w:rPr>
          <w:spacing w:val="-1"/>
        </w:rPr>
        <w:t>合收益的份额，分别确认投资损益和其他综合收益并调整长期股权投资的账面价值。在确认应享</w:t>
      </w:r>
      <w:r>
        <w:rPr>
          <w:spacing w:val="-55"/>
        </w:rPr>
        <w:t> </w:t>
      </w:r>
      <w:r>
        <w:rPr>
          <w:spacing w:val="-55"/>
        </w:rPr>
      </w:r>
      <w:r>
        <w:rPr>
          <w:spacing w:val="-1"/>
        </w:rPr>
        <w:t>有被投资单位净损益的份额时，以取得投资时被投资单位可辨认资产等的公允价值为基础，按照</w:t>
      </w:r>
      <w:r>
        <w:rPr>
          <w:spacing w:val="-55"/>
        </w:rPr>
        <w:t> </w:t>
      </w:r>
      <w:r>
        <w:rPr>
          <w:spacing w:val="-55"/>
        </w:rPr>
      </w:r>
      <w:r>
        <w:rPr>
          <w:spacing w:val="-1"/>
        </w:rPr>
        <w:t>本集团的会计政策及会计期间，并抵销与联营企业及合营企业之间发生的内部交易损益按照应享</w:t>
      </w:r>
      <w:r>
        <w:rPr>
          <w:spacing w:val="-55"/>
        </w:rPr>
        <w:t> </w:t>
      </w:r>
      <w:r>
        <w:rPr>
          <w:spacing w:val="-55"/>
        </w:rPr>
      </w:r>
      <w:r>
        <w:rPr>
          <w:spacing w:val="-1"/>
        </w:rPr>
        <w:t>有的比例计算归属于投资方的部分</w:t>
      </w:r>
      <w:r>
        <w:rPr>
          <w:rFonts w:ascii="宋体" w:hAnsi="宋体" w:cs="宋体" w:eastAsia="宋体" w:hint="default"/>
          <w:spacing w:val="-1"/>
        </w:rPr>
        <w:t>(</w:t>
      </w:r>
      <w:r>
        <w:rPr>
          <w:spacing w:val="-1"/>
        </w:rPr>
        <w:t>但内部交易损失属于资产减值损失的，应全额确认</w:t>
      </w:r>
      <w:r>
        <w:rPr>
          <w:rFonts w:ascii="宋体" w:hAnsi="宋体" w:cs="宋体" w:eastAsia="宋体" w:hint="default"/>
          <w:spacing w:val="-1"/>
        </w:rPr>
        <w:t>)</w:t>
      </w:r>
      <w:r>
        <w:rPr>
          <w:spacing w:val="-1"/>
        </w:rPr>
        <w:t>，对被投</w:t>
      </w:r>
      <w:r>
        <w:rPr>
          <w:spacing w:val="-53"/>
        </w:rPr>
        <w:t> </w:t>
      </w:r>
      <w:r>
        <w:rPr>
          <w:spacing w:val="-53"/>
        </w:rPr>
      </w:r>
      <w:r>
        <w:rPr>
          <w:spacing w:val="-1"/>
        </w:rPr>
        <w:t>资单位的净利润进行调整后确认，但投出或出售的资产构成业务的除外。对于首次执行企业会计</w:t>
      </w:r>
      <w:r>
        <w:rPr>
          <w:spacing w:val="-55"/>
        </w:rPr>
        <w:t> </w:t>
      </w:r>
      <w:r>
        <w:rPr>
          <w:spacing w:val="-55"/>
        </w:rPr>
      </w:r>
      <w:r>
        <w:rPr>
          <w:spacing w:val="-1"/>
        </w:rPr>
        <w:t>准则之前已经持有的对联营企业的长期股权投资，如存在与该投资相关的股权投资借方差额，还</w:t>
      </w:r>
      <w:r>
        <w:rPr>
          <w:spacing w:val="-55"/>
        </w:rPr>
        <w:t> </w:t>
      </w:r>
      <w:r>
        <w:rPr>
          <w:spacing w:val="-55"/>
        </w:rPr>
      </w:r>
      <w:r>
        <w:rPr>
          <w:spacing w:val="-1"/>
        </w:rPr>
        <w:t>应扣除按原剩余期限直线摊销的股权投资借方差额，确认投资损益。按照被投资单位宣告分派的</w:t>
      </w:r>
      <w:r>
        <w:rPr>
          <w:spacing w:val="-55"/>
        </w:rPr>
        <w:t> </w:t>
      </w:r>
      <w:r>
        <w:rPr>
          <w:spacing w:val="-55"/>
        </w:rPr>
      </w:r>
      <w:r>
        <w:rPr>
          <w:spacing w:val="-1"/>
        </w:rPr>
        <w:t>利润或现金股利计算应享有的部分，相应减少长期股权投资的账面价值。本集团确认被投资单位</w:t>
      </w:r>
      <w:r>
        <w:rPr>
          <w:spacing w:val="-55"/>
        </w:rPr>
        <w:t> </w:t>
      </w:r>
      <w:r>
        <w:rPr>
          <w:spacing w:val="-55"/>
        </w:rPr>
      </w:r>
      <w:r>
        <w:rPr>
          <w:spacing w:val="-1"/>
        </w:rPr>
        <w:t>发生的净亏损，以长期股权投资的账面价值以及其他实质上构成对被投资单位净投资的长期权益</w:t>
      </w:r>
      <w:r>
        <w:rPr>
          <w:spacing w:val="-55"/>
        </w:rPr>
        <w:t> </w:t>
      </w:r>
      <w:r>
        <w:rPr>
          <w:spacing w:val="-55"/>
        </w:rPr>
      </w:r>
      <w:r>
        <w:rPr>
          <w:spacing w:val="-1"/>
        </w:rPr>
        <w:t>减记至零为限，本集团负有承担额外损失义务的除外。对于被投资单位除净损益、其他综合收益</w:t>
      </w:r>
      <w:r>
        <w:rPr>
          <w:spacing w:val="-55"/>
        </w:rPr>
        <w:t> </w:t>
      </w:r>
      <w:r>
        <w:rPr>
          <w:spacing w:val="-55"/>
        </w:rPr>
      </w:r>
      <w:r>
        <w:rPr/>
        <w:t>和利润分配以外股东权益的其他变动，调整长期股权投资的账面价值并计入股东权益。</w:t>
      </w:r>
    </w:p>
    <w:p>
      <w:pPr>
        <w:spacing w:line="240" w:lineRule="auto" w:before="3"/>
        <w:rPr>
          <w:rFonts w:ascii="宋体" w:hAnsi="宋体" w:cs="宋体" w:eastAsia="宋体" w:hint="default"/>
          <w:sz w:val="27"/>
          <w:szCs w:val="27"/>
        </w:rPr>
      </w:pPr>
    </w:p>
    <w:p>
      <w:pPr>
        <w:pStyle w:val="BodyText"/>
        <w:spacing w:line="297" w:lineRule="auto"/>
        <w:ind w:right="148"/>
        <w:jc w:val="both"/>
      </w:pPr>
      <w:r>
        <w:rPr>
          <w:spacing w:val="-1"/>
        </w:rPr>
        <w:t>处置长期股权投资，其账面价值与实际取得价款的差额，计入当期损益。采用权益法核算的长期</w:t>
      </w:r>
      <w:r>
        <w:rPr>
          <w:spacing w:val="-55"/>
        </w:rPr>
        <w:t> </w:t>
      </w:r>
      <w:r>
        <w:rPr>
          <w:spacing w:val="-55"/>
        </w:rPr>
      </w:r>
      <w:r>
        <w:rPr>
          <w:spacing w:val="-1"/>
        </w:rPr>
        <w:t>股权投资，终止采用权益法的，原权益法核算的相关其他综合收益采用与被投资单位直接处置相</w:t>
      </w:r>
      <w:r>
        <w:rPr>
          <w:spacing w:val="-55"/>
        </w:rPr>
        <w:t> </w:t>
      </w:r>
      <w:r>
        <w:rPr>
          <w:spacing w:val="-55"/>
        </w:rPr>
      </w:r>
      <w:r>
        <w:rPr>
          <w:spacing w:val="-1"/>
        </w:rPr>
        <w:t>关资产或负债相同的基础进行会计处理，因被投资方除净损益、其他综合收益和利润分配以外的</w:t>
      </w:r>
      <w:r>
        <w:rPr>
          <w:spacing w:val="-55"/>
        </w:rPr>
        <w:t> </w:t>
      </w:r>
      <w:r>
        <w:rPr>
          <w:spacing w:val="-55"/>
        </w:rPr>
      </w:r>
      <w:r>
        <w:rPr>
          <w:spacing w:val="-1"/>
        </w:rPr>
        <w:t>其他股东权益变动而确认的股东权益，全部转入当期损益；仍采用权益法的，原权益法核算的相</w:t>
      </w:r>
      <w:r>
        <w:rPr>
          <w:spacing w:val="-55"/>
        </w:rPr>
        <w:t> </w:t>
      </w:r>
      <w:r>
        <w:rPr>
          <w:spacing w:val="-55"/>
        </w:rPr>
      </w:r>
      <w:r>
        <w:rPr>
          <w:spacing w:val="-1"/>
        </w:rPr>
        <w:t>关其他综合收益采用与被投资单位直接处置相关资产或负债相同的基础进行会计处理并按比例转</w:t>
      </w:r>
      <w:r>
        <w:rPr>
          <w:spacing w:val="-55"/>
        </w:rPr>
        <w:t> </w:t>
      </w:r>
      <w:r>
        <w:rPr>
          <w:spacing w:val="-55"/>
        </w:rPr>
      </w:r>
      <w:r>
        <w:rPr>
          <w:spacing w:val="-1"/>
        </w:rPr>
        <w:t>入当期损益，因被投资方除净损益、其他综合收益和利润分配以外的其他股东权益变动而确认的</w:t>
      </w:r>
      <w:r>
        <w:rPr>
          <w:spacing w:val="-55"/>
        </w:rPr>
        <w:t> </w:t>
      </w:r>
      <w:r>
        <w:rPr>
          <w:spacing w:val="-55"/>
        </w:rPr>
      </w:r>
      <w:r>
        <w:rPr/>
        <w:t>股东权益，按相应的比例转入当期损益。</w:t>
      </w:r>
    </w:p>
    <w:p>
      <w:pPr>
        <w:spacing w:line="240" w:lineRule="auto" w:before="9"/>
        <w:rPr>
          <w:rFonts w:ascii="宋体" w:hAnsi="宋体" w:cs="宋体" w:eastAsia="宋体" w:hint="default"/>
          <w:sz w:val="26"/>
          <w:szCs w:val="26"/>
        </w:rPr>
      </w:pPr>
    </w:p>
    <w:p>
      <w:pPr>
        <w:pStyle w:val="Heading2"/>
        <w:spacing w:line="278" w:lineRule="auto" w:before="0"/>
        <w:ind w:left="138" w:right="6015"/>
        <w:jc w:val="left"/>
        <w:rPr>
          <w:rFonts w:ascii="宋体" w:hAnsi="宋体" w:cs="宋体" w:eastAsia="宋体" w:hint="default"/>
          <w:b w:val="0"/>
          <w:bCs w:val="0"/>
        </w:rPr>
      </w:pPr>
      <w:r>
        <w:rPr>
          <w:rFonts w:ascii="Calibri" w:hAnsi="Calibri" w:cs="Calibri" w:eastAsia="Calibri" w:hint="default"/>
        </w:rPr>
        <w:t>15.</w:t>
      </w:r>
      <w:r>
        <w:rPr>
          <w:rFonts w:ascii="Calibri" w:hAnsi="Calibri" w:cs="Calibri" w:eastAsia="Calibri" w:hint="default"/>
          <w:spacing w:val="1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spacing w:line="240" w:lineRule="auto" w:before="4"/>
        <w:rPr>
          <w:rFonts w:ascii="宋体" w:hAnsi="宋体" w:cs="宋体" w:eastAsia="宋体" w:hint="default"/>
          <w:sz w:val="18"/>
          <w:szCs w:val="1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53"/>
          <w:pgSz w:w="11910" w:h="16840"/>
          <w:pgMar w:header="926" w:footer="1335" w:top="1120" w:bottom="1520" w:left="1660" w:right="1120"/>
        </w:sectPr>
      </w:pPr>
    </w:p>
    <w:p>
      <w:pPr>
        <w:spacing w:line="240" w:lineRule="auto" w:before="1"/>
        <w:rPr>
          <w:rFonts w:ascii="宋体" w:hAnsi="宋体" w:cs="宋体" w:eastAsia="宋体" w:hint="default"/>
          <w:sz w:val="25"/>
          <w:szCs w:val="25"/>
        </w:rPr>
      </w:pPr>
    </w:p>
    <w:p>
      <w:pPr>
        <w:pStyle w:val="Heading2"/>
        <w:spacing w:line="266" w:lineRule="auto"/>
        <w:ind w:right="7801"/>
        <w:jc w:val="left"/>
        <w:rPr>
          <w:b w:val="0"/>
          <w:bCs w:val="0"/>
        </w:rPr>
      </w:pPr>
      <w:r>
        <w:rPr>
          <w:rFonts w:ascii="Calibri" w:hAnsi="Calibri" w:cs="Calibri" w:eastAsia="Calibri" w:hint="default"/>
        </w:rPr>
        <w:t>16.</w:t>
      </w:r>
      <w:r>
        <w:rPr>
          <w:rFonts w:ascii="Calibri" w:hAnsi="Calibri" w:cs="Calibri" w:eastAsia="Calibri" w:hint="default"/>
          <w:spacing w:val="13"/>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97" w:lineRule="auto" w:before="33"/>
        <w:ind w:left="218" w:right="257"/>
        <w:jc w:val="both"/>
      </w:pPr>
      <w:r>
        <w:rPr>
          <w:spacing w:val="-2"/>
        </w:rPr>
        <w:t>固定资产仅在与其有关的经济利益很可能流入本集团，且其成本能够可靠地计量时才予以确认。</w:t>
      </w:r>
      <w:r>
        <w:rPr>
          <w:spacing w:val="-25"/>
        </w:rPr>
        <w:t> </w:t>
      </w:r>
      <w:r>
        <w:rPr>
          <w:spacing w:val="-25"/>
        </w:rPr>
      </w:r>
      <w:r>
        <w:rPr>
          <w:spacing w:val="-2"/>
        </w:rPr>
        <w:t>与固定资产有关的后续支出，符合该确认条件的，计入固定资产成本，并终止确认被替换部分的</w:t>
      </w:r>
      <w:r>
        <w:rPr>
          <w:spacing w:val="-25"/>
        </w:rPr>
        <w:t> </w:t>
      </w:r>
      <w:r>
        <w:rPr>
          <w:spacing w:val="-25"/>
        </w:rPr>
      </w:r>
      <w:r>
        <w:rPr/>
        <w:t>账面价值；否则，在发生时计入当期损益。</w:t>
      </w:r>
    </w:p>
    <w:p>
      <w:pPr>
        <w:spacing w:line="240" w:lineRule="auto" w:before="3"/>
        <w:rPr>
          <w:rFonts w:ascii="宋体" w:hAnsi="宋体" w:cs="宋体" w:eastAsia="宋体" w:hint="default"/>
          <w:sz w:val="27"/>
          <w:szCs w:val="27"/>
        </w:rPr>
      </w:pPr>
    </w:p>
    <w:p>
      <w:pPr>
        <w:pStyle w:val="BodyText"/>
        <w:spacing w:line="297" w:lineRule="auto"/>
        <w:ind w:left="218" w:right="257"/>
        <w:jc w:val="both"/>
      </w:pPr>
      <w:r>
        <w:rPr>
          <w:spacing w:val="-2"/>
        </w:rPr>
        <w:t>固定资产按照成本进行初始计量。购置固定资产的成本包括购买价款、相关税费、使固定资产达</w:t>
      </w:r>
      <w:r>
        <w:rPr>
          <w:spacing w:val="-25"/>
        </w:rPr>
        <w:t> </w:t>
      </w:r>
      <w:r>
        <w:rPr>
          <w:spacing w:val="-25"/>
        </w:rPr>
      </w:r>
      <w:r>
        <w:rPr/>
        <w:t>到预定可使用状态前所发生的可直接归属于该项资产的其他支出。</w:t>
      </w:r>
    </w:p>
    <w:p>
      <w:pPr>
        <w:spacing w:line="240" w:lineRule="auto" w:before="7"/>
        <w:rPr>
          <w:rFonts w:ascii="宋体" w:hAnsi="宋体" w:cs="宋体" w:eastAsia="宋体" w:hint="default"/>
          <w:sz w:val="26"/>
          <w:szCs w:val="26"/>
        </w:rPr>
      </w:pPr>
    </w:p>
    <w:p>
      <w:pPr>
        <w:pStyle w:val="Heading2"/>
        <w:spacing w:line="240" w:lineRule="auto" w:before="0"/>
        <w:ind w:right="0"/>
        <w:jc w:val="both"/>
        <w:rPr>
          <w:b w:val="0"/>
          <w:bCs w:val="0"/>
        </w:rPr>
      </w:pPr>
      <w:r>
        <w:rPr>
          <w:rFonts w:ascii="宋体" w:hAnsi="宋体" w:cs="宋体" w:eastAsia="宋体" w:hint="default"/>
        </w:rPr>
        <w:t>(2).</w:t>
      </w:r>
      <w:r>
        <w:rPr/>
        <w:t>折旧方法</w:t>
      </w:r>
      <w:r>
        <w:rPr>
          <w:b w:val="0"/>
          <w:bCs w:val="0"/>
        </w:rPr>
      </w:r>
    </w:p>
    <w:p>
      <w:pPr>
        <w:spacing w:line="240" w:lineRule="auto" w:before="13"/>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5"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2.4</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16.2</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20-33</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4.9-12.1</w:t>
            </w:r>
          </w:p>
        </w:tc>
      </w:tr>
    </w:tbl>
    <w:p>
      <w:pPr>
        <w:pStyle w:val="BodyText"/>
        <w:spacing w:line="248" w:lineRule="exact"/>
        <w:ind w:left="218" w:right="0"/>
        <w:jc w:val="left"/>
      </w:pPr>
      <w:r>
        <w:rPr>
          <w:spacing w:val="-3"/>
        </w:rPr>
        <w:t>固定资产的各组成部分具有不同使用寿命或以不同方式为企业提供经济利益的，适用不同折旧率。</w:t>
      </w:r>
    </w:p>
    <w:p>
      <w:pPr>
        <w:spacing w:line="240" w:lineRule="auto" w:before="11"/>
        <w:rPr>
          <w:rFonts w:ascii="宋体" w:hAnsi="宋体" w:cs="宋体" w:eastAsia="宋体" w:hint="default"/>
          <w:sz w:val="24"/>
          <w:szCs w:val="24"/>
        </w:rPr>
      </w:pPr>
    </w:p>
    <w:p>
      <w:pPr>
        <w:pStyle w:val="BodyText"/>
        <w:spacing w:line="261" w:lineRule="auto"/>
        <w:ind w:left="218" w:right="0"/>
        <w:jc w:val="left"/>
      </w:pPr>
      <w:r>
        <w:rPr>
          <w:spacing w:val="-1"/>
        </w:rPr>
        <w:t>本集团至少于每年年度终了，对固定资产的使用寿命、预计净残值和折旧方法进行复核，必要时</w:t>
      </w:r>
      <w:r>
        <w:rPr>
          <w:spacing w:val="-22"/>
        </w:rPr>
        <w:t> </w:t>
      </w:r>
      <w:r>
        <w:rPr>
          <w:spacing w:val="-22"/>
        </w:rPr>
      </w:r>
      <w:r>
        <w:rPr/>
        <w:t>进行调整。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right="0"/>
        <w:jc w:val="left"/>
        <w:rPr>
          <w:b w:val="0"/>
          <w:bCs w:val="0"/>
        </w:rPr>
      </w:pPr>
      <w:r>
        <w:rPr>
          <w:rFonts w:ascii="宋体" w:hAnsi="宋体" w:cs="宋体" w:eastAsia="宋体" w:hint="default"/>
        </w:rPr>
        <w:t>(3).</w:t>
      </w:r>
      <w:r>
        <w:rPr/>
        <w:t>融资租入固定资产的认定依据、计价和折旧方法</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BodyText"/>
        <w:spacing w:line="280" w:lineRule="auto" w:before="36"/>
        <w:ind w:left="218" w:right="0"/>
        <w:jc w:val="left"/>
      </w:pPr>
      <w:r>
        <w:rPr>
          <w:rFonts w:ascii="Calibri" w:hAnsi="Calibri" w:cs="Calibri" w:eastAsia="Calibri" w:hint="default"/>
          <w:b/>
          <w:bCs/>
        </w:rPr>
        <w:t>17.</w:t>
      </w:r>
      <w:r>
        <w:rPr>
          <w:rFonts w:ascii="Calibri" w:hAnsi="Calibri" w:cs="Calibri" w:eastAsia="Calibri" w:hint="default"/>
          <w:b/>
          <w:bCs/>
          <w:spacing w:val="12"/>
        </w:rPr>
        <w:t> </w:t>
      </w:r>
      <w:r>
        <w:rPr>
          <w:rFonts w:ascii="宋体" w:hAnsi="宋体" w:cs="宋体" w:eastAsia="宋体" w:hint="default"/>
          <w:b/>
          <w:bCs/>
        </w:rPr>
        <w:t>在建工程</w:t>
      </w:r>
      <w:r>
        <w:rPr>
          <w:rFonts w:ascii="宋体" w:hAnsi="宋体" w:cs="宋体" w:eastAsia="宋体" w:hint="default"/>
          <w:b/>
          <w:bCs/>
          <w:w w:val="100"/>
        </w:rPr>
        <w:t> </w:t>
      </w:r>
      <w:r>
        <w:rPr>
          <w:spacing w:val="-2"/>
        </w:rPr>
        <w:t>在建工程成本按实际工程支出确定，包括在建期间发生的各项必要工程支出、工程达到预定可使</w:t>
      </w:r>
      <w:r>
        <w:rPr>
          <w:spacing w:val="-25"/>
        </w:rPr>
        <w:t> </w:t>
      </w:r>
      <w:r>
        <w:rPr>
          <w:spacing w:val="-25"/>
        </w:rPr>
      </w:r>
      <w:r>
        <w:rPr/>
        <w:t>用状态前的应予资本化的借款费用以及其他相关费用等。</w:t>
      </w:r>
    </w:p>
    <w:p>
      <w:pPr>
        <w:spacing w:line="240" w:lineRule="auto" w:before="5"/>
        <w:rPr>
          <w:rFonts w:ascii="宋体" w:hAnsi="宋体" w:cs="宋体" w:eastAsia="宋体" w:hint="default"/>
          <w:sz w:val="28"/>
          <w:szCs w:val="28"/>
        </w:rPr>
      </w:pPr>
    </w:p>
    <w:p>
      <w:pPr>
        <w:pStyle w:val="BodyText"/>
        <w:spacing w:line="240" w:lineRule="auto"/>
        <w:ind w:left="218" w:right="0"/>
        <w:jc w:val="left"/>
      </w:pPr>
      <w:r>
        <w:rPr/>
        <w:t>在建工程在达到预定可使用状态时转入固定资产。</w:t>
      </w:r>
    </w:p>
    <w:p>
      <w:pPr>
        <w:pStyle w:val="BodyText"/>
        <w:spacing w:line="280" w:lineRule="auto" w:before="126"/>
        <w:ind w:left="218" w:right="0"/>
        <w:jc w:val="left"/>
      </w:pPr>
      <w:r>
        <w:rPr>
          <w:rFonts w:ascii="Calibri" w:hAnsi="Calibri" w:cs="Calibri" w:eastAsia="Calibri" w:hint="default"/>
          <w:b/>
          <w:bCs/>
        </w:rPr>
        <w:t>18.</w:t>
      </w:r>
      <w:r>
        <w:rPr>
          <w:rFonts w:ascii="Calibri" w:hAnsi="Calibri" w:cs="Calibri" w:eastAsia="Calibri" w:hint="default"/>
          <w:b/>
          <w:bCs/>
          <w:spacing w:val="12"/>
        </w:rPr>
        <w:t> </w:t>
      </w:r>
      <w:r>
        <w:rPr>
          <w:rFonts w:ascii="宋体" w:hAnsi="宋体" w:cs="宋体" w:eastAsia="宋体" w:hint="default"/>
          <w:b/>
          <w:bCs/>
        </w:rPr>
        <w:t>借款费用</w:t>
      </w:r>
      <w:r>
        <w:rPr>
          <w:rFonts w:ascii="宋体" w:hAnsi="宋体" w:cs="宋体" w:eastAsia="宋体" w:hint="default"/>
          <w:b/>
          <w:bCs/>
          <w:w w:val="100"/>
        </w:rPr>
        <w:t> </w:t>
      </w:r>
      <w:r>
        <w:rPr>
          <w:spacing w:val="-2"/>
        </w:rPr>
        <w:t>借款费用，是指本集团因借款而发生的利息及其他相关成本，包括借款利息、折价或者溢价的摊</w:t>
      </w:r>
      <w:r>
        <w:rPr>
          <w:spacing w:val="-25"/>
        </w:rPr>
        <w:t> </w:t>
      </w:r>
      <w:r>
        <w:rPr>
          <w:spacing w:val="-25"/>
        </w:rPr>
      </w:r>
      <w:r>
        <w:rPr/>
        <w:t>销、辅助费用以及因外币借款而发生的汇兑差额等。</w:t>
      </w:r>
    </w:p>
    <w:p>
      <w:pPr>
        <w:spacing w:line="240" w:lineRule="auto" w:before="5"/>
        <w:rPr>
          <w:rFonts w:ascii="宋体" w:hAnsi="宋体" w:cs="宋体" w:eastAsia="宋体" w:hint="default"/>
          <w:sz w:val="28"/>
          <w:szCs w:val="28"/>
        </w:rPr>
      </w:pPr>
    </w:p>
    <w:p>
      <w:pPr>
        <w:pStyle w:val="BodyText"/>
        <w:spacing w:line="297" w:lineRule="auto"/>
        <w:ind w:left="218" w:right="257"/>
        <w:jc w:val="both"/>
      </w:pPr>
      <w:r>
        <w:rPr>
          <w:spacing w:val="-2"/>
        </w:rPr>
        <w:t>可直接归属于符合资本化条件的资产的购建或者生产的借款费用，予以资本化，其他借款费用计</w:t>
      </w:r>
      <w:r>
        <w:rPr>
          <w:spacing w:val="-25"/>
        </w:rPr>
        <w:t> </w:t>
      </w:r>
      <w:r>
        <w:rPr>
          <w:spacing w:val="-25"/>
        </w:rPr>
      </w:r>
      <w:r>
        <w:rPr>
          <w:spacing w:val="-2"/>
        </w:rPr>
        <w:t>入当期损益。符合资本化条件的资产，是指需要经过相当长时间的购建或者生产活动才能达到预</w:t>
      </w:r>
      <w:r>
        <w:rPr>
          <w:spacing w:val="-25"/>
        </w:rPr>
        <w:t> </w:t>
      </w:r>
      <w:r>
        <w:rPr>
          <w:spacing w:val="-25"/>
        </w:rPr>
      </w:r>
      <w:r>
        <w:rPr/>
        <w:t>定可使用或者可销售状态的固定资产、投资性房地产和存货等资产。</w:t>
      </w:r>
    </w:p>
    <w:p>
      <w:pPr>
        <w:pStyle w:val="BodyText"/>
        <w:spacing w:line="682" w:lineRule="exact" w:before="53"/>
        <w:ind w:left="218" w:right="4217"/>
        <w:jc w:val="left"/>
      </w:pPr>
      <w:r>
        <w:rPr>
          <w:spacing w:val="-2"/>
        </w:rPr>
        <w:t>借款费用同时满足下列条件的，才能开始资本化：</w:t>
      </w:r>
      <w:r>
        <w:rPr>
          <w:spacing w:val="-62"/>
        </w:rPr>
        <w:t> </w:t>
      </w:r>
      <w:r>
        <w:rPr>
          <w:spacing w:val="-62"/>
        </w:rPr>
      </w:r>
      <w:r>
        <w:rPr>
          <w:rFonts w:ascii="宋体" w:hAnsi="宋体" w:cs="宋体" w:eastAsia="宋体" w:hint="default"/>
        </w:rPr>
        <w:t>(1)</w:t>
      </w:r>
      <w:r>
        <w:rPr>
          <w:rFonts w:ascii="宋体" w:hAnsi="宋体" w:cs="宋体" w:eastAsia="宋体" w:hint="default"/>
          <w:spacing w:val="1"/>
        </w:rPr>
        <w:t> </w:t>
      </w:r>
      <w:r>
        <w:rPr/>
        <w:t>资产支出已经发生；</w:t>
      </w:r>
    </w:p>
    <w:p>
      <w:pPr>
        <w:pStyle w:val="BodyText"/>
        <w:spacing w:line="234" w:lineRule="exact"/>
        <w:ind w:left="218" w:right="0"/>
        <w:jc w:val="left"/>
      </w:pPr>
      <w:r>
        <w:rPr>
          <w:rFonts w:ascii="宋体" w:hAnsi="宋体" w:cs="宋体" w:eastAsia="宋体" w:hint="default"/>
        </w:rPr>
        <w:t>(2)</w:t>
      </w:r>
      <w:r>
        <w:rPr>
          <w:rFonts w:ascii="宋体" w:hAnsi="宋体" w:cs="宋体" w:eastAsia="宋体" w:hint="default"/>
          <w:spacing w:val="1"/>
        </w:rPr>
        <w:t> </w:t>
      </w:r>
      <w:r>
        <w:rPr/>
        <w:t>借款费用已经发生；</w:t>
      </w:r>
    </w:p>
    <w:p>
      <w:pPr>
        <w:pStyle w:val="BodyText"/>
        <w:spacing w:line="240" w:lineRule="auto" w:before="66"/>
        <w:ind w:left="218" w:right="0"/>
        <w:jc w:val="left"/>
      </w:pPr>
      <w:r>
        <w:rPr>
          <w:rFonts w:ascii="宋体" w:hAnsi="宋体" w:cs="宋体" w:eastAsia="宋体" w:hint="default"/>
        </w:rPr>
        <w:t>(3)</w:t>
      </w:r>
      <w:r>
        <w:rPr>
          <w:rFonts w:ascii="宋体" w:hAnsi="宋体" w:cs="宋体" w:eastAsia="宋体" w:hint="default"/>
          <w:spacing w:val="-4"/>
        </w:rPr>
        <w:t> </w:t>
      </w:r>
      <w:r>
        <w:rPr/>
        <w:t>为使资产达到预定可使用或者可销售状态所必要的购建或者生产活动已经开始。</w:t>
      </w:r>
    </w:p>
    <w:p>
      <w:pPr>
        <w:spacing w:after="0" w:line="240" w:lineRule="auto"/>
        <w:jc w:val="left"/>
        <w:sectPr>
          <w:pgSz w:w="11910" w:h="16840"/>
          <w:pgMar w:header="926" w:footer="1335" w:top="1120" w:bottom="1520" w:left="15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97" w:lineRule="auto"/>
        <w:ind w:right="217"/>
        <w:jc w:val="both"/>
      </w:pPr>
      <w:r>
        <w:rPr>
          <w:spacing w:val="-2"/>
        </w:rPr>
        <w:t>购建或者生产符合资本化条件的资产达到预定可使用或者可销售状态时，借款费用停止资本化。</w:t>
      </w:r>
      <w:r>
        <w:rPr>
          <w:spacing w:val="-25"/>
        </w:rPr>
        <w:t> </w:t>
      </w:r>
      <w:r>
        <w:rPr>
          <w:spacing w:val="-25"/>
        </w:rPr>
      </w:r>
      <w:r>
        <w:rPr/>
        <w:t>之后发生的借款费用计入当期损益。</w:t>
      </w:r>
    </w:p>
    <w:p>
      <w:pPr>
        <w:spacing w:line="240" w:lineRule="auto" w:before="3"/>
        <w:rPr>
          <w:rFonts w:ascii="宋体" w:hAnsi="宋体" w:cs="宋体" w:eastAsia="宋体" w:hint="default"/>
          <w:sz w:val="27"/>
          <w:szCs w:val="27"/>
        </w:rPr>
      </w:pPr>
    </w:p>
    <w:p>
      <w:pPr>
        <w:pStyle w:val="BodyText"/>
        <w:spacing w:line="240" w:lineRule="auto"/>
        <w:ind w:right="0"/>
        <w:jc w:val="both"/>
      </w:pPr>
      <w:r>
        <w:rPr/>
        <w:t>在资本化期间内，每一会计期间的利息资本化金额，按照下列方法确定：</w:t>
      </w:r>
    </w:p>
    <w:p>
      <w:pPr>
        <w:spacing w:line="240" w:lineRule="auto" w:before="0"/>
        <w:rPr>
          <w:rFonts w:ascii="宋体" w:hAnsi="宋体" w:cs="宋体" w:eastAsia="宋体" w:hint="default"/>
          <w:sz w:val="20"/>
          <w:szCs w:val="20"/>
        </w:rPr>
      </w:pPr>
    </w:p>
    <w:p>
      <w:pPr>
        <w:pStyle w:val="BodyText"/>
        <w:spacing w:line="240" w:lineRule="auto" w:before="142"/>
        <w:ind w:right="0"/>
        <w:jc w:val="both"/>
      </w:pPr>
      <w:r>
        <w:rPr>
          <w:rFonts w:ascii="宋体" w:hAnsi="宋体" w:cs="宋体" w:eastAsia="宋体" w:hint="default"/>
          <w:w w:val="100"/>
        </w:rPr>
        <w:t>(1)</w:t>
      </w:r>
      <w:r>
        <w:rPr>
          <w:rFonts w:ascii="宋体" w:hAnsi="宋体" w:cs="宋体" w:eastAsia="宋体" w:hint="default"/>
          <w:spacing w:val="-2"/>
        </w:rPr>
        <w:t> </w:t>
      </w:r>
      <w:r>
        <w:rPr>
          <w:w w:val="100"/>
        </w:rPr>
        <w:t>专门</w:t>
      </w:r>
      <w:r>
        <w:rPr>
          <w:spacing w:val="-3"/>
          <w:w w:val="100"/>
        </w:rPr>
        <w:t>借</w:t>
      </w:r>
      <w:r>
        <w:rPr>
          <w:w w:val="100"/>
        </w:rPr>
        <w:t>款</w:t>
      </w:r>
      <w:r>
        <w:rPr>
          <w:spacing w:val="-3"/>
          <w:w w:val="100"/>
        </w:rPr>
        <w:t>以</w:t>
      </w:r>
      <w:r>
        <w:rPr>
          <w:w w:val="100"/>
        </w:rPr>
        <w:t>当</w:t>
      </w:r>
      <w:r>
        <w:rPr>
          <w:spacing w:val="-3"/>
          <w:w w:val="100"/>
        </w:rPr>
        <w:t>期</w:t>
      </w:r>
      <w:r>
        <w:rPr>
          <w:w w:val="100"/>
        </w:rPr>
        <w:t>实</w:t>
      </w:r>
      <w:r>
        <w:rPr>
          <w:spacing w:val="-3"/>
          <w:w w:val="100"/>
        </w:rPr>
        <w:t>际</w:t>
      </w:r>
      <w:r>
        <w:rPr>
          <w:w w:val="100"/>
        </w:rPr>
        <w:t>发</w:t>
      </w:r>
      <w:r>
        <w:rPr>
          <w:spacing w:val="-3"/>
          <w:w w:val="100"/>
        </w:rPr>
        <w:t>生</w:t>
      </w:r>
      <w:r>
        <w:rPr>
          <w:w w:val="100"/>
        </w:rPr>
        <w:t>的利</w:t>
      </w:r>
      <w:r>
        <w:rPr>
          <w:spacing w:val="-3"/>
          <w:w w:val="100"/>
        </w:rPr>
        <w:t>息</w:t>
      </w:r>
      <w:r>
        <w:rPr>
          <w:w w:val="100"/>
        </w:rPr>
        <w:t>费</w:t>
      </w:r>
      <w:r>
        <w:rPr>
          <w:spacing w:val="-3"/>
          <w:w w:val="100"/>
        </w:rPr>
        <w:t>用</w:t>
      </w:r>
      <w:r>
        <w:rPr>
          <w:spacing w:val="-94"/>
          <w:w w:val="100"/>
        </w:rPr>
        <w:t>，</w:t>
      </w:r>
      <w:r>
        <w:rPr>
          <w:w w:val="100"/>
        </w:rPr>
        <w:t>减</w:t>
      </w:r>
      <w:r>
        <w:rPr>
          <w:spacing w:val="-3"/>
          <w:w w:val="100"/>
        </w:rPr>
        <w:t>去</w:t>
      </w:r>
      <w:r>
        <w:rPr>
          <w:w w:val="100"/>
        </w:rPr>
        <w:t>暂</w:t>
      </w:r>
      <w:r>
        <w:rPr>
          <w:spacing w:val="-3"/>
          <w:w w:val="100"/>
        </w:rPr>
        <w:t>时</w:t>
      </w:r>
      <w:r>
        <w:rPr>
          <w:w w:val="100"/>
        </w:rPr>
        <w:t>性</w:t>
      </w:r>
      <w:r>
        <w:rPr>
          <w:spacing w:val="-3"/>
          <w:w w:val="100"/>
        </w:rPr>
        <w:t>的</w:t>
      </w:r>
      <w:r>
        <w:rPr>
          <w:w w:val="100"/>
        </w:rPr>
        <w:t>存款</w:t>
      </w:r>
      <w:r>
        <w:rPr>
          <w:spacing w:val="-3"/>
          <w:w w:val="100"/>
        </w:rPr>
        <w:t>利</w:t>
      </w:r>
      <w:r>
        <w:rPr>
          <w:w w:val="100"/>
        </w:rPr>
        <w:t>息</w:t>
      </w:r>
      <w:r>
        <w:rPr>
          <w:spacing w:val="-3"/>
          <w:w w:val="100"/>
        </w:rPr>
        <w:t>收</w:t>
      </w:r>
      <w:r>
        <w:rPr>
          <w:w w:val="100"/>
        </w:rPr>
        <w:t>入</w:t>
      </w:r>
      <w:r>
        <w:rPr>
          <w:spacing w:val="-3"/>
          <w:w w:val="100"/>
        </w:rPr>
        <w:t>或</w:t>
      </w:r>
      <w:r>
        <w:rPr>
          <w:w w:val="100"/>
        </w:rPr>
        <w:t>投</w:t>
      </w:r>
      <w:r>
        <w:rPr>
          <w:spacing w:val="-3"/>
          <w:w w:val="100"/>
        </w:rPr>
        <w:t>资</w:t>
      </w:r>
      <w:r>
        <w:rPr>
          <w:w w:val="100"/>
        </w:rPr>
        <w:t>收</w:t>
      </w:r>
      <w:r>
        <w:rPr>
          <w:spacing w:val="-3"/>
          <w:w w:val="100"/>
        </w:rPr>
        <w:t>益</w:t>
      </w:r>
      <w:r>
        <w:rPr>
          <w:w w:val="100"/>
        </w:rPr>
        <w:t>后的</w:t>
      </w:r>
      <w:r>
        <w:rPr>
          <w:spacing w:val="-3"/>
          <w:w w:val="100"/>
        </w:rPr>
        <w:t>金额确定</w:t>
      </w:r>
      <w:r>
        <w:rPr>
          <w:w w:val="100"/>
        </w:rPr>
        <w:t>。</w:t>
      </w:r>
    </w:p>
    <w:p>
      <w:pPr>
        <w:pStyle w:val="BodyText"/>
        <w:spacing w:line="297" w:lineRule="auto" w:before="66"/>
        <w:ind w:right="217"/>
        <w:jc w:val="both"/>
      </w:pPr>
      <w:r>
        <w:rPr>
          <w:rFonts w:ascii="宋体" w:hAnsi="宋体" w:cs="宋体" w:eastAsia="宋体" w:hint="default"/>
        </w:rPr>
        <w:t>(2)</w:t>
      </w:r>
      <w:r>
        <w:rPr>
          <w:rFonts w:ascii="宋体" w:hAnsi="宋体" w:cs="宋体" w:eastAsia="宋体" w:hint="default"/>
          <w:spacing w:val="-3"/>
        </w:rPr>
        <w:t> </w:t>
      </w:r>
      <w:r>
        <w:rPr/>
        <w:t>占用的一般借款，根据累计资产支出超过专门借款部分的资产支出加权平均数乘以所占用一</w:t>
      </w:r>
      <w:r>
        <w:rPr>
          <w:w w:val="100"/>
        </w:rPr>
        <w:t> </w:t>
      </w:r>
      <w:r>
        <w:rPr/>
        <w:t>般借款的加权平均利率计算确定。</w:t>
      </w:r>
    </w:p>
    <w:p>
      <w:pPr>
        <w:spacing w:line="240" w:lineRule="auto" w:before="4"/>
        <w:rPr>
          <w:rFonts w:ascii="宋体" w:hAnsi="宋体" w:cs="宋体" w:eastAsia="宋体" w:hint="default"/>
          <w:sz w:val="27"/>
          <w:szCs w:val="27"/>
        </w:rPr>
      </w:pPr>
    </w:p>
    <w:p>
      <w:pPr>
        <w:pStyle w:val="BodyText"/>
        <w:spacing w:line="297" w:lineRule="auto"/>
        <w:ind w:right="217"/>
        <w:jc w:val="both"/>
      </w:pPr>
      <w:r>
        <w:rPr>
          <w:spacing w:val="-2"/>
        </w:rPr>
        <w:t>符合资本化条件的资产在购建或者生产过程中，发生除达到预定可使用或者可销售状态必要的程</w:t>
      </w:r>
      <w:r>
        <w:rPr>
          <w:spacing w:val="-25"/>
        </w:rPr>
        <w:t> </w:t>
      </w:r>
      <w:r>
        <w:rPr>
          <w:spacing w:val="-25"/>
        </w:rPr>
      </w:r>
      <w:r>
        <w:rPr/>
        <w:t>序之外的非正常中断、且中断时间连续超过</w:t>
      </w:r>
      <w:r>
        <w:rPr>
          <w:spacing w:val="-54"/>
        </w:rPr>
        <w:t> </w:t>
      </w:r>
      <w:r>
        <w:rPr>
          <w:rFonts w:ascii="宋体" w:hAnsi="宋体" w:cs="宋体" w:eastAsia="宋体" w:hint="default"/>
        </w:rPr>
        <w:t>3</w:t>
      </w:r>
      <w:r>
        <w:rPr>
          <w:rFonts w:ascii="宋体" w:hAnsi="宋体" w:cs="宋体" w:eastAsia="宋体" w:hint="default"/>
          <w:spacing w:val="-56"/>
        </w:rPr>
        <w:t> </w:t>
      </w:r>
      <w:r>
        <w:rPr/>
        <w:t>个月的，暂停借款费用的资本化。在中断期间发生</w:t>
      </w:r>
      <w:r>
        <w:rPr>
          <w:w w:val="100"/>
        </w:rPr>
        <w:t> </w:t>
      </w:r>
      <w:r>
        <w:rPr/>
        <w:t>的借款费用确认为费用，计入当期损益，直至资产的购建或者生产活动重新开始。</w:t>
      </w:r>
    </w:p>
    <w:p>
      <w:pPr>
        <w:pStyle w:val="Heading2"/>
        <w:spacing w:line="240" w:lineRule="auto" w:before="73"/>
        <w:ind w:left="138" w:right="0"/>
        <w:jc w:val="both"/>
        <w:rPr>
          <w:b w:val="0"/>
          <w:bCs w:val="0"/>
        </w:rPr>
      </w:pPr>
      <w:r>
        <w:rPr>
          <w:rFonts w:ascii="Calibri" w:hAnsi="Calibri" w:cs="Calibri" w:eastAsia="Calibri" w:hint="default"/>
        </w:rPr>
        <w:t>19.  </w:t>
      </w:r>
      <w:r>
        <w:rPr>
          <w:rFonts w:ascii="Calibri" w:hAnsi="Calibri" w:cs="Calibri" w:eastAsia="Calibri" w:hint="default"/>
          <w:spacing w:val="13"/>
        </w:rPr>
        <w:t> </w:t>
      </w:r>
      <w:r>
        <w:rPr/>
        <w:t>生物资产</w:t>
      </w:r>
      <w:r>
        <w:rPr>
          <w:b w:val="0"/>
          <w:bCs w:val="0"/>
        </w:rPr>
      </w:r>
    </w:p>
    <w:p>
      <w:pPr>
        <w:spacing w:line="240" w:lineRule="auto" w:before="5"/>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Heading2"/>
        <w:spacing w:line="240" w:lineRule="auto" w:before="37"/>
        <w:ind w:left="138" w:right="103"/>
        <w:jc w:val="left"/>
        <w:rPr>
          <w:b w:val="0"/>
          <w:bCs w:val="0"/>
        </w:rPr>
      </w:pPr>
      <w:r>
        <w:rPr>
          <w:rFonts w:ascii="Calibri" w:hAnsi="Calibri" w:cs="Calibri" w:eastAsia="Calibri" w:hint="default"/>
        </w:rPr>
        <w:t>20.  </w:t>
      </w:r>
      <w:r>
        <w:rPr>
          <w:rFonts w:ascii="Calibri" w:hAnsi="Calibri" w:cs="Calibri" w:eastAsia="Calibri" w:hint="default"/>
          <w:spacing w:val="13"/>
        </w:rPr>
        <w:t> </w:t>
      </w:r>
      <w:r>
        <w:rPr/>
        <w:t>油气资产</w:t>
      </w:r>
      <w:r>
        <w:rPr>
          <w:b w:val="0"/>
          <w:bCs w:val="0"/>
        </w:rPr>
      </w:r>
    </w:p>
    <w:p>
      <w:pPr>
        <w:spacing w:line="240" w:lineRule="auto" w:before="5"/>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Heading2"/>
        <w:spacing w:line="240" w:lineRule="auto" w:before="37"/>
        <w:ind w:left="138" w:right="103"/>
        <w:jc w:val="left"/>
        <w:rPr>
          <w:b w:val="0"/>
          <w:bCs w:val="0"/>
        </w:rPr>
      </w:pPr>
      <w:r>
        <w:rPr>
          <w:rFonts w:ascii="Calibri" w:hAnsi="Calibri" w:cs="Calibri" w:eastAsia="Calibri" w:hint="default"/>
        </w:rPr>
        <w:t>21.  </w:t>
      </w:r>
      <w:r>
        <w:rPr>
          <w:rFonts w:ascii="Calibri" w:hAnsi="Calibri" w:cs="Calibri" w:eastAsia="Calibri" w:hint="default"/>
          <w:spacing w:val="13"/>
        </w:rPr>
        <w:t> </w:t>
      </w:r>
      <w:r>
        <w:rPr/>
        <w:t>无形资产</w:t>
      </w:r>
      <w:r>
        <w:rPr>
          <w:b w:val="0"/>
          <w:bCs w:val="0"/>
        </w:rPr>
      </w:r>
    </w:p>
    <w:p>
      <w:pPr>
        <w:pStyle w:val="BodyText"/>
        <w:spacing w:line="295" w:lineRule="auto" w:before="32"/>
        <w:ind w:right="103"/>
        <w:jc w:val="left"/>
      </w:pPr>
      <w:r>
        <w:rPr>
          <w:rFonts w:ascii="宋体" w:hAnsi="宋体" w:cs="宋体" w:eastAsia="宋体" w:hint="default"/>
          <w:b/>
          <w:bCs/>
          <w:sz w:val="20"/>
          <w:szCs w:val="20"/>
        </w:rPr>
        <w:t>(1).</w:t>
      </w:r>
      <w:r>
        <w:rPr>
          <w:rFonts w:ascii="宋体" w:hAnsi="宋体" w:cs="宋体" w:eastAsia="宋体" w:hint="default"/>
          <w:b/>
          <w:bCs/>
          <w:spacing w:val="-56"/>
          <w:sz w:val="20"/>
          <w:szCs w:val="20"/>
        </w:rPr>
        <w:t> </w:t>
      </w:r>
      <w:r>
        <w:rPr>
          <w:rFonts w:ascii="宋体" w:hAnsi="宋体" w:cs="宋体" w:eastAsia="宋体" w:hint="default"/>
          <w:b/>
          <w:bCs/>
        </w:rPr>
        <w:t>计价方法、使用寿命、减值测试</w:t>
      </w:r>
      <w:r>
        <w:rPr>
          <w:rFonts w:ascii="宋体" w:hAnsi="宋体" w:cs="宋体" w:eastAsia="宋体" w:hint="default"/>
          <w:b/>
          <w:bCs/>
          <w:w w:val="100"/>
        </w:rPr>
        <w:t> </w:t>
      </w:r>
      <w:r>
        <w:rPr>
          <w:spacing w:val="-2"/>
        </w:rPr>
        <w:t>无形资产仅在与其有关的经济利益很可能流入本集团，且其成本能够可靠地计量时才予以确认，</w:t>
      </w:r>
      <w:r>
        <w:rPr>
          <w:spacing w:val="-25"/>
        </w:rPr>
        <w:t> </w:t>
      </w:r>
      <w:r>
        <w:rPr>
          <w:spacing w:val="-25"/>
        </w:rPr>
      </w:r>
      <w:r>
        <w:rPr>
          <w:spacing w:val="-2"/>
        </w:rPr>
        <w:t>并以成本进行初始计量。但非同一控制下企业合并中取得的无形资产，其公允价值能够可靠地计</w:t>
      </w:r>
      <w:r>
        <w:rPr>
          <w:spacing w:val="-25"/>
        </w:rPr>
        <w:t> </w:t>
      </w:r>
      <w:r>
        <w:rPr>
          <w:spacing w:val="-25"/>
        </w:rPr>
      </w:r>
      <w:r>
        <w:rPr/>
        <w:t>量的，即单独确认为无形资产并按照公允价值计量。</w:t>
      </w:r>
    </w:p>
    <w:p>
      <w:pPr>
        <w:spacing w:line="240" w:lineRule="auto" w:before="5"/>
        <w:rPr>
          <w:rFonts w:ascii="宋体" w:hAnsi="宋体" w:cs="宋体" w:eastAsia="宋体" w:hint="default"/>
          <w:sz w:val="27"/>
          <w:szCs w:val="27"/>
        </w:rPr>
      </w:pPr>
    </w:p>
    <w:p>
      <w:pPr>
        <w:pStyle w:val="BodyText"/>
        <w:spacing w:line="295" w:lineRule="auto"/>
        <w:ind w:right="103"/>
        <w:jc w:val="left"/>
      </w:pPr>
      <w:r>
        <w:rPr>
          <w:spacing w:val="-2"/>
        </w:rPr>
        <w:t>无形资产按照其能为本集团带来经济利益的期限确定使用寿命，无法预见其为本集团带来经济利</w:t>
      </w:r>
      <w:r>
        <w:rPr>
          <w:spacing w:val="-25"/>
        </w:rPr>
        <w:t> </w:t>
      </w:r>
      <w:r>
        <w:rPr>
          <w:spacing w:val="-25"/>
        </w:rPr>
      </w:r>
      <w:r>
        <w:rPr/>
        <w:t>益期限的作为使用寿命不确定的无形资产。</w:t>
      </w:r>
    </w:p>
    <w:p>
      <w:pPr>
        <w:spacing w:line="240" w:lineRule="auto" w:before="8"/>
        <w:rPr>
          <w:rFonts w:ascii="宋体" w:hAnsi="宋体" w:cs="宋体" w:eastAsia="宋体" w:hint="default"/>
          <w:sz w:val="24"/>
          <w:szCs w:val="24"/>
        </w:rPr>
      </w:pPr>
    </w:p>
    <w:p>
      <w:pPr>
        <w:pStyle w:val="BodyText"/>
        <w:spacing w:line="240" w:lineRule="auto" w:before="36"/>
        <w:ind w:right="103"/>
        <w:jc w:val="left"/>
      </w:pPr>
      <w:r>
        <w:rPr/>
        <w:t>各项无形资产的使用寿命如下：</w:t>
      </w:r>
    </w:p>
    <w:p>
      <w:pPr>
        <w:pStyle w:val="BodyText"/>
        <w:spacing w:line="240" w:lineRule="auto" w:before="66"/>
        <w:ind w:left="0" w:right="536"/>
        <w:jc w:val="right"/>
      </w:pPr>
      <w:r>
        <w:rPr>
          <w:spacing w:val="-1"/>
        </w:rPr>
        <w:t>使用寿命</w:t>
      </w:r>
    </w:p>
    <w:p>
      <w:pPr>
        <w:pStyle w:val="BodyText"/>
        <w:tabs>
          <w:tab w:pos="8225" w:val="left" w:leader="none"/>
        </w:tabs>
        <w:spacing w:line="240" w:lineRule="auto" w:before="66"/>
        <w:ind w:left="858" w:right="103"/>
        <w:jc w:val="left"/>
      </w:pPr>
      <w:r>
        <w:rPr>
          <w:spacing w:val="-1"/>
        </w:rPr>
        <w:t>土地使用权</w:t>
        <w:tab/>
      </w:r>
      <w:r>
        <w:rPr>
          <w:rFonts w:ascii="宋体" w:hAnsi="宋体" w:cs="宋体" w:eastAsia="宋体" w:hint="default"/>
        </w:rPr>
        <w:t>50</w:t>
      </w:r>
      <w:r>
        <w:rPr/>
        <w:t>年</w:t>
      </w:r>
    </w:p>
    <w:p>
      <w:pPr>
        <w:pStyle w:val="BodyText"/>
        <w:tabs>
          <w:tab w:pos="8013" w:val="left" w:leader="none"/>
        </w:tabs>
        <w:spacing w:line="240" w:lineRule="auto" w:before="66"/>
        <w:ind w:left="858" w:right="103"/>
        <w:jc w:val="left"/>
      </w:pPr>
      <w:r>
        <w:rPr>
          <w:spacing w:val="-1"/>
        </w:rPr>
        <w:t>软件著作权</w:t>
        <w:tab/>
      </w:r>
      <w:r>
        <w:rPr>
          <w:rFonts w:ascii="宋体" w:hAnsi="宋体" w:cs="宋体" w:eastAsia="宋体" w:hint="default"/>
        </w:rPr>
        <w:t>5-10</w:t>
      </w:r>
      <w:r>
        <w:rPr/>
        <w:t>年</w:t>
      </w:r>
    </w:p>
    <w:p>
      <w:pPr>
        <w:pStyle w:val="BodyText"/>
        <w:tabs>
          <w:tab w:pos="8225" w:val="left" w:leader="none"/>
        </w:tabs>
        <w:spacing w:line="240" w:lineRule="auto" w:before="66"/>
        <w:ind w:left="858" w:right="103"/>
        <w:jc w:val="left"/>
      </w:pPr>
      <w:r>
        <w:rPr>
          <w:spacing w:val="-1"/>
        </w:rPr>
        <w:t>软件使用权</w:t>
        <w:tab/>
      </w:r>
      <w:r>
        <w:rPr>
          <w:rFonts w:ascii="宋体" w:hAnsi="宋体" w:cs="宋体" w:eastAsia="宋体" w:hint="default"/>
        </w:rPr>
        <w:t>10</w:t>
      </w:r>
      <w:r>
        <w:rPr/>
        <w:t>年</w:t>
      </w:r>
    </w:p>
    <w:p>
      <w:pPr>
        <w:pStyle w:val="BodyText"/>
        <w:tabs>
          <w:tab w:pos="8225" w:val="left" w:leader="none"/>
        </w:tabs>
        <w:spacing w:line="240" w:lineRule="auto" w:before="63"/>
        <w:ind w:left="769" w:right="103"/>
        <w:jc w:val="left"/>
      </w:pPr>
      <w:r>
        <w:rPr>
          <w:spacing w:val="-2"/>
        </w:rPr>
        <w:t>云应用系统平台</w:t>
        <w:tab/>
      </w:r>
      <w:r>
        <w:rPr>
          <w:rFonts w:ascii="宋体" w:hAnsi="宋体" w:cs="宋体" w:eastAsia="宋体" w:hint="default"/>
        </w:rPr>
        <w:t>5</w:t>
      </w:r>
      <w:r>
        <w:rPr>
          <w:rFonts w:ascii="宋体" w:hAnsi="宋体" w:cs="宋体" w:eastAsia="宋体" w:hint="default"/>
          <w:spacing w:val="-54"/>
        </w:rPr>
        <w:t> </w:t>
      </w:r>
      <w:r>
        <w:rPr/>
        <w:t>年</w:t>
      </w:r>
    </w:p>
    <w:p>
      <w:pPr>
        <w:spacing w:line="240" w:lineRule="auto" w:before="0"/>
        <w:rPr>
          <w:rFonts w:ascii="宋体" w:hAnsi="宋体" w:cs="宋体" w:eastAsia="宋体" w:hint="default"/>
          <w:sz w:val="20"/>
          <w:szCs w:val="20"/>
        </w:rPr>
      </w:pPr>
    </w:p>
    <w:p>
      <w:pPr>
        <w:pStyle w:val="BodyText"/>
        <w:spacing w:line="297" w:lineRule="auto" w:before="145"/>
        <w:ind w:right="217"/>
        <w:jc w:val="both"/>
      </w:pPr>
      <w:r>
        <w:rPr>
          <w:spacing w:val="-2"/>
        </w:rPr>
        <w:t>本集团取得的土地使用权，通常作为无形资产核算。自行开发建造厂房等建筑物，相关的土地使</w:t>
      </w:r>
      <w:r>
        <w:rPr>
          <w:spacing w:val="-25"/>
        </w:rPr>
        <w:t> </w:t>
      </w:r>
      <w:r>
        <w:rPr>
          <w:spacing w:val="-25"/>
        </w:rPr>
      </w:r>
      <w:r>
        <w:rPr>
          <w:spacing w:val="-2"/>
        </w:rPr>
        <w:t>用权和建筑物分别作为无形资产和固定资产核算。外购土地及建筑物支付的价款在土地使用权和</w:t>
      </w:r>
      <w:r>
        <w:rPr>
          <w:spacing w:val="-25"/>
        </w:rPr>
        <w:t> </w:t>
      </w:r>
      <w:r>
        <w:rPr>
          <w:spacing w:val="-25"/>
        </w:rPr>
      </w:r>
      <w:r>
        <w:rPr/>
        <w:t>建筑物之间进行分配，难以合理分配的，全部作为固定资产处理。</w:t>
      </w:r>
    </w:p>
    <w:p>
      <w:pPr>
        <w:spacing w:line="240" w:lineRule="auto" w:before="1"/>
        <w:rPr>
          <w:rFonts w:ascii="宋体" w:hAnsi="宋体" w:cs="宋体" w:eastAsia="宋体" w:hint="default"/>
          <w:sz w:val="27"/>
          <w:szCs w:val="27"/>
        </w:rPr>
      </w:pPr>
    </w:p>
    <w:p>
      <w:pPr>
        <w:pStyle w:val="BodyText"/>
        <w:spacing w:line="297" w:lineRule="auto"/>
        <w:ind w:right="217"/>
        <w:jc w:val="both"/>
      </w:pPr>
      <w:r>
        <w:rPr>
          <w:spacing w:val="-2"/>
        </w:rPr>
        <w:t>使用寿命有限的无形资产，在其使用寿命内采用直线法摊销。本集团至少于每年年度终了，对使</w:t>
      </w:r>
      <w:r>
        <w:rPr>
          <w:spacing w:val="-25"/>
        </w:rPr>
        <w:t> </w:t>
      </w:r>
      <w:r>
        <w:rPr>
          <w:spacing w:val="-25"/>
        </w:rPr>
      </w:r>
      <w:r>
        <w:rPr/>
        <w:t>用寿命有限的无形资产的使用寿命及摊销方法进行复核，必要时进行调整。</w:t>
      </w:r>
    </w:p>
    <w:p>
      <w:pPr>
        <w:spacing w:after="0" w:line="297" w:lineRule="auto"/>
        <w:jc w:val="both"/>
        <w:sectPr>
          <w:pgSz w:w="11910" w:h="16840"/>
          <w:pgMar w:header="926" w:footer="1335" w:top="1120" w:bottom="1520" w:left="1660" w:right="1060"/>
        </w:sectPr>
      </w:pPr>
    </w:p>
    <w:p>
      <w:pPr>
        <w:spacing w:line="240" w:lineRule="auto" w:before="1"/>
        <w:rPr>
          <w:rFonts w:ascii="宋体" w:hAnsi="宋体" w:cs="宋体" w:eastAsia="宋体" w:hint="default"/>
          <w:sz w:val="25"/>
          <w:szCs w:val="25"/>
        </w:rPr>
      </w:pPr>
    </w:p>
    <w:p>
      <w:pPr>
        <w:pStyle w:val="BodyText"/>
        <w:spacing w:line="297" w:lineRule="auto" w:before="36"/>
        <w:ind w:right="157"/>
        <w:jc w:val="both"/>
      </w:pPr>
      <w:r>
        <w:rPr>
          <w:spacing w:val="-2"/>
        </w:rPr>
        <w:t>对使用寿命不确定的无形资产，无论是否存在减值迹象，每年均进行减值测试。此类无形资产不</w:t>
      </w:r>
      <w:r>
        <w:rPr>
          <w:spacing w:val="-25"/>
        </w:rPr>
        <w:t> </w:t>
      </w:r>
      <w:r>
        <w:rPr>
          <w:spacing w:val="-25"/>
        </w:rPr>
      </w:r>
      <w:r>
        <w:rPr>
          <w:spacing w:val="-2"/>
        </w:rPr>
        <w:t>予摊销，在每个会计期间对其使用寿命进行复核。如果有证据表明使用寿命是有限的，则按上述</w:t>
      </w:r>
      <w:r>
        <w:rPr>
          <w:spacing w:val="-25"/>
        </w:rPr>
        <w:t> </w:t>
      </w:r>
      <w:r>
        <w:rPr>
          <w:spacing w:val="-25"/>
        </w:rPr>
      </w:r>
      <w:r>
        <w:rPr/>
        <w:t>使用寿命有限的无形资产的政策进行会计处理。</w:t>
      </w:r>
    </w:p>
    <w:p>
      <w:pPr>
        <w:spacing w:line="240" w:lineRule="auto" w:before="7"/>
        <w:rPr>
          <w:rFonts w:ascii="宋体" w:hAnsi="宋体" w:cs="宋体" w:eastAsia="宋体" w:hint="default"/>
          <w:sz w:val="26"/>
          <w:szCs w:val="26"/>
        </w:rPr>
      </w:pPr>
    </w:p>
    <w:p>
      <w:pPr>
        <w:pStyle w:val="BodyText"/>
        <w:spacing w:line="297" w:lineRule="auto"/>
        <w:ind w:right="144"/>
        <w:jc w:val="left"/>
      </w:pPr>
      <w:r>
        <w:rPr>
          <w:rFonts w:ascii="宋体" w:hAnsi="宋体" w:cs="宋体" w:eastAsia="宋体" w:hint="default"/>
          <w:b/>
          <w:bCs/>
        </w:rPr>
        <w:t>(2).</w:t>
      </w:r>
      <w:r>
        <w:rPr>
          <w:rFonts w:ascii="宋体" w:hAnsi="宋体" w:cs="宋体" w:eastAsia="宋体" w:hint="default"/>
          <w:b/>
          <w:bCs/>
          <w:spacing w:val="-80"/>
        </w:rPr>
        <w:t> </w:t>
      </w:r>
      <w:r>
        <w:rPr>
          <w:rFonts w:ascii="宋体" w:hAnsi="宋体" w:cs="宋体" w:eastAsia="宋体" w:hint="default"/>
          <w:b/>
          <w:bCs/>
        </w:rPr>
        <w:t>内部研究开发支出会计政策</w:t>
      </w:r>
      <w:r>
        <w:rPr>
          <w:rFonts w:ascii="宋体" w:hAnsi="宋体" w:cs="宋体" w:eastAsia="宋体" w:hint="default"/>
          <w:b/>
          <w:bCs/>
          <w:w w:val="100"/>
        </w:rPr>
        <w:t> </w:t>
      </w:r>
      <w:r>
        <w:rPr>
          <w:spacing w:val="-2"/>
        </w:rPr>
        <w:t>本集团将内部研究开发项目的支出，区分为研究阶段支出和开发阶段支出。研究阶段的支出，于</w:t>
      </w:r>
      <w:r>
        <w:rPr>
          <w:spacing w:val="-25"/>
        </w:rPr>
        <w:t> </w:t>
      </w:r>
      <w:r>
        <w:rPr>
          <w:spacing w:val="-25"/>
        </w:rPr>
      </w:r>
      <w:r>
        <w:rPr>
          <w:spacing w:val="-2"/>
        </w:rPr>
        <w:t>发生时计入当期损益。开发阶段的支出，只有在同时满足下列条件时，才能予以资本化，即：完</w:t>
      </w:r>
      <w:r>
        <w:rPr>
          <w:spacing w:val="-25"/>
        </w:rPr>
        <w:t> </w:t>
      </w:r>
      <w:r>
        <w:rPr>
          <w:spacing w:val="-25"/>
        </w:rPr>
      </w:r>
      <w:r>
        <w:rPr>
          <w:spacing w:val="-2"/>
        </w:rPr>
        <w:t>成该无形资产以使其能够使用或出售在技术上具有可行性；具有完成该无形资产并使用或出售的</w:t>
      </w:r>
      <w:r>
        <w:rPr>
          <w:spacing w:val="-25"/>
        </w:rPr>
        <w:t> </w:t>
      </w:r>
      <w:r>
        <w:rPr>
          <w:spacing w:val="-25"/>
        </w:rPr>
      </w:r>
      <w:r>
        <w:rPr>
          <w:spacing w:val="-2"/>
        </w:rPr>
        <w:t>意图；无形资产产生经济利益的方式，包括能够证明运用该无形资产生产的产品存在市场或无形</w:t>
      </w:r>
      <w:r>
        <w:rPr>
          <w:spacing w:val="-26"/>
        </w:rPr>
        <w:t> </w:t>
      </w:r>
      <w:r>
        <w:rPr>
          <w:spacing w:val="-26"/>
        </w:rPr>
      </w:r>
      <w:r>
        <w:rPr>
          <w:spacing w:val="-2"/>
        </w:rPr>
        <w:t>资产自身存在市场，无形资产将在内部使用的，能够证明其有用性；有足够的技术、财务资源和</w:t>
      </w:r>
      <w:r>
        <w:rPr>
          <w:spacing w:val="-25"/>
        </w:rPr>
        <w:t> </w:t>
      </w:r>
      <w:r>
        <w:rPr>
          <w:spacing w:val="-25"/>
        </w:rPr>
      </w:r>
      <w:r>
        <w:rPr>
          <w:spacing w:val="-2"/>
        </w:rPr>
        <w:t>其他资源支持，以完成该无形资产的开发，并有能力使用或出售该无形资产；归属于该无形资产</w:t>
      </w:r>
      <w:r>
        <w:rPr>
          <w:spacing w:val="-25"/>
        </w:rPr>
        <w:t> </w:t>
      </w:r>
      <w:r>
        <w:rPr>
          <w:spacing w:val="-25"/>
        </w:rPr>
      </w:r>
      <w:r>
        <w:rPr/>
        <w:t>开发阶段的支出能够可靠地计量。不满足上述条件的开发支出，于发生时计入当期损益。</w:t>
      </w:r>
    </w:p>
    <w:p>
      <w:pPr>
        <w:spacing w:line="240" w:lineRule="auto" w:before="7"/>
        <w:rPr>
          <w:rFonts w:ascii="宋体" w:hAnsi="宋体" w:cs="宋体" w:eastAsia="宋体" w:hint="default"/>
          <w:sz w:val="26"/>
          <w:szCs w:val="26"/>
        </w:rPr>
      </w:pPr>
    </w:p>
    <w:p>
      <w:pPr>
        <w:spacing w:line="266" w:lineRule="auto" w:before="0"/>
        <w:ind w:left="138" w:right="1100" w:firstLine="0"/>
        <w:jc w:val="left"/>
        <w:rPr>
          <w:rFonts w:ascii="宋体" w:hAnsi="宋体" w:cs="宋体" w:eastAsia="宋体" w:hint="default"/>
          <w:sz w:val="21"/>
          <w:szCs w:val="21"/>
        </w:rPr>
      </w:pPr>
      <w:r>
        <w:rPr>
          <w:rFonts w:ascii="Calibri" w:hAnsi="Calibri" w:cs="Calibri" w:eastAsia="Calibri" w:hint="default"/>
          <w:b/>
          <w:bCs/>
          <w:sz w:val="21"/>
          <w:szCs w:val="21"/>
        </w:rPr>
        <w:t>22.</w:t>
      </w:r>
      <w:r>
        <w:rPr>
          <w:rFonts w:ascii="Calibri" w:hAnsi="Calibri" w:cs="Calibri" w:eastAsia="Calibri" w:hint="default"/>
          <w:b/>
          <w:bCs/>
          <w:spacing w:val="12"/>
          <w:sz w:val="21"/>
          <w:szCs w:val="21"/>
        </w:rPr>
        <w:t> </w:t>
      </w:r>
      <w:r>
        <w:rPr>
          <w:rFonts w:ascii="宋体" w:hAnsi="宋体" w:cs="宋体" w:eastAsia="宋体" w:hint="default"/>
          <w:b/>
          <w:bCs/>
          <w:sz w:val="21"/>
          <w:szCs w:val="21"/>
        </w:rPr>
        <w:t>长期资产减值</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本集团对除存货、递延所得税、金融资产外的资产减值，按以下方法确定：</w:t>
      </w:r>
    </w:p>
    <w:p>
      <w:pPr>
        <w:spacing w:line="240" w:lineRule="auto" w:before="2"/>
        <w:rPr>
          <w:rFonts w:ascii="宋体" w:hAnsi="宋体" w:cs="宋体" w:eastAsia="宋体" w:hint="default"/>
          <w:sz w:val="29"/>
          <w:szCs w:val="29"/>
        </w:rPr>
      </w:pPr>
    </w:p>
    <w:p>
      <w:pPr>
        <w:pStyle w:val="BodyText"/>
        <w:spacing w:line="297" w:lineRule="auto"/>
        <w:ind w:right="157"/>
        <w:jc w:val="both"/>
      </w:pPr>
      <w:r>
        <w:rPr>
          <w:spacing w:val="-2"/>
        </w:rPr>
        <w:t>本集团于资产负债表日判断资产是否存在可能发生减值的迹象，存在减值迹象的，本集团将估计</w:t>
      </w:r>
      <w:r>
        <w:rPr>
          <w:spacing w:val="-25"/>
        </w:rPr>
        <w:t> </w:t>
      </w:r>
      <w:r>
        <w:rPr>
          <w:spacing w:val="-25"/>
        </w:rPr>
      </w:r>
      <w:r>
        <w:rPr>
          <w:spacing w:val="-2"/>
        </w:rPr>
        <w:t>其可收回金额，进行减值测试。对因企业合并所形成的商誉和使用寿命不确定的无形资产，无论</w:t>
      </w:r>
      <w:r>
        <w:rPr>
          <w:spacing w:val="-25"/>
        </w:rPr>
        <w:t> </w:t>
      </w:r>
      <w:r>
        <w:rPr>
          <w:spacing w:val="-25"/>
        </w:rPr>
      </w:r>
      <w:r>
        <w:rPr>
          <w:spacing w:val="-2"/>
        </w:rPr>
        <w:t>是否存在减值迹象，至少于每年末进行减值测试。对于尚未达到可使用状态的无形资产，也每年</w:t>
      </w:r>
      <w:r>
        <w:rPr>
          <w:spacing w:val="-25"/>
        </w:rPr>
        <w:t> </w:t>
      </w:r>
      <w:r>
        <w:rPr>
          <w:spacing w:val="-25"/>
        </w:rPr>
      </w:r>
      <w:r>
        <w:rPr/>
        <w:t>进行减值测试。</w:t>
      </w:r>
    </w:p>
    <w:p>
      <w:pPr>
        <w:spacing w:line="240" w:lineRule="auto" w:before="3"/>
        <w:rPr>
          <w:rFonts w:ascii="宋体" w:hAnsi="宋体" w:cs="宋体" w:eastAsia="宋体" w:hint="default"/>
          <w:sz w:val="27"/>
          <w:szCs w:val="27"/>
        </w:rPr>
      </w:pPr>
    </w:p>
    <w:p>
      <w:pPr>
        <w:pStyle w:val="BodyText"/>
        <w:spacing w:line="297" w:lineRule="auto"/>
        <w:ind w:right="157"/>
        <w:jc w:val="both"/>
      </w:pPr>
      <w:r>
        <w:rPr>
          <w:spacing w:val="-2"/>
        </w:rPr>
        <w:t>可收回金额根据资产的公允价值减去处置费用后的净额与资产预计未来现金流量的现值两者之间</w:t>
      </w:r>
      <w:r>
        <w:rPr>
          <w:spacing w:val="-25"/>
        </w:rPr>
        <w:t> </w:t>
      </w:r>
      <w:r>
        <w:rPr>
          <w:spacing w:val="-25"/>
        </w:rPr>
      </w:r>
      <w:r>
        <w:rPr>
          <w:spacing w:val="-2"/>
        </w:rPr>
        <w:t>较高者确定。本集团以单项资产为基础估计其可收回金额；难以对单项资产的可收回金额进行估</w:t>
      </w:r>
      <w:r>
        <w:rPr>
          <w:spacing w:val="-25"/>
        </w:rPr>
        <w:t> </w:t>
      </w:r>
      <w:r>
        <w:rPr>
          <w:spacing w:val="-25"/>
        </w:rPr>
      </w:r>
      <w:r>
        <w:rPr>
          <w:spacing w:val="-2"/>
        </w:rPr>
        <w:t>计的，以该资产所属的资产组为基础确定资产组的可收回金额。资产组的认定，以资产组产生的</w:t>
      </w:r>
      <w:r>
        <w:rPr>
          <w:spacing w:val="-25"/>
        </w:rPr>
        <w:t> </w:t>
      </w:r>
      <w:r>
        <w:rPr>
          <w:spacing w:val="-25"/>
        </w:rPr>
      </w:r>
      <w:r>
        <w:rPr/>
        <w:t>主要现金流入是否独立于其他资产或者资产组的现金流入为依据。</w:t>
      </w:r>
    </w:p>
    <w:p>
      <w:pPr>
        <w:spacing w:line="240" w:lineRule="auto" w:before="3"/>
        <w:rPr>
          <w:rFonts w:ascii="宋体" w:hAnsi="宋体" w:cs="宋体" w:eastAsia="宋体" w:hint="default"/>
          <w:sz w:val="27"/>
          <w:szCs w:val="27"/>
        </w:rPr>
      </w:pPr>
    </w:p>
    <w:p>
      <w:pPr>
        <w:pStyle w:val="BodyText"/>
        <w:spacing w:line="297" w:lineRule="auto"/>
        <w:ind w:right="157"/>
        <w:jc w:val="both"/>
      </w:pPr>
      <w:r>
        <w:rPr>
          <w:spacing w:val="-2"/>
        </w:rPr>
        <w:t>当资产或者资产组的可收回金额低于其账面价值时，本集团将其账面价值减记至可收回金额，减</w:t>
      </w:r>
      <w:r>
        <w:rPr>
          <w:spacing w:val="-25"/>
        </w:rPr>
        <w:t> </w:t>
      </w:r>
      <w:r>
        <w:rPr>
          <w:spacing w:val="-25"/>
        </w:rPr>
      </w:r>
      <w:r>
        <w:rPr/>
        <w:t>记的金额计入当期损益，同时计提相应的资产减值准备。</w:t>
      </w:r>
    </w:p>
    <w:p>
      <w:pPr>
        <w:spacing w:line="240" w:lineRule="auto" w:before="1"/>
        <w:rPr>
          <w:rFonts w:ascii="宋体" w:hAnsi="宋体" w:cs="宋体" w:eastAsia="宋体" w:hint="default"/>
          <w:sz w:val="27"/>
          <w:szCs w:val="27"/>
        </w:rPr>
      </w:pPr>
    </w:p>
    <w:p>
      <w:pPr>
        <w:pStyle w:val="BodyText"/>
        <w:spacing w:line="297" w:lineRule="auto"/>
        <w:ind w:right="157"/>
        <w:jc w:val="both"/>
      </w:pPr>
      <w:r>
        <w:rPr>
          <w:spacing w:val="-2"/>
        </w:rPr>
        <w:t>就商誉的减值测试而言，对于因企业合并形成的商誉的账面价值，自购买日起按照合理的方法分</w:t>
      </w:r>
      <w:r>
        <w:rPr>
          <w:spacing w:val="-25"/>
        </w:rPr>
        <w:t> </w:t>
      </w:r>
      <w:r>
        <w:rPr>
          <w:spacing w:val="-25"/>
        </w:rPr>
      </w:r>
      <w:r>
        <w:rPr>
          <w:spacing w:val="-2"/>
        </w:rPr>
        <w:t>摊至相关的资产组；难以分摊至相关的资产组的，将其分摊至相关的资产组组合。相关的资产组</w:t>
      </w:r>
      <w:r>
        <w:rPr>
          <w:spacing w:val="-25"/>
        </w:rPr>
        <w:t> </w:t>
      </w:r>
      <w:r>
        <w:rPr>
          <w:spacing w:val="-25"/>
        </w:rPr>
      </w:r>
      <w:r>
        <w:rPr>
          <w:spacing w:val="-2"/>
        </w:rPr>
        <w:t>或者资产组组合，是能够从企业合并的协同效应中受益的资产组或者资产组组合，且不大于本集</w:t>
      </w:r>
      <w:r>
        <w:rPr>
          <w:spacing w:val="-25"/>
        </w:rPr>
        <w:t> </w:t>
      </w:r>
      <w:r>
        <w:rPr>
          <w:spacing w:val="-25"/>
        </w:rPr>
      </w:r>
      <w:r>
        <w:rPr/>
        <w:t>团确定的报告分部。</w:t>
      </w:r>
    </w:p>
    <w:p>
      <w:pPr>
        <w:spacing w:line="240" w:lineRule="auto" w:before="3"/>
        <w:rPr>
          <w:rFonts w:ascii="宋体" w:hAnsi="宋体" w:cs="宋体" w:eastAsia="宋体" w:hint="default"/>
          <w:sz w:val="27"/>
          <w:szCs w:val="27"/>
        </w:rPr>
      </w:pPr>
    </w:p>
    <w:p>
      <w:pPr>
        <w:pStyle w:val="BodyText"/>
        <w:spacing w:line="297" w:lineRule="auto"/>
        <w:ind w:right="147"/>
        <w:jc w:val="both"/>
      </w:pPr>
      <w:r>
        <w:rPr>
          <w:spacing w:val="-2"/>
        </w:rPr>
        <w:t>对包含商誉的相关资产组或者资产组组合进行减值测试时，如与商誉相关的资产组或者资产组组</w:t>
      </w:r>
      <w:r>
        <w:rPr>
          <w:spacing w:val="-25"/>
        </w:rPr>
        <w:t> </w:t>
      </w:r>
      <w:r>
        <w:rPr>
          <w:spacing w:val="-25"/>
        </w:rPr>
      </w:r>
      <w:r>
        <w:rPr>
          <w:spacing w:val="-6"/>
          <w:w w:val="100"/>
        </w:rPr>
        <w:t>合存在减值迹象的，首先对不包含商誉的资产组或者资产组组合进行减值测试，计算可收回金额，</w:t>
      </w:r>
      <w:r>
        <w:rPr>
          <w:spacing w:val="-104"/>
          <w:w w:val="100"/>
        </w:rPr>
        <w:t> </w:t>
      </w:r>
      <w:r>
        <w:rPr>
          <w:spacing w:val="-104"/>
          <w:w w:val="100"/>
        </w:rPr>
      </w:r>
      <w:r>
        <w:rPr>
          <w:spacing w:val="-2"/>
        </w:rPr>
        <w:t>确认相应的减值损失。然后对包含商誉的资产组或者资产组组合进行减值测试，比较其账面价值</w:t>
      </w:r>
      <w:r>
        <w:rPr>
          <w:spacing w:val="-25"/>
        </w:rPr>
        <w:t> </w:t>
      </w:r>
      <w:r>
        <w:rPr>
          <w:spacing w:val="-25"/>
        </w:rPr>
      </w:r>
      <w:r>
        <w:rPr>
          <w:spacing w:val="-2"/>
        </w:rPr>
        <w:t>与可收回金额，如可收回金额低于账面价值的，减值损失金额首先抵减分摊至资产组或者资产组</w:t>
      </w:r>
      <w:r>
        <w:rPr>
          <w:spacing w:val="-25"/>
        </w:rPr>
        <w:t> </w:t>
      </w:r>
      <w:r>
        <w:rPr>
          <w:spacing w:val="-25"/>
        </w:rPr>
      </w:r>
      <w:r>
        <w:rPr>
          <w:spacing w:val="-2"/>
        </w:rPr>
        <w:t>组合中商誉的账面价值，再根据资产组或者资产组组合中除商誉之外的其他各项资产的账面价值</w:t>
      </w:r>
      <w:r>
        <w:rPr>
          <w:spacing w:val="-25"/>
        </w:rPr>
        <w:t> </w:t>
      </w:r>
      <w:r>
        <w:rPr>
          <w:spacing w:val="-25"/>
        </w:rPr>
      </w:r>
      <w:r>
        <w:rPr/>
        <w:t>所占比重，按比例抵减其他各项资产的账面价值。</w:t>
      </w:r>
    </w:p>
    <w:p>
      <w:pPr>
        <w:spacing w:after="0" w:line="297" w:lineRule="auto"/>
        <w:jc w:val="both"/>
        <w:sectPr>
          <w:pgSz w:w="11910" w:h="16840"/>
          <w:pgMar w:header="926" w:footer="1335" w:top="1120" w:bottom="152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0"/>
        <w:jc w:val="both"/>
      </w:pPr>
      <w:r>
        <w:rPr/>
        <w:t>上述资产减值损失一经确认，在以后会计期间不再转回。</w:t>
      </w:r>
    </w:p>
    <w:p>
      <w:pPr>
        <w:spacing w:line="240" w:lineRule="auto" w:before="0"/>
        <w:rPr>
          <w:rFonts w:ascii="宋体" w:hAnsi="宋体" w:cs="宋体" w:eastAsia="宋体" w:hint="default"/>
          <w:sz w:val="20"/>
          <w:szCs w:val="20"/>
        </w:rPr>
      </w:pPr>
    </w:p>
    <w:p>
      <w:pPr>
        <w:pStyle w:val="Heading2"/>
        <w:spacing w:line="240" w:lineRule="auto" w:before="138"/>
        <w:ind w:left="138" w:right="0"/>
        <w:jc w:val="both"/>
        <w:rPr>
          <w:b w:val="0"/>
          <w:bCs w:val="0"/>
        </w:rPr>
      </w:pPr>
      <w:r>
        <w:rPr>
          <w:rFonts w:ascii="Calibri" w:hAnsi="Calibri" w:cs="Calibri" w:eastAsia="Calibri" w:hint="default"/>
        </w:rPr>
        <w:t>23.  </w:t>
      </w:r>
      <w:r>
        <w:rPr>
          <w:rFonts w:ascii="Calibri" w:hAnsi="Calibri" w:cs="Calibri" w:eastAsia="Calibri" w:hint="default"/>
          <w:spacing w:val="13"/>
        </w:rPr>
        <w:t> </w:t>
      </w:r>
      <w:r>
        <w:rPr/>
        <w:t>长期待摊费用</w:t>
      </w:r>
      <w:r>
        <w:rPr>
          <w:b w:val="0"/>
          <w:bCs w:val="0"/>
        </w:rPr>
      </w:r>
    </w:p>
    <w:p>
      <w:pPr>
        <w:pStyle w:val="BodyText"/>
        <w:spacing w:line="297" w:lineRule="auto" w:before="29"/>
        <w:ind w:right="157"/>
        <w:jc w:val="both"/>
      </w:pPr>
      <w:r>
        <w:rPr/>
        <w:t>本集团的长期待摊费用是指企业已经支出，但摊销年限在</w:t>
      </w:r>
      <w:r>
        <w:rPr>
          <w:spacing w:val="-55"/>
        </w:rPr>
        <w:t> </w:t>
      </w:r>
      <w:r>
        <w:rPr>
          <w:rFonts w:ascii="宋体" w:hAnsi="宋体" w:cs="宋体" w:eastAsia="宋体" w:hint="default"/>
        </w:rPr>
        <w:t>1</w:t>
      </w:r>
      <w:r>
        <w:rPr>
          <w:rFonts w:ascii="宋体" w:hAnsi="宋体" w:cs="宋体" w:eastAsia="宋体" w:hint="default"/>
          <w:spacing w:val="-55"/>
        </w:rPr>
        <w:t> </w:t>
      </w:r>
      <w:r>
        <w:rPr/>
        <w:t>年以上的各项费用或因收购一些资产</w:t>
      </w:r>
      <w:r>
        <w:rPr>
          <w:w w:val="100"/>
        </w:rPr>
        <w:t> </w:t>
      </w:r>
      <w:r>
        <w:rPr>
          <w:spacing w:val="-2"/>
        </w:rPr>
        <w:t>及业务而付出的收购对价超出收购资产的账面金额的部分。长期待摊费用在受益期限内采用直线</w:t>
      </w:r>
      <w:r>
        <w:rPr>
          <w:spacing w:val="-25"/>
        </w:rPr>
        <w:t> </w:t>
      </w:r>
      <w:r>
        <w:rPr>
          <w:spacing w:val="-25"/>
        </w:rPr>
      </w:r>
      <w:r>
        <w:rPr/>
        <w:t>法摊销。</w:t>
      </w:r>
    </w:p>
    <w:p>
      <w:pPr>
        <w:spacing w:line="240" w:lineRule="auto" w:before="7"/>
        <w:rPr>
          <w:rFonts w:ascii="宋体" w:hAnsi="宋体" w:cs="宋体" w:eastAsia="宋体" w:hint="default"/>
          <w:sz w:val="26"/>
          <w:szCs w:val="26"/>
        </w:rPr>
      </w:pPr>
    </w:p>
    <w:p>
      <w:pPr>
        <w:pStyle w:val="Heading2"/>
        <w:spacing w:line="266" w:lineRule="auto" w:before="0"/>
        <w:ind w:left="138" w:right="6121"/>
        <w:jc w:val="left"/>
        <w:rPr>
          <w:b w:val="0"/>
          <w:bCs w:val="0"/>
        </w:rPr>
      </w:pPr>
      <w:r>
        <w:rPr>
          <w:rFonts w:ascii="Calibri" w:hAnsi="Calibri" w:cs="Calibri" w:eastAsia="Calibri" w:hint="default"/>
        </w:rPr>
        <w:t>24.</w:t>
      </w:r>
      <w:r>
        <w:rPr>
          <w:rFonts w:ascii="Calibri" w:hAnsi="Calibri" w:cs="Calibri" w:eastAsia="Calibri" w:hint="default"/>
          <w:spacing w:val="1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240" w:lineRule="auto" w:before="34"/>
        <w:ind w:right="144"/>
        <w:jc w:val="left"/>
      </w:pPr>
      <w:r>
        <w:rPr>
          <w:spacing w:val="-2"/>
        </w:rPr>
        <w:t>在职工提供服务的会计期间，将实际发生的短期薪酬确认为负债，并计入当期损益或相关资产成</w:t>
      </w:r>
      <w:r>
        <w:rPr>
          <w:spacing w:val="-25"/>
        </w:rPr>
        <w:t> </w:t>
      </w:r>
      <w:r>
        <w:rPr>
          <w:spacing w:val="-25"/>
        </w:rPr>
      </w:r>
      <w:r>
        <w:rPr/>
        <w:t>本。</w:t>
      </w:r>
    </w:p>
    <w:p>
      <w:pPr>
        <w:spacing w:line="292" w:lineRule="auto" w:before="56"/>
        <w:ind w:left="138" w:right="14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本集团的职工参加由当地政府管理的养老保险和失业保险，相应支出在发生时计入相关资产成本</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或当期损益。</w:t>
      </w:r>
    </w:p>
    <w:p>
      <w:pPr>
        <w:pStyle w:val="Heading2"/>
        <w:spacing w:line="240" w:lineRule="auto" w:before="79"/>
        <w:ind w:left="138" w:right="0"/>
        <w:jc w:val="both"/>
        <w:rPr>
          <w:b w:val="0"/>
          <w:bCs w:val="0"/>
        </w:rPr>
      </w:pPr>
      <w:r>
        <w:rPr>
          <w:rFonts w:ascii="宋体" w:hAnsi="宋体" w:cs="宋体" w:eastAsia="宋体" w:hint="default"/>
        </w:rPr>
        <w:t>(3)</w:t>
      </w:r>
      <w:r>
        <w:rPr/>
        <w:t>、辞退福利的会计处理方法</w:t>
      </w:r>
      <w:r>
        <w:rPr>
          <w:b w:val="0"/>
          <w:bCs w:val="0"/>
        </w:rPr>
      </w:r>
    </w:p>
    <w:p>
      <w:pPr>
        <w:pStyle w:val="BodyText"/>
        <w:spacing w:line="297" w:lineRule="auto" w:before="126"/>
        <w:ind w:right="157"/>
        <w:jc w:val="both"/>
      </w:pPr>
      <w:r>
        <w:rPr>
          <w:spacing w:val="-2"/>
        </w:rPr>
        <w:t>本集团向职工提供辞退福利的，在下列两者孰早日确认辞退福利产生的职工薪酬负债，并计入当</w:t>
      </w:r>
      <w:r>
        <w:rPr>
          <w:spacing w:val="-25"/>
        </w:rPr>
        <w:t> </w:t>
      </w:r>
      <w:r>
        <w:rPr>
          <w:spacing w:val="-25"/>
        </w:rPr>
      </w:r>
      <w:r>
        <w:rPr>
          <w:spacing w:val="-2"/>
        </w:rPr>
        <w:t>期损益：企业不能单方面撤回因解除劳动关系计划或裁减建议所提供的辞退福利时；企业确认与</w:t>
      </w:r>
      <w:r>
        <w:rPr>
          <w:spacing w:val="-25"/>
        </w:rPr>
        <w:t> </w:t>
      </w:r>
      <w:r>
        <w:rPr>
          <w:spacing w:val="-25"/>
        </w:rPr>
      </w:r>
      <w:r>
        <w:rPr/>
        <w:t>涉及支付辞退福利的重组相关的成本或费用时。</w:t>
      </w:r>
    </w:p>
    <w:p>
      <w:pPr>
        <w:pStyle w:val="Heading2"/>
        <w:spacing w:line="240" w:lineRule="auto" w:before="76"/>
        <w:ind w:left="138" w:right="0"/>
        <w:jc w:val="both"/>
        <w:rPr>
          <w:b w:val="0"/>
          <w:bCs w:val="0"/>
        </w:rPr>
      </w:pPr>
      <w:r>
        <w:rPr>
          <w:rFonts w:ascii="宋体" w:hAnsi="宋体" w:cs="宋体" w:eastAsia="宋体" w:hint="default"/>
        </w:rPr>
        <w:t>(4)</w:t>
      </w:r>
      <w:r>
        <w:rPr/>
        <w:t>、其他长期职工福利的会计处理方法</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BodyText"/>
        <w:spacing w:line="280" w:lineRule="auto" w:before="36"/>
        <w:ind w:right="144"/>
        <w:jc w:val="left"/>
      </w:pPr>
      <w:r>
        <w:rPr>
          <w:rFonts w:ascii="Calibri" w:hAnsi="Calibri" w:cs="Calibri" w:eastAsia="Calibri" w:hint="default"/>
          <w:b/>
          <w:bCs/>
        </w:rPr>
        <w:t>25.</w:t>
      </w:r>
      <w:r>
        <w:rPr>
          <w:rFonts w:ascii="Calibri" w:hAnsi="Calibri" w:cs="Calibri" w:eastAsia="Calibri" w:hint="default"/>
          <w:b/>
          <w:bCs/>
          <w:spacing w:val="12"/>
        </w:rPr>
        <w:t> </w:t>
      </w:r>
      <w:r>
        <w:rPr>
          <w:rFonts w:ascii="宋体" w:hAnsi="宋体" w:cs="宋体" w:eastAsia="宋体" w:hint="default"/>
          <w:b/>
          <w:bCs/>
        </w:rPr>
        <w:t>预计负债</w:t>
      </w:r>
      <w:r>
        <w:rPr>
          <w:rFonts w:ascii="宋体" w:hAnsi="宋体" w:cs="宋体" w:eastAsia="宋体" w:hint="default"/>
          <w:b/>
          <w:bCs/>
          <w:w w:val="100"/>
        </w:rPr>
        <w:t> </w:t>
      </w:r>
      <w:r>
        <w:rPr>
          <w:spacing w:val="-2"/>
        </w:rPr>
        <w:t>除了非同一控制下企业合并中的或有对价及承担的或有负债之外，当与或有事项相关的义务同时</w:t>
      </w:r>
      <w:r>
        <w:rPr>
          <w:spacing w:val="-25"/>
        </w:rPr>
        <w:t> </w:t>
      </w:r>
      <w:r>
        <w:rPr>
          <w:spacing w:val="-25"/>
        </w:rPr>
      </w:r>
      <w:r>
        <w:rPr/>
        <w:t>符合以下条件，本集团将其确认为预计负债：</w:t>
      </w:r>
    </w:p>
    <w:p>
      <w:pPr>
        <w:spacing w:line="240" w:lineRule="auto" w:before="5"/>
        <w:rPr>
          <w:rFonts w:ascii="宋体" w:hAnsi="宋体" w:cs="宋体" w:eastAsia="宋体" w:hint="default"/>
          <w:sz w:val="28"/>
          <w:szCs w:val="28"/>
        </w:rPr>
      </w:pPr>
    </w:p>
    <w:p>
      <w:pPr>
        <w:pStyle w:val="BodyText"/>
        <w:spacing w:line="240" w:lineRule="auto"/>
        <w:ind w:right="0"/>
        <w:jc w:val="both"/>
      </w:pPr>
      <w:r>
        <w:rPr>
          <w:rFonts w:ascii="宋体" w:hAnsi="宋体" w:cs="宋体" w:eastAsia="宋体" w:hint="default"/>
        </w:rPr>
        <w:t>(1)</w:t>
      </w:r>
      <w:r>
        <w:rPr>
          <w:rFonts w:ascii="宋体" w:hAnsi="宋体" w:cs="宋体" w:eastAsia="宋体" w:hint="default"/>
          <w:spacing w:val="-1"/>
        </w:rPr>
        <w:t> </w:t>
      </w:r>
      <w:r>
        <w:rPr/>
        <w:t>该义务是本集团承担的现时义务；</w:t>
      </w:r>
    </w:p>
    <w:p>
      <w:pPr>
        <w:pStyle w:val="BodyText"/>
        <w:spacing w:line="240" w:lineRule="auto" w:before="66"/>
        <w:ind w:right="0"/>
        <w:jc w:val="both"/>
      </w:pPr>
      <w:r>
        <w:rPr>
          <w:rFonts w:ascii="宋体" w:hAnsi="宋体" w:cs="宋体" w:eastAsia="宋体" w:hint="default"/>
        </w:rPr>
        <w:t>(2)</w:t>
      </w:r>
      <w:r>
        <w:rPr>
          <w:rFonts w:ascii="宋体" w:hAnsi="宋体" w:cs="宋体" w:eastAsia="宋体" w:hint="default"/>
          <w:spacing w:val="-2"/>
        </w:rPr>
        <w:t> </w:t>
      </w:r>
      <w:r>
        <w:rPr/>
        <w:t>该义务的履行很可能导致经济利益流出本集团；</w:t>
      </w:r>
    </w:p>
    <w:p>
      <w:pPr>
        <w:pStyle w:val="BodyText"/>
        <w:spacing w:line="240" w:lineRule="auto" w:before="66"/>
        <w:ind w:right="0"/>
        <w:jc w:val="both"/>
      </w:pPr>
      <w:r>
        <w:rPr>
          <w:rFonts w:ascii="宋体" w:hAnsi="宋体" w:cs="宋体" w:eastAsia="宋体" w:hint="default"/>
        </w:rPr>
        <w:t>(3)</w:t>
      </w:r>
      <w:r>
        <w:rPr>
          <w:rFonts w:ascii="宋体" w:hAnsi="宋体" w:cs="宋体" w:eastAsia="宋体" w:hint="default"/>
          <w:spacing w:val="1"/>
        </w:rPr>
        <w:t> </w:t>
      </w:r>
      <w:r>
        <w:rPr/>
        <w:t>该义务的金额能够可靠地计量。</w:t>
      </w:r>
    </w:p>
    <w:p>
      <w:pPr>
        <w:spacing w:line="240" w:lineRule="auto" w:before="0"/>
        <w:rPr>
          <w:rFonts w:ascii="宋体" w:hAnsi="宋体" w:cs="宋体" w:eastAsia="宋体" w:hint="default"/>
          <w:sz w:val="20"/>
          <w:szCs w:val="20"/>
        </w:rPr>
      </w:pPr>
    </w:p>
    <w:p>
      <w:pPr>
        <w:pStyle w:val="BodyText"/>
        <w:spacing w:line="297" w:lineRule="auto" w:before="143"/>
        <w:ind w:right="148"/>
        <w:jc w:val="both"/>
      </w:pPr>
      <w:r>
        <w:rPr>
          <w:spacing w:val="-2"/>
        </w:rPr>
        <w:t>预计负债按照履行相关现时义务所需支出的最佳估计数进行初始计量，并综合考虑与或有事项有</w:t>
      </w:r>
      <w:r>
        <w:rPr>
          <w:spacing w:val="-25"/>
        </w:rPr>
        <w:t> </w:t>
      </w:r>
      <w:r>
        <w:rPr>
          <w:spacing w:val="-25"/>
        </w:rPr>
      </w:r>
      <w:r>
        <w:rPr>
          <w:spacing w:val="-6"/>
          <w:w w:val="100"/>
        </w:rPr>
        <w:t>关的风险、不确定性和货币时间价值等因素。每个资产负债表日对预计负债的账面价值进行复核。</w:t>
      </w:r>
      <w:r>
        <w:rPr>
          <w:w w:val="100"/>
        </w:rPr>
        <w:t> </w:t>
      </w:r>
      <w:r>
        <w:rPr>
          <w:spacing w:val="-2"/>
        </w:rPr>
        <w:t>有确凿证据表明该账面价值不能反映当前最佳估计数的，按照当前最佳估计数对该账面价值进行</w:t>
      </w:r>
      <w:r>
        <w:rPr>
          <w:spacing w:val="-25"/>
        </w:rPr>
        <w:t> </w:t>
      </w:r>
      <w:r>
        <w:rPr>
          <w:spacing w:val="-25"/>
        </w:rPr>
      </w:r>
      <w:r>
        <w:rPr/>
        <w:t>调整。</w:t>
      </w:r>
    </w:p>
    <w:p>
      <w:pPr>
        <w:spacing w:line="240" w:lineRule="auto" w:before="3"/>
        <w:rPr>
          <w:rFonts w:ascii="宋体" w:hAnsi="宋体" w:cs="宋体" w:eastAsia="宋体" w:hint="default"/>
          <w:sz w:val="27"/>
          <w:szCs w:val="27"/>
        </w:rPr>
      </w:pPr>
    </w:p>
    <w:p>
      <w:pPr>
        <w:pStyle w:val="BodyText"/>
        <w:spacing w:line="297" w:lineRule="auto"/>
        <w:ind w:right="157"/>
        <w:jc w:val="both"/>
      </w:pPr>
      <w:r>
        <w:rPr>
          <w:spacing w:val="-2"/>
        </w:rPr>
        <w:t>企业合并中取得的被购买方或有负债在初始确认时按照公允价值计量，在初始确认后，按照预计</w:t>
      </w:r>
      <w:r>
        <w:rPr>
          <w:spacing w:val="-25"/>
        </w:rPr>
        <w:t> </w:t>
      </w:r>
      <w:r>
        <w:rPr>
          <w:spacing w:val="-25"/>
        </w:rPr>
      </w:r>
      <w:r>
        <w:rPr>
          <w:spacing w:val="-2"/>
        </w:rPr>
        <w:t>负债确认的金额，和初始确认金额扣除收入确认原则确定的累计摊销额后的余额，以两者之中的</w:t>
      </w:r>
      <w:r>
        <w:rPr>
          <w:spacing w:val="-25"/>
        </w:rPr>
        <w:t> </w:t>
      </w:r>
      <w:r>
        <w:rPr>
          <w:spacing w:val="-25"/>
        </w:rPr>
      </w:r>
      <w:r>
        <w:rPr/>
        <w:t>较高者进行后续计量。</w:t>
      </w:r>
    </w:p>
    <w:p>
      <w:pPr>
        <w:spacing w:after="0" w:line="297" w:lineRule="auto"/>
        <w:jc w:val="both"/>
        <w:sectPr>
          <w:pgSz w:w="11910" w:h="16840"/>
          <w:pgMar w:header="926" w:footer="1335" w:top="1120" w:bottom="1520" w:left="1660" w:right="1120"/>
        </w:sectPr>
      </w:pPr>
    </w:p>
    <w:p>
      <w:pPr>
        <w:spacing w:line="240" w:lineRule="auto" w:before="1"/>
        <w:rPr>
          <w:rFonts w:ascii="宋体" w:hAnsi="宋体" w:cs="宋体" w:eastAsia="宋体" w:hint="default"/>
          <w:sz w:val="25"/>
          <w:szCs w:val="25"/>
        </w:rPr>
      </w:pPr>
    </w:p>
    <w:p>
      <w:pPr>
        <w:pStyle w:val="BodyText"/>
        <w:spacing w:line="280" w:lineRule="auto" w:before="36"/>
        <w:ind w:right="144"/>
        <w:jc w:val="left"/>
      </w:pPr>
      <w:r>
        <w:rPr>
          <w:rFonts w:ascii="Calibri" w:hAnsi="Calibri" w:cs="Calibri" w:eastAsia="Calibri" w:hint="default"/>
          <w:b/>
          <w:bCs/>
        </w:rPr>
        <w:t>26.</w:t>
      </w:r>
      <w:r>
        <w:rPr>
          <w:rFonts w:ascii="Calibri" w:hAnsi="Calibri" w:cs="Calibri" w:eastAsia="Calibri" w:hint="default"/>
          <w:b/>
          <w:bCs/>
          <w:spacing w:val="12"/>
        </w:rPr>
        <w:t> </w:t>
      </w:r>
      <w:r>
        <w:rPr>
          <w:rFonts w:ascii="宋体" w:hAnsi="宋体" w:cs="宋体" w:eastAsia="宋体" w:hint="default"/>
          <w:b/>
          <w:bCs/>
        </w:rPr>
        <w:t>股份支付</w:t>
      </w:r>
      <w:r>
        <w:rPr>
          <w:rFonts w:ascii="宋体" w:hAnsi="宋体" w:cs="宋体" w:eastAsia="宋体" w:hint="default"/>
          <w:b/>
          <w:bCs/>
          <w:w w:val="100"/>
        </w:rPr>
        <w:t> </w:t>
      </w:r>
      <w:r>
        <w:rPr>
          <w:spacing w:val="-2"/>
        </w:rPr>
        <w:t>股份支付，分为以权益结算的股份支付和以现金结算的股份支付。以权益结算的股份支付，是指</w:t>
      </w:r>
      <w:r>
        <w:rPr>
          <w:spacing w:val="-25"/>
        </w:rPr>
        <w:t> </w:t>
      </w:r>
      <w:r>
        <w:rPr>
          <w:spacing w:val="-25"/>
        </w:rPr>
      </w:r>
      <w:r>
        <w:rPr/>
        <w:t>本集团为获取服务以股份或其他权益工具作为对价进行结算的交易。</w:t>
      </w:r>
    </w:p>
    <w:p>
      <w:pPr>
        <w:spacing w:line="240" w:lineRule="auto" w:before="2"/>
        <w:rPr>
          <w:rFonts w:ascii="宋体" w:hAnsi="宋体" w:cs="宋体" w:eastAsia="宋体" w:hint="default"/>
          <w:sz w:val="28"/>
          <w:szCs w:val="28"/>
        </w:rPr>
      </w:pPr>
    </w:p>
    <w:p>
      <w:pPr>
        <w:pStyle w:val="BodyText"/>
        <w:spacing w:line="297" w:lineRule="auto"/>
        <w:ind w:right="157"/>
        <w:jc w:val="both"/>
      </w:pPr>
      <w:r>
        <w:rPr>
          <w:spacing w:val="-2"/>
        </w:rPr>
        <w:t>以权益结算的股份支付换取职工提供服务的，以授予职工权益工具的公允价值计量。授予后立即</w:t>
      </w:r>
      <w:r>
        <w:rPr>
          <w:spacing w:val="-25"/>
        </w:rPr>
        <w:t> </w:t>
      </w:r>
      <w:r>
        <w:rPr>
          <w:spacing w:val="-25"/>
        </w:rPr>
      </w:r>
      <w:r>
        <w:rPr>
          <w:spacing w:val="-2"/>
        </w:rPr>
        <w:t>可行权的，在授予日按照公允价值计入相关成本或费用，相应增加资本公积；完成等待期内的服</w:t>
      </w:r>
      <w:r>
        <w:rPr>
          <w:spacing w:val="-25"/>
        </w:rPr>
        <w:t> </w:t>
      </w:r>
      <w:r>
        <w:rPr>
          <w:spacing w:val="-25"/>
        </w:rPr>
      </w:r>
      <w:r>
        <w:rPr>
          <w:spacing w:val="-2"/>
        </w:rPr>
        <w:t>务或达到规定业绩条件才可行权的，在等待期内每个资产负债表日，本集团根据最新取得的可行</w:t>
      </w:r>
      <w:r>
        <w:rPr>
          <w:spacing w:val="-25"/>
        </w:rPr>
        <w:t> </w:t>
      </w:r>
      <w:r>
        <w:rPr>
          <w:spacing w:val="-25"/>
        </w:rPr>
      </w:r>
      <w:r>
        <w:rPr>
          <w:spacing w:val="-2"/>
        </w:rPr>
        <w:t>权职工人数变动等后续信息对可行权权益工具数量作出最佳估计，以此为基础，按照授予日的公</w:t>
      </w:r>
      <w:r>
        <w:rPr>
          <w:spacing w:val="-25"/>
        </w:rPr>
        <w:t> </w:t>
      </w:r>
      <w:r>
        <w:rPr>
          <w:spacing w:val="-25"/>
        </w:rPr>
      </w:r>
      <w:r>
        <w:rPr>
          <w:spacing w:val="-2"/>
        </w:rPr>
        <w:t>允价值，将当期取得的服务计入相关成本或费用，相应增加资本公积。权益工具的公允价值采用</w:t>
      </w:r>
      <w:r>
        <w:rPr>
          <w:spacing w:val="-25"/>
        </w:rPr>
        <w:t> </w:t>
      </w:r>
      <w:r>
        <w:rPr>
          <w:spacing w:val="-25"/>
        </w:rPr>
      </w:r>
      <w:r>
        <w:rPr/>
        <w:t>布莱克</w:t>
      </w:r>
      <w:r>
        <w:rPr>
          <w:rFonts w:ascii="宋体" w:hAnsi="宋体" w:cs="宋体" w:eastAsia="宋体" w:hint="default"/>
        </w:rPr>
        <w:t>-</w:t>
      </w:r>
      <w:r>
        <w:rPr/>
        <w:t>斯科尔斯模型确定，参见附注十一、股份支付。</w:t>
      </w:r>
    </w:p>
    <w:p>
      <w:pPr>
        <w:spacing w:line="240" w:lineRule="auto" w:before="1"/>
        <w:rPr>
          <w:rFonts w:ascii="宋体" w:hAnsi="宋体" w:cs="宋体" w:eastAsia="宋体" w:hint="default"/>
          <w:sz w:val="27"/>
          <w:szCs w:val="27"/>
        </w:rPr>
      </w:pPr>
    </w:p>
    <w:p>
      <w:pPr>
        <w:pStyle w:val="BodyText"/>
        <w:spacing w:line="297" w:lineRule="auto"/>
        <w:ind w:right="150"/>
        <w:jc w:val="both"/>
      </w:pPr>
      <w:r>
        <w:rPr>
          <w:spacing w:val="-2"/>
        </w:rPr>
        <w:t>在满足业绩条件和服务期限条件的期间，应确认以权益结算的股份支付的成本或费用，并相应增</w:t>
      </w:r>
      <w:r>
        <w:rPr>
          <w:spacing w:val="-26"/>
        </w:rPr>
        <w:t> </w:t>
      </w:r>
      <w:r>
        <w:rPr>
          <w:spacing w:val="-26"/>
        </w:rPr>
      </w:r>
      <w:r>
        <w:rPr>
          <w:spacing w:val="-2"/>
        </w:rPr>
        <w:t>加资本公积。可行权日之前，于每个资产负债表日为以权益结算的股份支付确认的累计金额反映</w:t>
      </w:r>
      <w:r>
        <w:rPr>
          <w:spacing w:val="-25"/>
        </w:rPr>
        <w:t> </w:t>
      </w:r>
      <w:r>
        <w:rPr>
          <w:spacing w:val="-25"/>
        </w:rPr>
      </w:r>
      <w:r>
        <w:rPr/>
        <w:t>了等待期已届满的部分以及本集团对最终可行权的权益工具数量的最佳估计。</w:t>
      </w:r>
    </w:p>
    <w:p>
      <w:pPr>
        <w:spacing w:line="240" w:lineRule="auto" w:before="3"/>
        <w:rPr>
          <w:rFonts w:ascii="宋体" w:hAnsi="宋体" w:cs="宋体" w:eastAsia="宋体" w:hint="default"/>
          <w:sz w:val="27"/>
          <w:szCs w:val="27"/>
        </w:rPr>
      </w:pPr>
    </w:p>
    <w:p>
      <w:pPr>
        <w:pStyle w:val="BodyText"/>
        <w:spacing w:line="297" w:lineRule="auto"/>
        <w:ind w:right="150"/>
        <w:jc w:val="both"/>
      </w:pPr>
      <w:r>
        <w:rPr>
          <w:spacing w:val="-4"/>
        </w:rPr>
        <w:t>对由于未满足非市场条件和</w:t>
      </w:r>
      <w:r>
        <w:rPr>
          <w:rFonts w:ascii="宋体" w:hAnsi="宋体" w:cs="宋体" w:eastAsia="宋体" w:hint="default"/>
          <w:spacing w:val="-4"/>
        </w:rPr>
        <w:t>/</w:t>
      </w:r>
      <w:r>
        <w:rPr>
          <w:spacing w:val="-4"/>
        </w:rPr>
        <w:t>或服务期限条件而最终未能行权的股份支付，不确认成本或费用。股</w:t>
      </w:r>
      <w:r>
        <w:rPr>
          <w:spacing w:val="-35"/>
        </w:rPr>
        <w:t> </w:t>
      </w:r>
      <w:r>
        <w:rPr>
          <w:spacing w:val="-35"/>
        </w:rPr>
      </w:r>
      <w:r>
        <w:rPr>
          <w:spacing w:val="-2"/>
        </w:rPr>
        <w:t>份支付协议中规定了市场条件或非可行权条件的，无论是否满足市场条件或非可行权条件，只要</w:t>
      </w:r>
      <w:r>
        <w:rPr>
          <w:spacing w:val="-25"/>
        </w:rPr>
        <w:t> </w:t>
      </w:r>
      <w:r>
        <w:rPr>
          <w:spacing w:val="-25"/>
        </w:rPr>
      </w:r>
      <w:r>
        <w:rPr/>
        <w:t>满足所有其他业绩条件和</w:t>
      </w:r>
      <w:r>
        <w:rPr>
          <w:rFonts w:ascii="宋体" w:hAnsi="宋体" w:cs="宋体" w:eastAsia="宋体" w:hint="default"/>
        </w:rPr>
        <w:t>/</w:t>
      </w:r>
      <w:r>
        <w:rPr/>
        <w:t>或服务期限条件，即视为可行权。</w:t>
      </w:r>
    </w:p>
    <w:p>
      <w:pPr>
        <w:spacing w:line="240" w:lineRule="auto" w:before="3"/>
        <w:rPr>
          <w:rFonts w:ascii="宋体" w:hAnsi="宋体" w:cs="宋体" w:eastAsia="宋体" w:hint="default"/>
          <w:sz w:val="27"/>
          <w:szCs w:val="27"/>
        </w:rPr>
      </w:pPr>
    </w:p>
    <w:p>
      <w:pPr>
        <w:pStyle w:val="BodyText"/>
        <w:spacing w:line="297" w:lineRule="auto"/>
        <w:ind w:right="157"/>
        <w:jc w:val="both"/>
      </w:pPr>
      <w:r>
        <w:rPr>
          <w:spacing w:val="-2"/>
        </w:rPr>
        <w:t>如果修改了以权益结算的股份支付的条款，至少按照未修改条款的情况确认取得的服务。此外，</w:t>
      </w:r>
      <w:r>
        <w:rPr>
          <w:spacing w:val="-25"/>
        </w:rPr>
        <w:t> </w:t>
      </w:r>
      <w:r>
        <w:rPr>
          <w:spacing w:val="-25"/>
        </w:rPr>
      </w:r>
      <w:r>
        <w:rPr>
          <w:spacing w:val="-2"/>
        </w:rPr>
        <w:t>增加所授予权益工具公允价值的修改，或在修改日对职工有利的变更，均确认取得服务的增加。</w:t>
      </w:r>
    </w:p>
    <w:p>
      <w:pPr>
        <w:spacing w:line="240" w:lineRule="auto" w:before="3"/>
        <w:rPr>
          <w:rFonts w:ascii="宋体" w:hAnsi="宋体" w:cs="宋体" w:eastAsia="宋体" w:hint="default"/>
          <w:sz w:val="27"/>
          <w:szCs w:val="27"/>
        </w:rPr>
      </w:pPr>
    </w:p>
    <w:p>
      <w:pPr>
        <w:pStyle w:val="BodyText"/>
        <w:spacing w:line="297" w:lineRule="auto"/>
        <w:ind w:right="157"/>
        <w:jc w:val="both"/>
      </w:pPr>
      <w:r>
        <w:rPr>
          <w:spacing w:val="-2"/>
        </w:rPr>
        <w:t>如果取消了以权益结算的股份支付，则于取消日作为加速行权处理，立即确认尚未确认的金额。</w:t>
      </w:r>
      <w:r>
        <w:rPr>
          <w:spacing w:val="-25"/>
        </w:rPr>
        <w:t> </w:t>
      </w:r>
      <w:r>
        <w:rPr>
          <w:spacing w:val="-25"/>
        </w:rPr>
      </w:r>
      <w:r>
        <w:rPr>
          <w:spacing w:val="-2"/>
        </w:rPr>
        <w:t>职工或其他方能够选择满足非可行权条件但在等待期内未满足的，作为取消以权益结算的股份支</w:t>
      </w:r>
      <w:r>
        <w:rPr>
          <w:spacing w:val="-25"/>
        </w:rPr>
        <w:t> </w:t>
      </w:r>
      <w:r>
        <w:rPr>
          <w:spacing w:val="-25"/>
        </w:rPr>
      </w:r>
      <w:r>
        <w:rPr>
          <w:spacing w:val="-2"/>
        </w:rPr>
        <w:t>付处理。但是，如果授予新的权益工具，并在新权益工具授予日认定所授予的新权益工具是用于</w:t>
      </w:r>
      <w:r>
        <w:rPr>
          <w:spacing w:val="-25"/>
        </w:rPr>
        <w:t> </w:t>
      </w:r>
      <w:r>
        <w:rPr>
          <w:spacing w:val="-25"/>
        </w:rPr>
      </w:r>
      <w:r>
        <w:rPr>
          <w:spacing w:val="-2"/>
        </w:rPr>
        <w:t>替代被取消的权益工具的，则以与处理原权益工具条款和条件修改相同的方式，对所授予的替代</w:t>
      </w:r>
      <w:r>
        <w:rPr>
          <w:spacing w:val="-25"/>
        </w:rPr>
        <w:t> </w:t>
      </w:r>
      <w:r>
        <w:rPr>
          <w:spacing w:val="-25"/>
        </w:rPr>
      </w:r>
      <w:r>
        <w:rPr/>
        <w:t>权益工具进行处理。</w:t>
      </w:r>
    </w:p>
    <w:p>
      <w:pPr>
        <w:spacing w:line="240" w:lineRule="auto" w:before="7"/>
        <w:rPr>
          <w:rFonts w:ascii="宋体" w:hAnsi="宋体" w:cs="宋体" w:eastAsia="宋体" w:hint="default"/>
          <w:sz w:val="26"/>
          <w:szCs w:val="26"/>
        </w:rPr>
      </w:pPr>
    </w:p>
    <w:p>
      <w:pPr>
        <w:pStyle w:val="Heading2"/>
        <w:spacing w:line="240" w:lineRule="auto" w:before="0"/>
        <w:ind w:left="138" w:right="0"/>
        <w:jc w:val="both"/>
        <w:rPr>
          <w:b w:val="0"/>
          <w:bCs w:val="0"/>
        </w:rPr>
      </w:pPr>
      <w:r>
        <w:rPr>
          <w:rFonts w:ascii="Calibri" w:hAnsi="Calibri" w:cs="Calibri" w:eastAsia="Calibri" w:hint="default"/>
        </w:rPr>
        <w:t>27.  </w:t>
      </w:r>
      <w:r>
        <w:rPr>
          <w:rFonts w:ascii="Calibri" w:hAnsi="Calibri" w:cs="Calibri" w:eastAsia="Calibri" w:hint="default"/>
          <w:spacing w:val="10"/>
        </w:rPr>
        <w:t> </w:t>
      </w:r>
      <w:r>
        <w:rPr/>
        <w:t>优先股、永续债等其他金融工具</w:t>
      </w:r>
      <w:r>
        <w:rPr>
          <w:b w:val="0"/>
          <w:bCs w:val="0"/>
        </w:rPr>
      </w:r>
    </w:p>
    <w:p>
      <w:pPr>
        <w:spacing w:line="240" w:lineRule="auto" w:before="6"/>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BodyText"/>
        <w:spacing w:line="264" w:lineRule="auto" w:before="36"/>
        <w:ind w:right="144"/>
        <w:jc w:val="left"/>
      </w:pPr>
      <w:r>
        <w:rPr>
          <w:rFonts w:ascii="Calibri" w:hAnsi="Calibri" w:cs="Calibri" w:eastAsia="Calibri" w:hint="default"/>
          <w:b/>
          <w:bCs/>
        </w:rPr>
        <w:t>28.</w:t>
      </w:r>
      <w:r>
        <w:rPr>
          <w:rFonts w:ascii="Calibri" w:hAnsi="Calibri" w:cs="Calibri" w:eastAsia="Calibri" w:hint="default"/>
          <w:b/>
          <w:bCs/>
          <w:spacing w:val="12"/>
        </w:rPr>
        <w:t> </w:t>
      </w:r>
      <w:r>
        <w:rPr>
          <w:rFonts w:ascii="宋体" w:hAnsi="宋体" w:cs="宋体" w:eastAsia="宋体" w:hint="default"/>
          <w:b/>
          <w:bCs/>
        </w:rPr>
        <w:t>收入</w:t>
      </w:r>
      <w:r>
        <w:rPr>
          <w:rFonts w:ascii="宋体" w:hAnsi="宋体" w:cs="宋体" w:eastAsia="宋体" w:hint="default"/>
          <w:b/>
          <w:bCs/>
          <w:w w:val="100"/>
        </w:rPr>
        <w:t> </w:t>
      </w:r>
      <w:r>
        <w:rPr>
          <w:spacing w:val="-2"/>
        </w:rPr>
        <w:t>收入在经济利益很可能流入本集团、且金额能够可靠计量，并同时满足下列条件时予以确认。</w:t>
      </w:r>
    </w:p>
    <w:p>
      <w:pPr>
        <w:spacing w:line="240" w:lineRule="auto" w:before="6"/>
        <w:rPr>
          <w:rFonts w:ascii="宋体" w:hAnsi="宋体" w:cs="宋体" w:eastAsia="宋体" w:hint="default"/>
          <w:sz w:val="29"/>
          <w:szCs w:val="29"/>
        </w:rPr>
      </w:pPr>
    </w:p>
    <w:p>
      <w:pPr>
        <w:pStyle w:val="BodyText"/>
        <w:spacing w:line="240" w:lineRule="auto"/>
        <w:ind w:right="0"/>
        <w:jc w:val="both"/>
      </w:pPr>
      <w:r>
        <w:rPr/>
        <w:t>销售商品收入</w:t>
      </w:r>
    </w:p>
    <w:p>
      <w:pPr>
        <w:spacing w:line="240" w:lineRule="auto" w:before="0"/>
        <w:rPr>
          <w:rFonts w:ascii="宋体" w:hAnsi="宋体" w:cs="宋体" w:eastAsia="宋体" w:hint="default"/>
          <w:sz w:val="20"/>
          <w:szCs w:val="20"/>
        </w:rPr>
      </w:pPr>
    </w:p>
    <w:p>
      <w:pPr>
        <w:pStyle w:val="BodyText"/>
        <w:spacing w:line="297" w:lineRule="auto" w:before="145"/>
        <w:ind w:right="157"/>
        <w:jc w:val="both"/>
      </w:pPr>
      <w:r>
        <w:rPr>
          <w:spacing w:val="-2"/>
        </w:rPr>
        <w:t>本集团已将商品所有权上的主要风险和报酬转移给购货方，并不再对该商品保留通常与所有权相</w:t>
      </w:r>
      <w:r>
        <w:rPr>
          <w:spacing w:val="-25"/>
        </w:rPr>
        <w:t> </w:t>
      </w:r>
      <w:r>
        <w:rPr>
          <w:spacing w:val="-25"/>
        </w:rPr>
      </w:r>
      <w:r>
        <w:rPr>
          <w:spacing w:val="-2"/>
        </w:rPr>
        <w:t>联系的继续管理权和实施有效控制，且相关的已发生或将发生的成本能够可靠地计量，确认为收</w:t>
      </w:r>
      <w:r>
        <w:rPr>
          <w:spacing w:val="-25"/>
        </w:rPr>
        <w:t> </w:t>
      </w:r>
      <w:r>
        <w:rPr>
          <w:spacing w:val="-25"/>
        </w:rPr>
      </w:r>
      <w:r>
        <w:rPr>
          <w:spacing w:val="-2"/>
        </w:rPr>
        <w:t>入的实现。销售商品收入金额，按照从购货方已收或应收的合同或协议价款确定，但已收或应收</w:t>
      </w:r>
    </w:p>
    <w:p>
      <w:pPr>
        <w:spacing w:after="0" w:line="297" w:lineRule="auto"/>
        <w:jc w:val="both"/>
        <w:sectPr>
          <w:pgSz w:w="11910" w:h="16840"/>
          <w:pgMar w:header="926" w:footer="1335" w:top="1120" w:bottom="1520" w:left="1660" w:right="1120"/>
        </w:sectPr>
      </w:pPr>
    </w:p>
    <w:p>
      <w:pPr>
        <w:spacing w:line="240" w:lineRule="auto" w:before="1"/>
        <w:rPr>
          <w:rFonts w:ascii="宋体" w:hAnsi="宋体" w:cs="宋体" w:eastAsia="宋体" w:hint="default"/>
          <w:sz w:val="25"/>
          <w:szCs w:val="25"/>
        </w:rPr>
      </w:pPr>
    </w:p>
    <w:p>
      <w:pPr>
        <w:pStyle w:val="BodyText"/>
        <w:spacing w:line="297" w:lineRule="auto" w:before="36"/>
        <w:ind w:right="204"/>
        <w:jc w:val="left"/>
      </w:pPr>
      <w:r>
        <w:rPr>
          <w:spacing w:val="-6"/>
          <w:w w:val="100"/>
        </w:rPr>
        <w:t>的合同或协议价款不公允的除外；合同或协议价款的收取采用递延方式，实质上具有融资性质的，</w:t>
      </w:r>
      <w:r>
        <w:rPr>
          <w:spacing w:val="-104"/>
          <w:w w:val="100"/>
        </w:rPr>
        <w:t> </w:t>
      </w:r>
      <w:r>
        <w:rPr>
          <w:spacing w:val="-104"/>
          <w:w w:val="100"/>
        </w:rPr>
      </w:r>
      <w:r>
        <w:rPr/>
        <w:t>按照应收的合同或协议价款的公允价值确定。</w:t>
      </w:r>
    </w:p>
    <w:p>
      <w:pPr>
        <w:spacing w:line="240" w:lineRule="auto" w:before="3"/>
        <w:rPr>
          <w:rFonts w:ascii="宋体" w:hAnsi="宋体" w:cs="宋体" w:eastAsia="宋体" w:hint="default"/>
          <w:sz w:val="27"/>
          <w:szCs w:val="27"/>
        </w:rPr>
      </w:pPr>
    </w:p>
    <w:p>
      <w:pPr>
        <w:pStyle w:val="BodyText"/>
        <w:spacing w:line="240" w:lineRule="auto"/>
        <w:ind w:right="103"/>
        <w:jc w:val="left"/>
      </w:pPr>
      <w:r>
        <w:rPr/>
        <w:t>软件产品销售以收到客户收货确认单、且预计相关的经济利益很可能流入企业的原则确认收入。</w:t>
      </w:r>
    </w:p>
    <w:p>
      <w:pPr>
        <w:spacing w:line="240" w:lineRule="auto" w:before="0"/>
        <w:rPr>
          <w:rFonts w:ascii="宋体" w:hAnsi="宋体" w:cs="宋体" w:eastAsia="宋体" w:hint="default"/>
          <w:sz w:val="20"/>
          <w:szCs w:val="20"/>
        </w:rPr>
      </w:pPr>
    </w:p>
    <w:p>
      <w:pPr>
        <w:pStyle w:val="BodyText"/>
        <w:spacing w:line="240" w:lineRule="auto" w:before="145"/>
        <w:ind w:right="103"/>
        <w:jc w:val="left"/>
      </w:pPr>
      <w:r>
        <w:rPr/>
        <w:t>提供劳务收入</w:t>
      </w:r>
    </w:p>
    <w:p>
      <w:pPr>
        <w:spacing w:line="240" w:lineRule="auto" w:before="0"/>
        <w:rPr>
          <w:rFonts w:ascii="宋体" w:hAnsi="宋体" w:cs="宋体" w:eastAsia="宋体" w:hint="default"/>
          <w:sz w:val="20"/>
          <w:szCs w:val="20"/>
        </w:rPr>
      </w:pPr>
    </w:p>
    <w:p>
      <w:pPr>
        <w:pStyle w:val="BodyText"/>
        <w:spacing w:line="297" w:lineRule="auto" w:before="142"/>
        <w:ind w:right="217"/>
        <w:jc w:val="both"/>
      </w:pPr>
      <w:r>
        <w:rPr>
          <w:spacing w:val="-2"/>
        </w:rPr>
        <w:t>于资产负债表日，在提供劳务交易的结果能够可靠估计的情况下，按完工百分比法确认提供劳务</w:t>
      </w:r>
      <w:r>
        <w:rPr>
          <w:spacing w:val="-25"/>
        </w:rPr>
        <w:t> </w:t>
      </w:r>
      <w:r>
        <w:rPr>
          <w:spacing w:val="-25"/>
        </w:rPr>
      </w:r>
      <w:r>
        <w:rPr>
          <w:spacing w:val="-2"/>
        </w:rPr>
        <w:t>收入；否则按已经发生并预计能够得到补偿的劳务成本金额确认收入。提供劳务交易的结果能够</w:t>
      </w:r>
      <w:r>
        <w:rPr>
          <w:spacing w:val="-25"/>
        </w:rPr>
        <w:t> </w:t>
      </w:r>
      <w:r>
        <w:rPr>
          <w:spacing w:val="-25"/>
        </w:rPr>
      </w:r>
      <w:r>
        <w:rPr>
          <w:spacing w:val="-2"/>
        </w:rPr>
        <w:t>可靠估计，是指同时满足下列条件：收入的金额能够可靠地计量，相关的经济利益很可能流入本</w:t>
      </w:r>
      <w:r>
        <w:rPr>
          <w:spacing w:val="-25"/>
        </w:rPr>
        <w:t> </w:t>
      </w:r>
      <w:r>
        <w:rPr>
          <w:spacing w:val="-25"/>
        </w:rPr>
      </w:r>
      <w:r>
        <w:rPr>
          <w:spacing w:val="-2"/>
        </w:rPr>
        <w:t>集团，交易的完工进度能够可靠地确定，交易中已发生和将发生的成本能够可靠地计量。本集团</w:t>
      </w:r>
      <w:r>
        <w:rPr>
          <w:spacing w:val="-25"/>
        </w:rPr>
        <w:t> </w:t>
      </w:r>
      <w:r>
        <w:rPr>
          <w:spacing w:val="-25"/>
        </w:rPr>
      </w:r>
      <w:r>
        <w:rPr>
          <w:spacing w:val="-2"/>
        </w:rPr>
        <w:t>以已经提供的劳务占应提供劳务总量的比例确定提供劳务交易的完工进度。提供劳务收入总额，</w:t>
      </w:r>
      <w:r>
        <w:rPr>
          <w:spacing w:val="-25"/>
        </w:rPr>
        <w:t> </w:t>
      </w:r>
      <w:r>
        <w:rPr>
          <w:spacing w:val="-25"/>
        </w:rPr>
      </w:r>
      <w:r>
        <w:rPr>
          <w:spacing w:val="-2"/>
        </w:rPr>
        <w:t>按照从接受劳务方已收或应收的合同或协议价款确定，但已收或应收的合同或协议价款不公允的</w:t>
      </w:r>
      <w:r>
        <w:rPr>
          <w:spacing w:val="-25"/>
        </w:rPr>
        <w:t> </w:t>
      </w:r>
      <w:r>
        <w:rPr>
          <w:spacing w:val="-25"/>
        </w:rPr>
      </w:r>
      <w:r>
        <w:rPr/>
        <w:t>除外。</w:t>
      </w:r>
    </w:p>
    <w:p>
      <w:pPr>
        <w:spacing w:line="240" w:lineRule="auto" w:before="3"/>
        <w:rPr>
          <w:rFonts w:ascii="宋体" w:hAnsi="宋体" w:cs="宋体" w:eastAsia="宋体" w:hint="default"/>
          <w:sz w:val="27"/>
          <w:szCs w:val="27"/>
        </w:rPr>
      </w:pPr>
    </w:p>
    <w:p>
      <w:pPr>
        <w:pStyle w:val="BodyText"/>
        <w:spacing w:line="475" w:lineRule="auto"/>
        <w:ind w:right="844"/>
        <w:jc w:val="left"/>
      </w:pPr>
      <w:r>
        <w:rPr>
          <w:spacing w:val="-2"/>
        </w:rPr>
        <w:t>技术服务及培训收入中，已经提供的劳务占应提供劳务总量以收到客户确认单为准。</w:t>
      </w:r>
      <w:r>
        <w:rPr>
          <w:spacing w:val="-35"/>
        </w:rPr>
        <w:t> </w:t>
      </w:r>
      <w:r>
        <w:rPr>
          <w:spacing w:val="-35"/>
        </w:rPr>
      </w:r>
      <w:r>
        <w:rPr/>
        <w:t>利息收入</w:t>
      </w:r>
    </w:p>
    <w:p>
      <w:pPr>
        <w:pStyle w:val="BodyText"/>
        <w:spacing w:line="475" w:lineRule="auto" w:before="64"/>
        <w:ind w:right="3188"/>
        <w:jc w:val="left"/>
      </w:pPr>
      <w:r>
        <w:rPr>
          <w:spacing w:val="-2"/>
        </w:rPr>
        <w:t>按照他人使用本集团货币资金的时间和实际利率计算确定。</w:t>
      </w:r>
      <w:r>
        <w:rPr>
          <w:spacing w:val="-55"/>
        </w:rPr>
        <w:t> </w:t>
      </w:r>
      <w:r>
        <w:rPr>
          <w:spacing w:val="-55"/>
        </w:rPr>
      </w:r>
      <w:r>
        <w:rPr/>
        <w:t>使用费收入</w:t>
      </w:r>
      <w:r>
        <w:rPr>
          <w:spacing w:val="-102"/>
        </w:rPr>
        <w:t> </w:t>
      </w:r>
      <w:r>
        <w:rPr>
          <w:spacing w:val="-102"/>
        </w:rPr>
      </w:r>
      <w:r>
        <w:rPr/>
        <w:t>按照有关合同或协议约定的收费时间和方法计算确定。</w:t>
      </w:r>
      <w:r>
        <w:rPr>
          <w:w w:val="100"/>
        </w:rPr>
        <w:t> </w:t>
      </w:r>
      <w:r>
        <w:rPr/>
        <w:t>租赁收入</w:t>
      </w:r>
    </w:p>
    <w:p>
      <w:pPr>
        <w:pStyle w:val="BodyText"/>
        <w:spacing w:line="240" w:lineRule="auto" w:before="64"/>
        <w:ind w:right="0"/>
        <w:jc w:val="left"/>
      </w:pPr>
      <w:r>
        <w:rPr>
          <w:w w:val="100"/>
        </w:rPr>
        <w:t>经营</w:t>
      </w:r>
      <w:r>
        <w:rPr>
          <w:spacing w:val="-3"/>
          <w:w w:val="100"/>
        </w:rPr>
        <w:t>租</w:t>
      </w:r>
      <w:r>
        <w:rPr>
          <w:w w:val="100"/>
        </w:rPr>
        <w:t>赁</w:t>
      </w:r>
      <w:r>
        <w:rPr>
          <w:spacing w:val="-3"/>
          <w:w w:val="100"/>
        </w:rPr>
        <w:t>的</w:t>
      </w:r>
      <w:r>
        <w:rPr>
          <w:w w:val="100"/>
        </w:rPr>
        <w:t>租</w:t>
      </w:r>
      <w:r>
        <w:rPr>
          <w:spacing w:val="-3"/>
          <w:w w:val="100"/>
        </w:rPr>
        <w:t>金</w:t>
      </w:r>
      <w:r>
        <w:rPr>
          <w:w w:val="100"/>
        </w:rPr>
        <w:t>收</w:t>
      </w:r>
      <w:r>
        <w:rPr>
          <w:spacing w:val="-3"/>
          <w:w w:val="100"/>
        </w:rPr>
        <w:t>入</w:t>
      </w:r>
      <w:r>
        <w:rPr>
          <w:w w:val="100"/>
        </w:rPr>
        <w:t>在</w:t>
      </w:r>
      <w:r>
        <w:rPr>
          <w:spacing w:val="-3"/>
          <w:w w:val="100"/>
        </w:rPr>
        <w:t>租</w:t>
      </w:r>
      <w:r>
        <w:rPr>
          <w:w w:val="100"/>
        </w:rPr>
        <w:t>赁期</w:t>
      </w:r>
      <w:r>
        <w:rPr>
          <w:spacing w:val="-3"/>
          <w:w w:val="100"/>
        </w:rPr>
        <w:t>内</w:t>
      </w:r>
      <w:r>
        <w:rPr>
          <w:w w:val="100"/>
        </w:rPr>
        <w:t>各</w:t>
      </w:r>
      <w:r>
        <w:rPr>
          <w:spacing w:val="-3"/>
          <w:w w:val="100"/>
        </w:rPr>
        <w:t>个</w:t>
      </w:r>
      <w:r>
        <w:rPr>
          <w:w w:val="100"/>
        </w:rPr>
        <w:t>期</w:t>
      </w:r>
      <w:r>
        <w:rPr>
          <w:spacing w:val="-3"/>
          <w:w w:val="100"/>
        </w:rPr>
        <w:t>间</w:t>
      </w:r>
      <w:r>
        <w:rPr>
          <w:w w:val="100"/>
        </w:rPr>
        <w:t>按</w:t>
      </w:r>
      <w:r>
        <w:rPr>
          <w:spacing w:val="-3"/>
          <w:w w:val="100"/>
        </w:rPr>
        <w:t>照</w:t>
      </w:r>
      <w:r>
        <w:rPr>
          <w:w w:val="100"/>
        </w:rPr>
        <w:t>直</w:t>
      </w:r>
      <w:r>
        <w:rPr>
          <w:spacing w:val="-3"/>
          <w:w w:val="100"/>
        </w:rPr>
        <w:t>线</w:t>
      </w:r>
      <w:r>
        <w:rPr>
          <w:w w:val="100"/>
        </w:rPr>
        <w:t>法确</w:t>
      </w:r>
      <w:r>
        <w:rPr>
          <w:spacing w:val="-3"/>
          <w:w w:val="100"/>
        </w:rPr>
        <w:t>认</w:t>
      </w:r>
      <w:r>
        <w:rPr>
          <w:spacing w:val="-94"/>
          <w:w w:val="100"/>
        </w:rPr>
        <w:t>，</w:t>
      </w:r>
      <w:r>
        <w:rPr>
          <w:w w:val="100"/>
        </w:rPr>
        <w:t>或</w:t>
      </w:r>
      <w:r>
        <w:rPr>
          <w:spacing w:val="-3"/>
          <w:w w:val="100"/>
        </w:rPr>
        <w:t>有</w:t>
      </w:r>
      <w:r>
        <w:rPr>
          <w:w w:val="100"/>
        </w:rPr>
        <w:t>租</w:t>
      </w:r>
      <w:r>
        <w:rPr>
          <w:spacing w:val="-3"/>
          <w:w w:val="100"/>
        </w:rPr>
        <w:t>金</w:t>
      </w:r>
      <w:r>
        <w:rPr>
          <w:w w:val="100"/>
        </w:rPr>
        <w:t>在</w:t>
      </w:r>
      <w:r>
        <w:rPr>
          <w:spacing w:val="-3"/>
          <w:w w:val="100"/>
        </w:rPr>
        <w:t>实</w:t>
      </w:r>
      <w:r>
        <w:rPr>
          <w:w w:val="100"/>
        </w:rPr>
        <w:t>际</w:t>
      </w:r>
      <w:r>
        <w:rPr>
          <w:spacing w:val="-3"/>
          <w:w w:val="100"/>
        </w:rPr>
        <w:t>发</w:t>
      </w:r>
      <w:r>
        <w:rPr>
          <w:w w:val="100"/>
        </w:rPr>
        <w:t>生时</w:t>
      </w:r>
      <w:r>
        <w:rPr>
          <w:spacing w:val="-3"/>
          <w:w w:val="100"/>
        </w:rPr>
        <w:t>计</w:t>
      </w:r>
      <w:r>
        <w:rPr>
          <w:w w:val="100"/>
        </w:rPr>
        <w:t>入</w:t>
      </w:r>
      <w:r>
        <w:rPr>
          <w:spacing w:val="-3"/>
          <w:w w:val="100"/>
        </w:rPr>
        <w:t>当期损益</w:t>
      </w:r>
      <w:r>
        <w:rPr>
          <w:w w:val="100"/>
        </w:rPr>
        <w:t>。</w:t>
      </w:r>
    </w:p>
    <w:p>
      <w:pPr>
        <w:spacing w:line="240" w:lineRule="auto" w:before="3"/>
        <w:rPr>
          <w:rFonts w:ascii="宋体" w:hAnsi="宋体" w:cs="宋体" w:eastAsia="宋体" w:hint="default"/>
          <w:sz w:val="25"/>
          <w:szCs w:val="25"/>
        </w:rPr>
      </w:pPr>
    </w:p>
    <w:p>
      <w:pPr>
        <w:pStyle w:val="BodyText"/>
        <w:spacing w:line="285" w:lineRule="auto"/>
        <w:ind w:right="103"/>
        <w:jc w:val="left"/>
      </w:pPr>
      <w:r>
        <w:rPr>
          <w:rFonts w:ascii="Calibri" w:hAnsi="Calibri" w:cs="Calibri" w:eastAsia="Calibri" w:hint="default"/>
          <w:b/>
          <w:bCs/>
        </w:rPr>
        <w:t>29.</w:t>
      </w:r>
      <w:r>
        <w:rPr>
          <w:rFonts w:ascii="Calibri" w:hAnsi="Calibri" w:cs="Calibri" w:eastAsia="Calibri" w:hint="default"/>
          <w:b/>
          <w:bCs/>
          <w:spacing w:val="12"/>
        </w:rPr>
        <w:t> </w:t>
      </w:r>
      <w:r>
        <w:rPr>
          <w:rFonts w:ascii="宋体" w:hAnsi="宋体" w:cs="宋体" w:eastAsia="宋体" w:hint="default"/>
          <w:b/>
          <w:bCs/>
        </w:rPr>
        <w:t>政府补助</w:t>
      </w:r>
      <w:r>
        <w:rPr>
          <w:rFonts w:ascii="宋体" w:hAnsi="宋体" w:cs="宋体" w:eastAsia="宋体" w:hint="default"/>
          <w:b/>
          <w:bCs/>
          <w:w w:val="100"/>
        </w:rPr>
        <w:t> </w:t>
      </w:r>
      <w:r>
        <w:rPr>
          <w:spacing w:val="-2"/>
        </w:rPr>
        <w:t>政府补助在能够满足其所附的条件并且能够收到时，予以确认。政府补助为货币性资产的，按照</w:t>
      </w:r>
      <w:r>
        <w:rPr>
          <w:spacing w:val="-25"/>
        </w:rPr>
        <w:t> </w:t>
      </w:r>
      <w:r>
        <w:rPr>
          <w:spacing w:val="-25"/>
        </w:rPr>
      </w:r>
      <w:r>
        <w:rPr>
          <w:spacing w:val="-2"/>
        </w:rPr>
        <w:t>收到或应收的金额计量。政府补助为非货币性资产的，按照公允价值计量；公允价值不能可靠取</w:t>
      </w:r>
      <w:r>
        <w:rPr>
          <w:spacing w:val="-25"/>
        </w:rPr>
        <w:t> </w:t>
      </w:r>
      <w:r>
        <w:rPr>
          <w:spacing w:val="-25"/>
        </w:rPr>
      </w:r>
      <w:r>
        <w:rPr/>
        <w:t>得的，按照名义金额计量。</w:t>
      </w:r>
    </w:p>
    <w:p>
      <w:pPr>
        <w:pStyle w:val="BodyText"/>
        <w:spacing w:line="295" w:lineRule="auto" w:before="86"/>
        <w:ind w:right="103"/>
        <w:jc w:val="left"/>
      </w:pPr>
      <w:r>
        <w:rPr>
          <w:rFonts w:ascii="宋体" w:hAnsi="宋体" w:cs="宋体" w:eastAsia="宋体" w:hint="default"/>
          <w:b/>
          <w:bCs/>
        </w:rPr>
        <w:t>(1)</w:t>
      </w:r>
      <w:r>
        <w:rPr>
          <w:rFonts w:ascii="宋体" w:hAnsi="宋体" w:cs="宋体" w:eastAsia="宋体" w:hint="default"/>
          <w:b/>
          <w:bCs/>
        </w:rPr>
        <w:t>、与资产相关的政府补助判断依据及会计处理方法</w:t>
      </w:r>
      <w:r>
        <w:rPr>
          <w:rFonts w:ascii="宋体" w:hAnsi="宋体" w:cs="宋体" w:eastAsia="宋体" w:hint="default"/>
          <w:b/>
          <w:bCs/>
          <w:w w:val="100"/>
        </w:rPr>
        <w:t> </w:t>
      </w:r>
      <w:r>
        <w:rPr>
          <w:spacing w:val="-2"/>
        </w:rPr>
        <w:t>政府文件规定用于购建或以其他方式形成长期资产的，作为与资产相关的政府补助；政府文件不</w:t>
      </w:r>
      <w:r>
        <w:rPr>
          <w:spacing w:val="-25"/>
        </w:rPr>
        <w:t> </w:t>
      </w:r>
      <w:r>
        <w:rPr>
          <w:spacing w:val="-25"/>
        </w:rPr>
      </w:r>
      <w:r>
        <w:rPr>
          <w:spacing w:val="-2"/>
        </w:rPr>
        <w:t>明确的，以取得该补助必须具备的基本条件为基础进行判断，以购建或其他方式形成长期资产为</w:t>
      </w:r>
      <w:r>
        <w:rPr>
          <w:spacing w:val="-25"/>
        </w:rPr>
        <w:t> </w:t>
      </w:r>
      <w:r>
        <w:rPr>
          <w:spacing w:val="-25"/>
        </w:rPr>
      </w:r>
      <w:r>
        <w:rPr/>
        <w:t>基本条件的作为与资产相关的政府补助，除此之外的作为与收益相关的政府补助。</w:t>
      </w:r>
    </w:p>
    <w:p>
      <w:pPr>
        <w:pStyle w:val="BodyText"/>
        <w:spacing w:line="295" w:lineRule="auto" w:before="77"/>
        <w:ind w:right="103"/>
        <w:jc w:val="left"/>
      </w:pPr>
      <w:r>
        <w:rPr>
          <w:rFonts w:ascii="宋体" w:hAnsi="宋体" w:cs="宋体" w:eastAsia="宋体" w:hint="default"/>
          <w:b/>
          <w:bCs/>
        </w:rPr>
        <w:t>(2)</w:t>
      </w:r>
      <w:r>
        <w:rPr>
          <w:rFonts w:ascii="宋体" w:hAnsi="宋体" w:cs="宋体" w:eastAsia="宋体" w:hint="default"/>
          <w:b/>
          <w:bCs/>
        </w:rPr>
        <w:t>、与收益相关的政府补助判断依据及会计处理方法</w:t>
      </w:r>
      <w:r>
        <w:rPr>
          <w:rFonts w:ascii="宋体" w:hAnsi="宋体" w:cs="宋体" w:eastAsia="宋体" w:hint="default"/>
          <w:b/>
          <w:bCs/>
          <w:w w:val="100"/>
        </w:rPr>
        <w:t> </w:t>
      </w:r>
      <w:r>
        <w:rPr>
          <w:spacing w:val="-2"/>
        </w:rPr>
        <w:t>与收益相关的政府补助，用于补偿以后期间的相关费用或损失的，确认为递延收益，并在确认相</w:t>
      </w:r>
      <w:r>
        <w:rPr>
          <w:spacing w:val="-25"/>
        </w:rPr>
        <w:t> </w:t>
      </w:r>
      <w:r>
        <w:rPr>
          <w:spacing w:val="-25"/>
        </w:rPr>
      </w:r>
      <w:r>
        <w:rPr>
          <w:spacing w:val="-2"/>
        </w:rPr>
        <w:t>关费用的期间计入当期损益；用于补偿已发生的相关费用或损失的，直接计入当期损益。与资产</w:t>
      </w:r>
      <w:r>
        <w:rPr>
          <w:spacing w:val="-25"/>
        </w:rPr>
        <w:t> </w:t>
      </w:r>
      <w:r>
        <w:rPr>
          <w:spacing w:val="-25"/>
        </w:rPr>
      </w:r>
      <w:r>
        <w:rPr>
          <w:spacing w:val="-2"/>
        </w:rPr>
        <w:t>相关的政府补助，确认为递延收益，在相关资产使用寿命内平均分配，计入当期损益。但按照名</w:t>
      </w:r>
      <w:r>
        <w:rPr>
          <w:spacing w:val="-25"/>
        </w:rPr>
        <w:t> </w:t>
      </w:r>
      <w:r>
        <w:rPr>
          <w:spacing w:val="-25"/>
        </w:rPr>
      </w:r>
      <w:r>
        <w:rPr/>
        <w:t>义金额计量的政府补助，直接计入当期损益。</w:t>
      </w:r>
    </w:p>
    <w:p>
      <w:pPr>
        <w:spacing w:after="0" w:line="295" w:lineRule="auto"/>
        <w:jc w:val="left"/>
        <w:sectPr>
          <w:pgSz w:w="11910" w:h="16840"/>
          <w:pgMar w:header="926" w:footer="1335" w:top="1120" w:bottom="152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80" w:lineRule="auto" w:before="175"/>
        <w:ind w:left="138" w:right="144" w:firstLine="0"/>
        <w:jc w:val="left"/>
        <w:rPr>
          <w:rFonts w:ascii="宋体" w:hAnsi="宋体" w:cs="宋体" w:eastAsia="宋体" w:hint="default"/>
          <w:sz w:val="21"/>
          <w:szCs w:val="21"/>
        </w:rPr>
      </w:pPr>
      <w:r>
        <w:rPr>
          <w:rFonts w:ascii="Calibri" w:hAnsi="Calibri" w:cs="Calibri" w:eastAsia="Calibri" w:hint="default"/>
          <w:b/>
          <w:bCs/>
          <w:sz w:val="21"/>
          <w:szCs w:val="21"/>
        </w:rPr>
        <w:t>30.</w:t>
      </w:r>
      <w:r>
        <w:rPr>
          <w:rFonts w:ascii="Calibri" w:hAnsi="Calibri" w:cs="Calibri" w:eastAsia="Calibri" w:hint="default"/>
          <w:b/>
          <w:bCs/>
          <w:spacing w:val="12"/>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所得税包括当期所得税和递延所得税。除由于企业合并产生的调整商誉，或与直接计入股东权益</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的交易或者事项相关的计入股东权益外，均作为所得税费用或收益计入当期损益。</w:t>
      </w:r>
    </w:p>
    <w:p>
      <w:pPr>
        <w:spacing w:line="240" w:lineRule="auto" w:before="5"/>
        <w:rPr>
          <w:rFonts w:ascii="宋体" w:hAnsi="宋体" w:cs="宋体" w:eastAsia="宋体" w:hint="default"/>
          <w:sz w:val="28"/>
          <w:szCs w:val="28"/>
        </w:rPr>
      </w:pPr>
    </w:p>
    <w:p>
      <w:pPr>
        <w:pStyle w:val="BodyText"/>
        <w:spacing w:line="297" w:lineRule="auto"/>
        <w:ind w:right="157"/>
        <w:jc w:val="both"/>
      </w:pPr>
      <w:r>
        <w:rPr>
          <w:spacing w:val="-2"/>
        </w:rPr>
        <w:t>本集团对于当期和以前期间形成的当期所得税负债或资产，按照税法规定计算的预期应交纳或返</w:t>
      </w:r>
      <w:r>
        <w:rPr>
          <w:spacing w:val="-25"/>
        </w:rPr>
        <w:t> </w:t>
      </w:r>
      <w:r>
        <w:rPr>
          <w:spacing w:val="-25"/>
        </w:rPr>
      </w:r>
      <w:r>
        <w:rPr/>
        <w:t>还的所得税金额计量。</w:t>
      </w:r>
    </w:p>
    <w:p>
      <w:pPr>
        <w:spacing w:line="240" w:lineRule="auto" w:before="1"/>
        <w:rPr>
          <w:rFonts w:ascii="宋体" w:hAnsi="宋体" w:cs="宋体" w:eastAsia="宋体" w:hint="default"/>
          <w:sz w:val="27"/>
          <w:szCs w:val="27"/>
        </w:rPr>
      </w:pPr>
    </w:p>
    <w:p>
      <w:pPr>
        <w:pStyle w:val="BodyText"/>
        <w:spacing w:line="297" w:lineRule="auto"/>
        <w:ind w:right="157"/>
        <w:jc w:val="both"/>
      </w:pPr>
      <w:r>
        <w:rPr>
          <w:spacing w:val="-2"/>
        </w:rPr>
        <w:t>本集团根据资产与负债于资产负债表日的账面价值与计税基础之间的暂时性差异，以及未作为资</w:t>
      </w:r>
      <w:r>
        <w:rPr>
          <w:spacing w:val="-25"/>
        </w:rPr>
        <w:t> </w:t>
      </w:r>
      <w:r>
        <w:rPr>
          <w:spacing w:val="-25"/>
        </w:rPr>
      </w:r>
      <w:r>
        <w:rPr>
          <w:spacing w:val="-2"/>
        </w:rPr>
        <w:t>产和负债确认但按照税法规定可以确定其计税基础的项目的账面价值与计税基础之间的差额产生</w:t>
      </w:r>
      <w:r>
        <w:rPr>
          <w:spacing w:val="-25"/>
        </w:rPr>
        <w:t> </w:t>
      </w:r>
      <w:r>
        <w:rPr>
          <w:spacing w:val="-25"/>
        </w:rPr>
      </w:r>
      <w:r>
        <w:rPr/>
        <w:t>的暂时性差异，采用资产负债表债务法计提递延所得税。</w:t>
      </w:r>
    </w:p>
    <w:p>
      <w:pPr>
        <w:spacing w:line="240" w:lineRule="auto" w:before="3"/>
        <w:rPr>
          <w:rFonts w:ascii="宋体" w:hAnsi="宋体" w:cs="宋体" w:eastAsia="宋体" w:hint="default"/>
          <w:sz w:val="27"/>
          <w:szCs w:val="27"/>
        </w:rPr>
      </w:pPr>
    </w:p>
    <w:p>
      <w:pPr>
        <w:pStyle w:val="BodyText"/>
        <w:spacing w:line="240" w:lineRule="auto"/>
        <w:ind w:right="0"/>
        <w:jc w:val="both"/>
      </w:pPr>
      <w:r>
        <w:rPr/>
        <w:t>各种应纳税暂时性差异均据以确认递延所得税负债，除非：</w:t>
      </w:r>
    </w:p>
    <w:p>
      <w:pPr>
        <w:spacing w:line="240" w:lineRule="auto" w:before="0"/>
        <w:rPr>
          <w:rFonts w:ascii="宋体" w:hAnsi="宋体" w:cs="宋体" w:eastAsia="宋体" w:hint="default"/>
          <w:sz w:val="20"/>
          <w:szCs w:val="20"/>
        </w:rPr>
      </w:pPr>
    </w:p>
    <w:p>
      <w:pPr>
        <w:pStyle w:val="BodyText"/>
        <w:spacing w:line="297" w:lineRule="auto" w:before="145"/>
        <w:ind w:right="157"/>
        <w:jc w:val="both"/>
      </w:pPr>
      <w:r>
        <w:rPr>
          <w:rFonts w:ascii="宋体" w:hAnsi="宋体" w:cs="宋体" w:eastAsia="宋体" w:hint="default"/>
        </w:rPr>
        <w:t>(1)</w:t>
      </w:r>
      <w:r>
        <w:rPr>
          <w:rFonts w:ascii="宋体" w:hAnsi="宋体" w:cs="宋体" w:eastAsia="宋体" w:hint="default"/>
          <w:spacing w:val="-3"/>
        </w:rPr>
        <w:t> </w:t>
      </w:r>
      <w:r>
        <w:rPr/>
        <w:t>应纳税暂时性差异是在以下交易中产生的：商誉的初始确认，或者具有以下特征的交易中产</w:t>
      </w:r>
      <w:r>
        <w:rPr>
          <w:w w:val="100"/>
        </w:rPr>
        <w:t> </w:t>
      </w:r>
      <w:r>
        <w:rPr>
          <w:spacing w:val="-2"/>
        </w:rPr>
        <w:t>生的资产或负债的初始确认：该交易不是企业合并，并且交易发生时既不影响会计利润也不影响</w:t>
      </w:r>
      <w:r>
        <w:rPr>
          <w:spacing w:val="-25"/>
        </w:rPr>
        <w:t> </w:t>
      </w:r>
      <w:r>
        <w:rPr>
          <w:spacing w:val="-25"/>
        </w:rPr>
      </w:r>
      <w:r>
        <w:rPr/>
        <w:t>应纳税所得额或可抵扣亏损。</w:t>
      </w:r>
    </w:p>
    <w:p>
      <w:pPr>
        <w:spacing w:line="240" w:lineRule="auto" w:before="3"/>
        <w:rPr>
          <w:rFonts w:ascii="宋体" w:hAnsi="宋体" w:cs="宋体" w:eastAsia="宋体" w:hint="default"/>
          <w:sz w:val="27"/>
          <w:szCs w:val="27"/>
        </w:rPr>
      </w:pPr>
    </w:p>
    <w:p>
      <w:pPr>
        <w:pStyle w:val="BodyText"/>
        <w:spacing w:line="297" w:lineRule="auto"/>
        <w:ind w:right="157"/>
        <w:jc w:val="both"/>
      </w:pPr>
      <w:r>
        <w:rPr>
          <w:rFonts w:ascii="宋体" w:hAnsi="宋体" w:cs="宋体" w:eastAsia="宋体" w:hint="default"/>
        </w:rPr>
        <w:t>(2)</w:t>
      </w:r>
      <w:r>
        <w:rPr>
          <w:rFonts w:ascii="宋体" w:hAnsi="宋体" w:cs="宋体" w:eastAsia="宋体" w:hint="default"/>
          <w:spacing w:val="-3"/>
        </w:rPr>
        <w:t> </w:t>
      </w:r>
      <w:r>
        <w:rPr/>
        <w:t>对于与子公司及联营企业投资相关的应纳税暂时性差异，该暂时性差异转回的时间能够控制</w:t>
      </w:r>
      <w:r>
        <w:rPr>
          <w:w w:val="100"/>
        </w:rPr>
        <w:t> </w:t>
      </w:r>
      <w:r>
        <w:rPr/>
        <w:t>并且该暂时性差异在可预见的未来很可能不会转回。</w:t>
      </w:r>
    </w:p>
    <w:p>
      <w:pPr>
        <w:spacing w:line="240" w:lineRule="auto" w:before="1"/>
        <w:rPr>
          <w:rFonts w:ascii="宋体" w:hAnsi="宋体" w:cs="宋体" w:eastAsia="宋体" w:hint="default"/>
          <w:sz w:val="27"/>
          <w:szCs w:val="27"/>
        </w:rPr>
      </w:pPr>
    </w:p>
    <w:p>
      <w:pPr>
        <w:pStyle w:val="BodyText"/>
        <w:spacing w:line="297" w:lineRule="auto"/>
        <w:ind w:right="150"/>
        <w:jc w:val="both"/>
      </w:pPr>
      <w:r>
        <w:rPr>
          <w:spacing w:val="-2"/>
        </w:rPr>
        <w:t>对于可抵扣暂时性差异、能够结转以后年度的可抵扣亏损和税款抵减，本集团以很可能取得用来</w:t>
      </w:r>
      <w:r>
        <w:rPr>
          <w:spacing w:val="-25"/>
        </w:rPr>
        <w:t> </w:t>
      </w:r>
      <w:r>
        <w:rPr>
          <w:spacing w:val="-25"/>
        </w:rPr>
      </w:r>
      <w:r>
        <w:rPr>
          <w:spacing w:val="-2"/>
        </w:rPr>
        <w:t>抵扣可抵扣暂时性差异、可抵扣亏损和税款抵减的未来应纳税所得额为限，确认由此产生的递延</w:t>
      </w:r>
      <w:r>
        <w:rPr>
          <w:spacing w:val="-25"/>
        </w:rPr>
        <w:t> </w:t>
      </w:r>
      <w:r>
        <w:rPr>
          <w:spacing w:val="-25"/>
        </w:rPr>
      </w:r>
      <w:r>
        <w:rPr/>
        <w:t>所得税资产，除非：</w:t>
      </w:r>
    </w:p>
    <w:p>
      <w:pPr>
        <w:spacing w:line="240" w:lineRule="auto" w:before="3"/>
        <w:rPr>
          <w:rFonts w:ascii="宋体" w:hAnsi="宋体" w:cs="宋体" w:eastAsia="宋体" w:hint="default"/>
          <w:sz w:val="27"/>
          <w:szCs w:val="27"/>
        </w:rPr>
      </w:pPr>
    </w:p>
    <w:p>
      <w:pPr>
        <w:pStyle w:val="BodyText"/>
        <w:spacing w:line="297" w:lineRule="auto"/>
        <w:ind w:right="150"/>
        <w:jc w:val="both"/>
      </w:pPr>
      <w:r>
        <w:rPr>
          <w:rFonts w:ascii="宋体" w:hAnsi="宋体" w:cs="宋体" w:eastAsia="宋体" w:hint="default"/>
          <w:spacing w:val="-4"/>
        </w:rPr>
        <w:t>(1)</w:t>
      </w:r>
      <w:r>
        <w:rPr>
          <w:spacing w:val="-4"/>
        </w:rPr>
        <w:t>可抵扣暂时性差异是在以下交易中产生的：该交易不是企业合并，并且交易发生时既不影响会</w:t>
      </w:r>
      <w:r>
        <w:rPr>
          <w:spacing w:val="-33"/>
        </w:rPr>
        <w:t> </w:t>
      </w:r>
      <w:r>
        <w:rPr>
          <w:spacing w:val="-33"/>
        </w:rPr>
      </w:r>
      <w:r>
        <w:rPr/>
        <w:t>计利润也不影响应纳税所得额或可抵扣亏损。</w:t>
      </w:r>
    </w:p>
    <w:p>
      <w:pPr>
        <w:spacing w:line="240" w:lineRule="auto" w:before="1"/>
        <w:rPr>
          <w:rFonts w:ascii="宋体" w:hAnsi="宋体" w:cs="宋体" w:eastAsia="宋体" w:hint="default"/>
          <w:sz w:val="27"/>
          <w:szCs w:val="27"/>
        </w:rPr>
      </w:pPr>
    </w:p>
    <w:p>
      <w:pPr>
        <w:pStyle w:val="BodyText"/>
        <w:spacing w:line="297" w:lineRule="auto"/>
        <w:ind w:right="144"/>
        <w:jc w:val="left"/>
      </w:pPr>
      <w:r>
        <w:rPr>
          <w:spacing w:val="-4"/>
        </w:rPr>
        <w:t>（</w:t>
      </w:r>
      <w:r>
        <w:rPr>
          <w:rFonts w:ascii="宋体" w:hAnsi="宋体" w:cs="宋体" w:eastAsia="宋体" w:hint="default"/>
          <w:spacing w:val="-4"/>
        </w:rPr>
        <w:t>2</w:t>
      </w:r>
      <w:r>
        <w:rPr>
          <w:spacing w:val="-4"/>
        </w:rPr>
        <w:t>）对于与子公司及联营企业投资相关的可抵扣暂时性差异，同时满足下列条件的，确认相应的</w:t>
      </w:r>
      <w:r>
        <w:rPr>
          <w:spacing w:val="-34"/>
        </w:rPr>
        <w:t> </w:t>
      </w:r>
      <w:r>
        <w:rPr>
          <w:spacing w:val="-34"/>
        </w:rPr>
      </w:r>
      <w:r>
        <w:rPr>
          <w:spacing w:val="-2"/>
        </w:rPr>
        <w:t>递延所得税资产：暂时性差异在可预见的未来很可能转回，且未来很可能获得用来抵扣可抵扣暂</w:t>
      </w:r>
      <w:r>
        <w:rPr>
          <w:spacing w:val="-25"/>
        </w:rPr>
        <w:t> </w:t>
      </w:r>
      <w:r>
        <w:rPr>
          <w:spacing w:val="-25"/>
        </w:rPr>
      </w:r>
      <w:r>
        <w:rPr/>
        <w:t>时性差异的应纳税所得额。</w:t>
      </w:r>
      <w:r>
        <w:rPr>
          <w:w w:val="100"/>
        </w:rPr>
        <w:t> </w:t>
      </w:r>
      <w:r>
        <w:rPr>
          <w:spacing w:val="-2"/>
        </w:rPr>
        <w:t>本集团于资产负债表日，对于递延所得税资产和递延所得税负债，依据税法规定，按照预期收回</w:t>
      </w:r>
      <w:r>
        <w:rPr>
          <w:spacing w:val="-25"/>
        </w:rPr>
        <w:t> </w:t>
      </w:r>
      <w:r>
        <w:rPr>
          <w:spacing w:val="-25"/>
        </w:rPr>
      </w:r>
      <w:r>
        <w:rPr>
          <w:spacing w:val="-2"/>
        </w:rPr>
        <w:t>该资产或清偿该负债期间的适用税率计量，并反映资产负债表日预期收回资产或清偿负债方式的</w:t>
      </w:r>
      <w:r>
        <w:rPr>
          <w:spacing w:val="-25"/>
        </w:rPr>
        <w:t> </w:t>
      </w:r>
      <w:r>
        <w:rPr>
          <w:spacing w:val="-25"/>
        </w:rPr>
      </w:r>
      <w:r>
        <w:rPr/>
        <w:t>所得税影响。</w:t>
      </w:r>
    </w:p>
    <w:p>
      <w:pPr>
        <w:spacing w:line="240" w:lineRule="auto" w:before="1"/>
        <w:rPr>
          <w:rFonts w:ascii="宋体" w:hAnsi="宋体" w:cs="宋体" w:eastAsia="宋体" w:hint="default"/>
          <w:sz w:val="27"/>
          <w:szCs w:val="27"/>
        </w:rPr>
      </w:pPr>
    </w:p>
    <w:p>
      <w:pPr>
        <w:pStyle w:val="BodyText"/>
        <w:spacing w:line="297" w:lineRule="auto"/>
        <w:ind w:right="157"/>
        <w:jc w:val="both"/>
      </w:pPr>
      <w:r>
        <w:rPr>
          <w:spacing w:val="-2"/>
        </w:rPr>
        <w:t>于资产负债表日，本集团对递延所得税资产的账面价值进行复核，如果未来期间很可能无法获得</w:t>
      </w:r>
      <w:r>
        <w:rPr>
          <w:spacing w:val="-25"/>
        </w:rPr>
        <w:t> </w:t>
      </w:r>
      <w:r>
        <w:rPr>
          <w:spacing w:val="-25"/>
        </w:rPr>
      </w:r>
      <w:r>
        <w:rPr>
          <w:spacing w:val="-2"/>
        </w:rPr>
        <w:t>足够的应纳税所得额用以抵扣递延所得税资产的利益，减记递延所得税资产的账面价值。于资产</w:t>
      </w:r>
      <w:r>
        <w:rPr>
          <w:spacing w:val="-25"/>
        </w:rPr>
        <w:t> </w:t>
      </w:r>
      <w:r>
        <w:rPr>
          <w:spacing w:val="-25"/>
        </w:rPr>
      </w:r>
      <w:r>
        <w:rPr>
          <w:spacing w:val="-2"/>
        </w:rPr>
        <w:t>负债表日，本集团重新评估未确认的递延所得税资产，在很可能获得足够的应纳税所得额可供所</w:t>
      </w:r>
      <w:r>
        <w:rPr>
          <w:spacing w:val="-25"/>
        </w:rPr>
        <w:t> </w:t>
      </w:r>
      <w:r>
        <w:rPr>
          <w:spacing w:val="-25"/>
        </w:rPr>
      </w:r>
      <w:r>
        <w:rPr/>
        <w:t>有或部分递延所得税资产转回的限度内，确认递延所得税资产。</w:t>
      </w:r>
    </w:p>
    <w:p>
      <w:pPr>
        <w:spacing w:after="0" w:line="297" w:lineRule="auto"/>
        <w:jc w:val="both"/>
        <w:sectPr>
          <w:pgSz w:w="11910" w:h="16840"/>
          <w:pgMar w:header="926" w:footer="1335" w:top="1120" w:bottom="1520" w:left="1660" w:right="1120"/>
        </w:sectPr>
      </w:pPr>
    </w:p>
    <w:p>
      <w:pPr>
        <w:spacing w:line="240" w:lineRule="auto" w:before="1"/>
        <w:rPr>
          <w:rFonts w:ascii="宋体" w:hAnsi="宋体" w:cs="宋体" w:eastAsia="宋体" w:hint="default"/>
          <w:sz w:val="25"/>
          <w:szCs w:val="25"/>
        </w:rPr>
      </w:pPr>
    </w:p>
    <w:p>
      <w:pPr>
        <w:pStyle w:val="BodyText"/>
        <w:spacing w:line="297" w:lineRule="auto" w:before="36"/>
        <w:ind w:right="144"/>
        <w:jc w:val="left"/>
      </w:pPr>
      <w:r>
        <w:rPr>
          <w:spacing w:val="-2"/>
        </w:rPr>
        <w:t>如果拥有以净额结算当期所得税资产及当期所得税负债的法定权利，且递延所得税与同一应纳税</w:t>
      </w:r>
      <w:r>
        <w:rPr>
          <w:spacing w:val="-25"/>
        </w:rPr>
        <w:t> </w:t>
      </w:r>
      <w:r>
        <w:rPr>
          <w:spacing w:val="-25"/>
        </w:rPr>
      </w:r>
      <w:r>
        <w:rPr/>
        <w:t>主体和同一税收征管部门相关，则将递延所得税资产和递延所得税负债以抵销后的净额列示。</w:t>
      </w:r>
    </w:p>
    <w:p>
      <w:pPr>
        <w:spacing w:line="240" w:lineRule="auto" w:before="9"/>
        <w:rPr>
          <w:rFonts w:ascii="宋体" w:hAnsi="宋体" w:cs="宋体" w:eastAsia="宋体" w:hint="default"/>
          <w:sz w:val="26"/>
          <w:szCs w:val="26"/>
        </w:rPr>
      </w:pPr>
    </w:p>
    <w:p>
      <w:pPr>
        <w:spacing w:line="278" w:lineRule="auto" w:before="0"/>
        <w:ind w:left="138" w:right="6146" w:firstLine="0"/>
        <w:jc w:val="left"/>
        <w:rPr>
          <w:rFonts w:ascii="宋体" w:hAnsi="宋体" w:cs="宋体" w:eastAsia="宋体" w:hint="default"/>
          <w:sz w:val="21"/>
          <w:szCs w:val="21"/>
        </w:rPr>
      </w:pPr>
      <w:r>
        <w:rPr>
          <w:rFonts w:ascii="Calibri" w:hAnsi="Calibri" w:cs="Calibri" w:eastAsia="Calibri" w:hint="default"/>
          <w:b/>
          <w:bCs/>
          <w:sz w:val="21"/>
          <w:szCs w:val="21"/>
        </w:rPr>
        <w:t>31.</w:t>
      </w:r>
      <w:r>
        <w:rPr>
          <w:rFonts w:ascii="Calibri" w:hAnsi="Calibri" w:cs="Calibri" w:eastAsia="Calibri" w:hint="default"/>
          <w:b/>
          <w:bCs/>
          <w:spacing w:val="12"/>
          <w:sz w:val="21"/>
          <w:szCs w:val="21"/>
        </w:rPr>
        <w:t> </w:t>
      </w:r>
      <w:r>
        <w:rPr>
          <w:rFonts w:ascii="宋体" w:hAnsi="宋体" w:cs="宋体" w:eastAsia="宋体" w:hint="default"/>
          <w:b/>
          <w:bCs/>
          <w:sz w:val="21"/>
          <w:szCs w:val="21"/>
        </w:rPr>
        <w:t>租赁</w:t>
      </w:r>
      <w:r>
        <w:rPr>
          <w:rFonts w:ascii="宋体" w:hAnsi="宋体" w:cs="宋体" w:eastAsia="宋体" w:hint="default"/>
          <w:b/>
          <w:bCs/>
          <w:w w:val="100"/>
          <w:sz w:val="21"/>
          <w:szCs w:val="21"/>
        </w:rPr>
        <w:t> </w:t>
      </w:r>
      <w:r>
        <w:rPr>
          <w:rFonts w:ascii="宋体" w:hAnsi="宋体" w:cs="宋体" w:eastAsia="宋体" w:hint="default"/>
          <w:b/>
          <w:bCs/>
          <w:sz w:val="20"/>
          <w:szCs w:val="20"/>
        </w:rPr>
        <w:t>(1)</w:t>
      </w:r>
      <w:r>
        <w:rPr>
          <w:rFonts w:ascii="宋体" w:hAnsi="宋体" w:cs="宋体" w:eastAsia="宋体" w:hint="default"/>
          <w:b/>
          <w:bCs/>
          <w:sz w:val="20"/>
          <w:szCs w:val="20"/>
        </w:rPr>
        <w:t>、</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z w:val="21"/>
          <w:szCs w:val="21"/>
        </w:rPr>
        <w:t>作为经营租赁承租人</w:t>
      </w:r>
    </w:p>
    <w:p>
      <w:pPr>
        <w:spacing w:line="240" w:lineRule="auto" w:before="4"/>
        <w:rPr>
          <w:rFonts w:ascii="宋体" w:hAnsi="宋体" w:cs="宋体" w:eastAsia="宋体" w:hint="default"/>
          <w:sz w:val="28"/>
          <w:szCs w:val="28"/>
        </w:rPr>
      </w:pPr>
    </w:p>
    <w:p>
      <w:pPr>
        <w:pStyle w:val="BodyText"/>
        <w:spacing w:line="297" w:lineRule="auto"/>
        <w:ind w:right="144"/>
        <w:jc w:val="left"/>
      </w:pPr>
      <w:r>
        <w:rPr>
          <w:spacing w:val="-2"/>
        </w:rPr>
        <w:t>经营租赁的租金支出，在租赁期内各个期间按照直线法计入相关的资产成本或当期损益，或有租</w:t>
      </w:r>
      <w:r>
        <w:rPr>
          <w:spacing w:val="-25"/>
        </w:rPr>
        <w:t> </w:t>
      </w:r>
      <w:r>
        <w:rPr>
          <w:spacing w:val="-25"/>
        </w:rPr>
      </w:r>
      <w:r>
        <w:rPr/>
        <w:t>金在实际发生时计入当期损益。</w:t>
      </w:r>
    </w:p>
    <w:p>
      <w:pPr>
        <w:spacing w:line="240" w:lineRule="auto" w:before="4"/>
        <w:rPr>
          <w:rFonts w:ascii="宋体" w:hAnsi="宋体" w:cs="宋体" w:eastAsia="宋体" w:hint="default"/>
          <w:sz w:val="27"/>
          <w:szCs w:val="27"/>
        </w:rPr>
      </w:pPr>
    </w:p>
    <w:p>
      <w:pPr>
        <w:pStyle w:val="BodyText"/>
        <w:spacing w:line="240" w:lineRule="auto"/>
        <w:ind w:right="144"/>
        <w:jc w:val="left"/>
      </w:pPr>
      <w:r>
        <w:rPr/>
        <w:t>作为经营租赁出租人</w:t>
      </w:r>
    </w:p>
    <w:p>
      <w:pPr>
        <w:spacing w:line="240" w:lineRule="auto" w:before="0"/>
        <w:rPr>
          <w:rFonts w:ascii="宋体" w:hAnsi="宋体" w:cs="宋体" w:eastAsia="宋体" w:hint="default"/>
          <w:sz w:val="20"/>
          <w:szCs w:val="20"/>
        </w:rPr>
      </w:pPr>
    </w:p>
    <w:p>
      <w:pPr>
        <w:pStyle w:val="BodyText"/>
        <w:spacing w:line="297" w:lineRule="auto" w:before="142"/>
        <w:ind w:right="144"/>
        <w:jc w:val="left"/>
      </w:pPr>
      <w:r>
        <w:rPr>
          <w:spacing w:val="-2"/>
        </w:rPr>
        <w:t>经营租赁的租金收入在租赁期内各个期间按直线法确认为当期损益，或有租金在实际发生时计入</w:t>
      </w:r>
      <w:r>
        <w:rPr>
          <w:spacing w:val="-25"/>
        </w:rPr>
        <w:t> </w:t>
      </w:r>
      <w:r>
        <w:rPr>
          <w:spacing w:val="-25"/>
        </w:rPr>
      </w:r>
      <w:r>
        <w:rPr/>
        <w:t>当期损益。</w:t>
      </w:r>
    </w:p>
    <w:p>
      <w:pPr>
        <w:pStyle w:val="Heading2"/>
        <w:spacing w:line="240" w:lineRule="auto" w:before="75"/>
        <w:ind w:left="138" w:right="144"/>
        <w:jc w:val="left"/>
        <w:rPr>
          <w:b w:val="0"/>
          <w:bCs w:val="0"/>
        </w:rPr>
      </w:pPr>
      <w:r>
        <w:rPr>
          <w:rFonts w:ascii="宋体" w:hAnsi="宋体" w:cs="宋体" w:eastAsia="宋体" w:hint="default"/>
        </w:rPr>
        <w:t>(2)</w:t>
      </w:r>
      <w:r>
        <w:rPr/>
        <w:t>、融资租赁的会计处理方法</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64" w:lineRule="auto"/>
        <w:ind w:left="138" w:right="5611"/>
        <w:jc w:val="left"/>
        <w:rPr>
          <w:rFonts w:ascii="宋体" w:hAnsi="宋体" w:cs="宋体" w:eastAsia="宋体" w:hint="default"/>
          <w:b w:val="0"/>
          <w:bCs w:val="0"/>
        </w:rPr>
      </w:pPr>
      <w:r>
        <w:rPr>
          <w:rFonts w:ascii="Calibri" w:hAnsi="Calibri" w:cs="Calibri" w:eastAsia="Calibri" w:hint="default"/>
        </w:rPr>
        <w:t>32.</w:t>
      </w:r>
      <w:r>
        <w:rPr>
          <w:rFonts w:ascii="Calibri" w:hAnsi="Calibri" w:cs="Calibri" w:eastAsia="Calibri" w:hint="default"/>
          <w:spacing w:val="10"/>
        </w:rPr>
        <w:t> </w:t>
      </w:r>
      <w:r>
        <w:rPr/>
        <w:t>其他重要的会计政策和会计估计</w:t>
      </w:r>
      <w:r>
        <w:rPr>
          <w:w w:val="100"/>
        </w:rPr>
        <w:t> </w:t>
      </w:r>
      <w:r>
        <w:rPr>
          <w:rFonts w:ascii="宋体" w:hAnsi="宋体" w:cs="宋体" w:eastAsia="宋体" w:hint="default"/>
          <w:b w:val="0"/>
          <w:bCs w:val="0"/>
        </w:rPr>
        <w:t>回购股份</w:t>
      </w:r>
    </w:p>
    <w:p>
      <w:pPr>
        <w:spacing w:line="240" w:lineRule="auto" w:before="7"/>
        <w:rPr>
          <w:rFonts w:ascii="宋体" w:hAnsi="宋体" w:cs="宋体" w:eastAsia="宋体" w:hint="default"/>
          <w:sz w:val="29"/>
          <w:szCs w:val="29"/>
        </w:rPr>
      </w:pPr>
    </w:p>
    <w:p>
      <w:pPr>
        <w:pStyle w:val="BodyText"/>
        <w:spacing w:line="297" w:lineRule="auto"/>
        <w:ind w:right="144"/>
        <w:jc w:val="left"/>
      </w:pPr>
      <w:r>
        <w:rPr>
          <w:spacing w:val="-2"/>
        </w:rPr>
        <w:t>回购自身权益工具支付的对价和交易费用，减少股东权益。除股份支付之外，发行</w:t>
      </w:r>
      <w:r>
        <w:rPr>
          <w:rFonts w:ascii="宋体" w:hAnsi="宋体" w:cs="宋体" w:eastAsia="宋体" w:hint="default"/>
          <w:spacing w:val="-2"/>
        </w:rPr>
        <w:t>(</w:t>
      </w:r>
      <w:r>
        <w:rPr>
          <w:spacing w:val="-2"/>
        </w:rPr>
        <w:t>含再融资</w:t>
      </w:r>
      <w:r>
        <w:rPr>
          <w:rFonts w:ascii="宋体" w:hAnsi="宋体" w:cs="宋体" w:eastAsia="宋体" w:hint="default"/>
          <w:spacing w:val="-2"/>
        </w:rPr>
        <w:t>)</w:t>
      </w:r>
      <w:r>
        <w:rPr>
          <w:spacing w:val="-2"/>
        </w:rPr>
        <w:t>、</w:t>
      </w:r>
      <w:r>
        <w:rPr>
          <w:spacing w:val="-24"/>
        </w:rPr>
        <w:t> </w:t>
      </w:r>
      <w:r>
        <w:rPr/>
        <w:t>回购、出售或注销自身权益工具，作为权益的变动处理。</w:t>
      </w:r>
    </w:p>
    <w:p>
      <w:pPr>
        <w:spacing w:line="240" w:lineRule="auto" w:before="1"/>
        <w:rPr>
          <w:rFonts w:ascii="宋体" w:hAnsi="宋体" w:cs="宋体" w:eastAsia="宋体" w:hint="default"/>
          <w:sz w:val="27"/>
          <w:szCs w:val="27"/>
        </w:rPr>
      </w:pPr>
    </w:p>
    <w:p>
      <w:pPr>
        <w:pStyle w:val="BodyText"/>
        <w:spacing w:line="595" w:lineRule="auto"/>
        <w:ind w:right="3487"/>
        <w:jc w:val="left"/>
      </w:pPr>
      <w:r>
        <w:rPr/>
        <w:t>利润分配</w:t>
      </w:r>
      <w:r>
        <w:rPr>
          <w:w w:val="100"/>
        </w:rPr>
        <w:t> </w:t>
      </w:r>
      <w:r>
        <w:rPr>
          <w:spacing w:val="-2"/>
        </w:rPr>
        <w:t>本公司的现金股利，于股东大会批准后确认为负债。</w:t>
      </w:r>
      <w:r>
        <w:rPr>
          <w:spacing w:val="-62"/>
        </w:rPr>
        <w:t> </w:t>
      </w:r>
      <w:r>
        <w:rPr>
          <w:spacing w:val="-62"/>
        </w:rPr>
      </w:r>
      <w:r>
        <w:rPr/>
        <w:t>公允价值计量</w:t>
      </w:r>
    </w:p>
    <w:p>
      <w:pPr>
        <w:pStyle w:val="BodyText"/>
        <w:spacing w:line="297" w:lineRule="auto" w:before="94"/>
        <w:ind w:right="148"/>
        <w:jc w:val="both"/>
      </w:pPr>
      <w:r>
        <w:rPr>
          <w:spacing w:val="-2"/>
        </w:rPr>
        <w:t>本集团于每个资产负债表日以公允价值计量衍生金融工具投资。公允价值，是指市场参与者在计</w:t>
      </w:r>
      <w:r>
        <w:rPr>
          <w:spacing w:val="-25"/>
        </w:rPr>
        <w:t> </w:t>
      </w:r>
      <w:r>
        <w:rPr>
          <w:spacing w:val="-25"/>
        </w:rPr>
      </w:r>
      <w:r>
        <w:rPr>
          <w:spacing w:val="-2"/>
        </w:rPr>
        <w:t>量日发生的有序交易中，出售一项资产所能收到或者转移一项负债所需支付的价格。本集团以公</w:t>
      </w:r>
      <w:r>
        <w:rPr>
          <w:spacing w:val="-25"/>
        </w:rPr>
        <w:t> </w:t>
      </w:r>
      <w:r>
        <w:rPr>
          <w:spacing w:val="-25"/>
        </w:rPr>
      </w:r>
      <w:r>
        <w:rPr>
          <w:spacing w:val="-2"/>
        </w:rPr>
        <w:t>允价值计量相关资产或负债，假定出售资产或者转移负债的有序交易在相关资产或负债的主要市</w:t>
      </w:r>
      <w:r>
        <w:rPr>
          <w:spacing w:val="-25"/>
        </w:rPr>
        <w:t> </w:t>
      </w:r>
      <w:r>
        <w:rPr>
          <w:spacing w:val="-25"/>
        </w:rPr>
      </w:r>
      <w:r>
        <w:rPr>
          <w:spacing w:val="-9"/>
          <w:w w:val="100"/>
        </w:rPr>
        <w:t>场进行；不存在主要市场的，本集团假定该交易在相关资产或负债的最有利市场进行。主要市场</w:t>
      </w:r>
      <w:r>
        <w:rPr>
          <w:rFonts w:ascii="宋体" w:hAnsi="宋体" w:cs="宋体" w:eastAsia="宋体" w:hint="default"/>
          <w:spacing w:val="-9"/>
          <w:w w:val="100"/>
        </w:rPr>
        <w:t>(</w:t>
      </w:r>
      <w:r>
        <w:rPr>
          <w:spacing w:val="-9"/>
          <w:w w:val="100"/>
        </w:rPr>
        <w:t>或</w:t>
      </w:r>
      <w:r>
        <w:rPr>
          <w:spacing w:val="-73"/>
          <w:w w:val="100"/>
        </w:rPr>
        <w:t> </w:t>
      </w:r>
      <w:r>
        <w:rPr>
          <w:spacing w:val="-4"/>
          <w:w w:val="100"/>
        </w:rPr>
        <w:t>最有利市场</w:t>
      </w:r>
      <w:r>
        <w:rPr>
          <w:rFonts w:ascii="宋体" w:hAnsi="宋体" w:cs="宋体" w:eastAsia="宋体" w:hint="default"/>
          <w:spacing w:val="-4"/>
          <w:w w:val="100"/>
        </w:rPr>
        <w:t>)</w:t>
      </w:r>
      <w:r>
        <w:rPr>
          <w:spacing w:val="-4"/>
          <w:w w:val="100"/>
        </w:rPr>
        <w:t>是本集团在计量日能够进入的交易市场。本集团采用市场参与者在对该资产或负债定</w:t>
      </w:r>
      <w:r>
        <w:rPr>
          <w:spacing w:val="-85"/>
          <w:w w:val="100"/>
        </w:rPr>
        <w:t> </w:t>
      </w:r>
      <w:r>
        <w:rPr>
          <w:spacing w:val="-85"/>
          <w:w w:val="100"/>
        </w:rPr>
      </w:r>
      <w:r>
        <w:rPr/>
        <w:t>价时为实现其经济利益最大化所使用的假设。</w:t>
      </w:r>
    </w:p>
    <w:p>
      <w:pPr>
        <w:spacing w:line="240" w:lineRule="auto" w:before="1"/>
        <w:rPr>
          <w:rFonts w:ascii="宋体" w:hAnsi="宋体" w:cs="宋体" w:eastAsia="宋体" w:hint="default"/>
          <w:sz w:val="27"/>
          <w:szCs w:val="27"/>
        </w:rPr>
      </w:pPr>
    </w:p>
    <w:p>
      <w:pPr>
        <w:pStyle w:val="BodyText"/>
        <w:spacing w:line="297" w:lineRule="auto"/>
        <w:ind w:right="144"/>
        <w:jc w:val="left"/>
      </w:pPr>
      <w:r>
        <w:rPr>
          <w:spacing w:val="-2"/>
        </w:rPr>
        <w:t>以公允价值计量非金融资产的，考虑市场参与者将该资产用于最佳用途产生经济利益的能力，或</w:t>
      </w:r>
      <w:r>
        <w:rPr>
          <w:spacing w:val="-25"/>
        </w:rPr>
        <w:t> </w:t>
      </w:r>
      <w:r>
        <w:rPr>
          <w:spacing w:val="-25"/>
        </w:rPr>
      </w:r>
      <w:r>
        <w:rPr/>
        <w:t>者将该资产出售给能够用于最佳用途的其他市场参与者产生经济利益的能力。</w:t>
      </w:r>
    </w:p>
    <w:p>
      <w:pPr>
        <w:spacing w:after="0" w:line="297" w:lineRule="auto"/>
        <w:jc w:val="left"/>
        <w:sectPr>
          <w:pgSz w:w="11910" w:h="16840"/>
          <w:pgMar w:header="926" w:footer="1335" w:top="1120" w:bottom="1520" w:left="1660" w:right="1120"/>
        </w:sectPr>
      </w:pPr>
    </w:p>
    <w:p>
      <w:pPr>
        <w:spacing w:line="240" w:lineRule="auto" w:before="7"/>
        <w:rPr>
          <w:rFonts w:ascii="宋体" w:hAnsi="宋体" w:cs="宋体" w:eastAsia="宋体" w:hint="default"/>
          <w:sz w:val="5"/>
          <w:szCs w:val="5"/>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5.3pt;height:.75pt;mso-position-horizontal-relative:char;mso-position-vertical-relative:line" coordorigin="0,0" coordsize="8906,15">
            <v:group style="position:absolute;left:7;top:7;width:8891;height:2" coordorigin="7,7" coordsize="8891,2">
              <v:shape style="position:absolute;left:7;top:7;width:8891;height:2" coordorigin="7,7" coordsize="8891,0" path="m7,7l889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4"/>
          <w:szCs w:val="24"/>
        </w:rPr>
      </w:pPr>
    </w:p>
    <w:p>
      <w:pPr>
        <w:pStyle w:val="BodyText"/>
        <w:spacing w:line="297" w:lineRule="auto" w:before="36"/>
        <w:ind w:right="157"/>
        <w:jc w:val="both"/>
      </w:pPr>
      <w:r>
        <w:rPr>
          <w:spacing w:val="-2"/>
        </w:rPr>
        <w:t>本集团采用在当前情况下适用并且有足够可利用数据和其他信息支持的估值技术，优先使用相关</w:t>
      </w:r>
      <w:r>
        <w:rPr>
          <w:spacing w:val="-25"/>
        </w:rPr>
        <w:t> </w:t>
      </w:r>
      <w:r>
        <w:rPr>
          <w:spacing w:val="-25"/>
        </w:rPr>
      </w:r>
      <w:r>
        <w:rPr>
          <w:spacing w:val="-2"/>
        </w:rPr>
        <w:t>可观察输入值，只有在可观察输入值无法取得或取得不切实可行的情况下，才使用不可观察输入</w:t>
      </w:r>
      <w:r>
        <w:rPr>
          <w:spacing w:val="-25"/>
        </w:rPr>
        <w:t> </w:t>
      </w:r>
      <w:r>
        <w:rPr>
          <w:spacing w:val="-25"/>
        </w:rPr>
      </w:r>
      <w:r>
        <w:rPr/>
        <w:t>值。</w:t>
      </w:r>
    </w:p>
    <w:p>
      <w:pPr>
        <w:spacing w:line="240" w:lineRule="auto" w:before="3"/>
        <w:rPr>
          <w:rFonts w:ascii="宋体" w:hAnsi="宋体" w:cs="宋体" w:eastAsia="宋体" w:hint="default"/>
          <w:sz w:val="27"/>
          <w:szCs w:val="27"/>
        </w:rPr>
      </w:pPr>
    </w:p>
    <w:p>
      <w:pPr>
        <w:pStyle w:val="BodyText"/>
        <w:spacing w:line="297" w:lineRule="auto"/>
        <w:ind w:right="157"/>
        <w:jc w:val="both"/>
      </w:pPr>
      <w:r>
        <w:rPr>
          <w:spacing w:val="-2"/>
        </w:rPr>
        <w:t>在财务报表中以公允价值计量或披露的资产和负债，根据对公允价值计量整体而言具有重要意义</w:t>
      </w:r>
      <w:r>
        <w:rPr>
          <w:spacing w:val="-25"/>
        </w:rPr>
        <w:t> </w:t>
      </w:r>
      <w:r>
        <w:rPr>
          <w:spacing w:val="-25"/>
        </w:rPr>
      </w:r>
      <w:r>
        <w:rPr>
          <w:spacing w:val="-2"/>
        </w:rPr>
        <w:t>的最低层次输入值，确定所属的公允价值层次：第一层次输入值，在计量日能够取得的相同资产</w:t>
      </w:r>
      <w:r>
        <w:rPr>
          <w:spacing w:val="-25"/>
        </w:rPr>
        <w:t> </w:t>
      </w:r>
      <w:r>
        <w:rPr>
          <w:spacing w:val="-25"/>
        </w:rPr>
      </w:r>
      <w:r>
        <w:rPr>
          <w:spacing w:val="-2"/>
        </w:rPr>
        <w:t>或负债在活跃市场上未经调整的报价；第二层次输入值，除第一层次输入值外相关资产或负债直</w:t>
      </w:r>
      <w:r>
        <w:rPr>
          <w:spacing w:val="-25"/>
        </w:rPr>
        <w:t> </w:t>
      </w:r>
      <w:r>
        <w:rPr>
          <w:spacing w:val="-25"/>
        </w:rPr>
      </w:r>
      <w:r>
        <w:rPr/>
        <w:t>接或间接可观察的输入值；第三层次输入值，相关资产或负债的不可观察输入值。</w:t>
      </w:r>
    </w:p>
    <w:p>
      <w:pPr>
        <w:spacing w:line="240" w:lineRule="auto" w:before="3"/>
        <w:rPr>
          <w:rFonts w:ascii="宋体" w:hAnsi="宋体" w:cs="宋体" w:eastAsia="宋体" w:hint="default"/>
          <w:sz w:val="27"/>
          <w:szCs w:val="27"/>
        </w:rPr>
      </w:pPr>
    </w:p>
    <w:p>
      <w:pPr>
        <w:pStyle w:val="BodyText"/>
        <w:spacing w:line="297" w:lineRule="auto"/>
        <w:ind w:right="157"/>
        <w:jc w:val="both"/>
      </w:pPr>
      <w:r>
        <w:rPr>
          <w:spacing w:val="-2"/>
        </w:rPr>
        <w:t>每个资产负债表日，本集团对在财务报表中确认的持续以公允价值计量的资产和负债进行重新评</w:t>
      </w:r>
      <w:r>
        <w:rPr>
          <w:spacing w:val="-25"/>
        </w:rPr>
        <w:t> </w:t>
      </w:r>
      <w:r>
        <w:rPr>
          <w:spacing w:val="-25"/>
        </w:rPr>
      </w:r>
      <w:r>
        <w:rPr/>
        <w:t>估，以确定是否在公允价值计量层次之间发生转换。</w:t>
      </w:r>
    </w:p>
    <w:p>
      <w:pPr>
        <w:spacing w:line="240" w:lineRule="auto" w:before="3"/>
        <w:rPr>
          <w:rFonts w:ascii="宋体" w:hAnsi="宋体" w:cs="宋体" w:eastAsia="宋体" w:hint="default"/>
          <w:sz w:val="27"/>
          <w:szCs w:val="27"/>
        </w:rPr>
      </w:pPr>
    </w:p>
    <w:p>
      <w:pPr>
        <w:pStyle w:val="BodyText"/>
        <w:spacing w:line="240" w:lineRule="auto"/>
        <w:ind w:right="0"/>
        <w:jc w:val="both"/>
      </w:pPr>
      <w:r>
        <w:rPr/>
        <w:t>重大会计判断和估计</w:t>
      </w:r>
    </w:p>
    <w:p>
      <w:pPr>
        <w:spacing w:line="240" w:lineRule="auto" w:before="0"/>
        <w:rPr>
          <w:rFonts w:ascii="宋体" w:hAnsi="宋体" w:cs="宋体" w:eastAsia="宋体" w:hint="default"/>
          <w:sz w:val="20"/>
          <w:szCs w:val="20"/>
        </w:rPr>
      </w:pPr>
    </w:p>
    <w:p>
      <w:pPr>
        <w:pStyle w:val="BodyText"/>
        <w:spacing w:line="297" w:lineRule="auto" w:before="142"/>
        <w:ind w:right="157"/>
        <w:jc w:val="both"/>
      </w:pPr>
      <w:r>
        <w:rPr>
          <w:spacing w:val="-2"/>
        </w:rPr>
        <w:t>编制财务报表要求管理层作出判断、估计和假设，这些判断、估计和假设会影响收入、费用、资</w:t>
      </w:r>
      <w:r>
        <w:rPr>
          <w:spacing w:val="-25"/>
        </w:rPr>
        <w:t> </w:t>
      </w:r>
      <w:r>
        <w:rPr>
          <w:spacing w:val="-25"/>
        </w:rPr>
      </w:r>
      <w:r>
        <w:rPr>
          <w:spacing w:val="-2"/>
        </w:rPr>
        <w:t>产和负债的列报金额及其披露，以及资产负债表日或有负债的披露。这些假设和估计的不确定性</w:t>
      </w:r>
      <w:r>
        <w:rPr>
          <w:spacing w:val="-25"/>
        </w:rPr>
        <w:t> </w:t>
      </w:r>
      <w:r>
        <w:rPr>
          <w:spacing w:val="-25"/>
        </w:rPr>
      </w:r>
      <w:r>
        <w:rPr/>
        <w:t>所导致的结果可能造成对未来受影响的资产或负债账面金额进行重大调整。</w:t>
      </w:r>
    </w:p>
    <w:p>
      <w:pPr>
        <w:spacing w:line="240" w:lineRule="auto" w:before="3"/>
        <w:rPr>
          <w:rFonts w:ascii="宋体" w:hAnsi="宋体" w:cs="宋体" w:eastAsia="宋体" w:hint="default"/>
          <w:sz w:val="27"/>
          <w:szCs w:val="27"/>
        </w:rPr>
      </w:pPr>
    </w:p>
    <w:p>
      <w:pPr>
        <w:pStyle w:val="BodyText"/>
        <w:spacing w:line="240" w:lineRule="auto"/>
        <w:ind w:right="0"/>
        <w:jc w:val="both"/>
      </w:pPr>
      <w:r>
        <w:rPr/>
        <w:t>判断</w:t>
      </w:r>
    </w:p>
    <w:p>
      <w:pPr>
        <w:spacing w:line="240" w:lineRule="auto" w:before="0"/>
        <w:rPr>
          <w:rFonts w:ascii="宋体" w:hAnsi="宋体" w:cs="宋体" w:eastAsia="宋体" w:hint="default"/>
          <w:sz w:val="20"/>
          <w:szCs w:val="20"/>
        </w:rPr>
      </w:pPr>
    </w:p>
    <w:p>
      <w:pPr>
        <w:pStyle w:val="BodyText"/>
        <w:spacing w:line="297" w:lineRule="auto" w:before="143"/>
        <w:ind w:right="157"/>
        <w:jc w:val="both"/>
      </w:pPr>
      <w:r>
        <w:rPr>
          <w:spacing w:val="-2"/>
        </w:rPr>
        <w:t>在应用本集团的会计政策的过程中，管理层作出了以下对财务报表所确认的金额具有重大影响的</w:t>
      </w:r>
      <w:r>
        <w:rPr>
          <w:spacing w:val="-25"/>
        </w:rPr>
        <w:t> </w:t>
      </w:r>
      <w:r>
        <w:rPr>
          <w:spacing w:val="-25"/>
        </w:rPr>
      </w:r>
      <w:r>
        <w:rPr/>
        <w:t>判断：</w:t>
      </w:r>
    </w:p>
    <w:p>
      <w:pPr>
        <w:spacing w:line="240" w:lineRule="auto" w:before="3"/>
        <w:rPr>
          <w:rFonts w:ascii="宋体" w:hAnsi="宋体" w:cs="宋体" w:eastAsia="宋体" w:hint="default"/>
          <w:sz w:val="27"/>
          <w:szCs w:val="27"/>
        </w:rPr>
      </w:pPr>
    </w:p>
    <w:p>
      <w:pPr>
        <w:pStyle w:val="BodyText"/>
        <w:spacing w:line="297" w:lineRule="auto"/>
        <w:ind w:right="144"/>
        <w:jc w:val="left"/>
      </w:pPr>
      <w:r>
        <w:rPr/>
        <w:t>经营租赁——作为出租人</w:t>
      </w:r>
      <w:r>
        <w:rPr>
          <w:w w:val="100"/>
        </w:rPr>
        <w:t> </w:t>
      </w:r>
      <w:r>
        <w:rPr>
          <w:spacing w:val="-2"/>
        </w:rPr>
        <w:t>本集团就固定资产签订了租赁合同。本集团认为，根据租赁合同的条款，本集团保留了这些房地</w:t>
      </w:r>
      <w:r>
        <w:rPr>
          <w:spacing w:val="-25"/>
        </w:rPr>
        <w:t> </w:t>
      </w:r>
      <w:r>
        <w:rPr>
          <w:spacing w:val="-25"/>
        </w:rPr>
      </w:r>
      <w:r>
        <w:rPr/>
        <w:t>产所有权上的所有重大风险和报酬，因此作为经营租赁处理。</w:t>
      </w:r>
    </w:p>
    <w:p>
      <w:pPr>
        <w:spacing w:line="240" w:lineRule="auto" w:before="1"/>
        <w:rPr>
          <w:rFonts w:ascii="宋体" w:hAnsi="宋体" w:cs="宋体" w:eastAsia="宋体" w:hint="default"/>
          <w:sz w:val="27"/>
          <w:szCs w:val="27"/>
        </w:rPr>
      </w:pPr>
    </w:p>
    <w:p>
      <w:pPr>
        <w:pStyle w:val="BodyText"/>
        <w:spacing w:line="240" w:lineRule="auto"/>
        <w:ind w:right="0"/>
        <w:jc w:val="both"/>
      </w:pPr>
      <w:r>
        <w:rPr/>
        <w:t>估计的不确定性</w:t>
      </w:r>
    </w:p>
    <w:p>
      <w:pPr>
        <w:spacing w:line="240" w:lineRule="auto" w:before="0"/>
        <w:rPr>
          <w:rFonts w:ascii="宋体" w:hAnsi="宋体" w:cs="宋体" w:eastAsia="宋体" w:hint="default"/>
          <w:sz w:val="20"/>
          <w:szCs w:val="20"/>
        </w:rPr>
      </w:pPr>
    </w:p>
    <w:p>
      <w:pPr>
        <w:pStyle w:val="BodyText"/>
        <w:spacing w:line="297" w:lineRule="auto" w:before="145"/>
        <w:ind w:right="157"/>
        <w:jc w:val="both"/>
      </w:pPr>
      <w:r>
        <w:rPr>
          <w:spacing w:val="-2"/>
        </w:rPr>
        <w:t>以下为于资产负债表日有关未来的关键假设以及估计不确定性的其他关键来源，可能会导致未来</w:t>
      </w:r>
      <w:r>
        <w:rPr>
          <w:spacing w:val="-25"/>
        </w:rPr>
        <w:t> </w:t>
      </w:r>
      <w:r>
        <w:rPr>
          <w:spacing w:val="-25"/>
        </w:rPr>
      </w:r>
      <w:r>
        <w:rPr/>
        <w:t>会计期间资产和负债账面金额重大调整。</w:t>
      </w:r>
    </w:p>
    <w:p>
      <w:pPr>
        <w:spacing w:line="240" w:lineRule="auto" w:before="1"/>
        <w:rPr>
          <w:rFonts w:ascii="宋体" w:hAnsi="宋体" w:cs="宋体" w:eastAsia="宋体" w:hint="default"/>
          <w:sz w:val="27"/>
          <w:szCs w:val="27"/>
        </w:rPr>
      </w:pPr>
    </w:p>
    <w:p>
      <w:pPr>
        <w:pStyle w:val="BodyText"/>
        <w:spacing w:line="297" w:lineRule="auto"/>
        <w:ind w:right="144"/>
        <w:jc w:val="left"/>
      </w:pPr>
      <w:r>
        <w:rPr/>
        <w:t>除金融资产之外的非流动资产减值</w:t>
      </w:r>
      <w:r>
        <w:rPr>
          <w:rFonts w:ascii="宋体" w:hAnsi="宋体" w:cs="宋体" w:eastAsia="宋体" w:hint="default"/>
        </w:rPr>
        <w:t>(</w:t>
      </w:r>
      <w:r>
        <w:rPr/>
        <w:t>除商誉外</w:t>
      </w:r>
      <w:r>
        <w:rPr>
          <w:rFonts w:ascii="宋体" w:hAnsi="宋体" w:cs="宋体" w:eastAsia="宋体" w:hint="default"/>
        </w:rPr>
        <w:t>)</w:t>
      </w:r>
      <w:r>
        <w:rPr>
          <w:rFonts w:ascii="宋体" w:hAnsi="宋体" w:cs="宋体" w:eastAsia="宋体" w:hint="default"/>
          <w:w w:val="100"/>
        </w:rPr>
        <w:t> </w:t>
      </w:r>
      <w:r>
        <w:rPr>
          <w:spacing w:val="-2"/>
        </w:rPr>
        <w:t>本集团于资产负债表日对除金融资产之外的非流动资产判断是否存在可能发生减值的迹象。对使</w:t>
      </w:r>
      <w:r>
        <w:rPr>
          <w:spacing w:val="-25"/>
        </w:rPr>
        <w:t> </w:t>
      </w:r>
      <w:r>
        <w:rPr>
          <w:spacing w:val="-25"/>
        </w:rPr>
      </w:r>
      <w:r>
        <w:rPr>
          <w:spacing w:val="-2"/>
        </w:rPr>
        <w:t>用寿命不确定的无形资产，除每年进行的减值测试外，当其存在减值迹象时，也进行减值测试。</w:t>
      </w:r>
      <w:r>
        <w:rPr>
          <w:spacing w:val="-25"/>
        </w:rPr>
        <w:t> </w:t>
      </w:r>
      <w:r>
        <w:rPr>
          <w:spacing w:val="-25"/>
        </w:rPr>
      </w:r>
      <w:r>
        <w:rPr>
          <w:spacing w:val="-2"/>
        </w:rPr>
        <w:t>其他除金融资产之外的非流动资产，当存在迹象表明其账面金额不可收回时，进行减值测试。当</w:t>
      </w:r>
      <w:r>
        <w:rPr>
          <w:spacing w:val="-25"/>
        </w:rPr>
        <w:t> </w:t>
      </w:r>
      <w:r>
        <w:rPr>
          <w:spacing w:val="-25"/>
        </w:rPr>
      </w:r>
      <w:r>
        <w:rPr>
          <w:spacing w:val="-2"/>
        </w:rPr>
        <w:t>资产或资产组的账面价值高于可收回金额，即公允价值减去处置费用后的净额和预计未来现金流</w:t>
      </w:r>
      <w:r>
        <w:rPr>
          <w:spacing w:val="-25"/>
        </w:rPr>
        <w:t> </w:t>
      </w:r>
      <w:r>
        <w:rPr>
          <w:spacing w:val="-25"/>
        </w:rPr>
      </w:r>
      <w:r>
        <w:rPr>
          <w:spacing w:val="-2"/>
        </w:rPr>
        <w:t>量的现值中的较高者，表明发生了减值。公允价值减去处置费用后的净额，参考公平交易中类似</w:t>
      </w:r>
      <w:r>
        <w:rPr>
          <w:spacing w:val="-25"/>
        </w:rPr>
        <w:t> </w:t>
      </w:r>
      <w:r>
        <w:rPr>
          <w:spacing w:val="-25"/>
        </w:rPr>
      </w:r>
      <w:r>
        <w:rPr>
          <w:spacing w:val="-2"/>
        </w:rPr>
        <w:t>资产的销售协议价格或可观察到的市场价格，减去可直接归属于该资产处置的增量成本确定。预</w:t>
      </w:r>
    </w:p>
    <w:p>
      <w:pPr>
        <w:spacing w:after="0" w:line="297" w:lineRule="auto"/>
        <w:jc w:val="left"/>
        <w:sectPr>
          <w:headerReference w:type="default" r:id="rId54"/>
          <w:footerReference w:type="default" r:id="rId55"/>
          <w:pgSz w:w="11910" w:h="16840"/>
          <w:pgMar w:header="0" w:footer="1335" w:top="1020" w:bottom="1520" w:left="1660" w:right="1120"/>
          <w:pgNumType w:start="37"/>
        </w:sectPr>
      </w:pPr>
    </w:p>
    <w:p>
      <w:pPr>
        <w:spacing w:line="240" w:lineRule="auto" w:before="1"/>
        <w:rPr>
          <w:rFonts w:ascii="宋体" w:hAnsi="宋体" w:cs="宋体" w:eastAsia="宋体" w:hint="default"/>
          <w:sz w:val="25"/>
          <w:szCs w:val="25"/>
        </w:rPr>
      </w:pPr>
    </w:p>
    <w:p>
      <w:pPr>
        <w:pStyle w:val="BodyText"/>
        <w:spacing w:line="297" w:lineRule="auto" w:before="36"/>
        <w:ind w:right="103"/>
        <w:jc w:val="left"/>
      </w:pPr>
      <w:r>
        <w:rPr>
          <w:spacing w:val="-2"/>
        </w:rPr>
        <w:t>计未来现金流量现值时，管理层必须估计该项资产或资产组的预计未来现金流量，并选择恰当的</w:t>
      </w:r>
      <w:r>
        <w:rPr>
          <w:spacing w:val="-25"/>
        </w:rPr>
        <w:t> </w:t>
      </w:r>
      <w:r>
        <w:rPr>
          <w:spacing w:val="-25"/>
        </w:rPr>
      </w:r>
      <w:r>
        <w:rPr/>
        <w:t>折现率确定未来现金流量的现值。</w:t>
      </w:r>
    </w:p>
    <w:p>
      <w:pPr>
        <w:spacing w:line="240" w:lineRule="auto" w:before="3"/>
        <w:rPr>
          <w:rFonts w:ascii="宋体" w:hAnsi="宋体" w:cs="宋体" w:eastAsia="宋体" w:hint="default"/>
          <w:sz w:val="27"/>
          <w:szCs w:val="27"/>
        </w:rPr>
      </w:pPr>
    </w:p>
    <w:p>
      <w:pPr>
        <w:pStyle w:val="BodyText"/>
        <w:spacing w:line="297" w:lineRule="auto"/>
        <w:ind w:right="103"/>
        <w:jc w:val="left"/>
      </w:pPr>
      <w:r>
        <w:rPr/>
        <w:t>商誉减值</w:t>
      </w:r>
      <w:r>
        <w:rPr>
          <w:w w:val="100"/>
        </w:rPr>
        <w:t> </w:t>
      </w:r>
      <w:r>
        <w:rPr>
          <w:spacing w:val="-2"/>
        </w:rPr>
        <w:t>本集团至少每年测试商誉是否发生减值。这要求对分配了商誉的资产组或者资产组组合的未来现</w:t>
      </w:r>
      <w:r>
        <w:rPr>
          <w:spacing w:val="-25"/>
        </w:rPr>
        <w:t> </w:t>
      </w:r>
      <w:r>
        <w:rPr>
          <w:spacing w:val="-25"/>
        </w:rPr>
      </w:r>
      <w:r>
        <w:rPr>
          <w:spacing w:val="-2"/>
        </w:rPr>
        <w:t>金流量的现值进行预计。对未来现金流量的现值进行预计时，本集团需要预计未来资产组或者资</w:t>
      </w:r>
      <w:r>
        <w:rPr>
          <w:spacing w:val="-25"/>
        </w:rPr>
        <w:t> </w:t>
      </w:r>
      <w:r>
        <w:rPr>
          <w:spacing w:val="-25"/>
        </w:rPr>
      </w:r>
      <w:r>
        <w:rPr/>
        <w:t>产组组合产生的现金流量，同时选择恰当的折现率确定未来现金流量的现值。</w:t>
      </w:r>
    </w:p>
    <w:p>
      <w:pPr>
        <w:spacing w:line="240" w:lineRule="auto" w:before="3"/>
        <w:rPr>
          <w:rFonts w:ascii="宋体" w:hAnsi="宋体" w:cs="宋体" w:eastAsia="宋体" w:hint="default"/>
          <w:sz w:val="27"/>
          <w:szCs w:val="27"/>
        </w:rPr>
      </w:pPr>
    </w:p>
    <w:p>
      <w:pPr>
        <w:pStyle w:val="BodyText"/>
        <w:spacing w:line="297" w:lineRule="auto"/>
        <w:ind w:right="103"/>
        <w:jc w:val="left"/>
      </w:pPr>
      <w:r>
        <w:rPr/>
        <w:t>开发支出</w:t>
      </w:r>
      <w:r>
        <w:rPr>
          <w:w w:val="100"/>
        </w:rPr>
        <w:t> </w:t>
      </w:r>
      <w:r>
        <w:rPr>
          <w:spacing w:val="-2"/>
        </w:rPr>
        <w:t>确定资本化的金额时，管理层必须作出有关资产的预计未来现金流量适用的折现率以及预计受益</w:t>
      </w:r>
      <w:r>
        <w:rPr>
          <w:spacing w:val="-25"/>
        </w:rPr>
        <w:t> </w:t>
      </w:r>
      <w:r>
        <w:rPr>
          <w:spacing w:val="-25"/>
        </w:rPr>
      </w:r>
      <w:r>
        <w:rPr/>
        <w:t>期间的假设。</w:t>
      </w:r>
    </w:p>
    <w:p>
      <w:pPr>
        <w:spacing w:line="240" w:lineRule="auto" w:before="3"/>
        <w:rPr>
          <w:rFonts w:ascii="宋体" w:hAnsi="宋体" w:cs="宋体" w:eastAsia="宋体" w:hint="default"/>
          <w:sz w:val="27"/>
          <w:szCs w:val="27"/>
        </w:rPr>
      </w:pPr>
    </w:p>
    <w:p>
      <w:pPr>
        <w:pStyle w:val="BodyText"/>
        <w:spacing w:line="297" w:lineRule="auto"/>
        <w:ind w:right="101"/>
        <w:jc w:val="left"/>
      </w:pPr>
      <w:r>
        <w:rPr/>
        <w:t>递延所得税资产</w:t>
      </w:r>
      <w:r>
        <w:rPr>
          <w:spacing w:val="-103"/>
        </w:rPr>
        <w:t> </w:t>
      </w:r>
      <w:r>
        <w:rPr>
          <w:spacing w:val="-103"/>
        </w:rPr>
      </w:r>
      <w:r>
        <w:rPr/>
        <w:t>在很可能有足够的应纳税所得额用以抵扣可抵扣亏损的限度内，应就所有尚未利用的可抵扣亏损</w:t>
      </w:r>
      <w:r>
        <w:rPr>
          <w:w w:val="100"/>
        </w:rPr>
        <w:t> </w:t>
      </w:r>
      <w:r>
        <w:rPr>
          <w:spacing w:val="-4"/>
          <w:w w:val="100"/>
        </w:rPr>
        <w:t>确认递延所得税资产。这需要管理层运用大量的判断来估计未来取得应纳税所得额的时间和金额，</w:t>
      </w:r>
      <w:r>
        <w:rPr>
          <w:spacing w:val="-85"/>
          <w:w w:val="100"/>
        </w:rPr>
        <w:t> </w:t>
      </w:r>
      <w:r>
        <w:rPr>
          <w:spacing w:val="-85"/>
          <w:w w:val="100"/>
        </w:rPr>
      </w:r>
      <w:r>
        <w:rPr/>
        <w:t>结合纳税筹划策略，以决定应确认的递延所得税资产的金额。</w:t>
      </w:r>
    </w:p>
    <w:p>
      <w:pPr>
        <w:spacing w:line="240" w:lineRule="auto" w:before="3"/>
        <w:rPr>
          <w:rFonts w:ascii="宋体" w:hAnsi="宋体" w:cs="宋体" w:eastAsia="宋体" w:hint="default"/>
          <w:sz w:val="27"/>
          <w:szCs w:val="27"/>
        </w:rPr>
      </w:pPr>
    </w:p>
    <w:p>
      <w:pPr>
        <w:pStyle w:val="BodyText"/>
        <w:spacing w:line="297" w:lineRule="auto"/>
        <w:ind w:right="103"/>
        <w:jc w:val="left"/>
      </w:pPr>
      <w:r>
        <w:rPr/>
        <w:t>折旧</w:t>
      </w:r>
      <w:r>
        <w:rPr>
          <w:spacing w:val="-103"/>
        </w:rPr>
        <w:t> </w:t>
      </w:r>
      <w:r>
        <w:rPr>
          <w:spacing w:val="-2"/>
        </w:rPr>
        <w:t>本集团对固定资产在考虑其残值后，在预计可使用年限内按直线法计提折旧。本集团定期审阅预</w:t>
      </w:r>
      <w:r>
        <w:rPr>
          <w:spacing w:val="-25"/>
        </w:rPr>
        <w:t> </w:t>
      </w:r>
      <w:r>
        <w:rPr>
          <w:spacing w:val="-25"/>
        </w:rPr>
      </w:r>
      <w:r>
        <w:rPr>
          <w:spacing w:val="-2"/>
        </w:rPr>
        <w:t>计可使用年限，以决定将计入每个报告期的折旧费用数额。预计可使用年限是本集团根据对同类</w:t>
      </w:r>
      <w:r>
        <w:rPr>
          <w:spacing w:val="-25"/>
        </w:rPr>
        <w:t> </w:t>
      </w:r>
      <w:r>
        <w:rPr>
          <w:spacing w:val="-25"/>
        </w:rPr>
      </w:r>
      <w:r>
        <w:rPr>
          <w:spacing w:val="-2"/>
        </w:rPr>
        <w:t>资产的已往经验并结合预期的技术改变而确定。如果以前的估计发生重大变化，则会在未来期间</w:t>
      </w:r>
      <w:r>
        <w:rPr>
          <w:spacing w:val="-25"/>
        </w:rPr>
        <w:t> </w:t>
      </w:r>
      <w:r>
        <w:rPr>
          <w:spacing w:val="-25"/>
        </w:rPr>
      </w:r>
      <w:r>
        <w:rPr/>
        <w:t>对折旧费用进行调整。</w:t>
      </w:r>
    </w:p>
    <w:p>
      <w:pPr>
        <w:spacing w:line="240" w:lineRule="auto" w:before="3"/>
        <w:rPr>
          <w:rFonts w:ascii="宋体" w:hAnsi="宋体" w:cs="宋体" w:eastAsia="宋体" w:hint="default"/>
          <w:sz w:val="27"/>
          <w:szCs w:val="27"/>
        </w:rPr>
      </w:pPr>
    </w:p>
    <w:p>
      <w:pPr>
        <w:pStyle w:val="BodyText"/>
        <w:spacing w:line="297" w:lineRule="auto"/>
        <w:ind w:right="103"/>
        <w:jc w:val="left"/>
      </w:pPr>
      <w:r>
        <w:rPr/>
        <w:t>无形资产的可使用寿命</w:t>
      </w:r>
      <w:r>
        <w:rPr>
          <w:w w:val="100"/>
        </w:rPr>
        <w:t> </w:t>
      </w:r>
      <w:r>
        <w:rPr>
          <w:spacing w:val="-2"/>
        </w:rPr>
        <w:t>无形资产的预计可使用寿命，以过去性质及功能相似的无形资产的实际使用寿命为基础，按照历</w:t>
      </w:r>
      <w:r>
        <w:rPr>
          <w:spacing w:val="-25"/>
        </w:rPr>
        <w:t> </w:t>
      </w:r>
      <w:r>
        <w:rPr>
          <w:spacing w:val="-25"/>
        </w:rPr>
      </w:r>
      <w:r>
        <w:rPr/>
        <w:t>史经验施行估计，并考虑该些无形资产适用的合同性权利或其他法定权利的期限。</w:t>
      </w:r>
    </w:p>
    <w:p>
      <w:pPr>
        <w:spacing w:line="240" w:lineRule="auto" w:before="1"/>
        <w:rPr>
          <w:rFonts w:ascii="宋体" w:hAnsi="宋体" w:cs="宋体" w:eastAsia="宋体" w:hint="default"/>
          <w:sz w:val="27"/>
          <w:szCs w:val="27"/>
        </w:rPr>
      </w:pPr>
    </w:p>
    <w:p>
      <w:pPr>
        <w:pStyle w:val="BodyText"/>
        <w:spacing w:line="297" w:lineRule="auto"/>
        <w:ind w:right="217"/>
        <w:jc w:val="both"/>
      </w:pPr>
      <w:r>
        <w:rPr>
          <w:spacing w:val="-2"/>
        </w:rPr>
        <w:t>如果该些无形资产的可使用寿命缩短或延长，则对于可使用寿命有限的无形资产，应改变其摊销</w:t>
      </w:r>
      <w:r>
        <w:rPr>
          <w:spacing w:val="-25"/>
        </w:rPr>
        <w:t> </w:t>
      </w:r>
      <w:r>
        <w:rPr>
          <w:spacing w:val="-25"/>
        </w:rPr>
      </w:r>
      <w:r>
        <w:rPr>
          <w:spacing w:val="-2"/>
        </w:rPr>
        <w:t>年限；对于可使用寿命不确定的无形资产，如果有证据表明其使用寿命是有限的，应当估计其使</w:t>
      </w:r>
      <w:r>
        <w:rPr>
          <w:spacing w:val="-25"/>
        </w:rPr>
        <w:t> </w:t>
      </w:r>
      <w:r>
        <w:rPr>
          <w:spacing w:val="-25"/>
        </w:rPr>
      </w:r>
      <w:r>
        <w:rPr/>
        <w:t>用寿命并按照使用寿命有限的无形资产的处理原则进行处理。</w:t>
      </w:r>
    </w:p>
    <w:p>
      <w:pPr>
        <w:spacing w:line="240" w:lineRule="auto" w:before="3"/>
        <w:rPr>
          <w:rFonts w:ascii="宋体" w:hAnsi="宋体" w:cs="宋体" w:eastAsia="宋体" w:hint="default"/>
          <w:sz w:val="27"/>
          <w:szCs w:val="27"/>
        </w:rPr>
      </w:pPr>
    </w:p>
    <w:p>
      <w:pPr>
        <w:pStyle w:val="BodyText"/>
        <w:spacing w:line="297" w:lineRule="auto"/>
        <w:ind w:right="103"/>
        <w:jc w:val="left"/>
      </w:pPr>
      <w:r>
        <w:rPr/>
        <w:t>应收款项的坏账准备</w:t>
      </w:r>
      <w:r>
        <w:rPr>
          <w:w w:val="100"/>
        </w:rPr>
        <w:t> </w:t>
      </w:r>
      <w:r>
        <w:rPr>
          <w:spacing w:val="-2"/>
        </w:rPr>
        <w:t>应收款项的坏账准备由管理层根据会影响应收款项回收的客观证据</w:t>
      </w:r>
      <w:r>
        <w:rPr>
          <w:rFonts w:ascii="宋体" w:hAnsi="宋体" w:cs="宋体" w:eastAsia="宋体" w:hint="default"/>
          <w:spacing w:val="-2"/>
        </w:rPr>
        <w:t>(</w:t>
      </w:r>
      <w:r>
        <w:rPr>
          <w:spacing w:val="-2"/>
        </w:rPr>
        <w:t>如债务人破产或出现严重财</w:t>
      </w:r>
      <w:r>
        <w:rPr>
          <w:spacing w:val="-28"/>
        </w:rPr>
        <w:t> </w:t>
      </w:r>
      <w:r>
        <w:rPr>
          <w:spacing w:val="-28"/>
        </w:rPr>
      </w:r>
      <w:r>
        <w:rPr/>
        <w:t>政困难的可能性</w:t>
      </w:r>
      <w:r>
        <w:rPr>
          <w:rFonts w:ascii="宋体" w:hAnsi="宋体" w:cs="宋体" w:eastAsia="宋体" w:hint="default"/>
        </w:rPr>
        <w:t>)</w:t>
      </w:r>
      <w:r>
        <w:rPr/>
        <w:t>确定。管理层将会于每年年末重新估计坏账准备。</w:t>
      </w:r>
    </w:p>
    <w:p>
      <w:pPr>
        <w:spacing w:line="240" w:lineRule="auto" w:before="3"/>
        <w:rPr>
          <w:rFonts w:ascii="宋体" w:hAnsi="宋体" w:cs="宋体" w:eastAsia="宋体" w:hint="default"/>
          <w:sz w:val="27"/>
          <w:szCs w:val="27"/>
        </w:rPr>
      </w:pPr>
    </w:p>
    <w:p>
      <w:pPr>
        <w:pStyle w:val="BodyText"/>
        <w:spacing w:line="297" w:lineRule="auto"/>
        <w:ind w:right="204"/>
        <w:jc w:val="left"/>
      </w:pPr>
      <w:r>
        <w:rPr/>
        <w:t>所得税</w:t>
      </w:r>
      <w:r>
        <w:rPr>
          <w:spacing w:val="-102"/>
        </w:rPr>
        <w:t> </w:t>
      </w:r>
      <w:r>
        <w:rPr>
          <w:spacing w:val="-2"/>
        </w:rPr>
        <w:t>本公司及其子公司因分布在国内若干省份而需分别在其所在地缴纳企业所得税。在计提企业所得</w:t>
      </w:r>
      <w:r>
        <w:rPr>
          <w:spacing w:val="-25"/>
        </w:rPr>
        <w:t> </w:t>
      </w:r>
      <w:r>
        <w:rPr>
          <w:spacing w:val="-25"/>
        </w:rPr>
      </w:r>
      <w:r>
        <w:rPr>
          <w:spacing w:val="-2"/>
        </w:rPr>
        <w:t>税时，由于有关企业所得税的若干事项尚未获得主管税务机关确认，因此需以现行的税收法规及</w:t>
      </w:r>
      <w:r>
        <w:rPr>
          <w:spacing w:val="-25"/>
        </w:rPr>
        <w:t> </w:t>
      </w:r>
      <w:r>
        <w:rPr>
          <w:spacing w:val="-25"/>
        </w:rPr>
      </w:r>
      <w:r>
        <w:rPr>
          <w:spacing w:val="-6"/>
          <w:w w:val="100"/>
        </w:rPr>
        <w:t>其他相关政策为依据，作出可靠的估计和判断。若有关事项的最终税务结果有别于已确认金额时，</w:t>
      </w:r>
      <w:r>
        <w:rPr>
          <w:w w:val="100"/>
        </w:rPr>
        <w:t> </w:t>
      </w:r>
      <w:r>
        <w:rPr/>
        <w:t>该些差额将对当期的所得税造成影响。</w:t>
      </w:r>
    </w:p>
    <w:p>
      <w:pPr>
        <w:spacing w:after="0" w:line="297" w:lineRule="auto"/>
        <w:jc w:val="left"/>
        <w:sectPr>
          <w:headerReference w:type="default" r:id="rId56"/>
          <w:pgSz w:w="11910" w:h="16840"/>
          <w:pgMar w:header="926" w:footer="1335" w:top="1120" w:bottom="152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64" w:lineRule="auto" w:before="175"/>
        <w:ind w:right="3915"/>
        <w:jc w:val="left"/>
        <w:rPr>
          <w:b w:val="0"/>
          <w:bCs w:val="0"/>
        </w:rPr>
      </w:pPr>
      <w:r>
        <w:rPr>
          <w:rFonts w:ascii="Calibri" w:hAnsi="Calibri" w:cs="Calibri" w:eastAsia="Calibri" w:hint="default"/>
        </w:rPr>
        <w:t>33.</w:t>
      </w:r>
      <w:r>
        <w:rPr>
          <w:rFonts w:ascii="Calibri" w:hAnsi="Calibri" w:cs="Calibri" w:eastAsia="Calibri" w:hint="default"/>
          <w:spacing w:val="10"/>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37"/>
        <w:ind w:left="218" w:right="391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7"/>
        <w:gridCol w:w="3053"/>
        <w:gridCol w:w="3039"/>
      </w:tblGrid>
      <w:tr>
        <w:trPr>
          <w:trHeight w:val="554"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c>
          <w:tcPr>
            <w:tcW w:w="303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ind w:left="218" w:right="3915"/>
        <w:jc w:val="left"/>
      </w:pPr>
      <w:r>
        <w:rPr/>
        <w:t>其他说明</w:t>
      </w:r>
    </w:p>
    <w:p>
      <w:pPr>
        <w:pStyle w:val="BodyText"/>
        <w:spacing w:line="272" w:lineRule="exact"/>
        <w:ind w:left="930" w:right="0"/>
        <w:jc w:val="both"/>
      </w:pPr>
      <w:r>
        <w:rPr>
          <w:rFonts w:ascii="宋体" w:hAnsi="宋体" w:cs="宋体" w:eastAsia="宋体" w:hint="default"/>
          <w:spacing w:val="-3"/>
        </w:rPr>
        <w:t>2015</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4</w:t>
      </w:r>
      <w:r>
        <w:rPr>
          <w:spacing w:val="-3"/>
        </w:rPr>
        <w:t>日，财政部以财会〔</w:t>
      </w:r>
      <w:r>
        <w:rPr>
          <w:rFonts w:ascii="宋体" w:hAnsi="宋体" w:cs="宋体" w:eastAsia="宋体" w:hint="default"/>
          <w:spacing w:val="-3"/>
        </w:rPr>
        <w:t>2015</w:t>
      </w:r>
      <w:r>
        <w:rPr>
          <w:spacing w:val="-3"/>
        </w:rPr>
        <w:t>〕</w:t>
      </w:r>
      <w:r>
        <w:rPr>
          <w:rFonts w:ascii="宋体" w:hAnsi="宋体" w:cs="宋体" w:eastAsia="宋体" w:hint="default"/>
          <w:spacing w:val="-3"/>
        </w:rPr>
        <w:t>19</w:t>
      </w:r>
      <w:r>
        <w:rPr>
          <w:spacing w:val="-3"/>
        </w:rPr>
        <w:t>号印发《企业会计准则解释第</w:t>
      </w:r>
      <w:r>
        <w:rPr>
          <w:rFonts w:ascii="宋体" w:hAnsi="宋体" w:cs="宋体" w:eastAsia="宋体" w:hint="default"/>
          <w:spacing w:val="-3"/>
        </w:rPr>
        <w:t>7</w:t>
      </w:r>
      <w:r>
        <w:rPr>
          <w:spacing w:val="-3"/>
        </w:rPr>
        <w:t>号》。主要涉及</w:t>
      </w:r>
    </w:p>
    <w:p>
      <w:pPr>
        <w:pStyle w:val="BodyText"/>
        <w:spacing w:line="240" w:lineRule="auto" w:before="66"/>
        <w:ind w:left="930" w:right="0"/>
        <w:jc w:val="both"/>
      </w:pP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rFonts w:ascii="宋体" w:hAnsi="宋体" w:cs="宋体" w:eastAsia="宋体" w:hint="default"/>
          <w:w w:val="100"/>
        </w:rPr>
        <w:t>1</w:t>
      </w:r>
      <w:r>
        <w:rPr>
          <w:rFonts w:ascii="宋体" w:hAnsi="宋体" w:cs="宋体" w:eastAsia="宋体" w:hint="default"/>
          <w:spacing w:val="-3"/>
          <w:w w:val="100"/>
        </w:rPr>
        <w:t>1</w:t>
      </w:r>
      <w:r>
        <w:rPr>
          <w:w w:val="100"/>
        </w:rPr>
        <w:t>号</w:t>
      </w:r>
      <w:r>
        <w:rPr>
          <w:spacing w:val="-3"/>
          <w:w w:val="100"/>
        </w:rPr>
        <w:t>—</w:t>
      </w:r>
      <w:r>
        <w:rPr>
          <w:w w:val="100"/>
        </w:rPr>
        <w:t>—股</w:t>
      </w:r>
      <w:r>
        <w:rPr>
          <w:spacing w:val="-3"/>
          <w:w w:val="100"/>
        </w:rPr>
        <w:t>份</w:t>
      </w:r>
      <w:r>
        <w:rPr>
          <w:w w:val="100"/>
        </w:rPr>
        <w:t>支</w:t>
      </w:r>
      <w:r>
        <w:rPr>
          <w:spacing w:val="-3"/>
          <w:w w:val="100"/>
        </w:rPr>
        <w:t>付</w:t>
      </w:r>
      <w:r>
        <w:rPr>
          <w:spacing w:val="-99"/>
          <w:w w:val="100"/>
        </w:rPr>
        <w:t>》</w:t>
      </w:r>
      <w:r>
        <w:rPr>
          <w:spacing w:val="-195"/>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w:t>
      </w:r>
      <w:r>
        <w:rPr>
          <w:spacing w:val="-1"/>
          <w:w w:val="100"/>
        </w:rPr>
        <w:t>第</w:t>
      </w:r>
      <w:r>
        <w:rPr>
          <w:rFonts w:ascii="宋体" w:hAnsi="宋体" w:cs="宋体" w:eastAsia="宋体" w:hint="default"/>
          <w:w w:val="100"/>
        </w:rPr>
        <w:t>2</w:t>
      </w:r>
      <w:r>
        <w:rPr>
          <w:rFonts w:ascii="宋体" w:hAnsi="宋体" w:cs="宋体" w:eastAsia="宋体" w:hint="default"/>
          <w:spacing w:val="-3"/>
          <w:w w:val="100"/>
        </w:rPr>
        <w:t>2</w:t>
      </w:r>
      <w:r>
        <w:rPr>
          <w:w w:val="100"/>
        </w:rPr>
        <w:t>号</w:t>
      </w:r>
      <w:r>
        <w:rPr>
          <w:spacing w:val="-3"/>
          <w:w w:val="100"/>
        </w:rPr>
        <w:t>—</w:t>
      </w:r>
      <w:r>
        <w:rPr>
          <w:w w:val="100"/>
        </w:rPr>
        <w:t>—</w:t>
      </w:r>
      <w:r>
        <w:rPr>
          <w:spacing w:val="-3"/>
          <w:w w:val="100"/>
        </w:rPr>
        <w:t>金</w:t>
      </w:r>
      <w:r>
        <w:rPr>
          <w:w w:val="100"/>
        </w:rPr>
        <w:t>融</w:t>
      </w:r>
      <w:r>
        <w:rPr>
          <w:spacing w:val="-3"/>
          <w:w w:val="100"/>
        </w:rPr>
        <w:t>工</w:t>
      </w:r>
      <w:r>
        <w:rPr>
          <w:w w:val="100"/>
        </w:rPr>
        <w:t>具</w:t>
      </w:r>
      <w:r>
        <w:rPr>
          <w:spacing w:val="-3"/>
          <w:w w:val="100"/>
        </w:rPr>
        <w:t>确</w:t>
      </w:r>
      <w:r>
        <w:rPr>
          <w:w w:val="100"/>
        </w:rPr>
        <w:t>认和</w:t>
      </w:r>
      <w:r>
        <w:rPr>
          <w:spacing w:val="-3"/>
          <w:w w:val="100"/>
        </w:rPr>
        <w:t>计量</w:t>
      </w:r>
      <w:r>
        <w:rPr>
          <w:spacing w:val="-97"/>
          <w:w w:val="100"/>
        </w:rPr>
        <w:t>》</w:t>
      </w:r>
      <w:r>
        <w:rPr>
          <w:w w:val="100"/>
        </w:rPr>
        <w:t>、</w:t>
      </w:r>
    </w:p>
    <w:p>
      <w:pPr>
        <w:pStyle w:val="BodyText"/>
        <w:spacing w:line="297" w:lineRule="auto" w:before="66"/>
        <w:ind w:left="930" w:right="228"/>
        <w:jc w:val="left"/>
      </w:pPr>
      <w:r>
        <w:rPr>
          <w:spacing w:val="-4"/>
        </w:rPr>
        <w:t>《企业会计准则第</w:t>
      </w:r>
      <w:r>
        <w:rPr>
          <w:rFonts w:ascii="宋体" w:hAnsi="宋体" w:cs="宋体" w:eastAsia="宋体" w:hint="default"/>
          <w:spacing w:val="-4"/>
        </w:rPr>
        <w:t>34</w:t>
      </w:r>
      <w:r>
        <w:rPr>
          <w:spacing w:val="-4"/>
        </w:rPr>
        <w:t>号——每股收益》和《企业会计准则第</w:t>
      </w:r>
      <w:r>
        <w:rPr>
          <w:rFonts w:ascii="宋体" w:hAnsi="宋体" w:cs="宋体" w:eastAsia="宋体" w:hint="default"/>
          <w:spacing w:val="-4"/>
        </w:rPr>
        <w:t>37</w:t>
      </w:r>
      <w:r>
        <w:rPr>
          <w:spacing w:val="-4"/>
        </w:rPr>
        <w:t>号——金融工具列报》等准</w:t>
      </w:r>
      <w:r>
        <w:rPr>
          <w:spacing w:val="-20"/>
        </w:rPr>
        <w:t> </w:t>
      </w:r>
      <w:r>
        <w:rPr>
          <w:spacing w:val="-20"/>
        </w:rPr>
      </w:r>
      <w:r>
        <w:rPr/>
        <w:t>则。该解释中的会计处理规定适用于</w:t>
      </w:r>
      <w:r>
        <w:rPr>
          <w:rFonts w:ascii="宋体" w:hAnsi="宋体" w:cs="宋体" w:eastAsia="宋体" w:hint="default"/>
        </w:rPr>
        <w:t>2015</w:t>
      </w:r>
      <w:r>
        <w:rPr/>
        <w:t>年年度及以后期间的财务报告。</w:t>
      </w:r>
    </w:p>
    <w:p>
      <w:pPr>
        <w:spacing w:line="240" w:lineRule="auto" w:before="3"/>
        <w:rPr>
          <w:rFonts w:ascii="宋体" w:hAnsi="宋体" w:cs="宋体" w:eastAsia="宋体" w:hint="default"/>
          <w:sz w:val="27"/>
          <w:szCs w:val="27"/>
        </w:rPr>
      </w:pPr>
    </w:p>
    <w:p>
      <w:pPr>
        <w:pStyle w:val="BodyText"/>
        <w:spacing w:line="295" w:lineRule="auto"/>
        <w:ind w:left="930" w:right="228"/>
        <w:jc w:val="left"/>
      </w:pPr>
      <w:r>
        <w:rPr>
          <w:spacing w:val="-4"/>
        </w:rPr>
        <w:t>就本财务报表而言，上述会计准则的解释，引起本公司相应会计政策变化的，已根据相关</w:t>
      </w:r>
      <w:r>
        <w:rPr>
          <w:spacing w:val="-27"/>
        </w:rPr>
        <w:t> </w:t>
      </w:r>
      <w:r>
        <w:rPr>
          <w:spacing w:val="-27"/>
        </w:rPr>
      </w:r>
      <w:r>
        <w:rPr/>
        <w:t>衔接规定进行了处理，对于对比较数据需要进行追溯调整的，已进行了相应追溯调整。</w:t>
      </w:r>
    </w:p>
    <w:p>
      <w:pPr>
        <w:spacing w:line="240" w:lineRule="auto" w:before="5"/>
        <w:rPr>
          <w:rFonts w:ascii="宋体" w:hAnsi="宋体" w:cs="宋体" w:eastAsia="宋体" w:hint="default"/>
          <w:sz w:val="27"/>
          <w:szCs w:val="27"/>
        </w:rPr>
      </w:pPr>
    </w:p>
    <w:p>
      <w:pPr>
        <w:pStyle w:val="BodyText"/>
        <w:spacing w:line="297" w:lineRule="auto"/>
        <w:ind w:left="930" w:right="547"/>
        <w:jc w:val="both"/>
      </w:pPr>
      <w:r>
        <w:rPr>
          <w:spacing w:val="-1"/>
        </w:rPr>
        <w:t>本公司根据《企业会计准则解释第</w:t>
      </w:r>
      <w:r>
        <w:rPr>
          <w:rFonts w:ascii="宋体" w:hAnsi="宋体" w:cs="宋体" w:eastAsia="宋体" w:hint="default"/>
          <w:spacing w:val="-1"/>
        </w:rPr>
        <w:t>7</w:t>
      </w:r>
      <w:r>
        <w:rPr>
          <w:spacing w:val="-1"/>
        </w:rPr>
        <w:t>号》，将本集团对其他应付款、库存股、净资产收益</w:t>
      </w:r>
      <w:r>
        <w:rPr>
          <w:spacing w:val="-29"/>
        </w:rPr>
        <w:t> </w:t>
      </w:r>
      <w:r>
        <w:rPr>
          <w:spacing w:val="-29"/>
        </w:rPr>
      </w:r>
      <w:r>
        <w:rPr>
          <w:spacing w:val="-3"/>
        </w:rPr>
        <w:t>率及每股收益和本公司对其他应付款及库存股进行重新计算，</w:t>
      </w:r>
      <w:r>
        <w:rPr>
          <w:rFonts w:ascii="宋体" w:hAnsi="宋体" w:cs="宋体" w:eastAsia="宋体" w:hint="default"/>
          <w:spacing w:val="-3"/>
        </w:rPr>
        <w:t>2014</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日的期初余额和</w:t>
      </w:r>
      <w:r>
        <w:rPr>
          <w:spacing w:val="-54"/>
        </w:rPr>
        <w:t> </w:t>
      </w:r>
      <w:r>
        <w:rPr>
          <w:spacing w:val="-54"/>
        </w:rPr>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日的年度比较信息在财务报表中已重述。</w:t>
      </w:r>
    </w:p>
    <w:p>
      <w:pPr>
        <w:spacing w:line="240" w:lineRule="auto" w:before="3"/>
        <w:rPr>
          <w:rFonts w:ascii="宋体" w:hAnsi="宋体" w:cs="宋体" w:eastAsia="宋体" w:hint="default"/>
          <w:sz w:val="27"/>
          <w:szCs w:val="27"/>
        </w:rPr>
      </w:pPr>
    </w:p>
    <w:p>
      <w:pPr>
        <w:pStyle w:val="BodyText"/>
        <w:spacing w:line="504" w:lineRule="auto"/>
        <w:ind w:left="930" w:right="2658"/>
        <w:jc w:val="left"/>
      </w:pPr>
      <w:r>
        <w:rPr>
          <w:spacing w:val="-2"/>
        </w:rPr>
        <w:t>上述引起的追溯调整对以前年度财务报表的主要影响如下：</w:t>
      </w:r>
      <w:r>
        <w:rPr>
          <w:spacing w:val="-55"/>
        </w:rPr>
        <w:t> </w:t>
      </w:r>
      <w:r>
        <w:rPr>
          <w:spacing w:val="-55"/>
        </w:rPr>
      </w:r>
      <w:r>
        <w:rPr/>
        <w:t>本集团</w:t>
      </w:r>
    </w:p>
    <w:p>
      <w:pPr>
        <w:pStyle w:val="BodyText"/>
        <w:spacing w:line="240" w:lineRule="auto" w:before="12"/>
        <w:ind w:left="930" w:right="0"/>
        <w:jc w:val="both"/>
      </w:pP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w:t>
      </w:r>
    </w:p>
    <w:p>
      <w:pPr>
        <w:spacing w:line="240" w:lineRule="auto" w:before="9"/>
        <w:rPr>
          <w:rFonts w:ascii="宋体" w:hAnsi="宋体" w:cs="宋体" w:eastAsia="宋体" w:hint="default"/>
          <w:sz w:val="23"/>
          <w:szCs w:val="23"/>
        </w:rPr>
      </w:pPr>
    </w:p>
    <w:tbl>
      <w:tblPr>
        <w:tblW w:w="0" w:type="auto"/>
        <w:jc w:val="left"/>
        <w:tblInd w:w="725" w:type="dxa"/>
        <w:tblLayout w:type="fixed"/>
        <w:tblCellMar>
          <w:top w:w="0" w:type="dxa"/>
          <w:left w:w="0" w:type="dxa"/>
          <w:bottom w:w="0" w:type="dxa"/>
          <w:right w:w="0" w:type="dxa"/>
        </w:tblCellMar>
        <w:tblLook w:val="01E0"/>
      </w:tblPr>
      <w:tblGrid>
        <w:gridCol w:w="3626"/>
        <w:gridCol w:w="1497"/>
        <w:gridCol w:w="1463"/>
        <w:gridCol w:w="1610"/>
      </w:tblGrid>
      <w:tr>
        <w:trPr>
          <w:trHeight w:val="242" w:hRule="exact"/>
        </w:trPr>
        <w:tc>
          <w:tcPr>
            <w:tcW w:w="3626"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11" w:lineRule="exact"/>
              <w:ind w:right="155"/>
              <w:jc w:val="right"/>
              <w:rPr>
                <w:rFonts w:ascii="宋体" w:hAnsi="宋体" w:cs="宋体" w:eastAsia="宋体" w:hint="default"/>
                <w:sz w:val="21"/>
                <w:szCs w:val="21"/>
              </w:rPr>
            </w:pPr>
            <w:r>
              <w:rPr>
                <w:rFonts w:ascii="宋体" w:hAnsi="宋体" w:cs="宋体" w:eastAsia="宋体" w:hint="default"/>
                <w:sz w:val="21"/>
                <w:szCs w:val="21"/>
              </w:rPr>
              <w:t>采用前</w:t>
            </w:r>
          </w:p>
        </w:tc>
        <w:tc>
          <w:tcPr>
            <w:tcW w:w="1463" w:type="dxa"/>
            <w:tcBorders>
              <w:top w:val="nil" w:sz="6" w:space="0" w:color="auto"/>
              <w:left w:val="nil" w:sz="6" w:space="0" w:color="auto"/>
              <w:bottom w:val="nil" w:sz="6" w:space="0" w:color="auto"/>
              <w:right w:val="nil" w:sz="6" w:space="0" w:color="auto"/>
            </w:tcBorders>
          </w:tcPr>
          <w:p>
            <w:pPr>
              <w:pStyle w:val="TableParagraph"/>
              <w:spacing w:line="211" w:lineRule="exact"/>
              <w:ind w:right="251"/>
              <w:jc w:val="right"/>
              <w:rPr>
                <w:rFonts w:ascii="宋体" w:hAnsi="宋体" w:cs="宋体" w:eastAsia="宋体" w:hint="default"/>
                <w:sz w:val="21"/>
                <w:szCs w:val="21"/>
              </w:rPr>
            </w:pPr>
            <w:r>
              <w:rPr>
                <w:rFonts w:ascii="宋体" w:hAnsi="宋体" w:cs="宋体" w:eastAsia="宋体" w:hint="default"/>
                <w:spacing w:val="-1"/>
                <w:sz w:val="21"/>
                <w:szCs w:val="21"/>
              </w:rPr>
              <w:t>调整金额</w:t>
            </w:r>
          </w:p>
        </w:tc>
        <w:tc>
          <w:tcPr>
            <w:tcW w:w="1610"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hAnsi="宋体" w:cs="宋体" w:eastAsia="宋体" w:hint="default"/>
                <w:sz w:val="21"/>
                <w:szCs w:val="21"/>
              </w:rPr>
              <w:t>采用后</w:t>
            </w:r>
          </w:p>
        </w:tc>
      </w:tr>
      <w:tr>
        <w:trPr>
          <w:trHeight w:val="272" w:hRule="exact"/>
        </w:trPr>
        <w:tc>
          <w:tcPr>
            <w:tcW w:w="3626"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97" w:type="dxa"/>
            <w:tcBorders>
              <w:top w:val="nil" w:sz="6" w:space="0" w:color="auto"/>
              <w:left w:val="nil" w:sz="6" w:space="0" w:color="auto"/>
              <w:bottom w:val="nil" w:sz="6" w:space="0" w:color="auto"/>
              <w:right w:val="nil" w:sz="6" w:space="0" w:color="auto"/>
            </w:tcBorders>
          </w:tcPr>
          <w:p>
            <w:pPr>
              <w:pStyle w:val="TableParagraph"/>
              <w:spacing w:line="242" w:lineRule="exact"/>
              <w:ind w:right="154"/>
              <w:jc w:val="right"/>
              <w:rPr>
                <w:rFonts w:ascii="宋体" w:hAnsi="宋体" w:cs="宋体" w:eastAsia="宋体" w:hint="default"/>
                <w:sz w:val="21"/>
                <w:szCs w:val="21"/>
              </w:rPr>
            </w:pPr>
            <w:r>
              <w:rPr>
                <w:rFonts w:ascii="宋体"/>
                <w:spacing w:val="-1"/>
                <w:sz w:val="21"/>
              </w:rPr>
              <w:t>201,827,655</w:t>
            </w:r>
          </w:p>
        </w:tc>
        <w:tc>
          <w:tcPr>
            <w:tcW w:w="1463" w:type="dxa"/>
            <w:tcBorders>
              <w:top w:val="nil" w:sz="6" w:space="0" w:color="auto"/>
              <w:left w:val="nil" w:sz="6" w:space="0" w:color="auto"/>
              <w:bottom w:val="nil" w:sz="6" w:space="0" w:color="auto"/>
              <w:right w:val="nil" w:sz="6" w:space="0" w:color="auto"/>
            </w:tcBorders>
          </w:tcPr>
          <w:p>
            <w:pPr>
              <w:pStyle w:val="TableParagraph"/>
              <w:spacing w:line="242" w:lineRule="exact"/>
              <w:ind w:right="251"/>
              <w:jc w:val="right"/>
              <w:rPr>
                <w:rFonts w:ascii="宋体" w:hAnsi="宋体" w:cs="宋体" w:eastAsia="宋体" w:hint="default"/>
                <w:sz w:val="21"/>
                <w:szCs w:val="21"/>
              </w:rPr>
            </w:pPr>
            <w:r>
              <w:rPr>
                <w:rFonts w:ascii="宋体"/>
                <w:spacing w:val="-1"/>
                <w:sz w:val="21"/>
              </w:rPr>
              <w:t>47,702,458</w:t>
            </w:r>
          </w:p>
        </w:tc>
        <w:tc>
          <w:tcPr>
            <w:tcW w:w="1610" w:type="dxa"/>
            <w:tcBorders>
              <w:top w:val="nil" w:sz="6" w:space="0" w:color="auto"/>
              <w:left w:val="nil" w:sz="6" w:space="0" w:color="auto"/>
              <w:bottom w:val="nil" w:sz="6" w:space="0" w:color="auto"/>
              <w:right w:val="nil" w:sz="6" w:space="0" w:color="auto"/>
            </w:tcBorders>
          </w:tcPr>
          <w:p>
            <w:pPr>
              <w:pStyle w:val="TableParagraph"/>
              <w:spacing w:line="242" w:lineRule="exact"/>
              <w:ind w:right="198"/>
              <w:jc w:val="right"/>
              <w:rPr>
                <w:rFonts w:ascii="宋体" w:hAnsi="宋体" w:cs="宋体" w:eastAsia="宋体" w:hint="default"/>
                <w:sz w:val="21"/>
                <w:szCs w:val="21"/>
              </w:rPr>
            </w:pPr>
            <w:r>
              <w:rPr>
                <w:rFonts w:ascii="宋体"/>
                <w:spacing w:val="-1"/>
                <w:sz w:val="21"/>
              </w:rPr>
              <w:t>249,530,113</w:t>
            </w:r>
          </w:p>
        </w:tc>
      </w:tr>
      <w:tr>
        <w:trPr>
          <w:trHeight w:val="265" w:hRule="exact"/>
        </w:trPr>
        <w:tc>
          <w:tcPr>
            <w:tcW w:w="3626"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497" w:type="dxa"/>
            <w:tcBorders>
              <w:top w:val="nil" w:sz="6" w:space="0" w:color="auto"/>
              <w:left w:val="nil" w:sz="6" w:space="0" w:color="auto"/>
              <w:bottom w:val="nil" w:sz="6" w:space="0" w:color="auto"/>
              <w:right w:val="nil" w:sz="6" w:space="0" w:color="auto"/>
            </w:tcBorders>
          </w:tcPr>
          <w:p>
            <w:pPr>
              <w:pStyle w:val="TableParagraph"/>
              <w:spacing w:line="241" w:lineRule="exact"/>
              <w:ind w:right="156"/>
              <w:jc w:val="right"/>
              <w:rPr>
                <w:rFonts w:ascii="宋体" w:hAnsi="宋体" w:cs="宋体" w:eastAsia="宋体" w:hint="default"/>
                <w:sz w:val="21"/>
                <w:szCs w:val="21"/>
              </w:rPr>
            </w:pPr>
            <w:r>
              <w:rPr>
                <w:rFonts w:ascii="宋体"/>
                <w:w w:val="100"/>
                <w:sz w:val="21"/>
              </w:rPr>
              <w:t>-</w:t>
            </w:r>
          </w:p>
        </w:tc>
        <w:tc>
          <w:tcPr>
            <w:tcW w:w="1463" w:type="dxa"/>
            <w:tcBorders>
              <w:top w:val="nil" w:sz="6" w:space="0" w:color="auto"/>
              <w:left w:val="nil" w:sz="6" w:space="0" w:color="auto"/>
              <w:bottom w:val="nil" w:sz="6" w:space="0" w:color="auto"/>
              <w:right w:val="nil" w:sz="6" w:space="0" w:color="auto"/>
            </w:tcBorders>
          </w:tcPr>
          <w:p>
            <w:pPr>
              <w:pStyle w:val="TableParagraph"/>
              <w:spacing w:line="241" w:lineRule="exact"/>
              <w:ind w:right="251"/>
              <w:jc w:val="right"/>
              <w:rPr>
                <w:rFonts w:ascii="宋体" w:hAnsi="宋体" w:cs="宋体" w:eastAsia="宋体" w:hint="default"/>
                <w:sz w:val="21"/>
                <w:szCs w:val="21"/>
              </w:rPr>
            </w:pPr>
            <w:r>
              <w:rPr>
                <w:rFonts w:ascii="宋体"/>
                <w:spacing w:val="-1"/>
                <w:sz w:val="21"/>
              </w:rPr>
              <w:t>47,702,458</w:t>
            </w:r>
          </w:p>
        </w:tc>
        <w:tc>
          <w:tcPr>
            <w:tcW w:w="1610" w:type="dxa"/>
            <w:tcBorders>
              <w:top w:val="nil" w:sz="6" w:space="0" w:color="auto"/>
              <w:left w:val="nil" w:sz="6" w:space="0" w:color="auto"/>
              <w:bottom w:val="nil" w:sz="6" w:space="0" w:color="auto"/>
              <w:right w:val="nil" w:sz="6" w:space="0" w:color="auto"/>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47,702,458</w:t>
            </w:r>
          </w:p>
        </w:tc>
      </w:tr>
      <w:tr>
        <w:trPr>
          <w:trHeight w:val="521" w:hRule="exact"/>
        </w:trPr>
        <w:tc>
          <w:tcPr>
            <w:tcW w:w="3626"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宋体" w:hAnsi="宋体" w:cs="宋体" w:eastAsia="宋体" w:hint="default"/>
                <w:sz w:val="21"/>
                <w:szCs w:val="21"/>
              </w:rPr>
            </w:pPr>
            <w:r>
              <w:rPr>
                <w:rFonts w:ascii="宋体" w:hAnsi="宋体" w:cs="宋体" w:eastAsia="宋体" w:hint="default"/>
                <w:spacing w:val="3"/>
                <w:sz w:val="21"/>
                <w:szCs w:val="21"/>
              </w:rPr>
              <w:t>归属于公司普通股股东净资产收益</w:t>
            </w:r>
          </w:p>
          <w:p>
            <w:pPr>
              <w:pStyle w:val="TableParagraph"/>
              <w:spacing w:line="268" w:lineRule="exact"/>
              <w:ind w:left="483" w:right="0"/>
              <w:jc w:val="left"/>
              <w:rPr>
                <w:rFonts w:ascii="宋体" w:hAnsi="宋体" w:cs="宋体" w:eastAsia="宋体" w:hint="default"/>
                <w:sz w:val="21"/>
                <w:szCs w:val="21"/>
              </w:rPr>
            </w:pPr>
            <w:r>
              <w:rPr>
                <w:rFonts w:ascii="宋体" w:hAnsi="宋体" w:cs="宋体" w:eastAsia="宋体" w:hint="default"/>
                <w:w w:val="100"/>
                <w:sz w:val="21"/>
                <w:szCs w:val="21"/>
              </w:rPr>
              <w:t>率</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55"/>
              <w:jc w:val="right"/>
              <w:rPr>
                <w:rFonts w:ascii="宋体" w:hAnsi="宋体" w:cs="宋体" w:eastAsia="宋体" w:hint="default"/>
                <w:sz w:val="21"/>
                <w:szCs w:val="21"/>
              </w:rPr>
            </w:pPr>
            <w:r>
              <w:rPr>
                <w:rFonts w:ascii="宋体"/>
                <w:sz w:val="21"/>
              </w:rPr>
              <w:t>15.74</w:t>
            </w:r>
          </w:p>
        </w:tc>
        <w:tc>
          <w:tcPr>
            <w:tcW w:w="1463"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8"/>
              <w:jc w:val="right"/>
              <w:rPr>
                <w:rFonts w:ascii="宋体" w:hAnsi="宋体" w:cs="宋体" w:eastAsia="宋体" w:hint="default"/>
                <w:sz w:val="21"/>
                <w:szCs w:val="21"/>
              </w:rPr>
            </w:pPr>
            <w:r>
              <w:rPr>
                <w:rFonts w:ascii="宋体"/>
                <w:sz w:val="21"/>
              </w:rPr>
              <w:t>15.05</w:t>
            </w:r>
          </w:p>
        </w:tc>
      </w:tr>
      <w:tr>
        <w:trPr>
          <w:trHeight w:val="520" w:hRule="exact"/>
        </w:trPr>
        <w:tc>
          <w:tcPr>
            <w:tcW w:w="3626"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扣除非经常性损益后归属于公司普</w:t>
            </w:r>
          </w:p>
          <w:p>
            <w:pPr>
              <w:pStyle w:val="TableParagraph"/>
              <w:spacing w:line="267" w:lineRule="exact"/>
              <w:ind w:left="500" w:right="0"/>
              <w:jc w:val="left"/>
              <w:rPr>
                <w:rFonts w:ascii="宋体" w:hAnsi="宋体" w:cs="宋体" w:eastAsia="宋体" w:hint="default"/>
                <w:sz w:val="21"/>
                <w:szCs w:val="21"/>
              </w:rPr>
            </w:pPr>
            <w:r>
              <w:rPr>
                <w:rFonts w:ascii="宋体" w:hAnsi="宋体" w:cs="宋体" w:eastAsia="宋体" w:hint="default"/>
                <w:sz w:val="21"/>
                <w:szCs w:val="21"/>
              </w:rPr>
              <w:t>通股股东净资产收益率</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55"/>
              <w:jc w:val="right"/>
              <w:rPr>
                <w:rFonts w:ascii="宋体" w:hAnsi="宋体" w:cs="宋体" w:eastAsia="宋体" w:hint="default"/>
                <w:sz w:val="21"/>
                <w:szCs w:val="21"/>
              </w:rPr>
            </w:pPr>
            <w:r>
              <w:rPr>
                <w:rFonts w:ascii="宋体"/>
                <w:sz w:val="21"/>
              </w:rPr>
              <w:t>14.82</w:t>
            </w:r>
          </w:p>
        </w:tc>
        <w:tc>
          <w:tcPr>
            <w:tcW w:w="1463"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98"/>
              <w:jc w:val="right"/>
              <w:rPr>
                <w:rFonts w:ascii="宋体" w:hAnsi="宋体" w:cs="宋体" w:eastAsia="宋体" w:hint="default"/>
                <w:sz w:val="21"/>
                <w:szCs w:val="21"/>
              </w:rPr>
            </w:pPr>
            <w:r>
              <w:rPr>
                <w:rFonts w:ascii="宋体"/>
                <w:sz w:val="21"/>
              </w:rPr>
              <w:t>14.17</w:t>
            </w:r>
          </w:p>
        </w:tc>
      </w:tr>
      <w:tr>
        <w:trPr>
          <w:trHeight w:val="260" w:hRule="exact"/>
        </w:trPr>
        <w:tc>
          <w:tcPr>
            <w:tcW w:w="3626"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宋体" w:hAnsi="宋体" w:cs="宋体" w:eastAsia="宋体" w:hint="default"/>
                <w:sz w:val="21"/>
                <w:szCs w:val="21"/>
              </w:rPr>
            </w:pPr>
            <w:r>
              <w:rPr>
                <w:rFonts w:ascii="宋体" w:hAnsi="宋体" w:cs="宋体" w:eastAsia="宋体" w:hint="default"/>
                <w:sz w:val="21"/>
                <w:szCs w:val="21"/>
              </w:rPr>
              <w:t>每股收益</w:t>
            </w:r>
          </w:p>
        </w:tc>
        <w:tc>
          <w:tcPr>
            <w:tcW w:w="1497"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265" w:hRule="exact"/>
        </w:trPr>
        <w:tc>
          <w:tcPr>
            <w:tcW w:w="3626"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基本每股收益</w:t>
            </w:r>
          </w:p>
        </w:tc>
        <w:tc>
          <w:tcPr>
            <w:tcW w:w="1497" w:type="dxa"/>
            <w:tcBorders>
              <w:top w:val="nil" w:sz="6" w:space="0" w:color="auto"/>
              <w:left w:val="nil" w:sz="6" w:space="0" w:color="auto"/>
              <w:bottom w:val="nil" w:sz="6" w:space="0" w:color="auto"/>
              <w:right w:val="nil" w:sz="6" w:space="0" w:color="auto"/>
            </w:tcBorders>
          </w:tcPr>
          <w:p>
            <w:pPr>
              <w:pStyle w:val="TableParagraph"/>
              <w:spacing w:line="235" w:lineRule="exact"/>
              <w:ind w:right="155"/>
              <w:jc w:val="right"/>
              <w:rPr>
                <w:rFonts w:ascii="宋体" w:hAnsi="宋体" w:cs="宋体" w:eastAsia="宋体" w:hint="default"/>
                <w:sz w:val="21"/>
                <w:szCs w:val="21"/>
              </w:rPr>
            </w:pPr>
            <w:r>
              <w:rPr>
                <w:rFonts w:ascii="宋体"/>
                <w:sz w:val="21"/>
              </w:rPr>
              <w:t>0.47</w:t>
            </w:r>
          </w:p>
        </w:tc>
        <w:tc>
          <w:tcPr>
            <w:tcW w:w="1463"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35" w:lineRule="exact"/>
              <w:ind w:right="198"/>
              <w:jc w:val="right"/>
              <w:rPr>
                <w:rFonts w:ascii="宋体" w:hAnsi="宋体" w:cs="宋体" w:eastAsia="宋体" w:hint="default"/>
                <w:sz w:val="21"/>
                <w:szCs w:val="21"/>
              </w:rPr>
            </w:pPr>
            <w:r>
              <w:rPr>
                <w:rFonts w:ascii="宋体"/>
                <w:sz w:val="21"/>
              </w:rPr>
              <w:t>0.40</w:t>
            </w:r>
          </w:p>
        </w:tc>
      </w:tr>
      <w:tr>
        <w:trPr>
          <w:trHeight w:val="241" w:hRule="exact"/>
        </w:trPr>
        <w:tc>
          <w:tcPr>
            <w:tcW w:w="3626"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稀释每股收益</w:t>
            </w:r>
          </w:p>
        </w:tc>
        <w:tc>
          <w:tcPr>
            <w:tcW w:w="1497" w:type="dxa"/>
            <w:tcBorders>
              <w:top w:val="nil" w:sz="6" w:space="0" w:color="auto"/>
              <w:left w:val="nil" w:sz="6" w:space="0" w:color="auto"/>
              <w:bottom w:val="nil" w:sz="6" w:space="0" w:color="auto"/>
              <w:right w:val="nil" w:sz="6" w:space="0" w:color="auto"/>
            </w:tcBorders>
          </w:tcPr>
          <w:p>
            <w:pPr>
              <w:pStyle w:val="TableParagraph"/>
              <w:spacing w:line="241" w:lineRule="exact"/>
              <w:ind w:right="155"/>
              <w:jc w:val="right"/>
              <w:rPr>
                <w:rFonts w:ascii="宋体" w:hAnsi="宋体" w:cs="宋体" w:eastAsia="宋体" w:hint="default"/>
                <w:sz w:val="21"/>
                <w:szCs w:val="21"/>
              </w:rPr>
            </w:pPr>
            <w:r>
              <w:rPr>
                <w:rFonts w:ascii="宋体"/>
                <w:sz w:val="21"/>
              </w:rPr>
              <w:t>0.47</w:t>
            </w:r>
          </w:p>
        </w:tc>
        <w:tc>
          <w:tcPr>
            <w:tcW w:w="1463"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1" w:lineRule="exact"/>
              <w:ind w:right="198"/>
              <w:jc w:val="right"/>
              <w:rPr>
                <w:rFonts w:ascii="宋体" w:hAnsi="宋体" w:cs="宋体" w:eastAsia="宋体" w:hint="default"/>
                <w:sz w:val="21"/>
                <w:szCs w:val="21"/>
              </w:rPr>
            </w:pPr>
            <w:r>
              <w:rPr>
                <w:rFonts w:ascii="宋体"/>
                <w:sz w:val="21"/>
              </w:rPr>
              <w:t>0.40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36"/>
        <w:ind w:left="961" w:right="3915"/>
        <w:jc w:val="left"/>
      </w:pP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w:t>
      </w:r>
    </w:p>
    <w:p>
      <w:pPr>
        <w:spacing w:line="240" w:lineRule="auto" w:before="6"/>
        <w:rPr>
          <w:rFonts w:ascii="宋体" w:hAnsi="宋体" w:cs="宋体" w:eastAsia="宋体" w:hint="default"/>
          <w:sz w:val="23"/>
          <w:szCs w:val="23"/>
        </w:rPr>
      </w:pPr>
    </w:p>
    <w:tbl>
      <w:tblPr>
        <w:tblW w:w="0" w:type="auto"/>
        <w:jc w:val="left"/>
        <w:tblInd w:w="725" w:type="dxa"/>
        <w:tblLayout w:type="fixed"/>
        <w:tblCellMar>
          <w:top w:w="0" w:type="dxa"/>
          <w:left w:w="0" w:type="dxa"/>
          <w:bottom w:w="0" w:type="dxa"/>
          <w:right w:w="0" w:type="dxa"/>
        </w:tblCellMar>
        <w:tblLook w:val="01E0"/>
      </w:tblPr>
      <w:tblGrid>
        <w:gridCol w:w="3653"/>
        <w:gridCol w:w="1479"/>
        <w:gridCol w:w="1749"/>
        <w:gridCol w:w="1885"/>
      </w:tblGrid>
      <w:tr>
        <w:trPr>
          <w:trHeight w:val="242" w:hRule="exact"/>
        </w:trPr>
        <w:tc>
          <w:tcPr>
            <w:tcW w:w="365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Style w:val="TableParagraph"/>
              <w:spacing w:line="211" w:lineRule="exact"/>
              <w:ind w:right="161"/>
              <w:jc w:val="right"/>
              <w:rPr>
                <w:rFonts w:ascii="宋体" w:hAnsi="宋体" w:cs="宋体" w:eastAsia="宋体" w:hint="default"/>
                <w:sz w:val="21"/>
                <w:szCs w:val="21"/>
              </w:rPr>
            </w:pPr>
            <w:r>
              <w:rPr>
                <w:rFonts w:ascii="宋体" w:hAnsi="宋体" w:cs="宋体" w:eastAsia="宋体" w:hint="default"/>
                <w:sz w:val="21"/>
                <w:szCs w:val="21"/>
              </w:rPr>
              <w:t>采用前</w:t>
            </w:r>
          </w:p>
        </w:tc>
        <w:tc>
          <w:tcPr>
            <w:tcW w:w="1749" w:type="dxa"/>
            <w:tcBorders>
              <w:top w:val="nil" w:sz="6" w:space="0" w:color="auto"/>
              <w:left w:val="nil" w:sz="6" w:space="0" w:color="auto"/>
              <w:bottom w:val="nil" w:sz="6" w:space="0" w:color="auto"/>
              <w:right w:val="nil" w:sz="6" w:space="0" w:color="auto"/>
            </w:tcBorders>
          </w:tcPr>
          <w:p>
            <w:pPr>
              <w:pStyle w:val="TableParagraph"/>
              <w:spacing w:line="211" w:lineRule="exact"/>
              <w:ind w:right="523"/>
              <w:jc w:val="right"/>
              <w:rPr>
                <w:rFonts w:ascii="宋体" w:hAnsi="宋体" w:cs="宋体" w:eastAsia="宋体" w:hint="default"/>
                <w:sz w:val="21"/>
                <w:szCs w:val="21"/>
              </w:rPr>
            </w:pPr>
            <w:r>
              <w:rPr>
                <w:rFonts w:ascii="宋体" w:hAnsi="宋体" w:cs="宋体" w:eastAsia="宋体" w:hint="default"/>
                <w:spacing w:val="-1"/>
                <w:sz w:val="21"/>
                <w:szCs w:val="21"/>
              </w:rPr>
              <w:t>调整金额</w:t>
            </w:r>
          </w:p>
        </w:tc>
        <w:tc>
          <w:tcPr>
            <w:tcW w:w="1885"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hAnsi="宋体" w:cs="宋体" w:eastAsia="宋体" w:hint="default"/>
                <w:sz w:val="21"/>
                <w:szCs w:val="21"/>
              </w:rPr>
              <w:t>采用后</w:t>
            </w:r>
          </w:p>
        </w:tc>
      </w:tr>
      <w:tr>
        <w:trPr>
          <w:trHeight w:val="272" w:hRule="exact"/>
        </w:trPr>
        <w:tc>
          <w:tcPr>
            <w:tcW w:w="3653"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79" w:type="dxa"/>
            <w:tcBorders>
              <w:top w:val="nil" w:sz="6" w:space="0" w:color="auto"/>
              <w:left w:val="nil" w:sz="6" w:space="0" w:color="auto"/>
              <w:bottom w:val="nil" w:sz="6" w:space="0" w:color="auto"/>
              <w:right w:val="nil" w:sz="6" w:space="0" w:color="auto"/>
            </w:tcBorders>
          </w:tcPr>
          <w:p>
            <w:pPr>
              <w:pStyle w:val="TableParagraph"/>
              <w:spacing w:line="242" w:lineRule="exact"/>
              <w:ind w:right="160"/>
              <w:jc w:val="right"/>
              <w:rPr>
                <w:rFonts w:ascii="宋体" w:hAnsi="宋体" w:cs="宋体" w:eastAsia="宋体" w:hint="default"/>
                <w:sz w:val="21"/>
                <w:szCs w:val="21"/>
              </w:rPr>
            </w:pPr>
            <w:r>
              <w:rPr>
                <w:rFonts w:ascii="宋体"/>
                <w:spacing w:val="-1"/>
                <w:sz w:val="21"/>
              </w:rPr>
              <w:t>195,293,834</w:t>
            </w:r>
          </w:p>
        </w:tc>
        <w:tc>
          <w:tcPr>
            <w:tcW w:w="1749" w:type="dxa"/>
            <w:tcBorders>
              <w:top w:val="nil" w:sz="6" w:space="0" w:color="auto"/>
              <w:left w:val="nil" w:sz="6" w:space="0" w:color="auto"/>
              <w:bottom w:val="nil" w:sz="6" w:space="0" w:color="auto"/>
              <w:right w:val="nil" w:sz="6" w:space="0" w:color="auto"/>
            </w:tcBorders>
          </w:tcPr>
          <w:p>
            <w:pPr>
              <w:pStyle w:val="TableParagraph"/>
              <w:spacing w:line="242" w:lineRule="exact"/>
              <w:ind w:right="531"/>
              <w:jc w:val="right"/>
              <w:rPr>
                <w:rFonts w:ascii="宋体" w:hAnsi="宋体" w:cs="宋体" w:eastAsia="宋体" w:hint="default"/>
                <w:sz w:val="21"/>
                <w:szCs w:val="21"/>
              </w:rPr>
            </w:pPr>
            <w:r>
              <w:rPr>
                <w:rFonts w:ascii="宋体"/>
                <w:spacing w:val="-1"/>
                <w:sz w:val="21"/>
              </w:rPr>
              <w:t>80,635,950</w:t>
            </w:r>
          </w:p>
        </w:tc>
        <w:tc>
          <w:tcPr>
            <w:tcW w:w="1885" w:type="dxa"/>
            <w:tcBorders>
              <w:top w:val="nil" w:sz="6" w:space="0" w:color="auto"/>
              <w:left w:val="nil" w:sz="6" w:space="0" w:color="auto"/>
              <w:bottom w:val="nil" w:sz="6" w:space="0" w:color="auto"/>
              <w:right w:val="nil" w:sz="6" w:space="0" w:color="auto"/>
            </w:tcBorders>
          </w:tcPr>
          <w:p>
            <w:pPr>
              <w:pStyle w:val="TableParagraph"/>
              <w:spacing w:line="242" w:lineRule="exact"/>
              <w:ind w:right="200"/>
              <w:jc w:val="right"/>
              <w:rPr>
                <w:rFonts w:ascii="宋体" w:hAnsi="宋体" w:cs="宋体" w:eastAsia="宋体" w:hint="default"/>
                <w:sz w:val="21"/>
                <w:szCs w:val="21"/>
              </w:rPr>
            </w:pPr>
            <w:r>
              <w:rPr>
                <w:rFonts w:ascii="宋体"/>
                <w:spacing w:val="-1"/>
                <w:sz w:val="21"/>
              </w:rPr>
              <w:t>275,929,784</w:t>
            </w:r>
          </w:p>
        </w:tc>
      </w:tr>
      <w:tr>
        <w:trPr>
          <w:trHeight w:val="266" w:hRule="exact"/>
        </w:trPr>
        <w:tc>
          <w:tcPr>
            <w:tcW w:w="3653"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479" w:type="dxa"/>
            <w:tcBorders>
              <w:top w:val="nil" w:sz="6" w:space="0" w:color="auto"/>
              <w:left w:val="nil" w:sz="6" w:space="0" w:color="auto"/>
              <w:bottom w:val="nil" w:sz="6" w:space="0" w:color="auto"/>
              <w:right w:val="nil" w:sz="6" w:space="0" w:color="auto"/>
            </w:tcBorders>
          </w:tcPr>
          <w:p>
            <w:pPr>
              <w:pStyle w:val="TableParagraph"/>
              <w:spacing w:line="241" w:lineRule="exact"/>
              <w:ind w:right="162"/>
              <w:jc w:val="right"/>
              <w:rPr>
                <w:rFonts w:ascii="宋体" w:hAnsi="宋体" w:cs="宋体" w:eastAsia="宋体" w:hint="default"/>
                <w:sz w:val="21"/>
                <w:szCs w:val="21"/>
              </w:rPr>
            </w:pPr>
            <w:r>
              <w:rPr>
                <w:rFonts w:ascii="宋体"/>
                <w:w w:val="100"/>
                <w:sz w:val="21"/>
              </w:rPr>
              <w:t>-</w:t>
            </w:r>
          </w:p>
        </w:tc>
        <w:tc>
          <w:tcPr>
            <w:tcW w:w="1749" w:type="dxa"/>
            <w:tcBorders>
              <w:top w:val="nil" w:sz="6" w:space="0" w:color="auto"/>
              <w:left w:val="nil" w:sz="6" w:space="0" w:color="auto"/>
              <w:bottom w:val="nil" w:sz="6" w:space="0" w:color="auto"/>
              <w:right w:val="nil" w:sz="6" w:space="0" w:color="auto"/>
            </w:tcBorders>
          </w:tcPr>
          <w:p>
            <w:pPr>
              <w:pStyle w:val="TableParagraph"/>
              <w:spacing w:line="241" w:lineRule="exact"/>
              <w:ind w:right="531"/>
              <w:jc w:val="right"/>
              <w:rPr>
                <w:rFonts w:ascii="宋体" w:hAnsi="宋体" w:cs="宋体" w:eastAsia="宋体" w:hint="default"/>
                <w:sz w:val="21"/>
                <w:szCs w:val="21"/>
              </w:rPr>
            </w:pPr>
            <w:r>
              <w:rPr>
                <w:rFonts w:ascii="宋体"/>
                <w:spacing w:val="-1"/>
                <w:sz w:val="21"/>
              </w:rPr>
              <w:t>80,635,950</w:t>
            </w:r>
          </w:p>
        </w:tc>
        <w:tc>
          <w:tcPr>
            <w:tcW w:w="1885" w:type="dxa"/>
            <w:tcBorders>
              <w:top w:val="nil" w:sz="6" w:space="0" w:color="auto"/>
              <w:left w:val="nil" w:sz="6" w:space="0" w:color="auto"/>
              <w:bottom w:val="nil" w:sz="6" w:space="0" w:color="auto"/>
              <w:right w:val="nil" w:sz="6" w:space="0" w:color="auto"/>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80,635,950</w:t>
            </w:r>
          </w:p>
        </w:tc>
      </w:tr>
      <w:tr>
        <w:trPr>
          <w:trHeight w:val="520" w:hRule="exact"/>
        </w:trPr>
        <w:tc>
          <w:tcPr>
            <w:tcW w:w="3653"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宋体" w:hAnsi="宋体" w:cs="宋体" w:eastAsia="宋体" w:hint="default"/>
                <w:sz w:val="21"/>
                <w:szCs w:val="21"/>
              </w:rPr>
            </w:pPr>
            <w:r>
              <w:rPr>
                <w:rFonts w:ascii="宋体" w:hAnsi="宋体" w:cs="宋体" w:eastAsia="宋体" w:hint="default"/>
                <w:spacing w:val="7"/>
                <w:sz w:val="21"/>
                <w:szCs w:val="21"/>
              </w:rPr>
              <w:t>归属于公司普通股股东净资产收益</w:t>
            </w:r>
          </w:p>
          <w:p>
            <w:pPr>
              <w:pStyle w:val="TableParagraph"/>
              <w:spacing w:line="267" w:lineRule="exact"/>
              <w:ind w:left="1020" w:right="0"/>
              <w:jc w:val="left"/>
              <w:rPr>
                <w:rFonts w:ascii="宋体" w:hAnsi="宋体" w:cs="宋体" w:eastAsia="宋体" w:hint="default"/>
                <w:sz w:val="21"/>
                <w:szCs w:val="21"/>
              </w:rPr>
            </w:pPr>
            <w:r>
              <w:rPr>
                <w:rFonts w:ascii="宋体" w:hAnsi="宋体" w:cs="宋体" w:eastAsia="宋体" w:hint="default"/>
                <w:w w:val="100"/>
                <w:sz w:val="21"/>
                <w:szCs w:val="21"/>
              </w:rPr>
              <w:t>率</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61"/>
              <w:jc w:val="right"/>
              <w:rPr>
                <w:rFonts w:ascii="宋体" w:hAnsi="宋体" w:cs="宋体" w:eastAsia="宋体" w:hint="default"/>
                <w:sz w:val="21"/>
                <w:szCs w:val="21"/>
              </w:rPr>
            </w:pPr>
            <w:r>
              <w:rPr>
                <w:rFonts w:ascii="宋体"/>
                <w:sz w:val="21"/>
              </w:rPr>
              <w:t>18.47</w:t>
            </w:r>
          </w:p>
        </w:tc>
        <w:tc>
          <w:tcPr>
            <w:tcW w:w="1749"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0"/>
              <w:jc w:val="right"/>
              <w:rPr>
                <w:rFonts w:ascii="宋体" w:hAnsi="宋体" w:cs="宋体" w:eastAsia="宋体" w:hint="default"/>
                <w:sz w:val="21"/>
                <w:szCs w:val="21"/>
              </w:rPr>
            </w:pPr>
            <w:r>
              <w:rPr>
                <w:rFonts w:ascii="宋体"/>
                <w:sz w:val="21"/>
              </w:rPr>
              <w:t>15.25</w:t>
            </w:r>
          </w:p>
        </w:tc>
      </w:tr>
      <w:tr>
        <w:trPr>
          <w:trHeight w:val="235" w:hRule="exact"/>
        </w:trPr>
        <w:tc>
          <w:tcPr>
            <w:tcW w:w="3653"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扣除非经常性损益后归属于公司普</w:t>
            </w:r>
          </w:p>
        </w:tc>
        <w:tc>
          <w:tcPr>
            <w:tcW w:w="1479" w:type="dxa"/>
            <w:tcBorders>
              <w:top w:val="nil" w:sz="6" w:space="0" w:color="auto"/>
              <w:left w:val="nil" w:sz="6" w:space="0" w:color="auto"/>
              <w:bottom w:val="nil" w:sz="6" w:space="0" w:color="auto"/>
              <w:right w:val="nil" w:sz="6" w:space="0" w:color="auto"/>
            </w:tcBorders>
          </w:tcPr>
          <w:p>
            <w:pPr>
              <w:pStyle w:val="TableParagraph"/>
              <w:spacing w:line="235" w:lineRule="exact"/>
              <w:ind w:right="161"/>
              <w:jc w:val="right"/>
              <w:rPr>
                <w:rFonts w:ascii="宋体" w:hAnsi="宋体" w:cs="宋体" w:eastAsia="宋体" w:hint="default"/>
                <w:sz w:val="21"/>
                <w:szCs w:val="21"/>
              </w:rPr>
            </w:pPr>
            <w:r>
              <w:rPr>
                <w:rFonts w:ascii="宋体"/>
                <w:sz w:val="21"/>
              </w:rPr>
              <w:t>14.15</w:t>
            </w:r>
          </w:p>
        </w:tc>
        <w:tc>
          <w:tcPr>
            <w:tcW w:w="1749"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235" w:lineRule="exact"/>
              <w:ind w:right="200"/>
              <w:jc w:val="right"/>
              <w:rPr>
                <w:rFonts w:ascii="宋体" w:hAnsi="宋体" w:cs="宋体" w:eastAsia="宋体" w:hint="default"/>
                <w:sz w:val="21"/>
                <w:szCs w:val="21"/>
              </w:rPr>
            </w:pPr>
            <w:r>
              <w:rPr>
                <w:rFonts w:ascii="宋体"/>
                <w:sz w:val="21"/>
              </w:rPr>
              <w:t>11.62</w:t>
            </w:r>
          </w:p>
        </w:tc>
      </w:tr>
    </w:tbl>
    <w:p>
      <w:pPr>
        <w:spacing w:after="0" w:line="235" w:lineRule="exact"/>
        <w:jc w:val="right"/>
        <w:rPr>
          <w:rFonts w:ascii="宋体" w:hAnsi="宋体" w:cs="宋体" w:eastAsia="宋体" w:hint="default"/>
          <w:sz w:val="21"/>
          <w:szCs w:val="21"/>
        </w:rPr>
        <w:sectPr>
          <w:pgSz w:w="11910" w:h="16840"/>
          <w:pgMar w:header="926" w:footer="1335" w:top="1120" w:bottom="1520" w:left="1580" w:right="720"/>
        </w:sectPr>
      </w:pPr>
    </w:p>
    <w:p>
      <w:pPr>
        <w:spacing w:line="240" w:lineRule="auto" w:before="1"/>
        <w:rPr>
          <w:rFonts w:ascii="宋体" w:hAnsi="宋体" w:cs="宋体" w:eastAsia="宋体" w:hint="default"/>
          <w:sz w:val="6"/>
          <w:szCs w:val="6"/>
        </w:rPr>
      </w:pPr>
    </w:p>
    <w:tbl>
      <w:tblPr>
        <w:tblW w:w="0" w:type="auto"/>
        <w:jc w:val="left"/>
        <w:tblInd w:w="725" w:type="dxa"/>
        <w:tblLayout w:type="fixed"/>
        <w:tblCellMar>
          <w:top w:w="0" w:type="dxa"/>
          <w:left w:w="0" w:type="dxa"/>
          <w:bottom w:w="0" w:type="dxa"/>
          <w:right w:w="0" w:type="dxa"/>
        </w:tblCellMar>
        <w:tblLook w:val="01E0"/>
      </w:tblPr>
      <w:tblGrid>
        <w:gridCol w:w="3058"/>
        <w:gridCol w:w="3498"/>
        <w:gridCol w:w="2208"/>
      </w:tblGrid>
      <w:tr>
        <w:trPr>
          <w:trHeight w:val="654" w:hRule="exact"/>
        </w:trPr>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512" w:right="0"/>
              <w:jc w:val="left"/>
              <w:rPr>
                <w:rFonts w:ascii="宋体" w:hAnsi="宋体" w:cs="宋体" w:eastAsia="宋体" w:hint="default"/>
                <w:sz w:val="21"/>
                <w:szCs w:val="21"/>
              </w:rPr>
            </w:pPr>
            <w:r>
              <w:rPr>
                <w:rFonts w:ascii="宋体" w:hAnsi="宋体" w:cs="宋体" w:eastAsia="宋体" w:hint="default"/>
                <w:sz w:val="21"/>
                <w:szCs w:val="21"/>
              </w:rPr>
              <w:t>通股股东净资产收益率</w:t>
            </w:r>
          </w:p>
        </w:tc>
        <w:tc>
          <w:tcPr>
            <w:tcW w:w="3498"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nil" w:sz="6" w:space="0" w:color="auto"/>
            </w:tcBorders>
          </w:tcPr>
          <w:p>
            <w:pPr/>
          </w:p>
        </w:tc>
      </w:tr>
      <w:tr>
        <w:trPr>
          <w:trHeight w:val="272" w:hRule="exact"/>
        </w:trPr>
        <w:tc>
          <w:tcPr>
            <w:tcW w:w="3058"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每股收益</w:t>
            </w:r>
          </w:p>
        </w:tc>
        <w:tc>
          <w:tcPr>
            <w:tcW w:w="3498" w:type="dxa"/>
            <w:tcBorders>
              <w:top w:val="nil" w:sz="6" w:space="0" w:color="auto"/>
              <w:left w:val="nil" w:sz="6" w:space="0" w:color="auto"/>
              <w:bottom w:val="nil" w:sz="6" w:space="0" w:color="auto"/>
              <w:right w:val="nil" w:sz="6" w:space="0" w:color="auto"/>
            </w:tcBorders>
          </w:tcPr>
          <w:p>
            <w:pPr>
              <w:pStyle w:val="TableParagraph"/>
              <w:spacing w:line="242" w:lineRule="exact"/>
              <w:ind w:left="1489" w:right="0"/>
              <w:jc w:val="left"/>
              <w:rPr>
                <w:rFonts w:ascii="宋体" w:hAnsi="宋体" w:cs="宋体" w:eastAsia="宋体" w:hint="default"/>
                <w:sz w:val="21"/>
                <w:szCs w:val="21"/>
              </w:rPr>
            </w:pPr>
            <w:r>
              <w:rPr>
                <w:rFonts w:ascii="宋体"/>
                <w:sz w:val="21"/>
              </w:rPr>
              <w:t>0.48</w:t>
            </w:r>
          </w:p>
        </w:tc>
        <w:tc>
          <w:tcPr>
            <w:tcW w:w="2208" w:type="dxa"/>
            <w:tcBorders>
              <w:top w:val="nil" w:sz="6" w:space="0" w:color="auto"/>
              <w:left w:val="nil" w:sz="6" w:space="0" w:color="auto"/>
              <w:bottom w:val="nil" w:sz="6" w:space="0" w:color="auto"/>
              <w:right w:val="nil" w:sz="6" w:space="0" w:color="auto"/>
            </w:tcBorders>
          </w:tcPr>
          <w:p>
            <w:pPr>
              <w:pStyle w:val="TableParagraph"/>
              <w:spacing w:line="242" w:lineRule="exact"/>
              <w:ind w:right="198"/>
              <w:jc w:val="right"/>
              <w:rPr>
                <w:rFonts w:ascii="宋体" w:hAnsi="宋体" w:cs="宋体" w:eastAsia="宋体" w:hint="default"/>
                <w:sz w:val="21"/>
                <w:szCs w:val="21"/>
              </w:rPr>
            </w:pPr>
            <w:r>
              <w:rPr>
                <w:rFonts w:ascii="宋体"/>
                <w:sz w:val="21"/>
              </w:rPr>
              <w:t>0.39</w:t>
            </w:r>
          </w:p>
        </w:tc>
      </w:tr>
      <w:tr>
        <w:trPr>
          <w:trHeight w:val="241" w:hRule="exact"/>
        </w:trPr>
        <w:tc>
          <w:tcPr>
            <w:tcW w:w="3058"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基本每股收益</w:t>
            </w:r>
          </w:p>
        </w:tc>
        <w:tc>
          <w:tcPr>
            <w:tcW w:w="3498" w:type="dxa"/>
            <w:tcBorders>
              <w:top w:val="nil" w:sz="6" w:space="0" w:color="auto"/>
              <w:left w:val="nil" w:sz="6" w:space="0" w:color="auto"/>
              <w:bottom w:val="nil" w:sz="6" w:space="0" w:color="auto"/>
              <w:right w:val="nil" w:sz="6" w:space="0" w:color="auto"/>
            </w:tcBorders>
          </w:tcPr>
          <w:p>
            <w:pPr>
              <w:pStyle w:val="TableParagraph"/>
              <w:spacing w:line="241" w:lineRule="exact"/>
              <w:ind w:left="1489" w:right="0"/>
              <w:jc w:val="left"/>
              <w:rPr>
                <w:rFonts w:ascii="宋体" w:hAnsi="宋体" w:cs="宋体" w:eastAsia="宋体" w:hint="default"/>
                <w:sz w:val="21"/>
                <w:szCs w:val="21"/>
              </w:rPr>
            </w:pPr>
            <w:r>
              <w:rPr>
                <w:rFonts w:ascii="宋体"/>
                <w:sz w:val="21"/>
              </w:rPr>
              <w:t>0.48</w:t>
            </w:r>
          </w:p>
        </w:tc>
        <w:tc>
          <w:tcPr>
            <w:tcW w:w="2208" w:type="dxa"/>
            <w:tcBorders>
              <w:top w:val="nil" w:sz="6" w:space="0" w:color="auto"/>
              <w:left w:val="nil" w:sz="6" w:space="0" w:color="auto"/>
              <w:bottom w:val="nil" w:sz="6" w:space="0" w:color="auto"/>
              <w:right w:val="nil" w:sz="6" w:space="0" w:color="auto"/>
            </w:tcBorders>
          </w:tcPr>
          <w:p>
            <w:pPr>
              <w:pStyle w:val="TableParagraph"/>
              <w:spacing w:line="241" w:lineRule="exact"/>
              <w:ind w:right="198"/>
              <w:jc w:val="right"/>
              <w:rPr>
                <w:rFonts w:ascii="宋体" w:hAnsi="宋体" w:cs="宋体" w:eastAsia="宋体" w:hint="default"/>
                <w:sz w:val="21"/>
                <w:szCs w:val="21"/>
              </w:rPr>
            </w:pPr>
            <w:r>
              <w:rPr>
                <w:rFonts w:ascii="宋体"/>
                <w:sz w:val="21"/>
              </w:rPr>
              <w:t>0.39</w:t>
            </w:r>
          </w:p>
        </w:tc>
      </w:tr>
    </w:tbl>
    <w:p>
      <w:pPr>
        <w:spacing w:line="240" w:lineRule="auto" w:before="12"/>
        <w:rPr>
          <w:rFonts w:ascii="宋体" w:hAnsi="宋体" w:cs="宋体" w:eastAsia="宋体" w:hint="default"/>
          <w:sz w:val="16"/>
          <w:szCs w:val="16"/>
        </w:rPr>
      </w:pPr>
    </w:p>
    <w:p>
      <w:pPr>
        <w:pStyle w:val="BodyText"/>
        <w:spacing w:line="456" w:lineRule="auto" w:before="36"/>
        <w:ind w:left="930" w:right="7197"/>
        <w:jc w:val="left"/>
      </w:pPr>
      <w:r>
        <w:rPr/>
        <w:pict>
          <v:group style="position:absolute;margin-left:88.463997pt;margin-top:-69.476303pt;width:444.55pt;height:.1pt;mso-position-horizontal-relative:page;mso-position-vertical-relative:paragraph;z-index:-1075072" coordorigin="1769,-1390" coordsize="8891,2">
            <v:shape style="position:absolute;left:1769;top:-1390;width:8891;height:2" coordorigin="1769,-1390" coordsize="8891,0" path="m1769,-1390l10660,-1390e" filled="false" stroked="true" strokeweight=".72pt" strokecolor="#000000">
              <v:path arrowok="t"/>
            </v:shape>
            <w10:wrap type="none"/>
          </v:group>
        </w:pict>
      </w:r>
      <w:r>
        <w:rPr/>
        <w:t>本公司</w:t>
      </w:r>
      <w:r>
        <w:rPr>
          <w:spacing w:val="-102"/>
        </w:rPr>
        <w:t> </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w:t>
      </w:r>
    </w:p>
    <w:p>
      <w:pPr>
        <w:spacing w:line="240" w:lineRule="auto" w:before="3"/>
        <w:rPr>
          <w:rFonts w:ascii="宋体" w:hAnsi="宋体" w:cs="宋体" w:eastAsia="宋体" w:hint="default"/>
          <w:sz w:val="9"/>
          <w:szCs w:val="9"/>
        </w:rPr>
      </w:pPr>
    </w:p>
    <w:tbl>
      <w:tblPr>
        <w:tblW w:w="0" w:type="auto"/>
        <w:jc w:val="left"/>
        <w:tblInd w:w="725" w:type="dxa"/>
        <w:tblLayout w:type="fixed"/>
        <w:tblCellMar>
          <w:top w:w="0" w:type="dxa"/>
          <w:left w:w="0" w:type="dxa"/>
          <w:bottom w:w="0" w:type="dxa"/>
          <w:right w:w="0" w:type="dxa"/>
        </w:tblCellMar>
        <w:tblLook w:val="01E0"/>
      </w:tblPr>
      <w:tblGrid>
        <w:gridCol w:w="2064"/>
        <w:gridCol w:w="2500"/>
        <w:gridCol w:w="1936"/>
        <w:gridCol w:w="1701"/>
      </w:tblGrid>
      <w:tr>
        <w:trPr>
          <w:trHeight w:val="241" w:hRule="exact"/>
        </w:trPr>
        <w:tc>
          <w:tcPr>
            <w:tcW w:w="2064" w:type="dxa"/>
            <w:tcBorders>
              <w:top w:val="nil" w:sz="6" w:space="0" w:color="auto"/>
              <w:left w:val="nil" w:sz="6" w:space="0" w:color="auto"/>
              <w:bottom w:val="nil" w:sz="6" w:space="0" w:color="auto"/>
              <w:right w:val="nil" w:sz="6" w:space="0" w:color="auto"/>
            </w:tcBorders>
          </w:tcPr>
          <w:p>
            <w:pPr/>
          </w:p>
        </w:tc>
        <w:tc>
          <w:tcPr>
            <w:tcW w:w="2500" w:type="dxa"/>
            <w:tcBorders>
              <w:top w:val="nil" w:sz="6" w:space="0" w:color="auto"/>
              <w:left w:val="nil" w:sz="6" w:space="0" w:color="auto"/>
              <w:bottom w:val="nil" w:sz="6" w:space="0" w:color="auto"/>
              <w:right w:val="nil" w:sz="6" w:space="0" w:color="auto"/>
            </w:tcBorders>
          </w:tcPr>
          <w:p>
            <w:pPr>
              <w:pStyle w:val="TableParagraph"/>
              <w:spacing w:line="211" w:lineRule="exact"/>
              <w:ind w:right="531"/>
              <w:jc w:val="right"/>
              <w:rPr>
                <w:rFonts w:ascii="宋体" w:hAnsi="宋体" w:cs="宋体" w:eastAsia="宋体" w:hint="default"/>
                <w:sz w:val="21"/>
                <w:szCs w:val="21"/>
              </w:rPr>
            </w:pPr>
            <w:r>
              <w:rPr>
                <w:rFonts w:ascii="宋体" w:hAnsi="宋体" w:cs="宋体" w:eastAsia="宋体" w:hint="default"/>
                <w:sz w:val="21"/>
                <w:szCs w:val="21"/>
              </w:rPr>
              <w:t>采用前</w:t>
            </w:r>
          </w:p>
        </w:tc>
        <w:tc>
          <w:tcPr>
            <w:tcW w:w="1936" w:type="dxa"/>
            <w:tcBorders>
              <w:top w:val="nil" w:sz="6" w:space="0" w:color="auto"/>
              <w:left w:val="nil" w:sz="6" w:space="0" w:color="auto"/>
              <w:bottom w:val="nil" w:sz="6" w:space="0" w:color="auto"/>
              <w:right w:val="nil" w:sz="6" w:space="0" w:color="auto"/>
            </w:tcBorders>
          </w:tcPr>
          <w:p>
            <w:pPr>
              <w:pStyle w:val="TableParagraph"/>
              <w:spacing w:line="211" w:lineRule="exact"/>
              <w:ind w:right="340"/>
              <w:jc w:val="right"/>
              <w:rPr>
                <w:rFonts w:ascii="宋体" w:hAnsi="宋体" w:cs="宋体" w:eastAsia="宋体" w:hint="default"/>
                <w:sz w:val="21"/>
                <w:szCs w:val="21"/>
              </w:rPr>
            </w:pPr>
            <w:r>
              <w:rPr>
                <w:rFonts w:ascii="宋体" w:hAnsi="宋体" w:cs="宋体" w:eastAsia="宋体" w:hint="default"/>
                <w:spacing w:val="-1"/>
                <w:sz w:val="21"/>
                <w:szCs w:val="21"/>
              </w:rPr>
              <w:t>调整金额</w:t>
            </w:r>
          </w:p>
        </w:tc>
        <w:tc>
          <w:tcPr>
            <w:tcW w:w="1701"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hAnsi="宋体" w:cs="宋体" w:eastAsia="宋体" w:hint="default"/>
                <w:sz w:val="21"/>
                <w:szCs w:val="21"/>
              </w:rPr>
              <w:t>采用后</w:t>
            </w:r>
          </w:p>
        </w:tc>
      </w:tr>
      <w:tr>
        <w:trPr>
          <w:trHeight w:val="271"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00" w:type="dxa"/>
            <w:tcBorders>
              <w:top w:val="nil" w:sz="6" w:space="0" w:color="auto"/>
              <w:left w:val="nil" w:sz="6" w:space="0" w:color="auto"/>
              <w:bottom w:val="nil" w:sz="6" w:space="0" w:color="auto"/>
              <w:right w:val="nil" w:sz="6" w:space="0" w:color="auto"/>
            </w:tcBorders>
          </w:tcPr>
          <w:p>
            <w:pPr>
              <w:pStyle w:val="TableParagraph"/>
              <w:spacing w:line="241" w:lineRule="exact"/>
              <w:ind w:right="530"/>
              <w:jc w:val="right"/>
              <w:rPr>
                <w:rFonts w:ascii="宋体" w:hAnsi="宋体" w:cs="宋体" w:eastAsia="宋体" w:hint="default"/>
                <w:sz w:val="21"/>
                <w:szCs w:val="21"/>
              </w:rPr>
            </w:pPr>
            <w:r>
              <w:rPr>
                <w:rFonts w:ascii="宋体"/>
                <w:spacing w:val="-1"/>
                <w:sz w:val="21"/>
              </w:rPr>
              <w:t>296,528,303</w:t>
            </w:r>
          </w:p>
        </w:tc>
        <w:tc>
          <w:tcPr>
            <w:tcW w:w="1936" w:type="dxa"/>
            <w:tcBorders>
              <w:top w:val="nil" w:sz="6" w:space="0" w:color="auto"/>
              <w:left w:val="nil" w:sz="6" w:space="0" w:color="auto"/>
              <w:bottom w:val="nil" w:sz="6" w:space="0" w:color="auto"/>
              <w:right w:val="nil" w:sz="6" w:space="0" w:color="auto"/>
            </w:tcBorders>
          </w:tcPr>
          <w:p>
            <w:pPr>
              <w:pStyle w:val="TableParagraph"/>
              <w:spacing w:line="241" w:lineRule="exact"/>
              <w:ind w:right="347"/>
              <w:jc w:val="right"/>
              <w:rPr>
                <w:rFonts w:ascii="宋体" w:hAnsi="宋体" w:cs="宋体" w:eastAsia="宋体" w:hint="default"/>
                <w:sz w:val="21"/>
                <w:szCs w:val="21"/>
              </w:rPr>
            </w:pPr>
            <w:r>
              <w:rPr>
                <w:rFonts w:ascii="宋体"/>
                <w:spacing w:val="-1"/>
                <w:sz w:val="21"/>
              </w:rPr>
              <w:t>47,702,458</w:t>
            </w:r>
          </w:p>
        </w:tc>
        <w:tc>
          <w:tcPr>
            <w:tcW w:w="1701" w:type="dxa"/>
            <w:tcBorders>
              <w:top w:val="nil" w:sz="6" w:space="0" w:color="auto"/>
              <w:left w:val="nil" w:sz="6" w:space="0" w:color="auto"/>
              <w:bottom w:val="nil" w:sz="6" w:space="0" w:color="auto"/>
              <w:right w:val="nil" w:sz="6" w:space="0" w:color="auto"/>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344,230,761</w:t>
            </w:r>
          </w:p>
        </w:tc>
      </w:tr>
      <w:tr>
        <w:trPr>
          <w:trHeight w:val="241"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2500" w:type="dxa"/>
            <w:tcBorders>
              <w:top w:val="nil" w:sz="6" w:space="0" w:color="auto"/>
              <w:left w:val="nil" w:sz="6" w:space="0" w:color="auto"/>
              <w:bottom w:val="nil" w:sz="6" w:space="0" w:color="auto"/>
              <w:right w:val="nil" w:sz="6" w:space="0" w:color="auto"/>
            </w:tcBorders>
          </w:tcPr>
          <w:p>
            <w:pPr>
              <w:pStyle w:val="TableParagraph"/>
              <w:spacing w:line="241" w:lineRule="exact"/>
              <w:ind w:right="533"/>
              <w:jc w:val="right"/>
              <w:rPr>
                <w:rFonts w:ascii="宋体" w:hAnsi="宋体" w:cs="宋体" w:eastAsia="宋体" w:hint="default"/>
                <w:sz w:val="21"/>
                <w:szCs w:val="21"/>
              </w:rPr>
            </w:pPr>
            <w:r>
              <w:rPr>
                <w:rFonts w:ascii="宋体"/>
                <w:w w:val="100"/>
                <w:sz w:val="21"/>
              </w:rPr>
              <w:t>-</w:t>
            </w:r>
          </w:p>
        </w:tc>
        <w:tc>
          <w:tcPr>
            <w:tcW w:w="1936" w:type="dxa"/>
            <w:tcBorders>
              <w:top w:val="nil" w:sz="6" w:space="0" w:color="auto"/>
              <w:left w:val="nil" w:sz="6" w:space="0" w:color="auto"/>
              <w:bottom w:val="nil" w:sz="6" w:space="0" w:color="auto"/>
              <w:right w:val="nil" w:sz="6" w:space="0" w:color="auto"/>
            </w:tcBorders>
          </w:tcPr>
          <w:p>
            <w:pPr>
              <w:pStyle w:val="TableParagraph"/>
              <w:spacing w:line="241" w:lineRule="exact"/>
              <w:ind w:right="347"/>
              <w:jc w:val="right"/>
              <w:rPr>
                <w:rFonts w:ascii="宋体" w:hAnsi="宋体" w:cs="宋体" w:eastAsia="宋体" w:hint="default"/>
                <w:sz w:val="21"/>
                <w:szCs w:val="21"/>
              </w:rPr>
            </w:pPr>
            <w:r>
              <w:rPr>
                <w:rFonts w:ascii="宋体"/>
                <w:spacing w:val="-1"/>
                <w:sz w:val="21"/>
              </w:rPr>
              <w:t>47,702,458</w:t>
            </w:r>
          </w:p>
        </w:tc>
        <w:tc>
          <w:tcPr>
            <w:tcW w:w="1701" w:type="dxa"/>
            <w:tcBorders>
              <w:top w:val="nil" w:sz="6" w:space="0" w:color="auto"/>
              <w:left w:val="nil" w:sz="6" w:space="0" w:color="auto"/>
              <w:bottom w:val="nil" w:sz="6" w:space="0" w:color="auto"/>
              <w:right w:val="nil" w:sz="6" w:space="0" w:color="auto"/>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47,702,458</w:t>
            </w:r>
          </w:p>
        </w:tc>
      </w:tr>
    </w:tbl>
    <w:p>
      <w:pPr>
        <w:spacing w:line="240" w:lineRule="auto" w:before="1"/>
        <w:rPr>
          <w:rFonts w:ascii="宋体" w:hAnsi="宋体" w:cs="宋体" w:eastAsia="宋体" w:hint="default"/>
          <w:sz w:val="16"/>
          <w:szCs w:val="16"/>
        </w:rPr>
      </w:pPr>
    </w:p>
    <w:p>
      <w:pPr>
        <w:pStyle w:val="BodyText"/>
        <w:spacing w:line="240" w:lineRule="auto" w:before="36"/>
        <w:ind w:left="961" w:right="3915"/>
        <w:jc w:val="left"/>
      </w:pP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w:t>
      </w:r>
    </w:p>
    <w:p>
      <w:pPr>
        <w:spacing w:line="240" w:lineRule="auto" w:before="9"/>
        <w:rPr>
          <w:rFonts w:ascii="宋体" w:hAnsi="宋体" w:cs="宋体" w:eastAsia="宋体" w:hint="default"/>
          <w:sz w:val="23"/>
          <w:szCs w:val="23"/>
        </w:rPr>
      </w:pPr>
    </w:p>
    <w:tbl>
      <w:tblPr>
        <w:tblW w:w="0" w:type="auto"/>
        <w:jc w:val="left"/>
        <w:tblInd w:w="725" w:type="dxa"/>
        <w:tblLayout w:type="fixed"/>
        <w:tblCellMar>
          <w:top w:w="0" w:type="dxa"/>
          <w:left w:w="0" w:type="dxa"/>
          <w:bottom w:w="0" w:type="dxa"/>
          <w:right w:w="0" w:type="dxa"/>
        </w:tblCellMar>
        <w:tblLook w:val="01E0"/>
      </w:tblPr>
      <w:tblGrid>
        <w:gridCol w:w="2064"/>
        <w:gridCol w:w="2500"/>
        <w:gridCol w:w="1936"/>
        <w:gridCol w:w="1701"/>
      </w:tblGrid>
      <w:tr>
        <w:trPr>
          <w:trHeight w:val="241" w:hRule="exact"/>
        </w:trPr>
        <w:tc>
          <w:tcPr>
            <w:tcW w:w="2064" w:type="dxa"/>
            <w:tcBorders>
              <w:top w:val="nil" w:sz="6" w:space="0" w:color="auto"/>
              <w:left w:val="nil" w:sz="6" w:space="0" w:color="auto"/>
              <w:bottom w:val="nil" w:sz="6" w:space="0" w:color="auto"/>
              <w:right w:val="nil" w:sz="6" w:space="0" w:color="auto"/>
            </w:tcBorders>
          </w:tcPr>
          <w:p>
            <w:pPr/>
          </w:p>
        </w:tc>
        <w:tc>
          <w:tcPr>
            <w:tcW w:w="2500" w:type="dxa"/>
            <w:tcBorders>
              <w:top w:val="nil" w:sz="6" w:space="0" w:color="auto"/>
              <w:left w:val="nil" w:sz="6" w:space="0" w:color="auto"/>
              <w:bottom w:val="nil" w:sz="6" w:space="0" w:color="auto"/>
              <w:right w:val="nil" w:sz="6" w:space="0" w:color="auto"/>
            </w:tcBorders>
          </w:tcPr>
          <w:p>
            <w:pPr>
              <w:pStyle w:val="TableParagraph"/>
              <w:spacing w:line="211" w:lineRule="exact"/>
              <w:ind w:right="531"/>
              <w:jc w:val="right"/>
              <w:rPr>
                <w:rFonts w:ascii="宋体" w:hAnsi="宋体" w:cs="宋体" w:eastAsia="宋体" w:hint="default"/>
                <w:sz w:val="21"/>
                <w:szCs w:val="21"/>
              </w:rPr>
            </w:pPr>
            <w:r>
              <w:rPr>
                <w:rFonts w:ascii="宋体" w:hAnsi="宋体" w:cs="宋体" w:eastAsia="宋体" w:hint="default"/>
                <w:sz w:val="21"/>
                <w:szCs w:val="21"/>
              </w:rPr>
              <w:t>采用前</w:t>
            </w:r>
          </w:p>
        </w:tc>
        <w:tc>
          <w:tcPr>
            <w:tcW w:w="1936" w:type="dxa"/>
            <w:tcBorders>
              <w:top w:val="nil" w:sz="6" w:space="0" w:color="auto"/>
              <w:left w:val="nil" w:sz="6" w:space="0" w:color="auto"/>
              <w:bottom w:val="nil" w:sz="6" w:space="0" w:color="auto"/>
              <w:right w:val="nil" w:sz="6" w:space="0" w:color="auto"/>
            </w:tcBorders>
          </w:tcPr>
          <w:p>
            <w:pPr>
              <w:pStyle w:val="TableParagraph"/>
              <w:spacing w:line="211" w:lineRule="exact"/>
              <w:ind w:right="340"/>
              <w:jc w:val="right"/>
              <w:rPr>
                <w:rFonts w:ascii="宋体" w:hAnsi="宋体" w:cs="宋体" w:eastAsia="宋体" w:hint="default"/>
                <w:sz w:val="21"/>
                <w:szCs w:val="21"/>
              </w:rPr>
            </w:pPr>
            <w:r>
              <w:rPr>
                <w:rFonts w:ascii="宋体" w:hAnsi="宋体" w:cs="宋体" w:eastAsia="宋体" w:hint="default"/>
                <w:spacing w:val="-1"/>
                <w:sz w:val="21"/>
                <w:szCs w:val="21"/>
              </w:rPr>
              <w:t>调整金额</w:t>
            </w:r>
          </w:p>
        </w:tc>
        <w:tc>
          <w:tcPr>
            <w:tcW w:w="1701"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hAnsi="宋体" w:cs="宋体" w:eastAsia="宋体" w:hint="default"/>
                <w:sz w:val="21"/>
                <w:szCs w:val="21"/>
              </w:rPr>
              <w:t>采用后</w:t>
            </w:r>
          </w:p>
        </w:tc>
      </w:tr>
      <w:tr>
        <w:trPr>
          <w:trHeight w:val="272"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00" w:type="dxa"/>
            <w:tcBorders>
              <w:top w:val="nil" w:sz="6" w:space="0" w:color="auto"/>
              <w:left w:val="nil" w:sz="6" w:space="0" w:color="auto"/>
              <w:bottom w:val="nil" w:sz="6" w:space="0" w:color="auto"/>
              <w:right w:val="nil" w:sz="6" w:space="0" w:color="auto"/>
            </w:tcBorders>
          </w:tcPr>
          <w:p>
            <w:pPr>
              <w:pStyle w:val="TableParagraph"/>
              <w:spacing w:line="241" w:lineRule="exact"/>
              <w:ind w:right="530"/>
              <w:jc w:val="right"/>
              <w:rPr>
                <w:rFonts w:ascii="宋体" w:hAnsi="宋体" w:cs="宋体" w:eastAsia="宋体" w:hint="default"/>
                <w:sz w:val="21"/>
                <w:szCs w:val="21"/>
              </w:rPr>
            </w:pPr>
            <w:r>
              <w:rPr>
                <w:rFonts w:ascii="宋体"/>
                <w:spacing w:val="-1"/>
                <w:sz w:val="21"/>
              </w:rPr>
              <w:t>639,573,794</w:t>
            </w:r>
          </w:p>
        </w:tc>
        <w:tc>
          <w:tcPr>
            <w:tcW w:w="1936" w:type="dxa"/>
            <w:tcBorders>
              <w:top w:val="nil" w:sz="6" w:space="0" w:color="auto"/>
              <w:left w:val="nil" w:sz="6" w:space="0" w:color="auto"/>
              <w:bottom w:val="nil" w:sz="6" w:space="0" w:color="auto"/>
              <w:right w:val="nil" w:sz="6" w:space="0" w:color="auto"/>
            </w:tcBorders>
          </w:tcPr>
          <w:p>
            <w:pPr>
              <w:pStyle w:val="TableParagraph"/>
              <w:spacing w:line="241" w:lineRule="exact"/>
              <w:ind w:right="347"/>
              <w:jc w:val="right"/>
              <w:rPr>
                <w:rFonts w:ascii="宋体" w:hAnsi="宋体" w:cs="宋体" w:eastAsia="宋体" w:hint="default"/>
                <w:sz w:val="21"/>
                <w:szCs w:val="21"/>
              </w:rPr>
            </w:pPr>
            <w:r>
              <w:rPr>
                <w:rFonts w:ascii="宋体"/>
                <w:spacing w:val="-1"/>
                <w:sz w:val="21"/>
              </w:rPr>
              <w:t>80,635,950</w:t>
            </w:r>
          </w:p>
        </w:tc>
        <w:tc>
          <w:tcPr>
            <w:tcW w:w="1701" w:type="dxa"/>
            <w:tcBorders>
              <w:top w:val="nil" w:sz="6" w:space="0" w:color="auto"/>
              <w:left w:val="nil" w:sz="6" w:space="0" w:color="auto"/>
              <w:bottom w:val="nil" w:sz="6" w:space="0" w:color="auto"/>
              <w:right w:val="nil" w:sz="6" w:space="0" w:color="auto"/>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720,209,744</w:t>
            </w:r>
          </w:p>
        </w:tc>
      </w:tr>
      <w:tr>
        <w:trPr>
          <w:trHeight w:val="242"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2500" w:type="dxa"/>
            <w:tcBorders>
              <w:top w:val="nil" w:sz="6" w:space="0" w:color="auto"/>
              <w:left w:val="nil" w:sz="6" w:space="0" w:color="auto"/>
              <w:bottom w:val="nil" w:sz="6" w:space="0" w:color="auto"/>
              <w:right w:val="nil" w:sz="6" w:space="0" w:color="auto"/>
            </w:tcBorders>
          </w:tcPr>
          <w:p>
            <w:pPr>
              <w:pStyle w:val="TableParagraph"/>
              <w:spacing w:line="242" w:lineRule="exact"/>
              <w:ind w:right="533"/>
              <w:jc w:val="right"/>
              <w:rPr>
                <w:rFonts w:ascii="宋体" w:hAnsi="宋体" w:cs="宋体" w:eastAsia="宋体" w:hint="default"/>
                <w:sz w:val="21"/>
                <w:szCs w:val="21"/>
              </w:rPr>
            </w:pPr>
            <w:r>
              <w:rPr>
                <w:rFonts w:ascii="宋体"/>
                <w:w w:val="100"/>
                <w:sz w:val="21"/>
              </w:rPr>
              <w:t>-</w:t>
            </w:r>
          </w:p>
        </w:tc>
        <w:tc>
          <w:tcPr>
            <w:tcW w:w="1936" w:type="dxa"/>
            <w:tcBorders>
              <w:top w:val="nil" w:sz="6" w:space="0" w:color="auto"/>
              <w:left w:val="nil" w:sz="6" w:space="0" w:color="auto"/>
              <w:bottom w:val="nil" w:sz="6" w:space="0" w:color="auto"/>
              <w:right w:val="nil" w:sz="6" w:space="0" w:color="auto"/>
            </w:tcBorders>
          </w:tcPr>
          <w:p>
            <w:pPr>
              <w:pStyle w:val="TableParagraph"/>
              <w:spacing w:line="242" w:lineRule="exact"/>
              <w:ind w:right="347"/>
              <w:jc w:val="right"/>
              <w:rPr>
                <w:rFonts w:ascii="宋体" w:hAnsi="宋体" w:cs="宋体" w:eastAsia="宋体" w:hint="default"/>
                <w:sz w:val="21"/>
                <w:szCs w:val="21"/>
              </w:rPr>
            </w:pPr>
            <w:r>
              <w:rPr>
                <w:rFonts w:ascii="宋体"/>
                <w:spacing w:val="-1"/>
                <w:sz w:val="21"/>
              </w:rPr>
              <w:t>80,635,950</w:t>
            </w:r>
          </w:p>
        </w:tc>
        <w:tc>
          <w:tcPr>
            <w:tcW w:w="1701" w:type="dxa"/>
            <w:tcBorders>
              <w:top w:val="nil" w:sz="6" w:space="0" w:color="auto"/>
              <w:left w:val="nil" w:sz="6" w:space="0" w:color="auto"/>
              <w:bottom w:val="nil" w:sz="6" w:space="0" w:color="auto"/>
              <w:right w:val="nil" w:sz="6" w:space="0" w:color="auto"/>
            </w:tcBorders>
          </w:tcPr>
          <w:p>
            <w:pPr>
              <w:pStyle w:val="TableParagraph"/>
              <w:spacing w:line="242" w:lineRule="exact"/>
              <w:ind w:right="200"/>
              <w:jc w:val="right"/>
              <w:rPr>
                <w:rFonts w:ascii="宋体" w:hAnsi="宋体" w:cs="宋体" w:eastAsia="宋体" w:hint="default"/>
                <w:sz w:val="21"/>
                <w:szCs w:val="21"/>
              </w:rPr>
            </w:pPr>
            <w:r>
              <w:rPr>
                <w:rFonts w:ascii="宋体"/>
                <w:spacing w:val="-1"/>
                <w:sz w:val="21"/>
              </w:rPr>
              <w:t>80,635,950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2"/>
        <w:spacing w:line="240" w:lineRule="auto"/>
        <w:ind w:right="3915"/>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left="218" w:right="391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right="3915"/>
        <w:jc w:val="left"/>
        <w:rPr>
          <w:b w:val="0"/>
          <w:bCs w:val="0"/>
        </w:rPr>
      </w:pPr>
      <w:r>
        <w:rPr>
          <w:rFonts w:ascii="Calibri" w:hAnsi="Calibri" w:cs="Calibri" w:eastAsia="Calibri" w:hint="default"/>
        </w:rPr>
        <w:t>34.  </w:t>
      </w:r>
      <w:r>
        <w:rPr>
          <w:rFonts w:ascii="Calibri" w:hAnsi="Calibri" w:cs="Calibri" w:eastAsia="Calibri" w:hint="default"/>
          <w:spacing w:val="12"/>
        </w:rPr>
        <w:t> </w:t>
      </w:r>
      <w:r>
        <w:rPr/>
        <w:t>其他</w:t>
      </w:r>
      <w:r>
        <w:rPr>
          <w:b w:val="0"/>
          <w:bCs w:val="0"/>
        </w:rPr>
      </w:r>
    </w:p>
    <w:p>
      <w:pPr>
        <w:spacing w:line="240" w:lineRule="auto" w:before="3"/>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right="3915"/>
        <w:jc w:val="left"/>
        <w:rPr>
          <w:b w:val="0"/>
          <w:bCs w:val="0"/>
        </w:rPr>
      </w:pPr>
      <w:r>
        <w:rPr/>
        <w:t>六、税项</w:t>
      </w:r>
      <w:r>
        <w:rPr>
          <w:b w:val="0"/>
          <w:bCs w:val="0"/>
        </w:rPr>
      </w:r>
    </w:p>
    <w:p>
      <w:pPr>
        <w:pStyle w:val="Heading2"/>
        <w:tabs>
          <w:tab w:pos="642" w:val="left" w:leader="none"/>
        </w:tabs>
        <w:spacing w:line="240" w:lineRule="auto" w:before="58"/>
        <w:ind w:right="3915"/>
        <w:jc w:val="left"/>
        <w:rPr>
          <w:b w:val="0"/>
          <w:bCs w:val="0"/>
        </w:rPr>
      </w:pPr>
      <w:r>
        <w:rPr>
          <w:rFonts w:ascii="Calibri" w:hAnsi="Calibri" w:cs="Calibri" w:eastAsia="Calibri" w:hint="default"/>
        </w:rPr>
        <w:t>1.</w:t>
        <w:tab/>
      </w:r>
      <w:r>
        <w:rPr/>
        <w:t>主要税种及税率</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bl>
    <w:p>
      <w:pPr>
        <w:spacing w:line="240" w:lineRule="auto" w:before="7"/>
        <w:rPr>
          <w:rFonts w:ascii="宋体" w:hAnsi="宋体" w:cs="宋体" w:eastAsia="宋体" w:hint="default"/>
          <w:b/>
          <w:bCs/>
          <w:sz w:val="15"/>
          <w:szCs w:val="15"/>
        </w:rPr>
      </w:pPr>
    </w:p>
    <w:p>
      <w:pPr>
        <w:pStyle w:val="BodyText"/>
        <w:spacing w:line="273" w:lineRule="exact" w:before="36"/>
        <w:ind w:left="218" w:right="3915"/>
        <w:jc w:val="left"/>
      </w:pPr>
      <w:r>
        <w:rPr/>
        <w:t>存在不同企业所得税税率纳税主体的，披露情况说明</w:t>
      </w:r>
    </w:p>
    <w:p>
      <w:pPr>
        <w:pStyle w:val="BodyText"/>
        <w:spacing w:line="273" w:lineRule="exact"/>
        <w:ind w:left="218" w:right="391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1" w:hRule="exact"/>
        </w:trPr>
        <w:tc>
          <w:tcPr>
            <w:tcW w:w="4604" w:type="dxa"/>
            <w:tcBorders>
              <w:top w:val="single" w:sz="4" w:space="0" w:color="000000"/>
              <w:left w:val="single" w:sz="4" w:space="0" w:color="000000"/>
              <w:bottom w:val="single" w:sz="4"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所得税税率</w:t>
            </w:r>
          </w:p>
        </w:tc>
      </w:tr>
    </w:tbl>
    <w:p>
      <w:pPr>
        <w:spacing w:line="240" w:lineRule="auto" w:before="5"/>
        <w:rPr>
          <w:rFonts w:ascii="宋体" w:hAnsi="宋体" w:cs="宋体" w:eastAsia="宋体" w:hint="default"/>
          <w:sz w:val="15"/>
          <w:szCs w:val="15"/>
        </w:rPr>
      </w:pPr>
    </w:p>
    <w:p>
      <w:pPr>
        <w:pStyle w:val="BodyText"/>
        <w:spacing w:line="240" w:lineRule="auto" w:before="36"/>
        <w:ind w:left="961" w:right="3915"/>
        <w:jc w:val="left"/>
      </w:pPr>
      <w:r>
        <w:rPr/>
        <w:t>本集团适用的主要税种及税率如下：</w:t>
      </w:r>
    </w:p>
    <w:p>
      <w:pPr>
        <w:spacing w:line="240" w:lineRule="auto" w:before="0"/>
        <w:rPr>
          <w:rFonts w:ascii="宋体" w:hAnsi="宋体" w:cs="宋体" w:eastAsia="宋体" w:hint="default"/>
          <w:sz w:val="20"/>
          <w:szCs w:val="20"/>
        </w:rPr>
      </w:pPr>
    </w:p>
    <w:p>
      <w:pPr>
        <w:pStyle w:val="BodyText"/>
        <w:spacing w:line="297" w:lineRule="auto" w:before="145"/>
        <w:ind w:left="926" w:right="519" w:hanging="694"/>
        <w:jc w:val="both"/>
      </w:pPr>
      <w:r>
        <w:rPr>
          <w:rFonts w:ascii="宋体" w:hAnsi="宋体" w:cs="宋体" w:eastAsia="宋体" w:hint="default"/>
        </w:rPr>
        <w:t>(1)</w:t>
      </w:r>
      <w:r>
        <w:rPr>
          <w:rFonts w:ascii="宋体" w:hAnsi="宋体" w:cs="宋体" w:eastAsia="宋体" w:hint="default"/>
          <w:spacing w:val="28"/>
        </w:rPr>
        <w:t> </w:t>
      </w:r>
      <w:r>
        <w:rPr>
          <w:spacing w:val="-3"/>
        </w:rPr>
        <w:t>增值税–根据国家税务法规，本集团产品销售收入为计征增值税收入。因集团内各分公司</w:t>
      </w:r>
      <w:r>
        <w:rPr>
          <w:spacing w:val="-102"/>
        </w:rPr>
        <w:t> </w:t>
      </w:r>
      <w:r>
        <w:rPr>
          <w:spacing w:val="-102"/>
        </w:rPr>
      </w:r>
      <w:r>
        <w:rPr>
          <w:spacing w:val="-3"/>
        </w:rPr>
        <w:t>及子公司的个别情况，增值税征收方法有所不同。个别分公司或子公司为增值税一般纳税</w:t>
      </w:r>
      <w:r>
        <w:rPr>
          <w:w w:val="100"/>
        </w:rPr>
        <w:t> </w:t>
      </w:r>
      <w:r>
        <w:rPr/>
        <w:t>人的，增值税由买方按销售额的</w:t>
      </w:r>
      <w:r>
        <w:rPr>
          <w:rFonts w:ascii="宋体" w:hAnsi="宋体" w:cs="宋体" w:eastAsia="宋体" w:hint="default"/>
        </w:rPr>
        <w:t>17%</w:t>
      </w:r>
      <w:r>
        <w:rPr/>
        <w:t>计算连同销售金额一并支付分公司或子公司，分公司</w:t>
      </w:r>
      <w:r>
        <w:rPr>
          <w:w w:val="100"/>
        </w:rPr>
        <w:t> </w:t>
      </w:r>
      <w:r>
        <w:rPr/>
        <w:t>及子公司在扣除那些因购进货物所支付而允许抵扣的增值税之后上缴税务机关。</w:t>
      </w:r>
    </w:p>
    <w:p>
      <w:pPr>
        <w:spacing w:line="240" w:lineRule="auto" w:before="3"/>
        <w:rPr>
          <w:rFonts w:ascii="宋体" w:hAnsi="宋体" w:cs="宋体" w:eastAsia="宋体" w:hint="default"/>
          <w:sz w:val="27"/>
          <w:szCs w:val="27"/>
        </w:rPr>
      </w:pPr>
    </w:p>
    <w:p>
      <w:pPr>
        <w:pStyle w:val="BodyText"/>
        <w:spacing w:line="297" w:lineRule="auto"/>
        <w:ind w:left="959" w:right="518" w:firstLine="420"/>
        <w:jc w:val="both"/>
      </w:pPr>
      <w:r>
        <w:rPr>
          <w:rFonts w:ascii="宋体" w:hAnsi="宋体" w:cs="宋体" w:eastAsia="宋体" w:hint="default"/>
          <w:spacing w:val="-3"/>
        </w:rPr>
        <w:t>2011</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16</w:t>
      </w:r>
      <w:r>
        <w:rPr>
          <w:spacing w:val="-3"/>
        </w:rPr>
        <w:t>日，财政部和国家税务总局印发了《关于在上海市开展交通运输业和部</w:t>
      </w:r>
      <w:r>
        <w:rPr>
          <w:w w:val="100"/>
        </w:rPr>
        <w:t> </w:t>
      </w:r>
      <w:r>
        <w:rPr>
          <w:spacing w:val="-1"/>
        </w:rPr>
        <w:t>分现代服务业营业税改征增值税试点的通知》</w:t>
      </w:r>
      <w:r>
        <w:rPr>
          <w:rFonts w:ascii="宋体" w:hAnsi="宋体" w:cs="宋体" w:eastAsia="宋体" w:hint="default"/>
          <w:spacing w:val="-1"/>
        </w:rPr>
        <w:t>(</w:t>
      </w:r>
      <w:r>
        <w:rPr>
          <w:spacing w:val="-1"/>
        </w:rPr>
        <w:t>财税</w:t>
      </w:r>
      <w:r>
        <w:rPr>
          <w:rFonts w:ascii="宋体" w:hAnsi="宋体" w:cs="宋体" w:eastAsia="宋体" w:hint="default"/>
          <w:spacing w:val="-1"/>
        </w:rPr>
        <w:t>[2011]111</w:t>
      </w:r>
      <w:r>
        <w:rPr>
          <w:spacing w:val="-1"/>
        </w:rPr>
        <w:t>号</w:t>
      </w:r>
      <w:r>
        <w:rPr>
          <w:rFonts w:ascii="宋体" w:hAnsi="宋体" w:cs="宋体" w:eastAsia="宋体" w:hint="default"/>
          <w:spacing w:val="-1"/>
        </w:rPr>
        <w:t>)</w:t>
      </w:r>
      <w:r>
        <w:rPr>
          <w:spacing w:val="-1"/>
        </w:rPr>
        <w:t>，自</w:t>
      </w:r>
      <w:r>
        <w:rPr>
          <w:rFonts w:ascii="宋体" w:hAnsi="宋体" w:cs="宋体" w:eastAsia="宋体" w:hint="default"/>
          <w:spacing w:val="-1"/>
        </w:rPr>
        <w:t>2012</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日起在</w:t>
      </w:r>
      <w:r>
        <w:rPr>
          <w:spacing w:val="-26"/>
        </w:rPr>
        <w:t> </w:t>
      </w:r>
      <w:r>
        <w:rPr>
          <w:spacing w:val="-1"/>
        </w:rPr>
        <w:t>上海市开展交通运输业和部分现代服务业营业税改征增值税试点。</w:t>
      </w:r>
      <w:r>
        <w:rPr>
          <w:rFonts w:ascii="宋体" w:hAnsi="宋体" w:cs="宋体" w:eastAsia="宋体" w:hint="default"/>
          <w:spacing w:val="-1"/>
        </w:rPr>
        <w:t>2012</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31</w:t>
      </w:r>
      <w:r>
        <w:rPr>
          <w:spacing w:val="-1"/>
        </w:rPr>
        <w:t>日，财政</w:t>
      </w:r>
      <w:r>
        <w:rPr>
          <w:spacing w:val="-26"/>
        </w:rPr>
        <w:t> </w:t>
      </w:r>
      <w:r>
        <w:rPr>
          <w:spacing w:val="-1"/>
        </w:rPr>
        <w:t>部和国家税务总局印发了《关于在北京等</w:t>
      </w:r>
      <w:r>
        <w:rPr>
          <w:rFonts w:ascii="宋体" w:hAnsi="宋体" w:cs="宋体" w:eastAsia="宋体" w:hint="default"/>
          <w:spacing w:val="-1"/>
        </w:rPr>
        <w:t>8</w:t>
      </w:r>
      <w:r>
        <w:rPr>
          <w:spacing w:val="-1"/>
        </w:rPr>
        <w:t>省市开展交通运输业和部分现代服务业营业税</w:t>
      </w:r>
      <w:r>
        <w:rPr>
          <w:spacing w:val="-29"/>
        </w:rPr>
        <w:t> </w:t>
      </w:r>
      <w:r>
        <w:rPr>
          <w:spacing w:val="-29"/>
        </w:rPr>
      </w:r>
      <w:r>
        <w:rPr>
          <w:spacing w:val="-3"/>
        </w:rPr>
        <w:t>改征增值税试点的通知》</w:t>
      </w:r>
      <w:r>
        <w:rPr>
          <w:rFonts w:ascii="宋体" w:hAnsi="宋体" w:cs="宋体" w:eastAsia="宋体" w:hint="default"/>
          <w:spacing w:val="-3"/>
        </w:rPr>
        <w:t>(</w:t>
      </w:r>
      <w:r>
        <w:rPr>
          <w:spacing w:val="-3"/>
        </w:rPr>
        <w:t>财税</w:t>
      </w:r>
      <w:r>
        <w:rPr>
          <w:rFonts w:ascii="宋体" w:hAnsi="宋体" w:cs="宋体" w:eastAsia="宋体" w:hint="default"/>
          <w:spacing w:val="-3"/>
        </w:rPr>
        <w:t>[2012]71</w:t>
      </w:r>
      <w:r>
        <w:rPr>
          <w:spacing w:val="-3"/>
        </w:rPr>
        <w:t>号文</w:t>
      </w:r>
      <w:r>
        <w:rPr>
          <w:rFonts w:ascii="宋体" w:hAnsi="宋体" w:cs="宋体" w:eastAsia="宋体" w:hint="default"/>
          <w:spacing w:val="-3"/>
        </w:rPr>
        <w:t>)</w:t>
      </w:r>
      <w:r>
        <w:rPr>
          <w:spacing w:val="-3"/>
        </w:rPr>
        <w:t>，明确将交通运输业和部分现代服务业营业</w:t>
      </w:r>
    </w:p>
    <w:p>
      <w:pPr>
        <w:spacing w:after="0" w:line="297" w:lineRule="auto"/>
        <w:jc w:val="both"/>
        <w:sectPr>
          <w:headerReference w:type="default" r:id="rId57"/>
          <w:footerReference w:type="default" r:id="rId58"/>
          <w:pgSz w:w="11910" w:h="16840"/>
          <w:pgMar w:header="0" w:footer="1335" w:top="1020" w:bottom="1520" w:left="1580" w:right="720"/>
          <w:pgNumType w:start="40"/>
        </w:sectPr>
      </w:pPr>
    </w:p>
    <w:p>
      <w:pPr>
        <w:spacing w:line="240" w:lineRule="auto" w:before="7"/>
        <w:rPr>
          <w:rFonts w:ascii="宋体" w:hAnsi="宋体" w:cs="宋体" w:eastAsia="宋体" w:hint="default"/>
          <w:sz w:val="5"/>
          <w:szCs w:val="5"/>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5.3pt;height:.75pt;mso-position-horizontal-relative:char;mso-position-vertical-relative:line" coordorigin="0,0" coordsize="8906,15">
            <v:group style="position:absolute;left:7;top:7;width:8891;height:2" coordorigin="7,7" coordsize="8891,2">
              <v:shape style="position:absolute;left:7;top:7;width:8891;height:2" coordorigin="7,7" coordsize="8891,0" path="m7,7l8898,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4"/>
          <w:szCs w:val="24"/>
        </w:rPr>
      </w:pPr>
    </w:p>
    <w:p>
      <w:pPr>
        <w:pStyle w:val="BodyText"/>
        <w:spacing w:line="297" w:lineRule="auto" w:before="36"/>
        <w:ind w:left="879" w:right="116"/>
        <w:jc w:val="both"/>
      </w:pPr>
      <w:r>
        <w:rPr/>
        <w:t>税改征增值税试点范围，由上海市分批扩大至北京市、天津市、江苏省、浙江省</w:t>
      </w:r>
      <w:r>
        <w:rPr>
          <w:rFonts w:ascii="宋体" w:hAnsi="宋体" w:cs="宋体" w:eastAsia="宋体" w:hint="default"/>
        </w:rPr>
        <w:t>(</w:t>
      </w:r>
      <w:r>
        <w:rPr/>
        <w:t>含宁波</w:t>
      </w:r>
      <w:r>
        <w:rPr>
          <w:spacing w:val="-67"/>
        </w:rPr>
        <w:t> </w:t>
      </w:r>
      <w:r>
        <w:rPr/>
        <w:t>市</w:t>
      </w:r>
      <w:r>
        <w:rPr>
          <w:rFonts w:ascii="宋体" w:hAnsi="宋体" w:cs="宋体" w:eastAsia="宋体" w:hint="default"/>
        </w:rPr>
        <w:t>)</w:t>
      </w:r>
      <w:r>
        <w:rPr/>
        <w:t>、安徽省、福建省</w:t>
      </w:r>
      <w:r>
        <w:rPr>
          <w:rFonts w:ascii="宋体" w:hAnsi="宋体" w:cs="宋体" w:eastAsia="宋体" w:hint="default"/>
        </w:rPr>
        <w:t>(</w:t>
      </w:r>
      <w:r>
        <w:rPr/>
        <w:t>含厦门市</w:t>
      </w:r>
      <w:r>
        <w:rPr>
          <w:rFonts w:ascii="宋体" w:hAnsi="宋体" w:cs="宋体" w:eastAsia="宋体" w:hint="default"/>
        </w:rPr>
        <w:t>)</w:t>
      </w:r>
      <w:r>
        <w:rPr/>
        <w:t>、湖北省、广东省</w:t>
      </w:r>
      <w:r>
        <w:rPr>
          <w:rFonts w:ascii="宋体" w:hAnsi="宋体" w:cs="宋体" w:eastAsia="宋体" w:hint="default"/>
        </w:rPr>
        <w:t>(</w:t>
      </w:r>
      <w:r>
        <w:rPr/>
        <w:t>含深圳市</w:t>
      </w:r>
      <w:r>
        <w:rPr>
          <w:rFonts w:ascii="宋体" w:hAnsi="宋体" w:cs="宋体" w:eastAsia="宋体" w:hint="default"/>
        </w:rPr>
        <w:t>)</w:t>
      </w:r>
      <w:r>
        <w:rPr/>
        <w:t>等</w:t>
      </w:r>
      <w:r>
        <w:rPr>
          <w:rFonts w:ascii="宋体" w:hAnsi="宋体" w:cs="宋体" w:eastAsia="宋体" w:hint="default"/>
        </w:rPr>
        <w:t>8</w:t>
      </w:r>
      <w:r>
        <w:rPr/>
        <w:t>个省</w:t>
      </w:r>
      <w:r>
        <w:rPr>
          <w:rFonts w:ascii="宋体" w:hAnsi="宋体" w:cs="宋体" w:eastAsia="宋体" w:hint="default"/>
        </w:rPr>
        <w:t>(</w:t>
      </w:r>
      <w:r>
        <w:rPr/>
        <w:t>直辖市</w:t>
      </w:r>
      <w:r>
        <w:rPr>
          <w:rFonts w:ascii="宋体" w:hAnsi="宋体" w:cs="宋体" w:eastAsia="宋体" w:hint="default"/>
        </w:rPr>
        <w:t>)</w:t>
      </w:r>
      <w:r>
        <w:rPr/>
        <w:t>。上述</w:t>
      </w:r>
      <w:r>
        <w:rPr>
          <w:rFonts w:ascii="宋体" w:hAnsi="宋体" w:cs="宋体" w:eastAsia="宋体" w:hint="default"/>
        </w:rPr>
        <w:t>8</w:t>
      </w:r>
      <w:r>
        <w:rPr>
          <w:rFonts w:ascii="宋体" w:hAnsi="宋体" w:cs="宋体" w:eastAsia="宋体" w:hint="default"/>
          <w:spacing w:val="-69"/>
        </w:rPr>
        <w:t> </w:t>
      </w:r>
      <w:r>
        <w:rPr>
          <w:spacing w:val="-3"/>
        </w:rPr>
        <w:t>个省</w:t>
      </w:r>
      <w:r>
        <w:rPr>
          <w:rFonts w:ascii="宋体" w:hAnsi="宋体" w:cs="宋体" w:eastAsia="宋体" w:hint="default"/>
          <w:spacing w:val="-3"/>
        </w:rPr>
        <w:t>(</w:t>
      </w:r>
      <w:r>
        <w:rPr>
          <w:spacing w:val="-3"/>
        </w:rPr>
        <w:t>直辖市)“营改增”试点已分别于</w:t>
      </w:r>
      <w:r>
        <w:rPr>
          <w:rFonts w:ascii="宋体" w:hAnsi="宋体" w:cs="宋体" w:eastAsia="宋体" w:hint="default"/>
          <w:spacing w:val="-3"/>
        </w:rPr>
        <w:t>2012</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w:t>
      </w:r>
      <w:r>
        <w:rPr>
          <w:spacing w:val="-3"/>
        </w:rPr>
        <w:t>日、</w:t>
      </w:r>
      <w:r>
        <w:rPr>
          <w:rFonts w:ascii="宋体" w:hAnsi="宋体" w:cs="宋体" w:eastAsia="宋体" w:hint="default"/>
          <w:spacing w:val="-3"/>
        </w:rPr>
        <w:t>2012</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w:t>
      </w:r>
      <w:r>
        <w:rPr>
          <w:spacing w:val="-3"/>
        </w:rPr>
        <w:t>日、</w:t>
      </w:r>
      <w:r>
        <w:rPr>
          <w:rFonts w:ascii="宋体" w:hAnsi="宋体" w:cs="宋体" w:eastAsia="宋体" w:hint="default"/>
          <w:spacing w:val="-3"/>
        </w:rPr>
        <w:t>2012</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w:t>
      </w:r>
      <w:r>
        <w:rPr>
          <w:spacing w:val="-3"/>
        </w:rPr>
        <w:t>日和</w:t>
      </w:r>
      <w:r>
        <w:rPr>
          <w:spacing w:val="-37"/>
        </w:rPr>
        <w:t> </w:t>
      </w:r>
      <w:r>
        <w:rPr>
          <w:rFonts w:ascii="宋体" w:hAnsi="宋体" w:cs="宋体" w:eastAsia="宋体" w:hint="default"/>
          <w:spacing w:val="-3"/>
        </w:rPr>
        <w:t>2012</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w:t>
      </w:r>
      <w:r>
        <w:rPr>
          <w:spacing w:val="-3"/>
        </w:rPr>
        <w:t>日起正式启动。财政部和国家税务总局</w:t>
      </w:r>
      <w:r>
        <w:rPr>
          <w:rFonts w:ascii="宋体" w:hAnsi="宋体" w:cs="宋体" w:eastAsia="宋体" w:hint="default"/>
          <w:spacing w:val="-3"/>
        </w:rPr>
        <w:t>2013</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24</w:t>
      </w:r>
      <w:r>
        <w:rPr>
          <w:spacing w:val="-3"/>
        </w:rPr>
        <w:t>日联合印发财税</w:t>
      </w:r>
      <w:r>
        <w:rPr>
          <w:rFonts w:ascii="宋体" w:hAnsi="宋体" w:cs="宋体" w:eastAsia="宋体" w:hint="default"/>
          <w:spacing w:val="-3"/>
        </w:rPr>
        <w:t>[2013]37</w:t>
      </w:r>
      <w:r>
        <w:rPr>
          <w:rFonts w:ascii="宋体" w:hAnsi="宋体" w:cs="宋体" w:eastAsia="宋体" w:hint="default"/>
          <w:spacing w:val="-36"/>
        </w:rPr>
        <w:t> </w:t>
      </w:r>
      <w:r>
        <w:rPr>
          <w:rFonts w:ascii="宋体" w:hAnsi="宋体" w:cs="宋体" w:eastAsia="宋体" w:hint="default"/>
          <w:spacing w:val="-36"/>
        </w:rPr>
      </w:r>
      <w:r>
        <w:rPr>
          <w:spacing w:val="-4"/>
        </w:rPr>
        <w:t>号《财政部、国家税务总局关于在全国开展交通运输业和部分现代服务业营业税改征增值</w:t>
      </w:r>
      <w:r>
        <w:rPr>
          <w:spacing w:val="-25"/>
        </w:rPr>
        <w:t> </w:t>
      </w:r>
      <w:r>
        <w:rPr>
          <w:spacing w:val="-25"/>
        </w:rPr>
      </w:r>
      <w:r>
        <w:rPr>
          <w:spacing w:val="-3"/>
          <w:w w:val="100"/>
        </w:rPr>
        <w:t>税试点税收政策的通知》，从</w:t>
      </w:r>
      <w:r>
        <w:rPr>
          <w:rFonts w:ascii="宋体" w:hAnsi="宋体" w:cs="宋体" w:eastAsia="宋体" w:hint="default"/>
          <w:spacing w:val="-3"/>
          <w:w w:val="100"/>
        </w:rPr>
        <w:t>2013</w:t>
      </w:r>
      <w:r>
        <w:rPr>
          <w:spacing w:val="-3"/>
          <w:w w:val="100"/>
        </w:rPr>
        <w:t>年</w:t>
      </w:r>
      <w:r>
        <w:rPr>
          <w:rFonts w:ascii="宋体" w:hAnsi="宋体" w:cs="宋体" w:eastAsia="宋体" w:hint="default"/>
          <w:spacing w:val="-3"/>
          <w:w w:val="100"/>
        </w:rPr>
        <w:t>8</w:t>
      </w:r>
      <w:r>
        <w:rPr>
          <w:spacing w:val="-3"/>
          <w:w w:val="100"/>
        </w:rPr>
        <w:t>月</w:t>
      </w:r>
      <w:r>
        <w:rPr>
          <w:rFonts w:ascii="宋体" w:hAnsi="宋体" w:cs="宋体" w:eastAsia="宋体" w:hint="default"/>
          <w:spacing w:val="-3"/>
          <w:w w:val="100"/>
        </w:rPr>
        <w:t>1</w:t>
      </w:r>
      <w:r>
        <w:rPr>
          <w:spacing w:val="-3"/>
          <w:w w:val="100"/>
        </w:rPr>
        <w:t>日起在全国范围内开展交通运输业和部分现代服</w:t>
      </w:r>
      <w:r>
        <w:rPr>
          <w:spacing w:val="-96"/>
          <w:w w:val="100"/>
        </w:rPr>
        <w:t> </w:t>
      </w:r>
      <w:r>
        <w:rPr>
          <w:spacing w:val="-96"/>
          <w:w w:val="100"/>
        </w:rPr>
      </w:r>
      <w:r>
        <w:rPr>
          <w:spacing w:val="-4"/>
        </w:rPr>
        <w:t>务业营业税改征增值税试点的相关税收政策。根据上述文件，本集团提供的技术服务收入</w:t>
      </w:r>
      <w:r>
        <w:rPr>
          <w:spacing w:val="-25"/>
        </w:rPr>
        <w:t> </w:t>
      </w:r>
      <w:r>
        <w:rPr>
          <w:spacing w:val="-25"/>
        </w:rPr>
      </w:r>
      <w:r>
        <w:rPr/>
        <w:t>适用</w:t>
      </w:r>
      <w:r>
        <w:rPr>
          <w:rFonts w:ascii="宋体" w:hAnsi="宋体" w:cs="宋体" w:eastAsia="宋体" w:hint="default"/>
        </w:rPr>
        <w:t>6%</w:t>
      </w:r>
      <w:r>
        <w:rPr/>
        <w:t>增值税税率。</w:t>
      </w:r>
    </w:p>
    <w:p>
      <w:pPr>
        <w:spacing w:line="240" w:lineRule="auto" w:before="3"/>
        <w:rPr>
          <w:rFonts w:ascii="宋体" w:hAnsi="宋体" w:cs="宋体" w:eastAsia="宋体" w:hint="default"/>
          <w:sz w:val="27"/>
          <w:szCs w:val="27"/>
        </w:rPr>
      </w:pPr>
    </w:p>
    <w:p>
      <w:pPr>
        <w:pStyle w:val="BodyText"/>
        <w:spacing w:line="297" w:lineRule="auto"/>
        <w:ind w:left="846" w:right="0" w:firstLine="33"/>
        <w:jc w:val="left"/>
      </w:pPr>
      <w:r>
        <w:rPr>
          <w:spacing w:val="-1"/>
        </w:rPr>
        <w:t>依据财政部、国家税务总局于</w:t>
      </w:r>
      <w:r>
        <w:rPr>
          <w:rFonts w:ascii="宋体" w:hAnsi="宋体" w:cs="宋体" w:eastAsia="宋体" w:hint="default"/>
          <w:spacing w:val="-1"/>
        </w:rPr>
        <w:t>2011</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13</w:t>
      </w:r>
      <w:r>
        <w:rPr>
          <w:spacing w:val="-1"/>
        </w:rPr>
        <w:t>日下发的《关于软件产品增值税政策的通知》</w:t>
      </w:r>
      <w:r>
        <w:rPr>
          <w:spacing w:val="-61"/>
        </w:rPr>
        <w:t> </w:t>
      </w:r>
      <w:r>
        <w:rPr>
          <w:spacing w:val="-61"/>
        </w:rPr>
      </w:r>
      <w:r>
        <w:rPr>
          <w:rFonts w:ascii="宋体" w:hAnsi="宋体" w:cs="宋体" w:eastAsia="宋体" w:hint="default"/>
        </w:rPr>
        <w:t>(</w:t>
      </w:r>
      <w:r>
        <w:rPr/>
        <w:t>财税</w:t>
      </w:r>
      <w:r>
        <w:rPr>
          <w:rFonts w:ascii="宋体" w:hAnsi="宋体" w:cs="宋体" w:eastAsia="宋体" w:hint="default"/>
        </w:rPr>
        <w:t>[2011]100</w:t>
      </w:r>
      <w:r>
        <w:rPr/>
        <w:t>号</w:t>
      </w:r>
      <w:r>
        <w:rPr>
          <w:rFonts w:ascii="宋体" w:hAnsi="宋体" w:cs="宋体" w:eastAsia="宋体" w:hint="default"/>
        </w:rPr>
        <w:t>)</w:t>
      </w:r>
      <w:r>
        <w:rPr/>
        <w:t>，自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日起，本公司及本公司的北京分公司销售其自行开发</w:t>
      </w:r>
      <w:r>
        <w:rPr>
          <w:spacing w:val="-69"/>
        </w:rPr>
        <w:t> </w:t>
      </w:r>
      <w:r>
        <w:rPr>
          <w:spacing w:val="-69"/>
        </w:rPr>
      </w:r>
      <w:r>
        <w:rPr/>
        <w:t>生产的计算机软件产品，可按法定</w:t>
      </w:r>
      <w:r>
        <w:rPr>
          <w:rFonts w:ascii="宋体" w:hAnsi="宋体" w:cs="宋体" w:eastAsia="宋体" w:hint="default"/>
        </w:rPr>
        <w:t>17%</w:t>
      </w:r>
      <w:r>
        <w:rPr/>
        <w:t>的税率征收增值税后，对其增值税实际税负超过</w:t>
      </w:r>
      <w:r>
        <w:rPr>
          <w:rFonts w:ascii="宋体" w:hAnsi="宋体" w:cs="宋体" w:eastAsia="宋体" w:hint="default"/>
        </w:rPr>
        <w:t>3%</w:t>
      </w:r>
      <w:r>
        <w:rPr>
          <w:rFonts w:ascii="宋体" w:hAnsi="宋体" w:cs="宋体" w:eastAsia="宋体" w:hint="default"/>
          <w:spacing w:val="-68"/>
        </w:rPr>
        <w:t> </w:t>
      </w:r>
      <w:r>
        <w:rPr/>
        <w:t>的部分实行即征即退政策。本公司的子公司北京用友政务软件有限公司</w:t>
      </w:r>
      <w:r>
        <w:rPr>
          <w:rFonts w:ascii="宋体" w:hAnsi="宋体" w:cs="宋体" w:eastAsia="宋体" w:hint="default"/>
        </w:rPr>
        <w:t>(</w:t>
      </w:r>
      <w:r>
        <w:rPr/>
        <w:t>以下简称“用友</w:t>
      </w:r>
      <w:r>
        <w:rPr>
          <w:spacing w:val="-67"/>
        </w:rPr>
        <w:t> </w:t>
      </w:r>
      <w:r>
        <w:rPr>
          <w:spacing w:val="-67"/>
        </w:rPr>
      </w:r>
      <w:r>
        <w:rPr>
          <w:spacing w:val="-4"/>
        </w:rPr>
        <w:t>政务”</w:t>
      </w:r>
      <w:r>
        <w:rPr>
          <w:rFonts w:ascii="宋体" w:hAnsi="宋体" w:cs="宋体" w:eastAsia="宋体" w:hint="default"/>
          <w:spacing w:val="-4"/>
        </w:rPr>
        <w:t>)</w:t>
      </w:r>
      <w:r>
        <w:rPr>
          <w:spacing w:val="-4"/>
        </w:rPr>
        <w:t>、上海用友政务软件有限公司、厦门用友烟草软件有限责任公司</w:t>
      </w:r>
      <w:r>
        <w:rPr>
          <w:rFonts w:ascii="宋体" w:hAnsi="宋体" w:cs="宋体" w:eastAsia="宋体" w:hint="default"/>
          <w:spacing w:val="-4"/>
        </w:rPr>
        <w:t>(</w:t>
      </w:r>
      <w:r>
        <w:rPr>
          <w:spacing w:val="-4"/>
        </w:rPr>
        <w:t>以下简称“厦门</w:t>
      </w:r>
      <w:r>
        <w:rPr>
          <w:spacing w:val="-26"/>
        </w:rPr>
        <w:t> </w:t>
      </w:r>
      <w:r>
        <w:rPr>
          <w:spacing w:val="-26"/>
        </w:rPr>
      </w:r>
      <w:r>
        <w:rPr/>
        <w:t>烟草”</w:t>
      </w:r>
      <w:r>
        <w:rPr>
          <w:rFonts w:ascii="宋体" w:hAnsi="宋体" w:cs="宋体" w:eastAsia="宋体" w:hint="default"/>
        </w:rPr>
        <w:t>)</w:t>
      </w:r>
      <w:r>
        <w:rPr/>
        <w:t>、用友医疗卫生信息系统有限公司</w:t>
      </w:r>
      <w:r>
        <w:rPr>
          <w:rFonts w:ascii="宋体" w:hAnsi="宋体" w:cs="宋体" w:eastAsia="宋体" w:hint="default"/>
        </w:rPr>
        <w:t>(</w:t>
      </w:r>
      <w:r>
        <w:rPr/>
        <w:t>以下简称“用友医疗”</w:t>
      </w:r>
      <w:r>
        <w:rPr>
          <w:rFonts w:ascii="宋体" w:hAnsi="宋体" w:cs="宋体" w:eastAsia="宋体" w:hint="default"/>
        </w:rPr>
        <w:t>)</w:t>
      </w:r>
      <w:r>
        <w:rPr/>
        <w:t>、畅捷通信息技术股</w:t>
      </w:r>
      <w:r>
        <w:rPr>
          <w:spacing w:val="-69"/>
        </w:rPr>
        <w:t> </w:t>
      </w:r>
      <w:r>
        <w:rPr>
          <w:spacing w:val="-69"/>
        </w:rPr>
      </w:r>
      <w:r>
        <w:rPr>
          <w:spacing w:val="-8"/>
        </w:rPr>
        <w:t>份有限公司</w:t>
      </w:r>
      <w:r>
        <w:rPr>
          <w:rFonts w:ascii="宋体" w:hAnsi="宋体" w:cs="宋体" w:eastAsia="宋体" w:hint="default"/>
          <w:spacing w:val="-8"/>
        </w:rPr>
        <w:t>(</w:t>
      </w:r>
      <w:r>
        <w:rPr>
          <w:spacing w:val="-8"/>
        </w:rPr>
        <w:t>以下简称“畅捷通”</w:t>
      </w:r>
      <w:r>
        <w:rPr>
          <w:rFonts w:ascii="宋体" w:hAnsi="宋体" w:cs="宋体" w:eastAsia="宋体" w:hint="default"/>
          <w:spacing w:val="-8"/>
        </w:rPr>
        <w:t>)</w:t>
      </w:r>
      <w:r>
        <w:rPr>
          <w:spacing w:val="-8"/>
        </w:rPr>
        <w:t>、用友金融信息技术有限公司</w:t>
      </w:r>
      <w:r>
        <w:rPr>
          <w:rFonts w:ascii="宋体" w:hAnsi="宋体" w:cs="宋体" w:eastAsia="宋体" w:hint="default"/>
          <w:spacing w:val="-8"/>
        </w:rPr>
        <w:t>(</w:t>
      </w:r>
      <w:r>
        <w:rPr>
          <w:spacing w:val="-8"/>
        </w:rPr>
        <w:t>以下简称“用友金融”</w:t>
      </w:r>
      <w:r>
        <w:rPr>
          <w:rFonts w:ascii="宋体" w:hAnsi="宋体" w:cs="宋体" w:eastAsia="宋体" w:hint="default"/>
          <w:spacing w:val="-8"/>
        </w:rPr>
        <w:t>)</w:t>
      </w:r>
      <w:r>
        <w:rPr>
          <w:spacing w:val="-8"/>
        </w:rPr>
        <w:t>、</w:t>
      </w:r>
      <w:r>
        <w:rPr>
          <w:spacing w:val="-57"/>
        </w:rPr>
        <w:t> </w:t>
      </w:r>
      <w:r>
        <w:rPr/>
        <w:t>用友审计软件有限公司</w:t>
      </w:r>
      <w:r>
        <w:rPr>
          <w:rFonts w:ascii="宋体" w:hAnsi="宋体" w:cs="宋体" w:eastAsia="宋体" w:hint="default"/>
        </w:rPr>
        <w:t>(</w:t>
      </w:r>
      <w:r>
        <w:rPr/>
        <w:t>以下简称“用友审计”</w:t>
      </w:r>
      <w:r>
        <w:rPr>
          <w:rFonts w:ascii="宋体" w:hAnsi="宋体" w:cs="宋体" w:eastAsia="宋体" w:hint="default"/>
        </w:rPr>
        <w:t>)</w:t>
      </w:r>
      <w:r>
        <w:rPr/>
        <w:t>、新道科技股份有限公司</w:t>
      </w:r>
      <w:r>
        <w:rPr>
          <w:rFonts w:ascii="宋体" w:hAnsi="宋体" w:cs="宋体" w:eastAsia="宋体" w:hint="default"/>
        </w:rPr>
        <w:t>(</w:t>
      </w:r>
      <w:r>
        <w:rPr/>
        <w:t>以下简称“新</w:t>
      </w:r>
      <w:r>
        <w:rPr>
          <w:spacing w:val="-68"/>
        </w:rPr>
        <w:t> </w:t>
      </w:r>
      <w:r>
        <w:rPr>
          <w:spacing w:val="-68"/>
        </w:rPr>
      </w:r>
      <w:r>
        <w:rPr/>
        <w:t>道科技”</w:t>
      </w:r>
      <w:r>
        <w:rPr>
          <w:rFonts w:ascii="宋体" w:hAnsi="宋体" w:cs="宋体" w:eastAsia="宋体" w:hint="default"/>
        </w:rPr>
        <w:t>)</w:t>
      </w:r>
      <w:r>
        <w:rPr/>
        <w:t>、用友汽车信息科技</w:t>
      </w:r>
      <w:r>
        <w:rPr>
          <w:rFonts w:ascii="宋体" w:hAnsi="宋体" w:cs="宋体" w:eastAsia="宋体" w:hint="default"/>
        </w:rPr>
        <w:t>(</w:t>
      </w:r>
      <w:r>
        <w:rPr/>
        <w:t>上海</w:t>
      </w:r>
      <w:r>
        <w:rPr>
          <w:rFonts w:ascii="宋体" w:hAnsi="宋体" w:cs="宋体" w:eastAsia="宋体" w:hint="default"/>
        </w:rPr>
        <w:t>)</w:t>
      </w:r>
      <w:r>
        <w:rPr/>
        <w:t>股份有限公司</w:t>
      </w:r>
      <w:r>
        <w:rPr>
          <w:rFonts w:ascii="宋体" w:hAnsi="宋体" w:cs="宋体" w:eastAsia="宋体" w:hint="default"/>
        </w:rPr>
        <w:t>(</w:t>
      </w:r>
      <w:r>
        <w:rPr/>
        <w:t>以下简称“用友汽车”</w:t>
      </w:r>
      <w:r>
        <w:rPr>
          <w:rFonts w:ascii="宋体" w:hAnsi="宋体" w:cs="宋体" w:eastAsia="宋体" w:hint="default"/>
        </w:rPr>
        <w:t>)</w:t>
      </w:r>
      <w:r>
        <w:rPr/>
        <w:t>、用友优普</w:t>
      </w:r>
      <w:r>
        <w:rPr>
          <w:spacing w:val="-68"/>
        </w:rPr>
        <w:t> </w:t>
      </w:r>
      <w:r>
        <w:rPr>
          <w:spacing w:val="-68"/>
        </w:rPr>
      </w:r>
      <w:r>
        <w:rPr/>
        <w:t>信息技术有限公司</w:t>
      </w:r>
      <w:r>
        <w:rPr>
          <w:rFonts w:ascii="宋体" w:hAnsi="宋体" w:cs="宋体" w:eastAsia="宋体" w:hint="default"/>
        </w:rPr>
        <w:t>(</w:t>
      </w:r>
      <w:r>
        <w:rPr/>
        <w:t>以下简称“用友优普”</w:t>
      </w:r>
      <w:r>
        <w:rPr>
          <w:rFonts w:ascii="宋体" w:hAnsi="宋体" w:cs="宋体" w:eastAsia="宋体" w:hint="default"/>
        </w:rPr>
        <w:t>)</w:t>
      </w:r>
      <w:r>
        <w:rPr/>
        <w:t>和用友能源科技有限公司</w:t>
      </w:r>
      <w:r>
        <w:rPr>
          <w:rFonts w:ascii="宋体" w:hAnsi="宋体" w:cs="宋体" w:eastAsia="宋体" w:hint="default"/>
        </w:rPr>
        <w:t>(</w:t>
      </w:r>
      <w:r>
        <w:rPr/>
        <w:t>以下简称“用友能</w:t>
      </w:r>
      <w:r>
        <w:rPr>
          <w:spacing w:val="-69"/>
        </w:rPr>
        <w:t> </w:t>
      </w:r>
      <w:r>
        <w:rPr>
          <w:spacing w:val="-69"/>
        </w:rPr>
      </w:r>
      <w:r>
        <w:rPr>
          <w:spacing w:val="-3"/>
        </w:rPr>
        <w:t>源”</w:t>
      </w:r>
      <w:r>
        <w:rPr>
          <w:rFonts w:ascii="宋体" w:hAnsi="宋体" w:cs="宋体" w:eastAsia="宋体" w:hint="default"/>
          <w:spacing w:val="-3"/>
        </w:rPr>
        <w:t>)</w:t>
      </w:r>
      <w:r>
        <w:rPr>
          <w:spacing w:val="-3"/>
        </w:rPr>
        <w:t>亦已经获得税务局的批准可实施与本公司同一政策；其他分公司及子公司按法定</w:t>
      </w:r>
      <w:r>
        <w:rPr>
          <w:rFonts w:ascii="宋体" w:hAnsi="宋体" w:cs="宋体" w:eastAsia="宋体" w:hint="default"/>
          <w:spacing w:val="-3"/>
        </w:rPr>
        <w:t>17%</w:t>
      </w:r>
      <w:r>
        <w:rPr>
          <w:rFonts w:ascii="宋体" w:hAnsi="宋体" w:cs="宋体" w:eastAsia="宋体" w:hint="default"/>
          <w:spacing w:val="-59"/>
        </w:rPr>
        <w:t> </w:t>
      </w:r>
      <w:r>
        <w:rPr>
          <w:rFonts w:ascii="宋体" w:hAnsi="宋体" w:cs="宋体" w:eastAsia="宋体" w:hint="default"/>
          <w:spacing w:val="-59"/>
        </w:rPr>
      </w:r>
      <w:r>
        <w:rPr/>
        <w:t>的税率征收增值税，不作退还。</w:t>
      </w:r>
    </w:p>
    <w:p>
      <w:pPr>
        <w:spacing w:line="240" w:lineRule="auto" w:before="5"/>
        <w:rPr>
          <w:rFonts w:ascii="宋体" w:hAnsi="宋体" w:cs="宋体" w:eastAsia="宋体" w:hint="default"/>
          <w:sz w:val="27"/>
          <w:szCs w:val="27"/>
        </w:rPr>
      </w:pPr>
    </w:p>
    <w:p>
      <w:pPr>
        <w:pStyle w:val="BodyText"/>
        <w:spacing w:line="297" w:lineRule="auto"/>
        <w:ind w:left="951" w:right="0" w:hanging="106"/>
        <w:jc w:val="left"/>
      </w:pPr>
      <w:r>
        <w:rPr/>
        <w:t>另有个别分公司或子公司由增值税一般纳税人转为商业企业小规模纳税人或由商业企业</w:t>
      </w:r>
      <w:r>
        <w:rPr>
          <w:w w:val="100"/>
        </w:rPr>
        <w:t> </w:t>
      </w:r>
      <w:r>
        <w:rPr>
          <w:spacing w:val="-6"/>
          <w:w w:val="100"/>
        </w:rPr>
        <w:t>小规模纳税人转为一般纳税人。当其为增值税一般纳税人时，依照以上方法计征增值税。</w:t>
      </w:r>
      <w:r>
        <w:rPr>
          <w:w w:val="100"/>
        </w:rPr>
        <w:t> </w:t>
      </w:r>
      <w:r>
        <w:rPr>
          <w:spacing w:val="-2"/>
        </w:rPr>
        <w:t>而在被认定为商业企业小规模纳税人期间，在小规模纳税人制度下，其增值税由买方按</w:t>
      </w:r>
      <w:r>
        <w:rPr>
          <w:w w:val="100"/>
        </w:rPr>
        <w:t> </w:t>
      </w:r>
      <w:r>
        <w:rPr>
          <w:spacing w:val="-1"/>
        </w:rPr>
        <w:t>销售额</w:t>
      </w:r>
      <w:r>
        <w:rPr>
          <w:spacing w:val="-13"/>
        </w:rPr>
        <w:t> </w:t>
      </w:r>
      <w:r>
        <w:rPr>
          <w:rFonts w:ascii="宋体" w:hAnsi="宋体" w:cs="宋体" w:eastAsia="宋体" w:hint="default"/>
          <w:spacing w:val="-2"/>
        </w:rPr>
        <w:t>3%</w:t>
      </w:r>
      <w:r>
        <w:rPr>
          <w:spacing w:val="-2"/>
        </w:rPr>
        <w:t>计算连同销售金额一并支付有关的分公司或子公司，在此简易方法下，那些因</w:t>
      </w:r>
      <w:r>
        <w:rPr>
          <w:w w:val="100"/>
        </w:rPr>
        <w:t> </w:t>
      </w:r>
      <w:r>
        <w:rPr>
          <w:spacing w:val="-2"/>
        </w:rPr>
        <w:t>购进货物所支付的增值税不能作销项抵扣，分公司及子公司直接上缴销项所获取的增值</w:t>
      </w:r>
      <w:r>
        <w:rPr>
          <w:w w:val="100"/>
        </w:rPr>
        <w:t> </w:t>
      </w:r>
      <w:r>
        <w:rPr/>
        <w:t>税予税务机关。</w:t>
      </w:r>
    </w:p>
    <w:p>
      <w:pPr>
        <w:spacing w:line="240" w:lineRule="auto" w:before="1"/>
        <w:rPr>
          <w:rFonts w:ascii="宋体" w:hAnsi="宋体" w:cs="宋体" w:eastAsia="宋体" w:hint="default"/>
          <w:sz w:val="27"/>
          <w:szCs w:val="27"/>
        </w:rPr>
      </w:pPr>
    </w:p>
    <w:p>
      <w:pPr>
        <w:pStyle w:val="BodyText"/>
        <w:spacing w:line="297" w:lineRule="auto"/>
        <w:ind w:left="1278" w:right="0" w:hanging="720"/>
        <w:jc w:val="left"/>
      </w:pPr>
      <w:r>
        <w:rPr/>
        <w:t>（</w:t>
      </w:r>
      <w:r>
        <w:rPr>
          <w:rFonts w:ascii="宋体" w:hAnsi="宋体" w:cs="宋体" w:eastAsia="宋体" w:hint="default"/>
        </w:rPr>
        <w:t>2</w:t>
      </w:r>
      <w:r>
        <w:rPr/>
        <w:t>） </w:t>
      </w:r>
      <w:r>
        <w:rPr>
          <w:spacing w:val="-4"/>
        </w:rPr>
        <w:t>营业税–根据国家有关税务法规，本集团按照属营业税征缴范围的销售收入及服务收</w:t>
      </w:r>
      <w:r>
        <w:rPr>
          <w:spacing w:val="-56"/>
        </w:rPr>
        <w:t> </w:t>
      </w:r>
      <w:r>
        <w:rPr>
          <w:spacing w:val="-56"/>
        </w:rPr>
      </w:r>
      <w:r>
        <w:rPr/>
        <w:t>入的</w:t>
      </w:r>
      <w:r>
        <w:rPr>
          <w:rFonts w:ascii="宋体" w:hAnsi="宋体" w:cs="宋体" w:eastAsia="宋体" w:hint="default"/>
        </w:rPr>
        <w:t>5%</w:t>
      </w:r>
      <w:r>
        <w:rPr/>
        <w:t>和培训收入的</w:t>
      </w:r>
      <w:r>
        <w:rPr>
          <w:rFonts w:ascii="宋体" w:hAnsi="宋体" w:cs="宋体" w:eastAsia="宋体" w:hint="default"/>
        </w:rPr>
        <w:t>3%</w:t>
      </w:r>
      <w:r>
        <w:rPr/>
        <w:t>计缴营业税。根据财税字</w:t>
      </w:r>
      <w:r>
        <w:rPr>
          <w:rFonts w:ascii="宋体" w:hAnsi="宋体" w:cs="宋体" w:eastAsia="宋体" w:hint="default"/>
        </w:rPr>
        <w:t>[1999]273</w:t>
      </w:r>
      <w:r>
        <w:rPr/>
        <w:t>号所规定的“从事技术转</w:t>
      </w:r>
      <w:r>
        <w:rPr>
          <w:w w:val="100"/>
        </w:rPr>
        <w:t> </w:t>
      </w:r>
      <w:r>
        <w:rPr>
          <w:spacing w:val="-1"/>
        </w:rPr>
        <w:t>让、技术开发业务和与之相关的技术咨询、技术服务业务取得的收入，免征营业税”</w:t>
      </w:r>
      <w:r>
        <w:rPr>
          <w:w w:val="100"/>
        </w:rPr>
        <w:t> </w:t>
      </w:r>
      <w:r>
        <w:rPr>
          <w:spacing w:val="-1"/>
        </w:rPr>
        <w:t>的优惠政策，</w:t>
      </w:r>
      <w:r>
        <w:rPr>
          <w:rFonts w:ascii="宋体" w:hAnsi="宋体" w:cs="宋体" w:eastAsia="宋体" w:hint="default"/>
          <w:spacing w:val="-1"/>
        </w:rPr>
        <w:t>2015</w:t>
      </w:r>
      <w:r>
        <w:rPr>
          <w:spacing w:val="-1"/>
        </w:rPr>
        <w:t>年本公司及本公司的北京分公司、南京分公司及子公司用友政务、</w:t>
      </w:r>
      <w:r>
        <w:rPr>
          <w:w w:val="100"/>
        </w:rPr>
        <w:t> </w:t>
      </w:r>
      <w:r>
        <w:rPr/>
        <w:t>北京用友政务软件有限公司江苏分公司、用友云达信息技术服务</w:t>
      </w:r>
      <w:r>
        <w:rPr>
          <w:rFonts w:ascii="宋体" w:hAnsi="宋体" w:cs="宋体" w:eastAsia="宋体" w:hint="default"/>
        </w:rPr>
        <w:t>(</w:t>
      </w:r>
      <w:r>
        <w:rPr/>
        <w:t>南昌</w:t>
      </w:r>
      <w:r>
        <w:rPr>
          <w:rFonts w:ascii="宋体" w:hAnsi="宋体" w:cs="宋体" w:eastAsia="宋体" w:hint="default"/>
        </w:rPr>
        <w:t>)</w:t>
      </w:r>
      <w:r>
        <w:rPr/>
        <w:t>有限公司</w:t>
      </w:r>
      <w:r>
        <w:rPr>
          <w:rFonts w:ascii="宋体" w:hAnsi="宋体" w:cs="宋体" w:eastAsia="宋体" w:hint="default"/>
        </w:rPr>
        <w:t>(</w:t>
      </w:r>
      <w:r>
        <w:rPr/>
        <w:t>以</w:t>
      </w:r>
      <w:r>
        <w:rPr>
          <w:w w:val="100"/>
        </w:rPr>
        <w:t> </w:t>
      </w:r>
      <w:r>
        <w:rPr/>
        <w:t>下简称“用友云达”</w:t>
      </w:r>
      <w:r>
        <w:rPr>
          <w:rFonts w:ascii="宋体" w:hAnsi="宋体" w:cs="宋体" w:eastAsia="宋体" w:hint="default"/>
        </w:rPr>
        <w:t>)</w:t>
      </w:r>
      <w:r>
        <w:rPr/>
        <w:t>、厦门烟草、用友审计、用友金融、用友汽车对符合条件的技</w:t>
      </w:r>
      <w:r>
        <w:rPr>
          <w:w w:val="100"/>
        </w:rPr>
        <w:t> </w:t>
      </w:r>
      <w:r>
        <w:rPr/>
        <w:t>术开发合同免缴营业税或营改增后免缴增值税。</w:t>
      </w:r>
    </w:p>
    <w:p>
      <w:pPr>
        <w:spacing w:line="240" w:lineRule="auto" w:before="3"/>
        <w:rPr>
          <w:rFonts w:ascii="宋体" w:hAnsi="宋体" w:cs="宋体" w:eastAsia="宋体" w:hint="default"/>
          <w:sz w:val="27"/>
          <w:szCs w:val="27"/>
        </w:rPr>
      </w:pPr>
    </w:p>
    <w:p>
      <w:pPr>
        <w:pStyle w:val="BodyText"/>
        <w:spacing w:line="297" w:lineRule="auto"/>
        <w:ind w:left="1278" w:right="0" w:hanging="720"/>
        <w:jc w:val="left"/>
      </w:pPr>
      <w:r>
        <w:rPr/>
        <w:t>（</w:t>
      </w:r>
      <w:r>
        <w:rPr>
          <w:rFonts w:ascii="宋体" w:hAnsi="宋体" w:cs="宋体" w:eastAsia="宋体" w:hint="default"/>
        </w:rPr>
        <w:t>3</w:t>
      </w:r>
      <w:r>
        <w:rPr/>
        <w:t>） </w:t>
      </w:r>
      <w:r>
        <w:rPr>
          <w:spacing w:val="-4"/>
        </w:rPr>
        <w:t>城巿维护建设税–根据国家有关税务法规，除注册地在上海的用友汽车、注册地在北</w:t>
      </w:r>
      <w:r>
        <w:rPr>
          <w:spacing w:val="-56"/>
        </w:rPr>
        <w:t> </w:t>
      </w:r>
      <w:r>
        <w:rPr>
          <w:spacing w:val="-56"/>
        </w:rPr>
      </w:r>
      <w:r>
        <w:rPr>
          <w:spacing w:val="-1"/>
        </w:rPr>
        <w:t>京的用友优普、用友移动通信技术服务有限公司</w:t>
      </w:r>
      <w:r>
        <w:rPr>
          <w:rFonts w:ascii="宋体" w:hAnsi="宋体" w:cs="宋体" w:eastAsia="宋体" w:hint="default"/>
          <w:spacing w:val="-1"/>
        </w:rPr>
        <w:t>(</w:t>
      </w:r>
      <w:r>
        <w:rPr>
          <w:spacing w:val="-1"/>
        </w:rPr>
        <w:t>以下简称“用友移动”</w:t>
      </w:r>
      <w:r>
        <w:rPr>
          <w:rFonts w:ascii="宋体" w:hAnsi="宋体" w:cs="宋体" w:eastAsia="宋体" w:hint="default"/>
          <w:spacing w:val="-1"/>
        </w:rPr>
        <w:t>)</w:t>
      </w:r>
      <w:r>
        <w:rPr>
          <w:spacing w:val="-1"/>
        </w:rPr>
        <w:t>、畅捷通、</w:t>
      </w:r>
      <w:r>
        <w:rPr>
          <w:w w:val="100"/>
        </w:rPr>
        <w:t> </w:t>
      </w:r>
      <w:r>
        <w:rPr>
          <w:spacing w:val="-4"/>
        </w:rPr>
        <w:t>用友能源科技有限公司</w:t>
      </w:r>
      <w:r>
        <w:rPr>
          <w:rFonts w:ascii="宋体" w:hAnsi="宋体" w:cs="宋体" w:eastAsia="宋体" w:hint="default"/>
          <w:spacing w:val="-4"/>
        </w:rPr>
        <w:t>(</w:t>
      </w:r>
      <w:r>
        <w:rPr>
          <w:spacing w:val="-4"/>
        </w:rPr>
        <w:t>以下简称“用友能源”</w:t>
      </w:r>
      <w:r>
        <w:rPr>
          <w:rFonts w:ascii="宋体" w:hAnsi="宋体" w:cs="宋体" w:eastAsia="宋体" w:hint="default"/>
          <w:spacing w:val="-4"/>
        </w:rPr>
        <w:t>)</w:t>
      </w:r>
      <w:r>
        <w:rPr>
          <w:spacing w:val="-4"/>
        </w:rPr>
        <w:t>及北京用友艾福斯软件系统有限公司</w:t>
      </w:r>
    </w:p>
    <w:p>
      <w:pPr>
        <w:spacing w:after="0" w:line="297" w:lineRule="auto"/>
        <w:jc w:val="left"/>
        <w:sectPr>
          <w:headerReference w:type="default" r:id="rId59"/>
          <w:footerReference w:type="default" r:id="rId60"/>
          <w:pgSz w:w="11910" w:h="16840"/>
          <w:pgMar w:header="0" w:footer="1335" w:top="1020" w:bottom="1520" w:left="1660" w:right="1020"/>
          <w:pgNumType w:start="41"/>
        </w:sectPr>
      </w:pPr>
    </w:p>
    <w:p>
      <w:pPr>
        <w:spacing w:line="240" w:lineRule="auto" w:before="12"/>
        <w:rPr>
          <w:rFonts w:ascii="宋体" w:hAnsi="宋体" w:cs="宋体" w:eastAsia="宋体" w:hint="default"/>
          <w:sz w:val="24"/>
          <w:szCs w:val="24"/>
        </w:rPr>
      </w:pPr>
    </w:p>
    <w:p>
      <w:pPr>
        <w:pStyle w:val="BodyText"/>
        <w:spacing w:line="297" w:lineRule="auto" w:before="36"/>
        <w:ind w:left="1278" w:right="208"/>
        <w:jc w:val="both"/>
      </w:pPr>
      <w:r>
        <w:rPr>
          <w:rFonts w:ascii="宋体" w:hAnsi="宋体" w:cs="宋体" w:eastAsia="宋体" w:hint="default"/>
          <w:spacing w:val="-4"/>
        </w:rPr>
        <w:t>(</w:t>
      </w:r>
      <w:r>
        <w:rPr>
          <w:spacing w:val="-4"/>
        </w:rPr>
        <w:t>以下简称“用友艾福斯”</w:t>
      </w:r>
      <w:r>
        <w:rPr>
          <w:rFonts w:ascii="宋体" w:hAnsi="宋体" w:cs="宋体" w:eastAsia="宋体" w:hint="default"/>
          <w:spacing w:val="-4"/>
        </w:rPr>
        <w:t>)</w:t>
      </w:r>
      <w:r>
        <w:rPr>
          <w:spacing w:val="-4"/>
        </w:rPr>
        <w:t>因另有当地规定而减征外，本集团按实际缴纳的流转税的</w:t>
      </w:r>
      <w:r>
        <w:rPr>
          <w:spacing w:val="-37"/>
        </w:rPr>
        <w:t> </w:t>
      </w:r>
      <w:r>
        <w:rPr>
          <w:spacing w:val="-37"/>
        </w:rPr>
      </w:r>
      <w:r>
        <w:rPr>
          <w:rFonts w:ascii="宋体" w:hAnsi="宋体" w:cs="宋体" w:eastAsia="宋体" w:hint="default"/>
          <w:spacing w:val="-4"/>
        </w:rPr>
        <w:t>7%</w:t>
      </w:r>
      <w:r>
        <w:rPr>
          <w:spacing w:val="-4"/>
        </w:rPr>
        <w:t>计缴城巿维护建设税。用友汽车、用友优普、用友移动、畅捷通、用友能源及用友</w:t>
      </w:r>
      <w:r>
        <w:rPr>
          <w:spacing w:val="-39"/>
        </w:rPr>
        <w:t> </w:t>
      </w:r>
      <w:r>
        <w:rPr>
          <w:spacing w:val="-39"/>
        </w:rPr>
      </w:r>
      <w:r>
        <w:rPr/>
        <w:t>艾福斯根据当地税务局认定分别按增值税净额和营业税税额的均按</w:t>
      </w:r>
      <w:r>
        <w:rPr>
          <w:rFonts w:ascii="宋体" w:hAnsi="宋体" w:cs="宋体" w:eastAsia="宋体" w:hint="default"/>
        </w:rPr>
        <w:t>5%</w:t>
      </w:r>
      <w:r>
        <w:rPr/>
        <w:t>计缴此税。</w:t>
      </w:r>
    </w:p>
    <w:p>
      <w:pPr>
        <w:spacing w:line="240" w:lineRule="auto" w:before="3"/>
        <w:rPr>
          <w:rFonts w:ascii="宋体" w:hAnsi="宋体" w:cs="宋体" w:eastAsia="宋体" w:hint="default"/>
          <w:sz w:val="27"/>
          <w:szCs w:val="27"/>
        </w:rPr>
      </w:pPr>
    </w:p>
    <w:p>
      <w:pPr>
        <w:pStyle w:val="BodyText"/>
        <w:spacing w:line="297" w:lineRule="auto"/>
        <w:ind w:left="1278" w:right="207" w:hanging="720"/>
        <w:jc w:val="both"/>
      </w:pPr>
      <w:r>
        <w:rPr/>
        <w:t>（</w:t>
      </w:r>
      <w:r>
        <w:rPr>
          <w:rFonts w:ascii="宋体" w:hAnsi="宋体" w:cs="宋体" w:eastAsia="宋体" w:hint="default"/>
        </w:rPr>
        <w:t>4</w:t>
      </w:r>
      <w:r>
        <w:rPr/>
        <w:t>）</w:t>
      </w:r>
      <w:r>
        <w:rPr>
          <w:spacing w:val="44"/>
        </w:rPr>
        <w:t> </w:t>
      </w:r>
      <w:r>
        <w:rPr>
          <w:spacing w:val="-4"/>
        </w:rPr>
        <w:t>教育费附加–根据国家有关税务法规及当地有关规定，本公司及本公司的各分公司及</w:t>
      </w:r>
      <w:r>
        <w:rPr>
          <w:spacing w:val="-100"/>
        </w:rPr>
        <w:t> </w:t>
      </w:r>
      <w:r>
        <w:rPr>
          <w:spacing w:val="-100"/>
        </w:rPr>
      </w:r>
      <w:r>
        <w:rPr>
          <w:spacing w:val="-4"/>
        </w:rPr>
        <w:t>子公司按应缴纳的增值税净额和营业税额的</w:t>
      </w:r>
      <w:r>
        <w:rPr>
          <w:rFonts w:ascii="宋体" w:hAnsi="宋体" w:cs="宋体" w:eastAsia="宋体" w:hint="default"/>
          <w:spacing w:val="-4"/>
        </w:rPr>
        <w:t>3%</w:t>
      </w:r>
      <w:r>
        <w:rPr>
          <w:spacing w:val="-4"/>
        </w:rPr>
        <w:t>缴纳教育费附加；部分分公司及子公司</w:t>
      </w:r>
      <w:r>
        <w:rPr>
          <w:w w:val="100"/>
        </w:rPr>
        <w:t> </w:t>
      </w:r>
      <w:r>
        <w:rPr/>
        <w:t>再按缴纳的增值税净额和营业税额的</w:t>
      </w:r>
      <w:r>
        <w:rPr>
          <w:rFonts w:ascii="宋体" w:hAnsi="宋体" w:cs="宋体" w:eastAsia="宋体" w:hint="default"/>
        </w:rPr>
        <w:t>2%</w:t>
      </w:r>
      <w:r>
        <w:rPr/>
        <w:t>缴纳地方教育费附加。</w:t>
      </w:r>
    </w:p>
    <w:p>
      <w:pPr>
        <w:spacing w:line="240" w:lineRule="auto" w:before="3"/>
        <w:rPr>
          <w:rFonts w:ascii="宋体" w:hAnsi="宋体" w:cs="宋体" w:eastAsia="宋体" w:hint="default"/>
          <w:sz w:val="27"/>
          <w:szCs w:val="27"/>
        </w:rPr>
      </w:pPr>
    </w:p>
    <w:p>
      <w:pPr>
        <w:pStyle w:val="BodyText"/>
        <w:spacing w:line="297" w:lineRule="auto"/>
        <w:ind w:left="846" w:right="204" w:hanging="665"/>
        <w:jc w:val="left"/>
      </w:pPr>
      <w:r>
        <w:rPr>
          <w:spacing w:val="-1"/>
          <w:w w:val="100"/>
        </w:rPr>
        <w:t>（</w:t>
      </w:r>
      <w:r>
        <w:rPr>
          <w:rFonts w:ascii="宋体" w:hAnsi="宋体" w:cs="宋体" w:eastAsia="宋体" w:hint="default"/>
          <w:spacing w:val="-1"/>
          <w:w w:val="100"/>
        </w:rPr>
        <w:t>5</w:t>
      </w:r>
      <w:r>
        <w:rPr>
          <w:spacing w:val="-1"/>
          <w:w w:val="100"/>
        </w:rPr>
        <w:t>）</w:t>
      </w:r>
      <w:r>
        <w:rPr>
          <w:spacing w:val="40"/>
          <w:w w:val="100"/>
        </w:rPr>
        <w:t> </w:t>
      </w:r>
      <w:r>
        <w:rPr>
          <w:spacing w:val="-3"/>
          <w:w w:val="100"/>
        </w:rPr>
        <w:t>企业所得税–本集团依照</w:t>
      </w:r>
      <w:r>
        <w:rPr>
          <w:rFonts w:ascii="宋体" w:hAnsi="宋体" w:cs="宋体" w:eastAsia="宋体" w:hint="default"/>
          <w:spacing w:val="-3"/>
          <w:w w:val="100"/>
        </w:rPr>
        <w:t>2008</w:t>
      </w:r>
      <w:r>
        <w:rPr>
          <w:spacing w:val="-3"/>
          <w:w w:val="100"/>
        </w:rPr>
        <w:t>年</w:t>
      </w:r>
      <w:r>
        <w:rPr>
          <w:rFonts w:ascii="宋体" w:hAnsi="宋体" w:cs="宋体" w:eastAsia="宋体" w:hint="default"/>
          <w:spacing w:val="-3"/>
          <w:w w:val="100"/>
        </w:rPr>
        <w:t>1</w:t>
      </w:r>
      <w:r>
        <w:rPr>
          <w:spacing w:val="-3"/>
          <w:w w:val="100"/>
        </w:rPr>
        <w:t>月</w:t>
      </w:r>
      <w:r>
        <w:rPr>
          <w:rFonts w:ascii="宋体" w:hAnsi="宋体" w:cs="宋体" w:eastAsia="宋体" w:hint="default"/>
          <w:spacing w:val="-3"/>
          <w:w w:val="100"/>
        </w:rPr>
        <w:t>1</w:t>
      </w:r>
      <w:r>
        <w:rPr>
          <w:spacing w:val="-3"/>
          <w:w w:val="100"/>
        </w:rPr>
        <w:t>日起施行的《中华人民共和国企业所得税法》，按应</w:t>
      </w:r>
      <w:r>
        <w:rPr>
          <w:w w:val="100"/>
        </w:rPr>
        <w:t> </w:t>
      </w:r>
      <w:r>
        <w:rPr/>
        <w:t>纳税所得额计算企业所得税。</w:t>
      </w:r>
    </w:p>
    <w:p>
      <w:pPr>
        <w:spacing w:line="240" w:lineRule="auto" w:before="4"/>
        <w:rPr>
          <w:rFonts w:ascii="宋体" w:hAnsi="宋体" w:cs="宋体" w:eastAsia="宋体" w:hint="default"/>
          <w:sz w:val="27"/>
          <w:szCs w:val="27"/>
        </w:rPr>
      </w:pPr>
    </w:p>
    <w:p>
      <w:pPr>
        <w:pStyle w:val="BodyText"/>
        <w:spacing w:line="297" w:lineRule="auto"/>
        <w:ind w:left="846" w:right="210"/>
        <w:jc w:val="both"/>
      </w:pPr>
      <w:r>
        <w:rPr>
          <w:spacing w:val="3"/>
        </w:rPr>
        <w:t>根据科技部、财政部和国家税务总局发布的《高新技术企业认定管理办法》</w:t>
      </w:r>
      <w:r>
        <w:rPr>
          <w:rFonts w:ascii="宋体" w:hAnsi="宋体" w:cs="宋体" w:eastAsia="宋体" w:hint="default"/>
          <w:spacing w:val="3"/>
        </w:rPr>
        <w:t>(</w:t>
      </w:r>
      <w:r>
        <w:rPr>
          <w:spacing w:val="3"/>
        </w:rPr>
        <w:t>国科发火</w:t>
      </w:r>
      <w:r>
        <w:rPr>
          <w:spacing w:val="4"/>
        </w:rPr>
        <w:t> </w:t>
      </w:r>
      <w:r>
        <w:rPr>
          <w:spacing w:val="4"/>
        </w:rPr>
      </w:r>
      <w:r>
        <w:rPr>
          <w:rFonts w:ascii="宋体" w:hAnsi="宋体" w:cs="宋体" w:eastAsia="宋体" w:hint="default"/>
          <w:spacing w:val="-1"/>
        </w:rPr>
        <w:t>[2008]172</w:t>
      </w:r>
      <w:r>
        <w:rPr>
          <w:spacing w:val="-1"/>
        </w:rPr>
        <w:t>号</w:t>
      </w:r>
      <w:r>
        <w:rPr>
          <w:rFonts w:ascii="宋体" w:hAnsi="宋体" w:cs="宋体" w:eastAsia="宋体" w:hint="default"/>
          <w:spacing w:val="-1"/>
        </w:rPr>
        <w:t>)</w:t>
      </w:r>
      <w:r>
        <w:rPr>
          <w:spacing w:val="-1"/>
        </w:rPr>
        <w:t>，满足条件的企业可被认定为高新技术企业，获得</w:t>
      </w:r>
      <w:r>
        <w:rPr>
          <w:rFonts w:ascii="宋体" w:hAnsi="宋体" w:cs="宋体" w:eastAsia="宋体" w:hint="default"/>
          <w:spacing w:val="-1"/>
        </w:rPr>
        <w:t>15%</w:t>
      </w:r>
      <w:r>
        <w:rPr>
          <w:spacing w:val="-1"/>
        </w:rPr>
        <w:t>的优惠税率。公司于</w:t>
      </w:r>
      <w:r>
        <w:rPr>
          <w:spacing w:val="-21"/>
        </w:rPr>
        <w:t> </w:t>
      </w:r>
      <w:r>
        <w:rPr>
          <w:rFonts w:ascii="宋体" w:hAnsi="宋体" w:cs="宋体" w:eastAsia="宋体" w:hint="default"/>
        </w:rPr>
        <w:t>2014</w:t>
      </w:r>
      <w:r>
        <w:rPr/>
        <w:t>年获得有效期为三年的高新技术企业认证，</w:t>
      </w:r>
      <w:r>
        <w:rPr>
          <w:rFonts w:ascii="宋体" w:hAnsi="宋体" w:cs="宋体" w:eastAsia="宋体" w:hint="default"/>
        </w:rPr>
        <w:t>2015</w:t>
      </w:r>
      <w:r>
        <w:rPr/>
        <w:t>年享受</w:t>
      </w:r>
      <w:r>
        <w:rPr>
          <w:rFonts w:ascii="宋体" w:hAnsi="宋体" w:cs="宋体" w:eastAsia="宋体" w:hint="default"/>
        </w:rPr>
        <w:t>15%</w:t>
      </w:r>
      <w:r>
        <w:rPr/>
        <w:t>的优惠税率。</w:t>
      </w:r>
    </w:p>
    <w:p>
      <w:pPr>
        <w:spacing w:line="240" w:lineRule="auto" w:before="3"/>
        <w:rPr>
          <w:rFonts w:ascii="宋体" w:hAnsi="宋体" w:cs="宋体" w:eastAsia="宋体" w:hint="default"/>
          <w:sz w:val="27"/>
          <w:szCs w:val="27"/>
        </w:rPr>
      </w:pPr>
    </w:p>
    <w:p>
      <w:pPr>
        <w:pStyle w:val="BodyText"/>
        <w:spacing w:line="297" w:lineRule="auto"/>
        <w:ind w:left="846" w:right="208"/>
        <w:jc w:val="both"/>
      </w:pPr>
      <w:r>
        <w:rPr>
          <w:spacing w:val="-3"/>
        </w:rPr>
        <w:t>根据《中华人民共和国企业所得税法》和国税发</w:t>
      </w:r>
      <w:r>
        <w:rPr>
          <w:rFonts w:ascii="宋体" w:hAnsi="宋体" w:cs="宋体" w:eastAsia="宋体" w:hint="default"/>
          <w:spacing w:val="-3"/>
        </w:rPr>
        <w:t>2008[28]</w:t>
      </w:r>
      <w:r>
        <w:rPr>
          <w:spacing w:val="-3"/>
        </w:rPr>
        <w:t>号文的要求，本公司于</w:t>
      </w:r>
      <w:r>
        <w:rPr>
          <w:rFonts w:ascii="宋体" w:hAnsi="宋体" w:cs="宋体" w:eastAsia="宋体" w:hint="default"/>
          <w:spacing w:val="-3"/>
        </w:rPr>
        <w:t>2015</w:t>
      </w:r>
      <w:r>
        <w:rPr>
          <w:spacing w:val="-3"/>
        </w:rPr>
        <w:t>年对</w:t>
      </w:r>
      <w:r>
        <w:rPr>
          <w:spacing w:val="-47"/>
        </w:rPr>
        <w:t> </w:t>
      </w:r>
      <w:r>
        <w:rPr/>
        <w:t>所有的分支机构合并缴纳企业所得税。即按合并季度报表的应纳税所得额乘以</w:t>
      </w:r>
      <w:r>
        <w:rPr>
          <w:rFonts w:ascii="宋体" w:hAnsi="宋体" w:cs="宋体" w:eastAsia="宋体" w:hint="default"/>
        </w:rPr>
        <w:t>15%</w:t>
      </w:r>
      <w:r>
        <w:rPr/>
        <w:t>的企业</w:t>
      </w:r>
      <w:r>
        <w:rPr>
          <w:spacing w:val="-67"/>
        </w:rPr>
        <w:t> </w:t>
      </w:r>
      <w:r>
        <w:rPr>
          <w:spacing w:val="-4"/>
        </w:rPr>
        <w:t>所得税税率，预缴本年度应纳所得税额。待年度汇算清缴时，以年度合并税前利润计算的</w:t>
      </w:r>
      <w:r>
        <w:rPr>
          <w:spacing w:val="-28"/>
        </w:rPr>
        <w:t> </w:t>
      </w:r>
      <w:r>
        <w:rPr>
          <w:spacing w:val="-28"/>
        </w:rPr>
      </w:r>
      <w:r>
        <w:rPr>
          <w:spacing w:val="-4"/>
        </w:rPr>
        <w:t>应纳税所得额为基础，按照税务机构备案的比例在总分支机构之间进行分配，然后总分支</w:t>
      </w:r>
      <w:r>
        <w:rPr>
          <w:spacing w:val="-21"/>
        </w:rPr>
        <w:t> </w:t>
      </w:r>
      <w:r>
        <w:rPr>
          <w:spacing w:val="-21"/>
        </w:rPr>
      </w:r>
      <w:r>
        <w:rPr>
          <w:spacing w:val="-4"/>
        </w:rPr>
        <w:t>机构以分配到的应纳税所得额乘以各自适用的税率计算得到实际应纳所得税费用，根据其</w:t>
      </w:r>
      <w:r>
        <w:rPr>
          <w:spacing w:val="-21"/>
        </w:rPr>
        <w:t> </w:t>
      </w:r>
      <w:r>
        <w:rPr>
          <w:spacing w:val="-21"/>
        </w:rPr>
      </w:r>
      <w:r>
        <w:rPr/>
        <w:t>与预缴的所得税额之差额进行补缴或退税。</w:t>
      </w:r>
    </w:p>
    <w:p>
      <w:pPr>
        <w:spacing w:line="240" w:lineRule="auto" w:before="3"/>
        <w:rPr>
          <w:rFonts w:ascii="宋体" w:hAnsi="宋体" w:cs="宋体" w:eastAsia="宋体" w:hint="default"/>
          <w:sz w:val="27"/>
          <w:szCs w:val="27"/>
        </w:rPr>
      </w:pPr>
    </w:p>
    <w:p>
      <w:pPr>
        <w:pStyle w:val="BodyText"/>
        <w:spacing w:line="297" w:lineRule="auto"/>
        <w:ind w:left="846" w:right="108"/>
        <w:jc w:val="both"/>
      </w:pPr>
      <w:r>
        <w:rPr>
          <w:spacing w:val="-4"/>
        </w:rPr>
        <w:t>因本集团内各子公司情况不同，税率亦有所不同。除下述子公司外，本公司的其他子公司</w:t>
      </w:r>
      <w:r>
        <w:rPr>
          <w:spacing w:val="-25"/>
        </w:rPr>
        <w:t> </w:t>
      </w:r>
      <w:r>
        <w:rPr>
          <w:spacing w:val="-25"/>
        </w:rPr>
      </w:r>
      <w:r>
        <w:rPr>
          <w:spacing w:val="-3"/>
          <w:w w:val="100"/>
        </w:rPr>
        <w:t>于</w:t>
      </w:r>
      <w:r>
        <w:rPr>
          <w:rFonts w:ascii="宋体" w:hAnsi="宋体" w:cs="宋体" w:eastAsia="宋体" w:hint="default"/>
          <w:spacing w:val="-3"/>
          <w:w w:val="100"/>
        </w:rPr>
        <w:t>2015</w:t>
      </w:r>
      <w:r>
        <w:rPr>
          <w:spacing w:val="-3"/>
          <w:w w:val="100"/>
        </w:rPr>
        <w:t>年执行《中华人民共和国企业所得税法》，按应纳税所得额的</w:t>
      </w:r>
      <w:r>
        <w:rPr>
          <w:rFonts w:ascii="宋体" w:hAnsi="宋体" w:cs="宋体" w:eastAsia="宋体" w:hint="default"/>
          <w:spacing w:val="-3"/>
          <w:w w:val="100"/>
        </w:rPr>
        <w:t>25%</w:t>
      </w:r>
      <w:r>
        <w:rPr>
          <w:spacing w:val="-3"/>
          <w:w w:val="100"/>
        </w:rPr>
        <w:t>计缴企业所得税。</w:t>
      </w:r>
    </w:p>
    <w:p>
      <w:pPr>
        <w:spacing w:line="240" w:lineRule="auto" w:before="3"/>
        <w:rPr>
          <w:rFonts w:ascii="宋体" w:hAnsi="宋体" w:cs="宋体" w:eastAsia="宋体" w:hint="default"/>
          <w:sz w:val="27"/>
          <w:szCs w:val="27"/>
        </w:rPr>
      </w:pPr>
    </w:p>
    <w:p>
      <w:pPr>
        <w:pStyle w:val="BodyText"/>
        <w:spacing w:line="297" w:lineRule="auto"/>
        <w:ind w:left="846" w:right="208"/>
        <w:jc w:val="both"/>
      </w:pPr>
      <w:r>
        <w:rPr/>
        <w:t>本公司之子公司畅捷通、用友汽车、用友政务、厦门烟草、广东用友软件有限公司</w:t>
      </w:r>
      <w:r>
        <w:rPr>
          <w:rFonts w:ascii="宋体" w:hAnsi="宋体" w:cs="宋体" w:eastAsia="宋体" w:hint="default"/>
        </w:rPr>
        <w:t>(</w:t>
      </w:r>
      <w:r>
        <w:rPr/>
        <w:t>以下</w:t>
      </w:r>
      <w:r>
        <w:rPr>
          <w:spacing w:val="-67"/>
        </w:rPr>
        <w:t> </w:t>
      </w:r>
      <w:r>
        <w:rPr/>
        <w:t>简称“广东用友”</w:t>
      </w:r>
      <w:r>
        <w:rPr>
          <w:rFonts w:ascii="宋体" w:hAnsi="宋体" w:cs="宋体" w:eastAsia="宋体" w:hint="default"/>
        </w:rPr>
        <w:t>)</w:t>
      </w:r>
      <w:r>
        <w:rPr/>
        <w:t>、用友审计、用友医疗、用友金融被认定为高新技术企业，</w:t>
      </w:r>
      <w:r>
        <w:rPr>
          <w:rFonts w:ascii="宋体" w:hAnsi="宋体" w:cs="宋体" w:eastAsia="宋体" w:hint="default"/>
        </w:rPr>
        <w:t>2015</w:t>
      </w:r>
      <w:r>
        <w:rPr/>
        <w:t>年可</w:t>
      </w:r>
      <w:r>
        <w:rPr>
          <w:spacing w:val="-65"/>
        </w:rPr>
        <w:t> </w:t>
      </w:r>
      <w:r>
        <w:rPr/>
        <w:t>享受</w:t>
      </w:r>
      <w:r>
        <w:rPr>
          <w:rFonts w:ascii="宋体" w:hAnsi="宋体" w:cs="宋体" w:eastAsia="宋体" w:hint="default"/>
        </w:rPr>
        <w:t>15%</w:t>
      </w:r>
      <w:r>
        <w:rPr/>
        <w:t>的优惠税率。</w:t>
      </w:r>
    </w:p>
    <w:p>
      <w:pPr>
        <w:spacing w:line="240" w:lineRule="auto" w:before="4"/>
        <w:rPr>
          <w:rFonts w:ascii="宋体" w:hAnsi="宋体" w:cs="宋体" w:eastAsia="宋体" w:hint="default"/>
          <w:sz w:val="27"/>
          <w:szCs w:val="27"/>
        </w:rPr>
      </w:pPr>
    </w:p>
    <w:p>
      <w:pPr>
        <w:pStyle w:val="BodyText"/>
        <w:spacing w:line="297" w:lineRule="auto"/>
        <w:ind w:left="846" w:right="208"/>
        <w:jc w:val="both"/>
      </w:pPr>
      <w:r>
        <w:rPr>
          <w:spacing w:val="-4"/>
        </w:rPr>
        <w:t>本公司之子公司用友优普，符合《鼓励软件产业和集成电路产业发展的若干政策》和《软</w:t>
      </w:r>
      <w:r>
        <w:rPr>
          <w:spacing w:val="-22"/>
        </w:rPr>
        <w:t> </w:t>
      </w:r>
      <w:r>
        <w:rPr>
          <w:spacing w:val="-22"/>
        </w:rPr>
      </w:r>
      <w:r>
        <w:rPr>
          <w:spacing w:val="-4"/>
        </w:rPr>
        <w:t>件企业认定标准及管理办法》的有关规定，被认定为软件企业，享受两免三减半的优惠政</w:t>
      </w:r>
      <w:r>
        <w:rPr>
          <w:spacing w:val="-25"/>
        </w:rPr>
        <w:t> </w:t>
      </w:r>
      <w:r>
        <w:rPr>
          <w:spacing w:val="-25"/>
        </w:rPr>
      </w:r>
      <w:r>
        <w:rPr/>
        <w:t>策，</w:t>
      </w:r>
      <w:r>
        <w:rPr>
          <w:rFonts w:ascii="宋体" w:hAnsi="宋体" w:cs="宋体" w:eastAsia="宋体" w:hint="default"/>
        </w:rPr>
        <w:t>2015</w:t>
      </w:r>
      <w:r>
        <w:rPr/>
        <w:t>年为免征收的第二年，可享受</w:t>
      </w:r>
      <w:r>
        <w:rPr>
          <w:rFonts w:ascii="宋体" w:hAnsi="宋体" w:cs="宋体" w:eastAsia="宋体" w:hint="default"/>
        </w:rPr>
        <w:t>0%</w:t>
      </w:r>
      <w:r>
        <w:rPr/>
        <w:t>的优惠税率。</w:t>
      </w:r>
    </w:p>
    <w:p>
      <w:pPr>
        <w:spacing w:line="240" w:lineRule="auto" w:before="1"/>
        <w:rPr>
          <w:rFonts w:ascii="宋体" w:hAnsi="宋体" w:cs="宋体" w:eastAsia="宋体" w:hint="default"/>
          <w:sz w:val="27"/>
          <w:szCs w:val="27"/>
        </w:rPr>
      </w:pPr>
    </w:p>
    <w:p>
      <w:pPr>
        <w:pStyle w:val="BodyText"/>
        <w:spacing w:line="297" w:lineRule="auto"/>
        <w:ind w:left="846" w:right="208"/>
        <w:jc w:val="both"/>
      </w:pPr>
      <w:r>
        <w:rPr>
          <w:spacing w:val="-4"/>
        </w:rPr>
        <w:t>本公司之子公司新道科技，符合《鼓励软件产业和集成电路产业发展的若干政策》和《软</w:t>
      </w:r>
      <w:r>
        <w:rPr>
          <w:spacing w:val="-22"/>
        </w:rPr>
        <w:t> </w:t>
      </w:r>
      <w:r>
        <w:rPr>
          <w:spacing w:val="-22"/>
        </w:rPr>
      </w:r>
      <w:r>
        <w:rPr>
          <w:spacing w:val="-4"/>
        </w:rPr>
        <w:t>件企业认定标准及管理办法》的有关规定，被认定为软件企业，享受两免三减半的优惠政</w:t>
      </w:r>
      <w:r>
        <w:rPr>
          <w:spacing w:val="-26"/>
        </w:rPr>
        <w:t> </w:t>
      </w:r>
      <w:r>
        <w:rPr>
          <w:spacing w:val="-26"/>
        </w:rPr>
      </w:r>
      <w:r>
        <w:rPr/>
        <w:t>策，</w:t>
      </w:r>
      <w:r>
        <w:rPr>
          <w:rFonts w:ascii="宋体" w:hAnsi="宋体" w:cs="宋体" w:eastAsia="宋体" w:hint="default"/>
        </w:rPr>
        <w:t>2015</w:t>
      </w:r>
      <w:r>
        <w:rPr/>
        <w:t>年为减半征收的第二年，可享受</w:t>
      </w:r>
      <w:r>
        <w:rPr>
          <w:rFonts w:ascii="宋体" w:hAnsi="宋体" w:cs="宋体" w:eastAsia="宋体" w:hint="default"/>
        </w:rPr>
        <w:t>12.5%</w:t>
      </w:r>
      <w:r>
        <w:rPr/>
        <w:t>的优惠税率。</w:t>
      </w:r>
    </w:p>
    <w:p>
      <w:pPr>
        <w:spacing w:line="240" w:lineRule="auto" w:before="3"/>
        <w:rPr>
          <w:rFonts w:ascii="宋体" w:hAnsi="宋体" w:cs="宋体" w:eastAsia="宋体" w:hint="default"/>
          <w:sz w:val="27"/>
          <w:szCs w:val="27"/>
        </w:rPr>
      </w:pPr>
    </w:p>
    <w:p>
      <w:pPr>
        <w:pStyle w:val="BodyText"/>
        <w:spacing w:line="297" w:lineRule="auto"/>
        <w:ind w:left="846" w:right="208"/>
        <w:jc w:val="both"/>
      </w:pPr>
      <w:r>
        <w:rPr>
          <w:spacing w:val="-3"/>
        </w:rPr>
        <w:t>本公司之子公司北京用友华表软件技术有限公司</w:t>
      </w:r>
      <w:r>
        <w:rPr>
          <w:rFonts w:ascii="宋体" w:hAnsi="宋体" w:cs="宋体" w:eastAsia="宋体" w:hint="default"/>
          <w:spacing w:val="-3"/>
        </w:rPr>
        <w:t>(</w:t>
      </w:r>
      <w:r>
        <w:rPr>
          <w:spacing w:val="-3"/>
        </w:rPr>
        <w:t>以下简称“用友华表”</w:t>
      </w:r>
      <w:r>
        <w:rPr>
          <w:rFonts w:ascii="宋体" w:hAnsi="宋体" w:cs="宋体" w:eastAsia="宋体" w:hint="default"/>
          <w:spacing w:val="-3"/>
        </w:rPr>
        <w:t>)</w:t>
      </w:r>
      <w:r>
        <w:rPr>
          <w:spacing w:val="-3"/>
        </w:rPr>
        <w:t>，符合《中华人</w:t>
      </w:r>
      <w:r>
        <w:rPr>
          <w:spacing w:val="-57"/>
        </w:rPr>
        <w:t> </w:t>
      </w:r>
      <w:r>
        <w:rPr>
          <w:spacing w:val="-57"/>
        </w:rPr>
      </w:r>
      <w:r>
        <w:rPr/>
        <w:t>民共和国企业所得税法》及其实施条例规定中关于小型微利企业的规定。其所得减按</w:t>
      </w:r>
      <w:r>
        <w:rPr>
          <w:rFonts w:ascii="宋体" w:hAnsi="宋体" w:cs="宋体" w:eastAsia="宋体" w:hint="default"/>
        </w:rPr>
        <w:t>50%</w:t>
      </w:r>
      <w:r>
        <w:rPr>
          <w:rFonts w:ascii="宋体" w:hAnsi="宋体" w:cs="宋体" w:eastAsia="宋体" w:hint="default"/>
          <w:spacing w:val="-67"/>
        </w:rPr>
        <w:t> </w:t>
      </w:r>
      <w:r>
        <w:rPr/>
        <w:t>计入应纳税所得额，按</w:t>
      </w:r>
      <w:r>
        <w:rPr>
          <w:rFonts w:ascii="宋体" w:hAnsi="宋体" w:cs="宋体" w:eastAsia="宋体" w:hint="default"/>
        </w:rPr>
        <w:t>20%</w:t>
      </w:r>
      <w:r>
        <w:rPr/>
        <w:t>的税率缴纳企业所得税。</w:t>
      </w:r>
    </w:p>
    <w:p>
      <w:pPr>
        <w:spacing w:after="0" w:line="297" w:lineRule="auto"/>
        <w:jc w:val="both"/>
        <w:sectPr>
          <w:headerReference w:type="default" r:id="rId61"/>
          <w:pgSz w:w="11910" w:h="16840"/>
          <w:pgMar w:header="926" w:footer="1335" w:top="1120" w:bottom="152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left="558" w:right="103"/>
        <w:jc w:val="left"/>
      </w:pPr>
      <w:r>
        <w:rPr/>
        <w:t>（</w:t>
      </w:r>
      <w:r>
        <w:rPr>
          <w:rFonts w:ascii="宋体" w:hAnsi="宋体" w:cs="宋体" w:eastAsia="宋体" w:hint="default"/>
        </w:rPr>
        <w:t>6</w:t>
      </w:r>
      <w:r>
        <w:rPr/>
        <w:t>）</w:t>
      </w:r>
      <w:r>
        <w:rPr>
          <w:spacing w:val="90"/>
        </w:rPr>
        <w:t> </w:t>
      </w:r>
      <w:r>
        <w:rPr/>
        <w:t>其他税项–按国家有关税法的规定计算缴纳。</w:t>
      </w:r>
    </w:p>
    <w:p>
      <w:pPr>
        <w:spacing w:line="240" w:lineRule="auto" w:before="0"/>
        <w:rPr>
          <w:rFonts w:ascii="宋体" w:hAnsi="宋体" w:cs="宋体" w:eastAsia="宋体" w:hint="default"/>
          <w:sz w:val="20"/>
          <w:szCs w:val="20"/>
        </w:rPr>
      </w:pPr>
    </w:p>
    <w:p>
      <w:pPr>
        <w:pStyle w:val="BodyText"/>
        <w:tabs>
          <w:tab w:pos="562" w:val="left" w:leader="none"/>
        </w:tabs>
        <w:spacing w:line="280" w:lineRule="auto" w:before="140"/>
        <w:ind w:left="846" w:right="216" w:hanging="708"/>
        <w:jc w:val="left"/>
      </w:pPr>
      <w:r>
        <w:rPr>
          <w:rFonts w:ascii="Calibri" w:hAnsi="Calibri" w:cs="Calibri" w:eastAsia="Calibri" w:hint="default"/>
          <w:b/>
          <w:bCs/>
        </w:rPr>
        <w:t>2.</w:t>
        <w:tab/>
      </w:r>
      <w:r>
        <w:rPr>
          <w:rFonts w:ascii="宋体" w:hAnsi="宋体" w:cs="宋体" w:eastAsia="宋体" w:hint="default"/>
          <w:b/>
          <w:bCs/>
        </w:rPr>
        <w:t>税收优惠</w:t>
      </w:r>
      <w:r>
        <w:rPr>
          <w:rFonts w:ascii="宋体" w:hAnsi="宋体" w:cs="宋体" w:eastAsia="宋体" w:hint="default"/>
          <w:b/>
          <w:bCs/>
          <w:w w:val="100"/>
        </w:rPr>
        <w:t> </w:t>
      </w:r>
      <w:r>
        <w:rPr>
          <w:spacing w:val="-3"/>
        </w:rPr>
        <w:t>本公司之子公司畅捷通于</w:t>
      </w:r>
      <w:r>
        <w:rPr>
          <w:rFonts w:ascii="宋体" w:hAnsi="宋体" w:cs="宋体" w:eastAsia="宋体" w:hint="default"/>
          <w:spacing w:val="-3"/>
        </w:rPr>
        <w:t>2014</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22</w:t>
      </w:r>
      <w:r>
        <w:rPr>
          <w:spacing w:val="-3"/>
        </w:rPr>
        <w:t>日取得了有效期为三年的高新技术企业证书，证书</w:t>
      </w:r>
      <w:r>
        <w:rPr>
          <w:w w:val="100"/>
        </w:rPr>
        <w:t> </w:t>
      </w:r>
      <w:r>
        <w:rPr/>
        <w:t>编号为</w:t>
      </w:r>
      <w:r>
        <w:rPr>
          <w:rFonts w:ascii="宋体" w:hAnsi="宋体" w:cs="宋体" w:eastAsia="宋体" w:hint="default"/>
        </w:rPr>
        <w:t>GF201411000681</w:t>
      </w:r>
      <w:r>
        <w:rPr/>
        <w:t>，</w:t>
      </w:r>
      <w:r>
        <w:rPr>
          <w:rFonts w:ascii="宋体" w:hAnsi="宋体" w:cs="宋体" w:eastAsia="宋体" w:hint="default"/>
        </w:rPr>
        <w:t>2015</w:t>
      </w:r>
      <w:r>
        <w:rPr/>
        <w:t>年可享受</w:t>
      </w:r>
      <w:r>
        <w:rPr>
          <w:rFonts w:ascii="宋体" w:hAnsi="宋体" w:cs="宋体" w:eastAsia="宋体" w:hint="default"/>
        </w:rPr>
        <w:t>15%</w:t>
      </w:r>
      <w:r>
        <w:rPr/>
        <w:t>的优惠税率。</w:t>
      </w:r>
    </w:p>
    <w:p>
      <w:pPr>
        <w:spacing w:line="240" w:lineRule="auto" w:before="5"/>
        <w:rPr>
          <w:rFonts w:ascii="宋体" w:hAnsi="宋体" w:cs="宋体" w:eastAsia="宋体" w:hint="default"/>
          <w:sz w:val="28"/>
          <w:szCs w:val="28"/>
        </w:rPr>
      </w:pPr>
    </w:p>
    <w:p>
      <w:pPr>
        <w:pStyle w:val="BodyText"/>
        <w:spacing w:line="295" w:lineRule="auto"/>
        <w:ind w:left="846" w:right="103"/>
        <w:jc w:val="left"/>
      </w:pPr>
      <w:r>
        <w:rPr/>
        <w:t>本公司之子公司用友汽车于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24</w:t>
      </w:r>
      <w:r>
        <w:rPr/>
        <w:t>日取得了有效期为三年的高新技术企业证书，证</w:t>
      </w:r>
      <w:r>
        <w:rPr>
          <w:spacing w:val="-68"/>
        </w:rPr>
        <w:t> </w:t>
      </w:r>
      <w:r>
        <w:rPr>
          <w:spacing w:val="-68"/>
        </w:rPr>
      </w:r>
      <w:r>
        <w:rPr/>
        <w:t>书编号为</w:t>
      </w:r>
      <w:r>
        <w:rPr>
          <w:rFonts w:ascii="宋体" w:hAnsi="宋体" w:cs="宋体" w:eastAsia="宋体" w:hint="default"/>
        </w:rPr>
        <w:t>GR201431000867</w:t>
      </w:r>
      <w:r>
        <w:rPr/>
        <w:t>，</w:t>
      </w:r>
      <w:r>
        <w:rPr>
          <w:rFonts w:ascii="宋体" w:hAnsi="宋体" w:cs="宋体" w:eastAsia="宋体" w:hint="default"/>
        </w:rPr>
        <w:t>2015</w:t>
      </w:r>
      <w:r>
        <w:rPr/>
        <w:t>年可享受</w:t>
      </w:r>
      <w:r>
        <w:rPr>
          <w:rFonts w:ascii="宋体" w:hAnsi="宋体" w:cs="宋体" w:eastAsia="宋体" w:hint="default"/>
        </w:rPr>
        <w:t>15%</w:t>
      </w:r>
      <w:r>
        <w:rPr/>
        <w:t>的优惠税率。</w:t>
      </w:r>
    </w:p>
    <w:p>
      <w:pPr>
        <w:spacing w:line="240" w:lineRule="auto" w:before="6"/>
        <w:rPr>
          <w:rFonts w:ascii="宋体" w:hAnsi="宋体" w:cs="宋体" w:eastAsia="宋体" w:hint="default"/>
          <w:sz w:val="27"/>
          <w:szCs w:val="27"/>
        </w:rPr>
      </w:pPr>
    </w:p>
    <w:p>
      <w:pPr>
        <w:pStyle w:val="BodyText"/>
        <w:spacing w:line="297" w:lineRule="auto"/>
        <w:ind w:left="846" w:right="103"/>
        <w:jc w:val="left"/>
      </w:pPr>
      <w:r>
        <w:rPr>
          <w:spacing w:val="-3"/>
        </w:rPr>
        <w:t>本公司之子公司用友政务于</w:t>
      </w:r>
      <w:r>
        <w:rPr>
          <w:rFonts w:ascii="宋体" w:hAnsi="宋体" w:cs="宋体" w:eastAsia="宋体" w:hint="default"/>
          <w:spacing w:val="-3"/>
        </w:rPr>
        <w:t>2014</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30</w:t>
      </w:r>
      <w:r>
        <w:rPr>
          <w:spacing w:val="-3"/>
        </w:rPr>
        <w:t>日取得了有效期为三年的高新技术企业证书，证</w:t>
      </w:r>
      <w:r>
        <w:rPr>
          <w:spacing w:val="-48"/>
        </w:rPr>
        <w:t> </w:t>
      </w:r>
      <w:r>
        <w:rPr>
          <w:spacing w:val="-48"/>
        </w:rPr>
      </w:r>
      <w:r>
        <w:rPr/>
        <w:t>书编号为</w:t>
      </w:r>
      <w:r>
        <w:rPr>
          <w:rFonts w:ascii="宋体" w:hAnsi="宋体" w:cs="宋体" w:eastAsia="宋体" w:hint="default"/>
        </w:rPr>
        <w:t>GF201411003309</w:t>
      </w:r>
      <w:r>
        <w:rPr/>
        <w:t>，</w:t>
      </w:r>
      <w:r>
        <w:rPr>
          <w:rFonts w:ascii="宋体" w:hAnsi="宋体" w:cs="宋体" w:eastAsia="宋体" w:hint="default"/>
        </w:rPr>
        <w:t>2015</w:t>
      </w:r>
      <w:r>
        <w:rPr/>
        <w:t>年可享受</w:t>
      </w:r>
      <w:r>
        <w:rPr>
          <w:rFonts w:ascii="宋体" w:hAnsi="宋体" w:cs="宋体" w:eastAsia="宋体" w:hint="default"/>
        </w:rPr>
        <w:t>15%</w:t>
      </w:r>
      <w:r>
        <w:rPr/>
        <w:t>的优惠税率。</w:t>
      </w:r>
    </w:p>
    <w:p>
      <w:pPr>
        <w:spacing w:line="240" w:lineRule="auto" w:before="3"/>
        <w:rPr>
          <w:rFonts w:ascii="宋体" w:hAnsi="宋体" w:cs="宋体" w:eastAsia="宋体" w:hint="default"/>
          <w:sz w:val="27"/>
          <w:szCs w:val="27"/>
        </w:rPr>
      </w:pPr>
    </w:p>
    <w:p>
      <w:pPr>
        <w:pStyle w:val="BodyText"/>
        <w:spacing w:line="297" w:lineRule="auto"/>
        <w:ind w:left="846" w:right="103"/>
        <w:jc w:val="left"/>
      </w:pPr>
      <w:r>
        <w:rPr>
          <w:spacing w:val="-3"/>
        </w:rPr>
        <w:t>本公司之子公司厦门烟草于</w:t>
      </w:r>
      <w:r>
        <w:rPr>
          <w:rFonts w:ascii="宋体" w:hAnsi="宋体" w:cs="宋体" w:eastAsia="宋体" w:hint="default"/>
          <w:spacing w:val="-3"/>
        </w:rPr>
        <w:t>2015</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12</w:t>
      </w:r>
      <w:r>
        <w:rPr>
          <w:spacing w:val="-3"/>
        </w:rPr>
        <w:t>日取得了有效期为三年的高新技术企业证书，证</w:t>
      </w:r>
      <w:r>
        <w:rPr>
          <w:spacing w:val="-48"/>
        </w:rPr>
        <w:t> </w:t>
      </w:r>
      <w:r>
        <w:rPr>
          <w:spacing w:val="-48"/>
        </w:rPr>
      </w:r>
      <w:r>
        <w:rPr/>
        <w:t>书编号为</w:t>
      </w:r>
      <w:r>
        <w:rPr>
          <w:rFonts w:ascii="宋体" w:hAnsi="宋体" w:cs="宋体" w:eastAsia="宋体" w:hint="default"/>
        </w:rPr>
        <w:t>GR201535100003</w:t>
      </w:r>
      <w:r>
        <w:rPr/>
        <w:t>，</w:t>
      </w:r>
      <w:r>
        <w:rPr>
          <w:rFonts w:ascii="宋体" w:hAnsi="宋体" w:cs="宋体" w:eastAsia="宋体" w:hint="default"/>
        </w:rPr>
        <w:t>2015</w:t>
      </w:r>
      <w:r>
        <w:rPr/>
        <w:t>年可享受</w:t>
      </w:r>
      <w:r>
        <w:rPr>
          <w:rFonts w:ascii="宋体" w:hAnsi="宋体" w:cs="宋体" w:eastAsia="宋体" w:hint="default"/>
        </w:rPr>
        <w:t>15%</w:t>
      </w:r>
      <w:r>
        <w:rPr/>
        <w:t>的优惠税率。</w:t>
      </w:r>
    </w:p>
    <w:p>
      <w:pPr>
        <w:spacing w:line="240" w:lineRule="auto" w:before="1"/>
        <w:rPr>
          <w:rFonts w:ascii="宋体" w:hAnsi="宋体" w:cs="宋体" w:eastAsia="宋体" w:hint="default"/>
          <w:sz w:val="27"/>
          <w:szCs w:val="27"/>
        </w:rPr>
      </w:pPr>
    </w:p>
    <w:p>
      <w:pPr>
        <w:pStyle w:val="BodyText"/>
        <w:spacing w:line="297" w:lineRule="auto"/>
        <w:ind w:left="846" w:right="103"/>
        <w:jc w:val="left"/>
      </w:pPr>
      <w:r>
        <w:rPr>
          <w:spacing w:val="-3"/>
        </w:rPr>
        <w:t>本公司之子公司广东用友于</w:t>
      </w:r>
      <w:r>
        <w:rPr>
          <w:rFonts w:ascii="宋体" w:hAnsi="宋体" w:cs="宋体" w:eastAsia="宋体" w:hint="default"/>
          <w:spacing w:val="-3"/>
        </w:rPr>
        <w:t>2014</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10</w:t>
      </w:r>
      <w:r>
        <w:rPr>
          <w:spacing w:val="-3"/>
        </w:rPr>
        <w:t>日取得了有效期为三年的高新技术企业证书，证</w:t>
      </w:r>
      <w:r>
        <w:rPr>
          <w:spacing w:val="-48"/>
        </w:rPr>
        <w:t> </w:t>
      </w:r>
      <w:r>
        <w:rPr>
          <w:spacing w:val="-48"/>
        </w:rPr>
      </w:r>
      <w:r>
        <w:rPr/>
        <w:t>书编号为</w:t>
      </w:r>
      <w:r>
        <w:rPr>
          <w:rFonts w:ascii="宋体" w:hAnsi="宋体" w:cs="宋体" w:eastAsia="宋体" w:hint="default"/>
        </w:rPr>
        <w:t>GF201444001100</w:t>
      </w:r>
      <w:r>
        <w:rPr/>
        <w:t>，</w:t>
      </w:r>
      <w:r>
        <w:rPr>
          <w:rFonts w:ascii="宋体" w:hAnsi="宋体" w:cs="宋体" w:eastAsia="宋体" w:hint="default"/>
        </w:rPr>
        <w:t>2015</w:t>
      </w:r>
      <w:r>
        <w:rPr/>
        <w:t>年可享受</w:t>
      </w:r>
      <w:r>
        <w:rPr>
          <w:rFonts w:ascii="宋体" w:hAnsi="宋体" w:cs="宋体" w:eastAsia="宋体" w:hint="default"/>
        </w:rPr>
        <w:t>15%</w:t>
      </w:r>
      <w:r>
        <w:rPr/>
        <w:t>的优惠税率。</w:t>
      </w:r>
    </w:p>
    <w:p>
      <w:pPr>
        <w:spacing w:line="240" w:lineRule="auto" w:before="3"/>
        <w:rPr>
          <w:rFonts w:ascii="宋体" w:hAnsi="宋体" w:cs="宋体" w:eastAsia="宋体" w:hint="default"/>
          <w:sz w:val="27"/>
          <w:szCs w:val="27"/>
        </w:rPr>
      </w:pPr>
    </w:p>
    <w:p>
      <w:pPr>
        <w:pStyle w:val="BodyText"/>
        <w:spacing w:line="297" w:lineRule="auto"/>
        <w:ind w:left="846" w:right="103"/>
        <w:jc w:val="left"/>
      </w:pPr>
      <w:r>
        <w:rPr>
          <w:spacing w:val="-3"/>
        </w:rPr>
        <w:t>本公司之子公司用友审计于</w:t>
      </w:r>
      <w:r>
        <w:rPr>
          <w:rFonts w:ascii="宋体" w:hAnsi="宋体" w:cs="宋体" w:eastAsia="宋体" w:hint="default"/>
          <w:spacing w:val="-3"/>
        </w:rPr>
        <w:t>2014</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30</w:t>
      </w:r>
      <w:r>
        <w:rPr>
          <w:spacing w:val="-3"/>
        </w:rPr>
        <w:t>日取得了有效期为三年的高新技术企业证书，证</w:t>
      </w:r>
      <w:r>
        <w:rPr>
          <w:spacing w:val="-48"/>
        </w:rPr>
        <w:t> </w:t>
      </w:r>
      <w:r>
        <w:rPr>
          <w:spacing w:val="-48"/>
        </w:rPr>
      </w:r>
      <w:r>
        <w:rPr/>
        <w:t>书编号为</w:t>
      </w:r>
      <w:r>
        <w:rPr>
          <w:rFonts w:ascii="宋体" w:hAnsi="宋体" w:cs="宋体" w:eastAsia="宋体" w:hint="default"/>
        </w:rPr>
        <w:t>GF201411001347</w:t>
      </w:r>
      <w:r>
        <w:rPr/>
        <w:t>，</w:t>
      </w:r>
      <w:r>
        <w:rPr>
          <w:rFonts w:ascii="宋体" w:hAnsi="宋体" w:cs="宋体" w:eastAsia="宋体" w:hint="default"/>
        </w:rPr>
        <w:t>2015</w:t>
      </w:r>
      <w:r>
        <w:rPr/>
        <w:t>年可享受</w:t>
      </w:r>
      <w:r>
        <w:rPr>
          <w:rFonts w:ascii="宋体" w:hAnsi="宋体" w:cs="宋体" w:eastAsia="宋体" w:hint="default"/>
        </w:rPr>
        <w:t>15%</w:t>
      </w:r>
      <w:r>
        <w:rPr/>
        <w:t>的优惠税率。</w:t>
      </w:r>
    </w:p>
    <w:p>
      <w:pPr>
        <w:spacing w:line="240" w:lineRule="auto" w:before="1"/>
        <w:rPr>
          <w:rFonts w:ascii="宋体" w:hAnsi="宋体" w:cs="宋体" w:eastAsia="宋体" w:hint="default"/>
          <w:sz w:val="27"/>
          <w:szCs w:val="27"/>
        </w:rPr>
      </w:pPr>
    </w:p>
    <w:p>
      <w:pPr>
        <w:pStyle w:val="BodyText"/>
        <w:spacing w:line="297" w:lineRule="auto"/>
        <w:ind w:left="846" w:right="103"/>
        <w:jc w:val="left"/>
      </w:pPr>
      <w:r>
        <w:rPr/>
        <w:t>本公司之子公司用友医疗于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30</w:t>
      </w:r>
      <w:r>
        <w:rPr/>
        <w:t>日取得了有效期为三年的高新技术企业证书，证</w:t>
      </w:r>
      <w:r>
        <w:rPr>
          <w:spacing w:val="-68"/>
        </w:rPr>
        <w:t> </w:t>
      </w:r>
      <w:r>
        <w:rPr>
          <w:spacing w:val="-68"/>
        </w:rPr>
      </w:r>
      <w:r>
        <w:rPr/>
        <w:t>书编号为</w:t>
      </w:r>
      <w:r>
        <w:rPr>
          <w:rFonts w:ascii="宋体" w:hAnsi="宋体" w:cs="宋体" w:eastAsia="宋体" w:hint="default"/>
        </w:rPr>
        <w:t>GF201411000058</w:t>
      </w:r>
      <w:r>
        <w:rPr/>
        <w:t>，</w:t>
      </w:r>
      <w:r>
        <w:rPr>
          <w:rFonts w:ascii="宋体" w:hAnsi="宋体" w:cs="宋体" w:eastAsia="宋体" w:hint="default"/>
        </w:rPr>
        <w:t>2015</w:t>
      </w:r>
      <w:r>
        <w:rPr/>
        <w:t>年可享受</w:t>
      </w:r>
      <w:r>
        <w:rPr>
          <w:rFonts w:ascii="宋体" w:hAnsi="宋体" w:cs="宋体" w:eastAsia="宋体" w:hint="default"/>
        </w:rPr>
        <w:t>15%</w:t>
      </w:r>
      <w:r>
        <w:rPr/>
        <w:t>的优惠税率。</w:t>
      </w:r>
    </w:p>
    <w:p>
      <w:pPr>
        <w:spacing w:line="240" w:lineRule="auto" w:before="3"/>
        <w:rPr>
          <w:rFonts w:ascii="宋体" w:hAnsi="宋体" w:cs="宋体" w:eastAsia="宋体" w:hint="default"/>
          <w:sz w:val="27"/>
          <w:szCs w:val="27"/>
        </w:rPr>
      </w:pPr>
    </w:p>
    <w:p>
      <w:pPr>
        <w:pStyle w:val="BodyText"/>
        <w:spacing w:line="297" w:lineRule="auto"/>
        <w:ind w:left="846" w:right="103"/>
        <w:jc w:val="left"/>
      </w:pPr>
      <w:r>
        <w:rPr>
          <w:spacing w:val="-3"/>
        </w:rPr>
        <w:t>本公司之子公司用友金融于</w:t>
      </w:r>
      <w:r>
        <w:rPr>
          <w:rFonts w:ascii="宋体" w:hAnsi="宋体" w:cs="宋体" w:eastAsia="宋体" w:hint="default"/>
          <w:spacing w:val="-3"/>
        </w:rPr>
        <w:t>2014</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30</w:t>
      </w:r>
      <w:r>
        <w:rPr>
          <w:spacing w:val="-3"/>
        </w:rPr>
        <w:t>日取得了有效期为三年的高新技术企业证书，证</w:t>
      </w:r>
      <w:r>
        <w:rPr>
          <w:spacing w:val="-48"/>
        </w:rPr>
        <w:t> </w:t>
      </w:r>
      <w:r>
        <w:rPr>
          <w:spacing w:val="-48"/>
        </w:rPr>
      </w:r>
      <w:r>
        <w:rPr/>
        <w:t>书编号为</w:t>
      </w:r>
      <w:r>
        <w:rPr>
          <w:rFonts w:ascii="宋体" w:hAnsi="宋体" w:cs="宋体" w:eastAsia="宋体" w:hint="default"/>
        </w:rPr>
        <w:t>GF201411002835</w:t>
      </w:r>
      <w:r>
        <w:rPr/>
        <w:t>，</w:t>
      </w:r>
      <w:r>
        <w:rPr>
          <w:rFonts w:ascii="宋体" w:hAnsi="宋体" w:cs="宋体" w:eastAsia="宋体" w:hint="default"/>
        </w:rPr>
        <w:t>2015</w:t>
      </w:r>
      <w:r>
        <w:rPr/>
        <w:t>年可享受</w:t>
      </w:r>
      <w:r>
        <w:rPr>
          <w:rFonts w:ascii="宋体" w:hAnsi="宋体" w:cs="宋体" w:eastAsia="宋体" w:hint="default"/>
        </w:rPr>
        <w:t>15%</w:t>
      </w:r>
      <w:r>
        <w:rPr/>
        <w:t>的优惠税率。</w:t>
      </w:r>
    </w:p>
    <w:p>
      <w:pPr>
        <w:spacing w:line="240" w:lineRule="auto" w:before="1"/>
        <w:rPr>
          <w:rFonts w:ascii="宋体" w:hAnsi="宋体" w:cs="宋体" w:eastAsia="宋体" w:hint="default"/>
          <w:sz w:val="27"/>
          <w:szCs w:val="27"/>
        </w:rPr>
      </w:pPr>
    </w:p>
    <w:p>
      <w:pPr>
        <w:pStyle w:val="BodyText"/>
        <w:spacing w:line="297" w:lineRule="auto"/>
        <w:ind w:left="846" w:right="103"/>
        <w:jc w:val="left"/>
      </w:pPr>
      <w:r>
        <w:rPr>
          <w:spacing w:val="-4"/>
        </w:rPr>
        <w:t>本公司之子公司用友华表符合《中华人民共和国企业所得税法》及其实施条例规定中关于</w:t>
      </w:r>
      <w:r>
        <w:rPr>
          <w:spacing w:val="-21"/>
        </w:rPr>
        <w:t> </w:t>
      </w:r>
      <w:r>
        <w:rPr>
          <w:spacing w:val="-21"/>
        </w:rPr>
      </w:r>
      <w:r>
        <w:rPr>
          <w:spacing w:val="-1"/>
        </w:rPr>
        <w:t>小型微利企业的规定，其所得减按</w:t>
      </w:r>
      <w:r>
        <w:rPr>
          <w:rFonts w:ascii="宋体" w:hAnsi="宋体" w:cs="宋体" w:eastAsia="宋体" w:hint="default"/>
          <w:spacing w:val="-1"/>
        </w:rPr>
        <w:t>50%</w:t>
      </w:r>
      <w:r>
        <w:rPr>
          <w:spacing w:val="-1"/>
        </w:rPr>
        <w:t>计入应纳税所得额，按</w:t>
      </w:r>
      <w:r>
        <w:rPr>
          <w:rFonts w:ascii="宋体" w:hAnsi="宋体" w:cs="宋体" w:eastAsia="宋体" w:hint="default"/>
          <w:spacing w:val="-1"/>
        </w:rPr>
        <w:t>20%</w:t>
      </w:r>
      <w:r>
        <w:rPr>
          <w:spacing w:val="-1"/>
        </w:rPr>
        <w:t>的税率缴纳企业所得税。</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2"/>
        <w:tabs>
          <w:tab w:pos="562" w:val="left" w:leader="none"/>
        </w:tabs>
        <w:spacing w:line="240" w:lineRule="auto" w:before="0"/>
        <w:ind w:left="138" w:right="103"/>
        <w:jc w:val="left"/>
        <w:rPr>
          <w:b w:val="0"/>
          <w:bCs w:val="0"/>
        </w:rPr>
      </w:pPr>
      <w:r>
        <w:rPr>
          <w:rFonts w:ascii="宋体" w:hAnsi="宋体" w:cs="宋体" w:eastAsia="宋体" w:hint="default"/>
          <w:w w:val="95"/>
        </w:rPr>
        <w:t>3.</w:t>
        <w:tab/>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926" w:footer="1335" w:top="1120" w:bottom="1520" w:left="1660" w:right="1060"/>
        </w:sectPr>
      </w:pPr>
    </w:p>
    <w:p>
      <w:pPr>
        <w:pStyle w:val="Heading2"/>
        <w:spacing w:line="290" w:lineRule="auto"/>
        <w:ind w:left="13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520" w:left="1660" w:right="1060"/>
          <w:cols w:num="2" w:equalWidth="0">
            <w:col w:w="2673" w:space="3849"/>
            <w:col w:w="266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223"/>
        <w:gridCol w:w="3300"/>
        <w:gridCol w:w="3327"/>
      </w:tblGrid>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5,923,898</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3,851,131</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3,830,107,129</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2,925,546,463</w:t>
            </w:r>
          </w:p>
        </w:tc>
      </w:tr>
    </w:tbl>
    <w:p>
      <w:pPr>
        <w:spacing w:after="0" w:line="243" w:lineRule="exact"/>
        <w:jc w:val="right"/>
        <w:rPr>
          <w:rFonts w:ascii="宋体" w:hAnsi="宋体" w:cs="宋体" w:eastAsia="宋体" w:hint="default"/>
          <w:sz w:val="21"/>
          <w:szCs w:val="21"/>
        </w:rPr>
        <w:sectPr>
          <w:type w:val="continuous"/>
          <w:pgSz w:w="11910" w:h="16840"/>
          <w:pgMar w:top="1120" w:bottom="152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43" w:type="dxa"/>
        <w:tblLayout w:type="fixed"/>
        <w:tblCellMar>
          <w:top w:w="0" w:type="dxa"/>
          <w:left w:w="0" w:type="dxa"/>
          <w:bottom w:w="0" w:type="dxa"/>
          <w:right w:w="0" w:type="dxa"/>
        </w:tblCellMar>
        <w:tblLook w:val="01E0"/>
      </w:tblPr>
      <w:tblGrid>
        <w:gridCol w:w="2223"/>
        <w:gridCol w:w="3300"/>
        <w:gridCol w:w="3327"/>
      </w:tblGrid>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 w:right="0"/>
              <w:jc w:val="left"/>
              <w:rPr>
                <w:rFonts w:ascii="宋体" w:hAnsi="宋体" w:cs="宋体" w:eastAsia="宋体" w:hint="default"/>
                <w:sz w:val="21"/>
                <w:szCs w:val="21"/>
              </w:rPr>
            </w:pPr>
            <w:r>
              <w:rPr>
                <w:rFonts w:ascii="宋体" w:hAnsi="宋体" w:cs="宋体" w:eastAsia="宋体" w:hint="default"/>
                <w:sz w:val="21"/>
                <w:szCs w:val="21"/>
              </w:rPr>
              <w:t>其他货币资金（注</w:t>
            </w:r>
            <w:r>
              <w:rPr>
                <w:rFonts w:ascii="宋体" w:hAnsi="宋体" w:cs="宋体" w:eastAsia="宋体" w:hint="default"/>
                <w:sz w:val="21"/>
                <w:szCs w:val="21"/>
              </w:rPr>
              <w:t>1</w:t>
            </w:r>
            <w:r>
              <w:rPr>
                <w:rFonts w:ascii="宋体" w:hAnsi="宋体" w:cs="宋体" w:eastAsia="宋体" w:hint="default"/>
                <w:sz w:val="21"/>
                <w:szCs w:val="21"/>
              </w:rPr>
              <w:t>）</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43,016,974</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34,006,274</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3,879,048,001</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2,963,403,868</w:t>
            </w:r>
          </w:p>
        </w:tc>
      </w:tr>
      <w:tr>
        <w:trPr>
          <w:trHeight w:val="559"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8" w:right="-2"/>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存</w:t>
            </w:r>
            <w:r>
              <w:rPr>
                <w:rFonts w:ascii="宋体" w:hAnsi="宋体" w:cs="宋体" w:eastAsia="宋体" w:hint="default"/>
                <w:w w:val="100"/>
                <w:sz w:val="21"/>
                <w:szCs w:val="21"/>
              </w:rPr>
              <w:t>放</w:t>
            </w:r>
            <w:r>
              <w:rPr>
                <w:rFonts w:ascii="宋体" w:hAnsi="宋体" w:cs="宋体" w:eastAsia="宋体" w:hint="default"/>
                <w:spacing w:val="-3"/>
                <w:w w:val="100"/>
                <w:sz w:val="21"/>
                <w:szCs w:val="21"/>
              </w:rPr>
              <w:t>在</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的款</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2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258" w:right="0"/>
        <w:jc w:val="left"/>
      </w:pPr>
      <w:r>
        <w:rPr/>
        <w:t>其他说明</w:t>
      </w:r>
    </w:p>
    <w:p>
      <w:pPr>
        <w:pStyle w:val="BodyText"/>
        <w:spacing w:line="240" w:lineRule="auto" w:before="66"/>
        <w:ind w:left="258" w:right="0"/>
        <w:jc w:val="left"/>
        <w:rPr>
          <w:rFonts w:ascii="宋体" w:hAnsi="宋体" w:cs="宋体" w:eastAsia="宋体" w:hint="default"/>
        </w:rPr>
      </w:pPr>
      <w:r>
        <w:rPr/>
        <w:t>注</w:t>
      </w:r>
      <w:r>
        <w:rPr>
          <w:spacing w:val="-55"/>
        </w:rPr>
        <w:t> </w:t>
      </w:r>
      <w:r>
        <w:rPr>
          <w:rFonts w:ascii="宋体" w:hAnsi="宋体" w:cs="宋体" w:eastAsia="宋体" w:hint="default"/>
        </w:rPr>
        <w:t>1.</w:t>
      </w:r>
      <w:r>
        <w:rPr/>
        <w:t>本集团其他货币资金为所有权受到限制的履约保函资金，共计人民币</w:t>
      </w:r>
      <w:r>
        <w:rPr>
          <w:spacing w:val="-55"/>
        </w:rPr>
        <w:t> </w:t>
      </w:r>
      <w:r>
        <w:rPr>
          <w:rFonts w:ascii="宋体" w:hAnsi="宋体" w:cs="宋体" w:eastAsia="宋体" w:hint="default"/>
        </w:rPr>
        <w:t>43,016,974</w:t>
      </w:r>
      <w:r>
        <w:rPr>
          <w:rFonts w:ascii="宋体" w:hAnsi="宋体" w:cs="宋体" w:eastAsia="宋体" w:hint="default"/>
          <w:spacing w:val="-57"/>
        </w:rPr>
        <w:t> </w:t>
      </w:r>
      <w:r>
        <w:rPr/>
        <w:t>元</w:t>
      </w:r>
      <w:r>
        <w:rPr>
          <w:spacing w:val="-4"/>
        </w:rPr>
        <w:t> </w:t>
      </w:r>
      <w:r>
        <w:rPr>
          <w:rFonts w:ascii="宋体" w:hAnsi="宋体" w:cs="宋体" w:eastAsia="宋体" w:hint="default"/>
        </w:rPr>
        <w:t>(2014</w:t>
      </w:r>
    </w:p>
    <w:p>
      <w:pPr>
        <w:pStyle w:val="BodyText"/>
        <w:spacing w:line="240" w:lineRule="auto" w:before="66"/>
        <w:ind w:left="258" w:right="0"/>
        <w:jc w:val="left"/>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日：人民币</w:t>
      </w:r>
      <w:r>
        <w:rPr>
          <w:spacing w:val="-52"/>
        </w:rPr>
        <w:t> </w:t>
      </w:r>
      <w:r>
        <w:rPr>
          <w:rFonts w:ascii="宋体" w:hAnsi="宋体" w:cs="宋体" w:eastAsia="宋体" w:hint="default"/>
        </w:rPr>
        <w:t>34,006,274</w:t>
      </w:r>
      <w:r>
        <w:rPr>
          <w:rFonts w:ascii="宋体" w:hAnsi="宋体" w:cs="宋体" w:eastAsia="宋体" w:hint="default"/>
          <w:spacing w:val="-55"/>
        </w:rPr>
        <w:t> </w:t>
      </w:r>
      <w:r>
        <w:rPr/>
        <w:t>元</w:t>
      </w:r>
      <w:r>
        <w:rPr>
          <w:rFonts w:ascii="宋体" w:hAnsi="宋体" w:cs="宋体" w:eastAsia="宋体" w:hint="default"/>
        </w:rPr>
        <w:t>)</w:t>
      </w:r>
      <w:r>
        <w:rPr/>
        <w:t>。</w:t>
      </w:r>
    </w:p>
    <w:p>
      <w:pPr>
        <w:pStyle w:val="BodyText"/>
        <w:spacing w:line="240" w:lineRule="auto" w:before="66"/>
        <w:ind w:left="258" w:right="0"/>
        <w:jc w:val="left"/>
        <w:rPr>
          <w:rFonts w:ascii="宋体" w:hAnsi="宋体" w:cs="宋体" w:eastAsia="宋体" w:hint="default"/>
        </w:rPr>
      </w:pPr>
      <w:r>
        <w:rPr/>
        <w:t>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日，本集团存放于境外的货币资金为人民币</w:t>
      </w:r>
      <w:r>
        <w:rPr>
          <w:spacing w:val="-52"/>
        </w:rPr>
        <w:t> </w:t>
      </w:r>
      <w:r>
        <w:rPr>
          <w:rFonts w:ascii="宋体" w:hAnsi="宋体" w:cs="宋体" w:eastAsia="宋体" w:hint="default"/>
        </w:rPr>
        <w:t>51,992,748</w:t>
      </w:r>
      <w:r>
        <w:rPr>
          <w:rFonts w:ascii="宋体" w:hAnsi="宋体" w:cs="宋体" w:eastAsia="宋体" w:hint="default"/>
          <w:spacing w:val="-55"/>
        </w:rPr>
        <w:t> </w:t>
      </w:r>
      <w:r>
        <w:rPr/>
        <w:t>元</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3"/>
        </w:rPr>
        <w:t>31</w:t>
      </w:r>
      <w:r>
        <w:rPr>
          <w:rFonts w:ascii="宋体" w:hAnsi="宋体" w:cs="宋体" w:eastAsia="宋体" w:hint="default"/>
        </w:rPr>
      </w:r>
    </w:p>
    <w:p>
      <w:pPr>
        <w:pStyle w:val="BodyText"/>
        <w:spacing w:line="295" w:lineRule="auto" w:before="66"/>
        <w:ind w:left="258" w:right="0"/>
        <w:jc w:val="left"/>
      </w:pPr>
      <w:r>
        <w:rPr/>
        <w:t>日：人民币</w:t>
      </w:r>
      <w:r>
        <w:rPr>
          <w:spacing w:val="-53"/>
        </w:rPr>
        <w:t> </w:t>
      </w:r>
      <w:r>
        <w:rPr>
          <w:rFonts w:ascii="宋体" w:hAnsi="宋体" w:cs="宋体" w:eastAsia="宋体" w:hint="default"/>
        </w:rPr>
        <w:t>168,228,988</w:t>
      </w:r>
      <w:r>
        <w:rPr>
          <w:rFonts w:ascii="宋体" w:hAnsi="宋体" w:cs="宋体" w:eastAsia="宋体" w:hint="default"/>
          <w:spacing w:val="-55"/>
        </w:rPr>
        <w:t> </w:t>
      </w:r>
      <w:r>
        <w:rPr/>
        <w:t>元</w:t>
      </w:r>
      <w:r>
        <w:rPr>
          <w:rFonts w:ascii="宋体" w:hAnsi="宋体" w:cs="宋体" w:eastAsia="宋体" w:hint="default"/>
        </w:rPr>
        <w:t>)</w:t>
      </w:r>
      <w:r>
        <w:rPr/>
        <w:t>。</w:t>
      </w:r>
      <w:r>
        <w:rPr>
          <w:spacing w:val="-102"/>
        </w:rPr>
        <w:t> </w:t>
      </w:r>
      <w:r>
        <w:rPr>
          <w:spacing w:val="-4"/>
        </w:rPr>
        <w:t>银行活期存款按照银行活期存款利率取得利息收入。定期存款的存款期分为</w:t>
      </w:r>
      <w:r>
        <w:rPr>
          <w:rFonts w:ascii="宋体" w:hAnsi="宋体" w:cs="宋体" w:eastAsia="宋体" w:hint="default"/>
          <w:spacing w:val="-4"/>
        </w:rPr>
        <w:t>7</w:t>
      </w:r>
      <w:r>
        <w:rPr>
          <w:spacing w:val="-4"/>
        </w:rPr>
        <w:t>天至</w:t>
      </w:r>
      <w:r>
        <w:rPr>
          <w:rFonts w:ascii="宋体" w:hAnsi="宋体" w:cs="宋体" w:eastAsia="宋体" w:hint="default"/>
          <w:spacing w:val="-4"/>
        </w:rPr>
        <w:t>12</w:t>
      </w:r>
      <w:r>
        <w:rPr>
          <w:spacing w:val="-4"/>
        </w:rPr>
        <w:t>个月不等，依</w:t>
      </w:r>
      <w:r>
        <w:rPr>
          <w:spacing w:val="-30"/>
        </w:rPr>
        <w:t> </w:t>
      </w:r>
      <w:r>
        <w:rPr>
          <w:spacing w:val="-30"/>
        </w:rPr>
      </w:r>
      <w:r>
        <w:rPr/>
        <w:t>本集团的现金需求而定，并按照相应的银行定期存款利率取得利息收入。</w:t>
      </w:r>
    </w:p>
    <w:p>
      <w:pPr>
        <w:spacing w:line="240" w:lineRule="auto" w:before="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926" w:footer="1335" w:top="1120" w:bottom="1520" w:left="1540" w:right="1040"/>
        </w:sectPr>
      </w:pPr>
    </w:p>
    <w:p>
      <w:pPr>
        <w:pStyle w:val="Heading2"/>
        <w:spacing w:line="240" w:lineRule="auto"/>
        <w:ind w:left="258" w:right="-18"/>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520" w:left="1540" w:right="1040"/>
          <w:cols w:num="2" w:equalWidth="0">
            <w:col w:w="5318" w:space="1204"/>
            <w:col w:w="2808"/>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133"/>
        <w:gridCol w:w="2900"/>
        <w:gridCol w:w="3017"/>
      </w:tblGrid>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58,794,001</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58,794,001</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58,794,001</w:t>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258" w:right="0"/>
        <w:jc w:val="left"/>
      </w:pPr>
      <w:r>
        <w:rPr/>
        <w:t>其他说明：</w:t>
      </w:r>
      <w:r>
        <w:rPr>
          <w:spacing w:val="-103"/>
        </w:rPr>
        <w:t> </w:t>
      </w:r>
      <w:r>
        <w:rPr>
          <w:spacing w:val="-103"/>
        </w:rPr>
      </w:r>
      <w:r>
        <w:rPr>
          <w:spacing w:val="-2"/>
        </w:rPr>
        <w:t>本集团交易性金融资产为外汇掉期交易，期末以公允价值计量，公允价值变动计入当期损益。</w:t>
      </w:r>
    </w:p>
    <w:p>
      <w:pPr>
        <w:spacing w:line="240" w:lineRule="auto" w:before="3"/>
        <w:rPr>
          <w:rFonts w:ascii="宋体" w:hAnsi="宋体" w:cs="宋体" w:eastAsia="宋体" w:hint="default"/>
          <w:sz w:val="25"/>
          <w:szCs w:val="25"/>
        </w:rPr>
      </w:pPr>
    </w:p>
    <w:p>
      <w:pPr>
        <w:pStyle w:val="Heading2"/>
        <w:spacing w:line="240" w:lineRule="auto" w:before="0"/>
        <w:ind w:left="25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left="2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520" w:left="1540" w:right="1040"/>
        </w:sectPr>
      </w:pPr>
    </w:p>
    <w:p>
      <w:pPr>
        <w:pStyle w:val="Heading2"/>
        <w:spacing w:line="240" w:lineRule="auto"/>
        <w:ind w:left="258" w:right="-19"/>
        <w:jc w:val="left"/>
        <w:rPr>
          <w:b w:val="0"/>
          <w:bCs w:val="0"/>
        </w:rPr>
      </w:pPr>
      <w:r>
        <w:rPr>
          <w:rFonts w:ascii="宋体" w:hAnsi="宋体" w:cs="宋体" w:eastAsia="宋体" w:hint="default"/>
        </w:rPr>
        <w:t>4</w:t>
      </w:r>
      <w:r>
        <w:rPr/>
        <w:t>、</w:t>
      </w:r>
      <w:r>
        <w:rPr>
          <w:spacing w:val="-2"/>
        </w:rPr>
        <w:t> </w:t>
      </w:r>
      <w:r>
        <w:rPr/>
        <w:t>应收票据</w:t>
      </w:r>
      <w:r>
        <w:rPr>
          <w:b w:val="0"/>
          <w:bCs w:val="0"/>
        </w:rPr>
      </w:r>
    </w:p>
    <w:p>
      <w:pPr>
        <w:spacing w:before="56"/>
        <w:ind w:left="258" w:right="-19" w:firstLine="0"/>
        <w:jc w:val="left"/>
        <w:rPr>
          <w:rFonts w:ascii="宋体" w:hAnsi="宋体" w:cs="宋体" w:eastAsia="宋体" w:hint="default"/>
          <w:sz w:val="21"/>
          <w:szCs w:val="21"/>
        </w:rPr>
      </w:pPr>
      <w:r>
        <w:rPr>
          <w:rFonts w:ascii="宋体" w:hAnsi="宋体" w:cs="宋体" w:eastAsia="宋体" w:hint="default"/>
          <w:b/>
          <w:bCs/>
          <w:sz w:val="20"/>
          <w:szCs w:val="20"/>
        </w:rPr>
        <w:t>(1).</w:t>
      </w:r>
      <w:r>
        <w:rPr>
          <w:rFonts w:ascii="宋体" w:hAnsi="宋体" w:cs="宋体" w:eastAsia="宋体" w:hint="default"/>
          <w:b/>
          <w:bCs/>
          <w:spacing w:val="2"/>
          <w:sz w:val="20"/>
          <w:szCs w:val="20"/>
        </w:rPr>
        <w:t> </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pStyle w:val="BodyText"/>
        <w:spacing w:line="240" w:lineRule="auto" w:before="58"/>
        <w:ind w:left="25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520" w:left="1540" w:right="1040"/>
          <w:cols w:num="2" w:equalWidth="0">
            <w:col w:w="2452" w:space="4070"/>
            <w:col w:w="2808"/>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7"/>
        <w:gridCol w:w="2895"/>
      </w:tblGrid>
      <w:tr>
        <w:trPr>
          <w:trHeight w:val="28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
              <w:jc w:val="right"/>
              <w:rPr>
                <w:rFonts w:ascii="宋体" w:hAnsi="宋体" w:cs="宋体" w:eastAsia="宋体" w:hint="default"/>
                <w:sz w:val="21"/>
                <w:szCs w:val="21"/>
              </w:rPr>
            </w:pPr>
            <w:r>
              <w:rPr>
                <w:rFonts w:ascii="宋体"/>
                <w:spacing w:val="-1"/>
                <w:sz w:val="21"/>
              </w:rPr>
              <w:t>51,361,670</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3"/>
              <w:jc w:val="right"/>
              <w:rPr>
                <w:rFonts w:ascii="宋体" w:hAnsi="宋体" w:cs="宋体" w:eastAsia="宋体" w:hint="default"/>
                <w:sz w:val="21"/>
                <w:szCs w:val="21"/>
              </w:rPr>
            </w:pPr>
            <w:r>
              <w:rPr>
                <w:rFonts w:ascii="宋体"/>
                <w:spacing w:val="-1"/>
                <w:sz w:val="21"/>
              </w:rPr>
              <w:t>37,513,638</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2,287,711</w:t>
            </w: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53,649,381</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37,513,638</w:t>
            </w:r>
          </w:p>
        </w:tc>
      </w:tr>
    </w:tbl>
    <w:p>
      <w:pPr>
        <w:spacing w:after="0" w:line="241" w:lineRule="exact"/>
        <w:jc w:val="right"/>
        <w:rPr>
          <w:rFonts w:ascii="宋体" w:hAnsi="宋体" w:cs="宋体" w:eastAsia="宋体" w:hint="default"/>
          <w:sz w:val="21"/>
          <w:szCs w:val="21"/>
        </w:rPr>
        <w:sectPr>
          <w:type w:val="continuous"/>
          <w:pgSz w:w="11910" w:h="16840"/>
          <w:pgMar w:top="1120" w:bottom="1520" w:left="1540" w:right="1040"/>
        </w:sectPr>
      </w:pPr>
    </w:p>
    <w:p>
      <w:pPr>
        <w:spacing w:line="240" w:lineRule="auto" w:before="1"/>
        <w:rPr>
          <w:rFonts w:ascii="宋体" w:hAnsi="宋体" w:cs="宋体" w:eastAsia="宋体" w:hint="default"/>
          <w:sz w:val="25"/>
          <w:szCs w:val="25"/>
        </w:rPr>
      </w:pPr>
    </w:p>
    <w:p>
      <w:pPr>
        <w:pStyle w:val="Heading2"/>
        <w:spacing w:line="240" w:lineRule="auto"/>
        <w:ind w:left="1118"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left="1118" w:right="0"/>
        <w:jc w:val="left"/>
      </w:pPr>
      <w:r>
        <w:rPr/>
        <w:t>□适用</w:t>
      </w:r>
      <w:r>
        <w:rPr>
          <w:spacing w:val="-1"/>
        </w:rPr>
        <w:t> </w:t>
      </w:r>
      <w:r>
        <w:rPr/>
        <w:t>√不适用</w:t>
      </w:r>
    </w:p>
    <w:p>
      <w:pPr>
        <w:pStyle w:val="Heading2"/>
        <w:spacing w:line="240" w:lineRule="auto" w:before="56"/>
        <w:ind w:left="1118" w:right="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1118" w:right="0"/>
        <w:jc w:val="left"/>
      </w:pPr>
      <w:r>
        <w:rPr/>
        <w:t>□适用</w:t>
      </w:r>
      <w:r>
        <w:rPr>
          <w:spacing w:val="-1"/>
        </w:rPr>
        <w:t> </w:t>
      </w:r>
      <w:r>
        <w:rPr/>
        <w:t>√不适用</w:t>
      </w:r>
    </w:p>
    <w:p>
      <w:pPr>
        <w:pStyle w:val="Heading2"/>
        <w:spacing w:line="240" w:lineRule="auto" w:before="56"/>
        <w:ind w:left="111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left="1118" w:right="8174"/>
        <w:jc w:val="left"/>
      </w:pPr>
      <w:r>
        <w:rPr/>
        <w:t>□适用</w:t>
      </w:r>
      <w:r>
        <w:rPr>
          <w:spacing w:val="-1"/>
        </w:rPr>
        <w:t> </w:t>
      </w:r>
      <w:r>
        <w:rPr/>
        <w:t>√不适用</w:t>
      </w:r>
      <w:r>
        <w:rPr>
          <w:w w:val="100"/>
        </w:rPr>
        <w:t> </w:t>
      </w:r>
      <w:r>
        <w:rPr/>
        <w:t>其他说明</w:t>
      </w:r>
    </w:p>
    <w:p>
      <w:pPr>
        <w:pStyle w:val="BodyText"/>
        <w:spacing w:line="249" w:lineRule="exact"/>
        <w:ind w:left="1118" w:right="0"/>
        <w:jc w:val="left"/>
      </w:pPr>
      <w:r>
        <w:rPr>
          <w:w w:val="100"/>
        </w:rPr>
        <w:t>于</w:t>
      </w:r>
      <w:r>
        <w:rPr>
          <w:spacing w:val="-67"/>
        </w:rPr>
        <w:t> </w:t>
      </w:r>
      <w:r>
        <w:rPr>
          <w:rFonts w:ascii="宋体" w:hAnsi="宋体" w:cs="宋体" w:eastAsia="宋体" w:hint="default"/>
          <w:w w:val="100"/>
        </w:rPr>
        <w:t>2015</w:t>
      </w:r>
      <w:r>
        <w:rPr>
          <w:rFonts w:ascii="宋体" w:hAnsi="宋体" w:cs="宋体" w:eastAsia="宋体" w:hint="default"/>
          <w:spacing w:val="-67"/>
        </w:rPr>
        <w:t> </w:t>
      </w:r>
      <w:r>
        <w:rPr>
          <w:w w:val="100"/>
        </w:rPr>
        <w:t>年</w:t>
      </w:r>
      <w:r>
        <w:rPr>
          <w:spacing w:val="-67"/>
        </w:rPr>
        <w:t> </w:t>
      </w:r>
      <w:r>
        <w:rPr>
          <w:rFonts w:ascii="宋体" w:hAnsi="宋体" w:cs="宋体" w:eastAsia="宋体" w:hint="default"/>
          <w:w w:val="100"/>
        </w:rPr>
        <w:t>12</w:t>
      </w:r>
      <w:r>
        <w:rPr>
          <w:rFonts w:ascii="宋体" w:hAnsi="宋体" w:cs="宋体" w:eastAsia="宋体" w:hint="default"/>
          <w:spacing w:val="-67"/>
        </w:rPr>
        <w:t> </w:t>
      </w:r>
      <w:r>
        <w:rPr>
          <w:w w:val="100"/>
        </w:rPr>
        <w:t>月</w:t>
      </w:r>
      <w:r>
        <w:rPr>
          <w:spacing w:val="-67"/>
        </w:rPr>
        <w:t> </w:t>
      </w:r>
      <w:r>
        <w:rPr>
          <w:rFonts w:ascii="宋体" w:hAnsi="宋体" w:cs="宋体" w:eastAsia="宋体" w:hint="default"/>
          <w:w w:val="100"/>
        </w:rPr>
        <w:t>31</w:t>
      </w:r>
      <w:r>
        <w:rPr>
          <w:rFonts w:ascii="宋体" w:hAnsi="宋体" w:cs="宋体" w:eastAsia="宋体" w:hint="default"/>
          <w:spacing w:val="-69"/>
        </w:rPr>
        <w:t> </w:t>
      </w:r>
      <w:r>
        <w:rPr>
          <w:w w:val="100"/>
        </w:rPr>
        <w:t>日</w:t>
      </w:r>
      <w:r>
        <w:rPr>
          <w:spacing w:val="-106"/>
          <w:w w:val="100"/>
        </w:rPr>
        <w:t>，</w:t>
      </w:r>
      <w:r>
        <w:rPr>
          <w:spacing w:val="-3"/>
          <w:w w:val="100"/>
        </w:rPr>
        <w:t>本账</w:t>
      </w:r>
      <w:r>
        <w:rPr>
          <w:w w:val="100"/>
        </w:rPr>
        <w:t>户余</w:t>
      </w:r>
      <w:r>
        <w:rPr>
          <w:spacing w:val="-3"/>
          <w:w w:val="100"/>
        </w:rPr>
        <w:t>额</w:t>
      </w:r>
      <w:r>
        <w:rPr>
          <w:w w:val="100"/>
        </w:rPr>
        <w:t>中</w:t>
      </w:r>
      <w:r>
        <w:rPr>
          <w:spacing w:val="-3"/>
          <w:w w:val="100"/>
        </w:rPr>
        <w:t>无</w:t>
      </w:r>
      <w:r>
        <w:rPr>
          <w:w w:val="100"/>
        </w:rPr>
        <w:t>已</w:t>
      </w:r>
      <w:r>
        <w:rPr>
          <w:spacing w:val="-3"/>
          <w:w w:val="100"/>
        </w:rPr>
        <w:t>贴</w:t>
      </w:r>
      <w:r>
        <w:rPr>
          <w:w w:val="100"/>
        </w:rPr>
        <w:t>现</w:t>
      </w:r>
      <w:r>
        <w:rPr>
          <w:spacing w:val="-3"/>
          <w:w w:val="100"/>
        </w:rPr>
        <w:t>取</w:t>
      </w:r>
      <w:r>
        <w:rPr>
          <w:w w:val="100"/>
        </w:rPr>
        <w:t>得</w:t>
      </w:r>
      <w:r>
        <w:rPr>
          <w:spacing w:val="-3"/>
          <w:w w:val="100"/>
        </w:rPr>
        <w:t>短</w:t>
      </w:r>
      <w:r>
        <w:rPr>
          <w:w w:val="100"/>
        </w:rPr>
        <w:t>期借</w:t>
      </w:r>
      <w:r>
        <w:rPr>
          <w:spacing w:val="-3"/>
          <w:w w:val="100"/>
        </w:rPr>
        <w:t>款</w:t>
      </w:r>
      <w:r>
        <w:rPr>
          <w:w w:val="100"/>
        </w:rPr>
        <w:t>的</w:t>
      </w:r>
      <w:r>
        <w:rPr>
          <w:spacing w:val="-3"/>
          <w:w w:val="100"/>
        </w:rPr>
        <w:t>应</w:t>
      </w:r>
      <w:r>
        <w:rPr>
          <w:w w:val="100"/>
        </w:rPr>
        <w:t>收</w:t>
      </w:r>
      <w:r>
        <w:rPr>
          <w:spacing w:val="-3"/>
          <w:w w:val="100"/>
        </w:rPr>
        <w:t>票</w:t>
      </w:r>
      <w:r>
        <w:rPr>
          <w:w w:val="100"/>
        </w:rPr>
        <w:t>据</w:t>
      </w:r>
      <w:r>
        <w:rPr>
          <w:rFonts w:ascii="宋体" w:hAnsi="宋体" w:cs="宋体" w:eastAsia="宋体" w:hint="default"/>
          <w:w w:val="100"/>
        </w:rPr>
        <w:t>(</w:t>
      </w:r>
      <w:r>
        <w:rPr>
          <w:rFonts w:ascii="宋体" w:hAnsi="宋体" w:cs="宋体" w:eastAsia="宋体" w:hint="default"/>
          <w:spacing w:val="-3"/>
          <w:w w:val="100"/>
        </w:rPr>
        <w:t>2</w:t>
      </w:r>
      <w:r>
        <w:rPr>
          <w:rFonts w:ascii="宋体" w:hAnsi="宋体" w:cs="宋体" w:eastAsia="宋体" w:hint="default"/>
          <w:w w:val="100"/>
        </w:rPr>
        <w:t>014</w:t>
      </w:r>
      <w:r>
        <w:rPr>
          <w:rFonts w:ascii="宋体" w:hAnsi="宋体" w:cs="宋体" w:eastAsia="宋体" w:hint="default"/>
          <w:spacing w:val="-70"/>
        </w:rPr>
        <w:t> </w:t>
      </w:r>
      <w:r>
        <w:rPr>
          <w:w w:val="100"/>
        </w:rPr>
        <w:t>年</w:t>
      </w:r>
      <w:r>
        <w:rPr>
          <w:spacing w:val="-66"/>
        </w:rPr>
        <w:t> </w:t>
      </w:r>
      <w:r>
        <w:rPr>
          <w:rFonts w:ascii="宋体" w:hAnsi="宋体" w:cs="宋体" w:eastAsia="宋体" w:hint="default"/>
          <w:w w:val="100"/>
        </w:rPr>
        <w:t>12</w:t>
      </w:r>
      <w:r>
        <w:rPr>
          <w:rFonts w:ascii="宋体" w:hAnsi="宋体" w:cs="宋体" w:eastAsia="宋体" w:hint="default"/>
          <w:spacing w:val="-67"/>
        </w:rPr>
        <w:t> </w:t>
      </w:r>
      <w:r>
        <w:rPr>
          <w:w w:val="100"/>
        </w:rPr>
        <w:t>月</w:t>
      </w:r>
      <w:r>
        <w:rPr>
          <w:spacing w:val="-67"/>
        </w:rPr>
        <w:t> </w:t>
      </w:r>
      <w:r>
        <w:rPr>
          <w:rFonts w:ascii="宋体" w:hAnsi="宋体" w:cs="宋体" w:eastAsia="宋体" w:hint="default"/>
          <w:w w:val="100"/>
        </w:rPr>
        <w:t>31</w:t>
      </w:r>
      <w:r>
        <w:rPr>
          <w:rFonts w:ascii="宋体" w:hAnsi="宋体" w:cs="宋体" w:eastAsia="宋体" w:hint="default"/>
          <w:spacing w:val="-67"/>
        </w:rPr>
        <w:t> </w:t>
      </w:r>
      <w:r>
        <w:rPr>
          <w:w w:val="100"/>
        </w:rPr>
        <w:t>日</w:t>
      </w:r>
      <w:r>
        <w:rPr>
          <w:spacing w:val="-108"/>
          <w:w w:val="100"/>
        </w:rPr>
        <w:t>：</w:t>
      </w:r>
      <w:r>
        <w:rPr>
          <w:spacing w:val="-1"/>
          <w:w w:val="100"/>
        </w:rPr>
        <w:t>无</w:t>
      </w:r>
      <w:r>
        <w:rPr>
          <w:rFonts w:ascii="宋体" w:hAnsi="宋体" w:cs="宋体" w:eastAsia="宋体" w:hint="default"/>
          <w:w w:val="100"/>
        </w:rPr>
        <w:t>)</w:t>
      </w:r>
      <w:r>
        <w:rPr>
          <w:w w:val="100"/>
        </w:rPr>
        <w:t>；</w:t>
      </w:r>
    </w:p>
    <w:p>
      <w:pPr>
        <w:pStyle w:val="BodyText"/>
        <w:spacing w:line="348" w:lineRule="auto" w:before="66"/>
        <w:ind w:left="1118" w:right="5297"/>
        <w:jc w:val="left"/>
        <w:rPr>
          <w:rFonts w:ascii="宋体" w:hAnsi="宋体" w:cs="宋体" w:eastAsia="宋体" w:hint="default"/>
        </w:rPr>
      </w:pPr>
      <w:r>
        <w:rPr/>
        <w:t>亦无已质押的应收票据</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日：无</w:t>
      </w:r>
      <w:r>
        <w:rPr>
          <w:rFonts w:ascii="宋体" w:hAnsi="宋体" w:cs="宋体" w:eastAsia="宋体" w:hint="default"/>
        </w:rPr>
        <w:t>)</w:t>
      </w:r>
      <w:r>
        <w:rPr>
          <w:rFonts w:ascii="宋体" w:hAnsi="宋体" w:cs="宋体" w:eastAsia="宋体" w:hint="default"/>
          <w:w w:val="100"/>
        </w:rPr>
        <w:t> </w:t>
      </w:r>
      <w:r>
        <w:rPr>
          <w:rFonts w:ascii="宋体" w:hAnsi="宋体" w:cs="宋体" w:eastAsia="宋体" w:hint="default"/>
          <w:b/>
          <w:bCs/>
        </w:rPr>
        <w:t>5</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应收账款</w:t>
      </w:r>
      <w:r>
        <w:rPr>
          <w:rFonts w:ascii="宋体" w:hAnsi="宋体" w:cs="宋体" w:eastAsia="宋体" w:hint="default"/>
        </w:rPr>
      </w:r>
    </w:p>
    <w:p>
      <w:pPr>
        <w:pStyle w:val="Heading2"/>
        <w:spacing w:line="240" w:lineRule="exact" w:before="0"/>
        <w:ind w:left="1118" w:right="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tabs>
          <w:tab w:pos="1051" w:val="left" w:leader="none"/>
        </w:tabs>
        <w:spacing w:line="240" w:lineRule="auto" w:before="56"/>
        <w:ind w:left="0" w:right="1033"/>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277"/>
        <w:gridCol w:w="1414"/>
        <w:gridCol w:w="572"/>
        <w:gridCol w:w="1135"/>
        <w:gridCol w:w="425"/>
        <w:gridCol w:w="1239"/>
        <w:gridCol w:w="1169"/>
        <w:gridCol w:w="569"/>
        <w:gridCol w:w="1136"/>
        <w:gridCol w:w="425"/>
        <w:gridCol w:w="1275"/>
      </w:tblGrid>
      <w:tr>
        <w:trPr>
          <w:trHeight w:val="28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7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277" w:type="dxa"/>
            <w:vMerge/>
            <w:tcBorders>
              <w:left w:val="single" w:sz="4" w:space="0" w:color="000000"/>
              <w:right w:val="single" w:sz="4" w:space="0" w:color="000000"/>
            </w:tcBorders>
          </w:tcPr>
          <w:p>
            <w:pP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403" w:right="40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422" w:right="41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3" w:hRule="exact"/>
        </w:trPr>
        <w:tc>
          <w:tcPr>
            <w:tcW w:w="1277"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22" w:right="6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47" w:right="48"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39" w:type="dxa"/>
            <w:vMerge/>
            <w:tcBorders>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22" w:right="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50" w:right="47"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75" w:type="dxa"/>
            <w:vMerge/>
            <w:tcBorders>
              <w:left w:val="single" w:sz="4" w:space="0" w:color="000000"/>
              <w:bottom w:val="single" w:sz="4" w:space="0" w:color="000000"/>
              <w:right w:val="single" w:sz="4" w:space="0" w:color="000000"/>
            </w:tcBorders>
          </w:tcPr>
          <w:p>
            <w:pPr/>
          </w:p>
        </w:tc>
      </w:tr>
      <w:tr>
        <w:trPr>
          <w:trHeight w:val="110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w:t>
            </w:r>
          </w:p>
          <w:p>
            <w:pPr>
              <w:pStyle w:val="TableParagraph"/>
              <w:spacing w:line="237" w:lineRule="auto"/>
              <w:ind w:left="26" w:right="185"/>
              <w:jc w:val="both"/>
              <w:rPr>
                <w:rFonts w:ascii="宋体" w:hAnsi="宋体" w:cs="宋体" w:eastAsia="宋体" w:hint="default"/>
                <w:sz w:val="21"/>
                <w:szCs w:val="21"/>
              </w:rPr>
            </w:pPr>
            <w:r>
              <w:rPr>
                <w:rFonts w:ascii="宋体" w:hAnsi="宋体" w:cs="宋体" w:eastAsia="宋体" w:hint="default"/>
                <w:sz w:val="21"/>
                <w:szCs w:val="21"/>
              </w:rPr>
              <w:t>大并单独计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的应收账款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w w:val="85"/>
                <w:sz w:val="21"/>
              </w:rPr>
              <w:t>50,087,119</w:t>
            </w:r>
            <w:r>
              <w:rPr>
                <w:rFonts w:ascii="Times New Roman"/>
                <w:sz w:val="21"/>
              </w:rPr>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w w:val="89"/>
                <w:sz w:val="21"/>
              </w:rPr>
              <w:t>3</w:t>
            </w:r>
            <w:r>
              <w:rPr>
                <w:rFonts w:ascii="Times New Roman"/>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w w:val="85"/>
                <w:sz w:val="21"/>
              </w:rPr>
              <w:t>50,087,119</w:t>
            </w:r>
            <w:r>
              <w:rPr>
                <w:rFonts w:ascii="Times New Roman"/>
                <w:sz w:val="21"/>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w w:val="85"/>
                <w:sz w:val="21"/>
              </w:rPr>
              <w:t>100</w:t>
            </w:r>
            <w:r>
              <w:rPr>
                <w:rFonts w:ascii="Times New Roman"/>
                <w:sz w:val="21"/>
              </w:rPr>
            </w:r>
          </w:p>
        </w:tc>
        <w:tc>
          <w:tcPr>
            <w:tcW w:w="123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w w:val="85"/>
                <w:sz w:val="21"/>
              </w:rPr>
              <w:t>34,143,513</w:t>
            </w:r>
            <w:r>
              <w:rPr>
                <w:rFonts w:ascii="Times New Roman"/>
                <w:sz w:val="21"/>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w w:val="89"/>
                <w:sz w:val="21"/>
              </w:rPr>
              <w:t>2</w:t>
            </w:r>
            <w:r>
              <w:rPr>
                <w:rFonts w:ascii="Times New Roman"/>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w w:val="85"/>
                <w:sz w:val="21"/>
              </w:rPr>
              <w:t>34,143,513</w:t>
            </w:r>
            <w:r>
              <w:rPr>
                <w:rFonts w:ascii="Times New Roman"/>
                <w:sz w:val="21"/>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85"/>
                <w:sz w:val="21"/>
              </w:rPr>
              <w:t>100</w:t>
            </w:r>
            <w:r>
              <w:rPr>
                <w:rFonts w:ascii="Times New Roman"/>
                <w:sz w:val="21"/>
              </w:rPr>
            </w: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w:t>
            </w:r>
          </w:p>
          <w:p>
            <w:pPr>
              <w:pStyle w:val="TableParagraph"/>
              <w:spacing w:line="237" w:lineRule="auto"/>
              <w:ind w:left="26" w:right="185"/>
              <w:jc w:val="both"/>
              <w:rPr>
                <w:rFonts w:ascii="宋体" w:hAnsi="宋体" w:cs="宋体" w:eastAsia="宋体" w:hint="default"/>
                <w:sz w:val="21"/>
                <w:szCs w:val="21"/>
              </w:rPr>
            </w:pPr>
            <w:r>
              <w:rPr>
                <w:rFonts w:ascii="宋体" w:hAnsi="宋体" w:cs="宋体" w:eastAsia="宋体" w:hint="default"/>
                <w:sz w:val="21"/>
                <w:szCs w:val="21"/>
              </w:rPr>
              <w:t>特征组合计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的应收账款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w w:val="85"/>
                <w:sz w:val="21"/>
              </w:rPr>
              <w:t>1,813,271,757</w:t>
            </w:r>
            <w:r>
              <w:rPr>
                <w:rFonts w:ascii="Times New Roman"/>
                <w:sz w:val="21"/>
              </w:rPr>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85"/>
                <w:sz w:val="21"/>
              </w:rPr>
              <w:t>94</w:t>
            </w:r>
            <w:r>
              <w:rPr>
                <w:rFonts w:ascii="Times New Roman"/>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w w:val="85"/>
                <w:sz w:val="21"/>
              </w:rPr>
              <w:t>293,572,675</w:t>
            </w:r>
            <w:r>
              <w:rPr>
                <w:rFonts w:ascii="Times New Roman"/>
                <w:sz w:val="21"/>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w w:val="85"/>
                <w:sz w:val="21"/>
              </w:rPr>
              <w:t>16</w:t>
            </w:r>
            <w:r>
              <w:rPr>
                <w:rFonts w:ascii="Times New Roman"/>
                <w:sz w:val="21"/>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8"/>
              <w:jc w:val="right"/>
              <w:rPr>
                <w:rFonts w:ascii="Times New Roman" w:hAnsi="Times New Roman" w:cs="Times New Roman" w:eastAsia="Times New Roman" w:hint="default"/>
                <w:sz w:val="21"/>
                <w:szCs w:val="21"/>
              </w:rPr>
            </w:pPr>
            <w:r>
              <w:rPr>
                <w:rFonts w:ascii="Times New Roman"/>
                <w:w w:val="85"/>
                <w:sz w:val="21"/>
              </w:rPr>
              <w:t>1,519,699,082</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w w:val="85"/>
                <w:sz w:val="21"/>
              </w:rPr>
              <w:t>1,690,159,213</w:t>
            </w:r>
            <w:r>
              <w:rPr>
                <w:rFonts w:ascii="Times New Roman"/>
                <w:sz w:val="21"/>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85"/>
                <w:sz w:val="21"/>
              </w:rPr>
              <w:t>95</w:t>
            </w:r>
            <w:r>
              <w:rPr>
                <w:rFonts w:ascii="Times New Roman"/>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8"/>
              <w:jc w:val="right"/>
              <w:rPr>
                <w:rFonts w:ascii="Times New Roman" w:hAnsi="Times New Roman" w:cs="Times New Roman" w:eastAsia="Times New Roman" w:hint="default"/>
                <w:sz w:val="21"/>
                <w:szCs w:val="21"/>
              </w:rPr>
            </w:pPr>
            <w:r>
              <w:rPr>
                <w:rFonts w:ascii="Times New Roman"/>
                <w:w w:val="85"/>
                <w:sz w:val="21"/>
              </w:rPr>
              <w:t>213,970,107</w:t>
            </w:r>
            <w:r>
              <w:rPr>
                <w:rFonts w:ascii="Times New Roman"/>
                <w:sz w:val="21"/>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85"/>
                <w:sz w:val="21"/>
              </w:rPr>
              <w:t>13</w:t>
            </w:r>
            <w:r>
              <w:rPr>
                <w:rFonts w:ascii="Times New Roman"/>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8"/>
              <w:jc w:val="right"/>
              <w:rPr>
                <w:rFonts w:ascii="Times New Roman" w:hAnsi="Times New Roman" w:cs="Times New Roman" w:eastAsia="Times New Roman" w:hint="default"/>
                <w:sz w:val="21"/>
                <w:szCs w:val="21"/>
              </w:rPr>
            </w:pPr>
            <w:r>
              <w:rPr>
                <w:rFonts w:ascii="Times New Roman"/>
                <w:w w:val="85"/>
                <w:sz w:val="21"/>
              </w:rPr>
              <w:t>1,476,189,106</w:t>
            </w:r>
            <w:r>
              <w:rPr>
                <w:rFonts w:ascii="Times New Roman"/>
                <w:sz w:val="21"/>
              </w:rPr>
            </w:r>
          </w:p>
        </w:tc>
      </w:tr>
      <w:tr>
        <w:trPr>
          <w:trHeight w:val="137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w:t>
            </w:r>
          </w:p>
          <w:p>
            <w:pPr>
              <w:pStyle w:val="TableParagraph"/>
              <w:spacing w:line="237" w:lineRule="auto"/>
              <w:ind w:left="26" w:right="185"/>
              <w:jc w:val="both"/>
              <w:rPr>
                <w:rFonts w:ascii="宋体" w:hAnsi="宋体" w:cs="宋体" w:eastAsia="宋体" w:hint="default"/>
                <w:sz w:val="21"/>
                <w:szCs w:val="21"/>
              </w:rPr>
            </w:pPr>
            <w:r>
              <w:rPr>
                <w:rFonts w:ascii="宋体" w:hAnsi="宋体" w:cs="宋体" w:eastAsia="宋体" w:hint="default"/>
                <w:sz w:val="21"/>
                <w:szCs w:val="21"/>
              </w:rPr>
              <w:t>重大但单独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计提坏账准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备的应收账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w w:val="85"/>
                <w:sz w:val="21"/>
              </w:rPr>
              <w:t>59,316,550</w:t>
            </w:r>
            <w:r>
              <w:rPr>
                <w:rFonts w:ascii="Times New Roman"/>
                <w:sz w:val="21"/>
              </w:rPr>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w w:val="89"/>
                <w:sz w:val="21"/>
              </w:rPr>
              <w:t>3</w:t>
            </w:r>
            <w:r>
              <w:rPr>
                <w:rFonts w:ascii="Times New Roman"/>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w w:val="85"/>
                <w:sz w:val="21"/>
              </w:rPr>
              <w:t>59,316,550</w:t>
            </w:r>
            <w:r>
              <w:rPr>
                <w:rFonts w:ascii="Times New Roman"/>
                <w:sz w:val="21"/>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w w:val="85"/>
                <w:sz w:val="21"/>
              </w:rPr>
              <w:t>100</w:t>
            </w:r>
            <w:r>
              <w:rPr>
                <w:rFonts w:ascii="Times New Roman"/>
                <w:sz w:val="21"/>
              </w:rPr>
            </w:r>
          </w:p>
        </w:tc>
        <w:tc>
          <w:tcPr>
            <w:tcW w:w="123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w w:val="85"/>
                <w:sz w:val="21"/>
              </w:rPr>
              <w:t>61,036,629</w:t>
            </w:r>
            <w:r>
              <w:rPr>
                <w:rFonts w:ascii="Times New Roman"/>
                <w:sz w:val="21"/>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w w:val="89"/>
                <w:sz w:val="21"/>
              </w:rPr>
              <w:t>3</w:t>
            </w:r>
            <w:r>
              <w:rPr>
                <w:rFonts w:ascii="Times New Roman"/>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w w:val="85"/>
                <w:sz w:val="21"/>
              </w:rPr>
              <w:t>61,036,629</w:t>
            </w:r>
            <w:r>
              <w:rPr>
                <w:rFonts w:ascii="Times New Roman"/>
                <w:sz w:val="21"/>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85"/>
                <w:sz w:val="21"/>
              </w:rPr>
              <w:t>100</w:t>
            </w:r>
            <w:r>
              <w:rPr>
                <w:rFonts w:ascii="Times New Roman"/>
                <w:sz w:val="21"/>
              </w:rPr>
            </w: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7"/>
              <w:jc w:val="right"/>
              <w:rPr>
                <w:rFonts w:ascii="Times New Roman" w:hAnsi="Times New Roman" w:cs="Times New Roman" w:eastAsia="Times New Roman" w:hint="default"/>
                <w:sz w:val="21"/>
                <w:szCs w:val="21"/>
              </w:rPr>
            </w:pPr>
            <w:r>
              <w:rPr>
                <w:rFonts w:ascii="Times New Roman"/>
                <w:w w:val="85"/>
                <w:sz w:val="21"/>
              </w:rPr>
              <w:t>1,922,675,426</w:t>
            </w:r>
            <w:r>
              <w:rPr>
                <w:rFonts w:ascii="Times New Roman"/>
                <w:sz w:val="21"/>
              </w:rPr>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89"/>
                <w:sz w:val="21"/>
              </w:rPr>
              <w:t>/</w:t>
            </w:r>
            <w:r>
              <w:rPr>
                <w:rFonts w:ascii="Times New Roman"/>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9"/>
              <w:jc w:val="right"/>
              <w:rPr>
                <w:rFonts w:ascii="Times New Roman" w:hAnsi="Times New Roman" w:cs="Times New Roman" w:eastAsia="Times New Roman" w:hint="default"/>
                <w:sz w:val="21"/>
                <w:szCs w:val="21"/>
              </w:rPr>
            </w:pPr>
            <w:r>
              <w:rPr>
                <w:rFonts w:ascii="Times New Roman"/>
                <w:w w:val="85"/>
                <w:sz w:val="21"/>
              </w:rPr>
              <w:t>402,976,344</w:t>
            </w:r>
            <w:r>
              <w:rPr>
                <w:rFonts w:ascii="Times New Roman"/>
                <w:sz w:val="21"/>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6"/>
              <w:jc w:val="center"/>
              <w:rPr>
                <w:rFonts w:ascii="Times New Roman" w:hAnsi="Times New Roman" w:cs="Times New Roman" w:eastAsia="Times New Roman" w:hint="default"/>
                <w:sz w:val="21"/>
                <w:szCs w:val="21"/>
              </w:rPr>
            </w:pPr>
            <w:r>
              <w:rPr>
                <w:rFonts w:ascii="Times New Roman"/>
                <w:w w:val="89"/>
                <w:sz w:val="21"/>
              </w:rPr>
              <w:t>/</w:t>
            </w:r>
            <w:r>
              <w:rPr>
                <w:rFonts w:ascii="Times New Roman"/>
                <w:sz w:val="21"/>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8"/>
              <w:jc w:val="right"/>
              <w:rPr>
                <w:rFonts w:ascii="Times New Roman" w:hAnsi="Times New Roman" w:cs="Times New Roman" w:eastAsia="Times New Roman" w:hint="default"/>
                <w:sz w:val="21"/>
                <w:szCs w:val="21"/>
              </w:rPr>
            </w:pPr>
            <w:r>
              <w:rPr>
                <w:rFonts w:ascii="Times New Roman"/>
                <w:w w:val="85"/>
                <w:sz w:val="21"/>
              </w:rPr>
              <w:t>1,519,699,082</w:t>
            </w:r>
            <w:r>
              <w:rPr>
                <w:rFonts w:ascii="Times New Roman"/>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7"/>
              <w:jc w:val="right"/>
              <w:rPr>
                <w:rFonts w:ascii="Times New Roman" w:hAnsi="Times New Roman" w:cs="Times New Roman" w:eastAsia="Times New Roman" w:hint="default"/>
                <w:sz w:val="21"/>
                <w:szCs w:val="21"/>
              </w:rPr>
            </w:pPr>
            <w:r>
              <w:rPr>
                <w:rFonts w:ascii="Times New Roman"/>
                <w:w w:val="85"/>
                <w:sz w:val="21"/>
              </w:rPr>
              <w:t>1,785,339,355</w:t>
            </w:r>
            <w:r>
              <w:rPr>
                <w:rFonts w:ascii="Times New Roman"/>
                <w:sz w:val="21"/>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89"/>
                <w:sz w:val="21"/>
              </w:rPr>
              <w:t>/</w:t>
            </w:r>
            <w:r>
              <w:rPr>
                <w:rFonts w:ascii="Times New Roman"/>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8"/>
              <w:jc w:val="right"/>
              <w:rPr>
                <w:rFonts w:ascii="Times New Roman" w:hAnsi="Times New Roman" w:cs="Times New Roman" w:eastAsia="Times New Roman" w:hint="default"/>
                <w:sz w:val="21"/>
                <w:szCs w:val="21"/>
              </w:rPr>
            </w:pPr>
            <w:r>
              <w:rPr>
                <w:rFonts w:ascii="Times New Roman"/>
                <w:w w:val="85"/>
                <w:sz w:val="21"/>
              </w:rPr>
              <w:t>309,150,249</w:t>
            </w:r>
            <w:r>
              <w:rPr>
                <w:rFonts w:ascii="Times New Roman"/>
                <w:sz w:val="21"/>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89"/>
                <w:sz w:val="21"/>
              </w:rPr>
              <w:t>/</w:t>
            </w:r>
            <w:r>
              <w:rPr>
                <w:rFonts w:ascii="Times New Roman"/>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8"/>
              <w:jc w:val="right"/>
              <w:rPr>
                <w:rFonts w:ascii="Times New Roman" w:hAnsi="Times New Roman" w:cs="Times New Roman" w:eastAsia="Times New Roman" w:hint="default"/>
                <w:sz w:val="21"/>
                <w:szCs w:val="21"/>
              </w:rPr>
            </w:pPr>
            <w:r>
              <w:rPr>
                <w:rFonts w:ascii="Times New Roman"/>
                <w:w w:val="85"/>
                <w:sz w:val="21"/>
              </w:rPr>
              <w:t>1,476,189,106</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926" w:footer="1335" w:top="1120" w:bottom="1520" w:left="680" w:right="340"/>
        </w:sectPr>
      </w:pPr>
    </w:p>
    <w:p>
      <w:pPr>
        <w:pStyle w:val="BodyText"/>
        <w:spacing w:line="274" w:lineRule="exact" w:before="36"/>
        <w:ind w:left="1118" w:right="0"/>
        <w:jc w:val="left"/>
      </w:pPr>
      <w:r>
        <w:rPr>
          <w:spacing w:val="-2"/>
        </w:rPr>
        <w:t>期末单项金额重大并单项计提坏帐准备的应收账款</w:t>
      </w:r>
    </w:p>
    <w:p>
      <w:pPr>
        <w:pStyle w:val="BodyText"/>
        <w:spacing w:line="274" w:lineRule="exact"/>
        <w:ind w:left="11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520" w:left="680" w:right="340"/>
          <w:cols w:num="2" w:equalWidth="0">
            <w:col w:w="5744" w:space="778"/>
            <w:col w:w="4368"/>
          </w:cols>
        </w:sectPr>
      </w:pPr>
    </w:p>
    <w:p>
      <w:pPr>
        <w:spacing w:line="240" w:lineRule="auto" w:before="7"/>
        <w:rPr>
          <w:rFonts w:ascii="宋体" w:hAnsi="宋体" w:cs="宋体" w:eastAsia="宋体" w:hint="default"/>
          <w:sz w:val="2"/>
          <w:szCs w:val="2"/>
        </w:rPr>
      </w:pPr>
    </w:p>
    <w:tbl>
      <w:tblPr>
        <w:tblW w:w="0" w:type="auto"/>
        <w:jc w:val="left"/>
        <w:tblInd w:w="1098" w:type="dxa"/>
        <w:tblLayout w:type="fixed"/>
        <w:tblCellMar>
          <w:top w:w="0" w:type="dxa"/>
          <w:left w:w="0" w:type="dxa"/>
          <w:bottom w:w="0" w:type="dxa"/>
          <w:right w:w="0" w:type="dxa"/>
        </w:tblCellMar>
        <w:tblLook w:val="01E0"/>
      </w:tblPr>
      <w:tblGrid>
        <w:gridCol w:w="1934"/>
        <w:gridCol w:w="1681"/>
        <w:gridCol w:w="1863"/>
        <w:gridCol w:w="1719"/>
        <w:gridCol w:w="2318"/>
      </w:tblGrid>
      <w:tr>
        <w:trPr>
          <w:trHeight w:val="281" w:hRule="exact"/>
        </w:trPr>
        <w:tc>
          <w:tcPr>
            <w:tcW w:w="1934" w:type="dxa"/>
            <w:vMerge w:val="restart"/>
            <w:tcBorders>
              <w:top w:val="single" w:sz="4" w:space="0" w:color="000000"/>
              <w:left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75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934" w:type="dxa"/>
            <w:vMerge/>
            <w:tcBorders>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3"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11,058,708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11,058,708</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逾期尚未收回货款</w:t>
            </w:r>
          </w:p>
        </w:tc>
      </w:tr>
      <w:tr>
        <w:trPr>
          <w:trHeight w:val="281"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7,861,538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7,861,538</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逾期尚未收回货款</w:t>
            </w:r>
          </w:p>
        </w:tc>
      </w:tr>
      <w:tr>
        <w:trPr>
          <w:trHeight w:val="283"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3,548,291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3,548,291</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逾期尚未收回货款</w:t>
            </w:r>
          </w:p>
        </w:tc>
      </w:tr>
      <w:tr>
        <w:trPr>
          <w:trHeight w:val="281"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27,618,582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27,618,582</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逾期尚未收回货款</w:t>
            </w:r>
          </w:p>
        </w:tc>
      </w:tr>
      <w:tr>
        <w:trPr>
          <w:trHeight w:val="283"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50,087,119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50,087,119</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r>
    </w:tbl>
    <w:p>
      <w:pPr>
        <w:spacing w:after="0" w:line="243" w:lineRule="exact"/>
        <w:jc w:val="center"/>
        <w:rPr>
          <w:rFonts w:ascii="宋体" w:hAnsi="宋体" w:cs="宋体" w:eastAsia="宋体" w:hint="default"/>
          <w:sz w:val="21"/>
          <w:szCs w:val="21"/>
        </w:rPr>
        <w:sectPr>
          <w:type w:val="continuous"/>
          <w:pgSz w:w="11910" w:h="16840"/>
          <w:pgMar w:top="1120" w:bottom="1520" w:left="680" w:right="3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926" w:footer="1335" w:top="1120" w:bottom="1520" w:left="1580" w:right="1040"/>
        </w:sectPr>
      </w:pPr>
    </w:p>
    <w:p>
      <w:pPr>
        <w:pStyle w:val="BodyText"/>
        <w:spacing w:line="274" w:lineRule="exact" w:before="36"/>
        <w:ind w:left="218" w:right="0"/>
        <w:jc w:val="left"/>
      </w:pPr>
      <w:r>
        <w:rPr>
          <w:spacing w:val="-2"/>
        </w:rPr>
        <w:t>组合中，按账龄分析法计提坏账准备的应收账款：</w:t>
      </w:r>
    </w:p>
    <w:p>
      <w:pPr>
        <w:pStyle w:val="BodyText"/>
        <w:spacing w:line="274" w:lineRule="exact"/>
        <w:ind w:left="21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4844" w:space="1678"/>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281"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855,747,974</w:t>
            </w: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322,096,033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32,209,603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251,346,666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50,269,334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198,797,631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79,519,053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107,417,535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53,708,767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77,865,918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77,865,918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1,813,271,757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293,572,675</w:t>
            </w:r>
          </w:p>
        </w:tc>
        <w:tc>
          <w:tcPr>
            <w:tcW w:w="22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218" w:right="2465"/>
        <w:jc w:val="left"/>
      </w:pPr>
      <w:r>
        <w:rPr/>
        <w:t>确定该组合依据的说明：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74" w:lineRule="exact" w:before="36"/>
        <w:ind w:left="218" w:right="2465"/>
        <w:jc w:val="left"/>
      </w:pPr>
      <w:r>
        <w:rPr/>
        <w:t>组合中，采用余额百分比法计提坏账准备的应收账款：</w:t>
      </w:r>
    </w:p>
    <w:p>
      <w:pPr>
        <w:pStyle w:val="BodyText"/>
        <w:spacing w:line="475" w:lineRule="auto"/>
        <w:ind w:left="218" w:right="4408"/>
        <w:jc w:val="left"/>
      </w:pPr>
      <w:r>
        <w:rPr/>
        <w:t>□适用√不适用</w:t>
      </w:r>
      <w:r>
        <w:rPr>
          <w:w w:val="100"/>
        </w:rPr>
        <w:t> </w:t>
      </w:r>
      <w:r>
        <w:rPr>
          <w:spacing w:val="-2"/>
        </w:rPr>
        <w:t>组合中，采用其他方法计提坏账准备的应收账款：</w:t>
      </w:r>
    </w:p>
    <w:p>
      <w:pPr>
        <w:spacing w:line="240" w:lineRule="auto" w:before="12"/>
        <w:rPr>
          <w:rFonts w:ascii="宋体" w:hAnsi="宋体" w:cs="宋体" w:eastAsia="宋体" w:hint="default"/>
          <w:sz w:val="4"/>
          <w:szCs w:val="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97" w:lineRule="auto" w:before="58"/>
        <w:ind w:left="218" w:right="1189"/>
        <w:jc w:val="left"/>
      </w:pPr>
      <w:r>
        <w:rPr/>
        <w:t>本期计提坏账准备金额</w:t>
      </w:r>
      <w:r>
        <w:rPr>
          <w:spacing w:val="-54"/>
        </w:rPr>
        <w:t> </w:t>
      </w:r>
      <w:r>
        <w:rPr>
          <w:rFonts w:ascii="宋体" w:hAnsi="宋体" w:cs="宋体" w:eastAsia="宋体" w:hint="default"/>
        </w:rPr>
        <w:t>99,707,121</w:t>
      </w:r>
      <w:r>
        <w:rPr>
          <w:rFonts w:ascii="宋体" w:hAnsi="宋体" w:cs="宋体" w:eastAsia="宋体" w:hint="default"/>
          <w:spacing w:val="-57"/>
        </w:rPr>
        <w:t> </w:t>
      </w:r>
      <w:r>
        <w:rPr/>
        <w:t>元；本期收回或转回坏账准备金额</w:t>
      </w:r>
      <w:r>
        <w:rPr>
          <w:spacing w:val="-55"/>
        </w:rPr>
        <w:t> </w:t>
      </w:r>
      <w:r>
        <w:rPr>
          <w:rFonts w:ascii="宋体" w:hAnsi="宋体" w:cs="宋体" w:eastAsia="宋体" w:hint="default"/>
        </w:rPr>
        <w:t>3,934,731</w:t>
      </w:r>
      <w:r>
        <w:rPr>
          <w:rFonts w:ascii="宋体" w:hAnsi="宋体" w:cs="宋体" w:eastAsia="宋体" w:hint="default"/>
          <w:spacing w:val="-54"/>
        </w:rPr>
        <w:t> </w:t>
      </w:r>
      <w:r>
        <w:rPr>
          <w:spacing w:val="-3"/>
        </w:rPr>
        <w:t>元。</w:t>
      </w:r>
      <w:r>
        <w:rPr>
          <w:spacing w:val="-3"/>
          <w:w w:val="100"/>
        </w:rPr>
        <w:t> </w:t>
      </w:r>
      <w:r>
        <w:rPr/>
        <w:t>其中本期坏账准备收回或转回金额重要的：</w:t>
      </w:r>
    </w:p>
    <w:p>
      <w:pPr>
        <w:pStyle w:val="BodyText"/>
        <w:spacing w:line="240" w:lineRule="auto" w:before="13"/>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520" w:left="1580" w:right="1040"/>
        </w:sectPr>
      </w:pPr>
    </w:p>
    <w:p>
      <w:pPr>
        <w:pStyle w:val="Heading2"/>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3534" w:space="298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1,946,295</w:t>
            </w:r>
          </w:p>
        </w:tc>
      </w:tr>
    </w:tbl>
    <w:p>
      <w:pPr>
        <w:spacing w:line="240" w:lineRule="auto" w:before="5"/>
        <w:rPr>
          <w:rFonts w:ascii="宋体" w:hAnsi="宋体" w:cs="宋体" w:eastAsia="宋体" w:hint="default"/>
          <w:sz w:val="15"/>
          <w:szCs w:val="15"/>
        </w:rPr>
      </w:pPr>
    </w:p>
    <w:p>
      <w:pPr>
        <w:pStyle w:val="BodyText"/>
        <w:spacing w:line="274" w:lineRule="exact" w:before="36"/>
        <w:ind w:left="218" w:right="2465"/>
        <w:jc w:val="left"/>
      </w:pPr>
      <w:r>
        <w:rPr/>
        <w:t>其中重要的应收账款核销情况</w:t>
      </w:r>
    </w:p>
    <w:p>
      <w:pPr>
        <w:pStyle w:val="BodyText"/>
        <w:spacing w:line="272" w:lineRule="exact" w:before="27"/>
        <w:ind w:left="218" w:right="7167"/>
        <w:jc w:val="left"/>
      </w:pPr>
      <w:r>
        <w:rPr/>
        <w:t>□适用</w:t>
      </w:r>
      <w:r>
        <w:rPr>
          <w:spacing w:val="-2"/>
        </w:rPr>
        <w:t> </w:t>
      </w:r>
      <w:r>
        <w:rPr/>
        <w:t>√不适用</w:t>
      </w:r>
      <w:r>
        <w:rPr>
          <w:w w:val="100"/>
        </w:rPr>
        <w:t> </w:t>
      </w:r>
      <w:r>
        <w:rPr>
          <w:spacing w:val="-1"/>
        </w:rPr>
        <w:t>应收账款核销说明：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2"/>
        <w:spacing w:line="240" w:lineRule="auto" w:before="0"/>
        <w:ind w:right="2465"/>
        <w:jc w:val="left"/>
        <w:rPr>
          <w:b w:val="0"/>
          <w:bCs w:val="0"/>
        </w:rPr>
      </w:pPr>
      <w:r>
        <w:rPr>
          <w:rFonts w:ascii="宋体" w:hAnsi="宋体" w:cs="宋体" w:eastAsia="宋体" w:hint="default"/>
          <w:sz w:val="20"/>
          <w:szCs w:val="20"/>
        </w:rPr>
        <w:t>(4).</w:t>
      </w:r>
      <w:r>
        <w:rPr>
          <w:rFonts w:ascii="宋体" w:hAnsi="宋体" w:cs="宋体" w:eastAsia="宋体" w:hint="default"/>
          <w:spacing w:val="67"/>
          <w:sz w:val="20"/>
          <w:szCs w:val="20"/>
        </w:rPr>
        <w:t> </w:t>
      </w:r>
      <w:r>
        <w:rPr/>
        <w:t>按欠款方归集的期末余额前五名的应收账款情况：</w:t>
      </w:r>
      <w:r>
        <w:rPr>
          <w:b w:val="0"/>
          <w:bCs w:val="0"/>
        </w:rPr>
      </w:r>
    </w:p>
    <w:p>
      <w:pPr>
        <w:spacing w:after="0" w:line="240" w:lineRule="auto"/>
        <w:jc w:val="left"/>
        <w:sectPr>
          <w:type w:val="continuous"/>
          <w:pgSz w:w="11910" w:h="16840"/>
          <w:pgMar w:top="1120" w:bottom="152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208" w:type="dxa"/>
        <w:tblLayout w:type="fixed"/>
        <w:tblCellMar>
          <w:top w:w="0" w:type="dxa"/>
          <w:left w:w="0" w:type="dxa"/>
          <w:bottom w:w="0" w:type="dxa"/>
          <w:right w:w="0" w:type="dxa"/>
        </w:tblCellMar>
        <w:tblLook w:val="01E0"/>
      </w:tblPr>
      <w:tblGrid>
        <w:gridCol w:w="1699"/>
        <w:gridCol w:w="2276"/>
        <w:gridCol w:w="2552"/>
        <w:gridCol w:w="1985"/>
      </w:tblGrid>
      <w:tr>
        <w:trPr>
          <w:trHeight w:val="557"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应收账款年末余额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2" w:right="0"/>
              <w:jc w:val="center"/>
              <w:rPr>
                <w:rFonts w:ascii="宋体" w:hAnsi="宋体" w:cs="宋体" w:eastAsia="宋体" w:hint="default"/>
                <w:sz w:val="21"/>
                <w:szCs w:val="21"/>
              </w:rPr>
            </w:pPr>
            <w:r>
              <w:rPr>
                <w:rFonts w:ascii="宋体" w:hAnsi="宋体" w:cs="宋体" w:eastAsia="宋体" w:hint="default"/>
                <w:sz w:val="21"/>
                <w:szCs w:val="21"/>
              </w:rPr>
              <w:t>应收账款年末余额占应</w:t>
            </w:r>
          </w:p>
          <w:p>
            <w:pPr>
              <w:pStyle w:val="TableParagraph"/>
              <w:spacing w:line="273" w:lineRule="exact"/>
              <w:ind w:left="338" w:right="0"/>
              <w:jc w:val="center"/>
              <w:rPr>
                <w:rFonts w:ascii="宋体" w:hAnsi="宋体" w:cs="宋体" w:eastAsia="宋体" w:hint="default"/>
                <w:sz w:val="21"/>
                <w:szCs w:val="21"/>
              </w:rPr>
            </w:pPr>
            <w:r>
              <w:rPr>
                <w:rFonts w:ascii="宋体" w:hAnsi="宋体" w:cs="宋体" w:eastAsia="宋体" w:hint="default"/>
                <w:sz w:val="21"/>
                <w:szCs w:val="21"/>
              </w:rPr>
              <w:t>收账款总额的比例</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坏账准备年末余</w:t>
            </w:r>
          </w:p>
          <w:p>
            <w:pPr>
              <w:pStyle w:val="TableParagraph"/>
              <w:spacing w:line="273"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281"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20,835,900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4,408,530</w:t>
            </w:r>
          </w:p>
        </w:tc>
      </w:tr>
      <w:tr>
        <w:trPr>
          <w:trHeight w:val="28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11,637,500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3,242,600</w:t>
            </w:r>
          </w:p>
        </w:tc>
      </w:tr>
      <w:tr>
        <w:trPr>
          <w:trHeight w:val="281"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11,507,869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0.60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33,130</w:t>
            </w:r>
          </w:p>
        </w:tc>
      </w:tr>
      <w:tr>
        <w:trPr>
          <w:trHeight w:val="28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11,103,560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0.58</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11,058,708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11,058,708</w:t>
            </w:r>
          </w:p>
        </w:tc>
      </w:tr>
      <w:tr>
        <w:trPr>
          <w:trHeight w:val="28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66,143,537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18,742,968</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ind w:right="0"/>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spacing w:line="240" w:lineRule="auto" w:before="4"/>
        <w:rPr>
          <w:rFonts w:ascii="宋体" w:hAnsi="宋体" w:cs="宋体" w:eastAsia="宋体" w:hint="default"/>
          <w:b/>
          <w:bCs/>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8"/>
          <w:szCs w:val="18"/>
        </w:rPr>
      </w:pPr>
    </w:p>
    <w:p>
      <w:pPr>
        <w:pStyle w:val="Heading2"/>
        <w:spacing w:line="240" w:lineRule="auto"/>
        <w:ind w:right="0"/>
        <w:jc w:val="left"/>
        <w:rPr>
          <w:b w:val="0"/>
          <w:bCs w:val="0"/>
        </w:rPr>
      </w:pPr>
      <w:r>
        <w:rPr>
          <w:rFonts w:ascii="宋体" w:hAnsi="宋体" w:cs="宋体" w:eastAsia="宋体" w:hint="default"/>
          <w:sz w:val="20"/>
          <w:szCs w:val="20"/>
        </w:rPr>
        <w:t>(6).</w:t>
      </w:r>
      <w:r>
        <w:rPr>
          <w:rFonts w:ascii="宋体" w:hAnsi="宋体" w:cs="宋体" w:eastAsia="宋体" w:hint="default"/>
          <w:spacing w:val="67"/>
          <w:sz w:val="20"/>
          <w:szCs w:val="20"/>
        </w:rPr>
        <w:t> </w:t>
      </w:r>
      <w:r>
        <w:rPr/>
        <w:t>转移应收账款且继续涉入形成的资产、负债金额：</w:t>
      </w:r>
      <w:r>
        <w:rPr>
          <w:b w:val="0"/>
          <w:bCs w:val="0"/>
        </w:rPr>
      </w:r>
    </w:p>
    <w:p>
      <w:pPr>
        <w:spacing w:line="240" w:lineRule="auto" w:before="10"/>
        <w:rPr>
          <w:rFonts w:ascii="宋体" w:hAnsi="宋体" w:cs="宋体" w:eastAsia="宋体" w:hint="default"/>
          <w:b/>
          <w:bCs/>
          <w:sz w:val="23"/>
          <w:szCs w:val="2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3"/>
          <w:szCs w:val="13"/>
        </w:rPr>
      </w:pPr>
    </w:p>
    <w:p>
      <w:pPr>
        <w:pStyle w:val="BodyText"/>
        <w:spacing w:line="240" w:lineRule="auto" w:before="36"/>
        <w:ind w:left="112" w:right="0"/>
        <w:jc w:val="left"/>
      </w:pPr>
      <w:r>
        <w:rPr/>
        <w:t>其他说明：</w:t>
      </w:r>
    </w:p>
    <w:p>
      <w:pPr>
        <w:spacing w:line="240" w:lineRule="auto" w:before="9"/>
        <w:rPr>
          <w:rFonts w:ascii="宋体" w:hAnsi="宋体" w:cs="宋体" w:eastAsia="宋体" w:hint="default"/>
          <w:sz w:val="20"/>
          <w:szCs w:val="20"/>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6" w:footer="1335" w:top="1120" w:bottom="1520" w:left="1580" w:right="1120"/>
        </w:sectPr>
      </w:pPr>
    </w:p>
    <w:p>
      <w:pPr>
        <w:pStyle w:val="Heading2"/>
        <w:spacing w:line="240" w:lineRule="auto" w:before="39"/>
        <w:ind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120"/>
          <w:cols w:num="2" w:equalWidth="0">
            <w:col w:w="2736" w:space="3786"/>
            <w:col w:w="268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8"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32,373,710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75</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15,861,309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68</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4,682,508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11</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4,319,782</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18</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3,177,983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w w:val="100"/>
                <w:sz w:val="21"/>
              </w:rPr>
              <w:t>7</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2,054,107</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w w:val="100"/>
                <w:sz w:val="21"/>
              </w:rPr>
              <w:t>9</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3,123,164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6"/>
              <w:jc w:val="right"/>
              <w:rPr>
                <w:rFonts w:ascii="宋体" w:hAnsi="宋体" w:cs="宋体" w:eastAsia="宋体" w:hint="default"/>
                <w:sz w:val="21"/>
                <w:szCs w:val="21"/>
              </w:rPr>
            </w:pPr>
            <w:r>
              <w:rPr>
                <w:rFonts w:ascii="宋体"/>
                <w:w w:val="100"/>
                <w:sz w:val="21"/>
              </w:rPr>
              <w:t>7</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1,072,049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6"/>
              <w:jc w:val="right"/>
              <w:rPr>
                <w:rFonts w:ascii="宋体" w:hAnsi="宋体" w:cs="宋体" w:eastAsia="宋体" w:hint="default"/>
                <w:sz w:val="21"/>
                <w:szCs w:val="21"/>
              </w:rPr>
            </w:pPr>
            <w:r>
              <w:rPr>
                <w:rFonts w:ascii="宋体"/>
                <w:w w:val="100"/>
                <w:sz w:val="21"/>
              </w:rPr>
              <w:t>5</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43,357,365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23,307,247</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100</w:t>
            </w:r>
          </w:p>
        </w:tc>
      </w:tr>
    </w:tbl>
    <w:p>
      <w:pPr>
        <w:spacing w:line="240" w:lineRule="auto" w:before="7"/>
        <w:rPr>
          <w:rFonts w:ascii="宋体" w:hAnsi="宋体" w:cs="宋体" w:eastAsia="宋体" w:hint="default"/>
          <w:sz w:val="15"/>
          <w:szCs w:val="15"/>
        </w:rPr>
      </w:pPr>
    </w:p>
    <w:p>
      <w:pPr>
        <w:pStyle w:val="BodyText"/>
        <w:spacing w:line="292" w:lineRule="auto" w:before="36"/>
        <w:ind w:left="218" w:right="0"/>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spacing w:val="-2"/>
        </w:rPr>
        <w:t>于</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日，本集团无重要预付款项</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日：无</w:t>
      </w:r>
      <w:r>
        <w:rPr>
          <w:rFonts w:ascii="宋体" w:hAnsi="宋体" w:cs="宋体" w:eastAsia="宋体" w:hint="default"/>
          <w:spacing w:val="-2"/>
        </w:rPr>
        <w:t>)</w:t>
      </w:r>
      <w:r>
        <w:rPr>
          <w:spacing w:val="-2"/>
        </w:rPr>
        <w:t>。</w:t>
      </w:r>
    </w:p>
    <w:p>
      <w:pPr>
        <w:pStyle w:val="Heading2"/>
        <w:tabs>
          <w:tab w:pos="834" w:val="left" w:leader="none"/>
        </w:tabs>
        <w:spacing w:line="240" w:lineRule="auto" w:before="82"/>
        <w:ind w:right="0"/>
        <w:jc w:val="left"/>
        <w:rPr>
          <w:b w:val="0"/>
          <w:bCs w:val="0"/>
        </w:rPr>
      </w:pPr>
      <w:r>
        <w:rPr>
          <w:rFonts w:ascii="宋体" w:hAnsi="宋体" w:cs="宋体" w:eastAsia="宋体" w:hint="default"/>
          <w:w w:val="95"/>
          <w:sz w:val="20"/>
          <w:szCs w:val="20"/>
        </w:rPr>
        <w:t>(2).</w:t>
        <w:tab/>
      </w:r>
      <w:r>
        <w:rPr/>
        <w:t>按预付对象归集的期末余额前五名的预付款情况：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208" w:type="dxa"/>
        <w:tblLayout w:type="fixed"/>
        <w:tblCellMar>
          <w:top w:w="0" w:type="dxa"/>
          <w:left w:w="0" w:type="dxa"/>
          <w:bottom w:w="0" w:type="dxa"/>
          <w:right w:w="0" w:type="dxa"/>
        </w:tblCellMar>
        <w:tblLook w:val="01E0"/>
      </w:tblPr>
      <w:tblGrid>
        <w:gridCol w:w="3121"/>
        <w:gridCol w:w="1781"/>
        <w:gridCol w:w="2617"/>
      </w:tblGrid>
      <w:tr>
        <w:trPr>
          <w:trHeight w:val="6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79" w:right="147" w:hanging="632"/>
              <w:jc w:val="left"/>
              <w:rPr>
                <w:rFonts w:ascii="宋体" w:hAnsi="宋体" w:cs="宋体" w:eastAsia="宋体" w:hint="default"/>
                <w:sz w:val="21"/>
                <w:szCs w:val="21"/>
              </w:rPr>
            </w:pPr>
            <w:r>
              <w:rPr>
                <w:rFonts w:ascii="宋体" w:hAnsi="宋体" w:cs="宋体" w:eastAsia="宋体" w:hint="default"/>
                <w:sz w:val="21"/>
                <w:szCs w:val="21"/>
              </w:rPr>
              <w:t>预付账款年末余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0"/>
              <w:ind w:left="717" w:right="98" w:hanging="526"/>
              <w:jc w:val="left"/>
              <w:rPr>
                <w:rFonts w:ascii="宋体" w:hAnsi="宋体" w:cs="宋体" w:eastAsia="宋体" w:hint="default"/>
                <w:sz w:val="21"/>
                <w:szCs w:val="21"/>
              </w:rPr>
            </w:pPr>
            <w:r>
              <w:rPr>
                <w:rFonts w:ascii="宋体" w:hAnsi="宋体" w:cs="宋体" w:eastAsia="宋体" w:hint="default"/>
                <w:spacing w:val="-2"/>
                <w:sz w:val="21"/>
                <w:szCs w:val="21"/>
              </w:rPr>
              <w:t>预付账款年末余额占预付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账款总额的比例</w:t>
            </w:r>
            <w:r>
              <w:rPr>
                <w:rFonts w:ascii="宋体" w:hAnsi="宋体" w:cs="宋体" w:eastAsia="宋体" w:hint="default"/>
                <w:sz w:val="21"/>
                <w:szCs w:val="21"/>
              </w:rPr>
              <w:t>(%)</w:t>
            </w: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892,551</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510,829</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433,470</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351,698</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296,749</w:t>
            </w:r>
          </w:p>
        </w:tc>
        <w:tc>
          <w:tcPr>
            <w:tcW w:w="2617" w:type="dxa"/>
            <w:tcBorders>
              <w:top w:val="single" w:sz="4" w:space="0" w:color="000000"/>
              <w:left w:val="single" w:sz="4" w:space="0" w:color="000000"/>
              <w:bottom w:val="single" w:sz="5"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2,485,297</w:t>
            </w:r>
          </w:p>
        </w:tc>
        <w:tc>
          <w:tcPr>
            <w:tcW w:w="2617" w:type="dxa"/>
            <w:tcBorders>
              <w:top w:val="single" w:sz="5"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w w:val="100"/>
                <w:sz w:val="21"/>
              </w:rPr>
            </w:r>
            <w:r>
              <w:rPr>
                <w:rFonts w:ascii="宋体"/>
                <w:w w:val="100"/>
                <w:sz w:val="21"/>
                <w:u w:val="single" w:color="000000"/>
              </w:rPr>
              <w:t>6</w:t>
            </w:r>
            <w:r>
              <w:rPr>
                <w:rFonts w:ascii="宋体"/>
                <w:w w:val="100"/>
                <w:sz w:val="21"/>
              </w:rPr>
            </w:r>
          </w:p>
        </w:tc>
      </w:tr>
    </w:tbl>
    <w:p>
      <w:pPr>
        <w:spacing w:line="240" w:lineRule="auto" w:before="5"/>
        <w:rPr>
          <w:rFonts w:ascii="宋体" w:hAnsi="宋体" w:cs="宋体" w:eastAsia="宋体" w:hint="default"/>
          <w:b/>
          <w:bCs/>
          <w:sz w:val="15"/>
          <w:szCs w:val="15"/>
        </w:rPr>
      </w:pPr>
    </w:p>
    <w:p>
      <w:pPr>
        <w:pStyle w:val="BodyText"/>
        <w:spacing w:line="240" w:lineRule="auto" w:before="36"/>
        <w:ind w:left="218" w:right="0"/>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520" w:left="158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926" w:footer="1335" w:top="1120" w:bottom="1520" w:left="840" w:right="780"/>
        </w:sectPr>
      </w:pPr>
    </w:p>
    <w:p>
      <w:pPr>
        <w:pStyle w:val="Heading2"/>
        <w:spacing w:line="240" w:lineRule="auto"/>
        <w:ind w:left="958" w:right="-19"/>
        <w:jc w:val="left"/>
        <w:rPr>
          <w:b w:val="0"/>
          <w:bCs w:val="0"/>
        </w:rPr>
      </w:pPr>
      <w:r>
        <w:rPr>
          <w:rFonts w:ascii="宋体" w:hAnsi="宋体" w:cs="宋体" w:eastAsia="宋体" w:hint="default"/>
        </w:rPr>
        <w:t>7</w:t>
      </w:r>
      <w:r>
        <w:rPr/>
        <w:t>、</w:t>
      </w:r>
      <w:r>
        <w:rPr>
          <w:spacing w:val="-2"/>
        </w:rPr>
        <w:t> </w:t>
      </w:r>
      <w:r>
        <w:rPr/>
        <w:t>应收利息</w:t>
      </w:r>
      <w:r>
        <w:rPr>
          <w:b w:val="0"/>
          <w:bCs w:val="0"/>
        </w:rPr>
      </w:r>
    </w:p>
    <w:p>
      <w:pPr>
        <w:spacing w:line="290" w:lineRule="auto" w:before="58"/>
        <w:ind w:left="95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19"/>
          <w:sz w:val="21"/>
          <w:szCs w:val="21"/>
        </w:rPr>
        <w:t> </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520" w:left="840" w:right="780"/>
          <w:cols w:num="2" w:equalWidth="0">
            <w:col w:w="2773" w:space="3749"/>
            <w:col w:w="3768"/>
          </w:cols>
        </w:sectPr>
      </w:pPr>
    </w:p>
    <w:p>
      <w:pPr>
        <w:spacing w:line="240" w:lineRule="auto" w:before="4"/>
        <w:rPr>
          <w:rFonts w:ascii="宋体" w:hAnsi="宋体" w:cs="宋体" w:eastAsia="宋体" w:hint="default"/>
          <w:sz w:val="2"/>
          <w:szCs w:val="2"/>
        </w:rPr>
      </w:pPr>
    </w:p>
    <w:tbl>
      <w:tblPr>
        <w:tblW w:w="0" w:type="auto"/>
        <w:jc w:val="left"/>
        <w:tblInd w:w="919" w:type="dxa"/>
        <w:tblLayout w:type="fixed"/>
        <w:tblCellMar>
          <w:top w:w="0" w:type="dxa"/>
          <w:left w:w="0" w:type="dxa"/>
          <w:bottom w:w="0" w:type="dxa"/>
          <w:right w:w="0" w:type="dxa"/>
        </w:tblCellMar>
        <w:tblLook w:val="01E0"/>
      </w:tblPr>
      <w:tblGrid>
        <w:gridCol w:w="2780"/>
        <w:gridCol w:w="3048"/>
        <w:gridCol w:w="3068"/>
      </w:tblGrid>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169"/>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2,602,998</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1,595,211</w:t>
            </w:r>
          </w:p>
        </w:tc>
      </w:tr>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48"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
        </w:tc>
        <w:tc>
          <w:tcPr>
            <w:tcW w:w="3048"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
        </w:tc>
        <w:tc>
          <w:tcPr>
            <w:tcW w:w="3048"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69"/>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2,602,998</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1,595,211</w:t>
            </w:r>
          </w:p>
        </w:tc>
      </w:tr>
    </w:tbl>
    <w:p>
      <w:pPr>
        <w:spacing w:line="240" w:lineRule="auto" w:before="13"/>
        <w:rPr>
          <w:rFonts w:ascii="宋体" w:hAnsi="宋体" w:cs="宋体" w:eastAsia="宋体" w:hint="default"/>
          <w:sz w:val="19"/>
          <w:szCs w:val="19"/>
        </w:rPr>
      </w:pPr>
    </w:p>
    <w:p>
      <w:pPr>
        <w:pStyle w:val="Heading2"/>
        <w:spacing w:line="240" w:lineRule="auto"/>
        <w:ind w:left="958" w:right="2991"/>
        <w:jc w:val="left"/>
        <w:rPr>
          <w:b w:val="0"/>
          <w:bCs w:val="0"/>
        </w:rPr>
      </w:pPr>
      <w:r>
        <w:rPr>
          <w:rFonts w:ascii="宋体" w:hAnsi="宋体" w:cs="宋体" w:eastAsia="宋体" w:hint="default"/>
        </w:rPr>
        <w:t>(2).</w:t>
      </w:r>
      <w:r>
        <w:rPr>
          <w:rFonts w:ascii="宋体" w:hAnsi="宋体" w:cs="宋体" w:eastAsia="宋体" w:hint="default"/>
          <w:spacing w:val="19"/>
        </w:rPr>
        <w:t> </w:t>
      </w:r>
      <w:r>
        <w:rPr/>
        <w:t>重要逾期利息</w:t>
      </w:r>
      <w:r>
        <w:rPr>
          <w:b w:val="0"/>
          <w:bCs w:val="0"/>
        </w:rPr>
      </w:r>
    </w:p>
    <w:p>
      <w:pPr>
        <w:pStyle w:val="BodyText"/>
        <w:spacing w:line="272" w:lineRule="exact" w:before="86"/>
        <w:ind w:left="958" w:right="7734"/>
        <w:jc w:val="left"/>
      </w:pPr>
      <w:r>
        <w:rPr/>
        <w:t>□适用</w:t>
      </w:r>
      <w:r>
        <w:rPr>
          <w:spacing w:val="-1"/>
        </w:rPr>
        <w:t> </w:t>
      </w:r>
      <w:r>
        <w:rPr/>
        <w:t>√不适用</w:t>
      </w:r>
      <w:r>
        <w:rPr>
          <w:w w:val="100"/>
        </w:rPr>
        <w:t> </w:t>
      </w:r>
      <w:r>
        <w:rPr/>
        <w:t>其他说明：</w:t>
      </w:r>
    </w:p>
    <w:p>
      <w:pPr>
        <w:spacing w:line="240" w:lineRule="auto" w:before="12"/>
        <w:rPr>
          <w:rFonts w:ascii="宋体" w:hAnsi="宋体" w:cs="宋体" w:eastAsia="宋体" w:hint="default"/>
          <w:sz w:val="18"/>
          <w:szCs w:val="18"/>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left="958" w:right="2991"/>
        <w:jc w:val="left"/>
        <w:rPr>
          <w:b w:val="0"/>
          <w:bCs w:val="0"/>
        </w:rPr>
      </w:pPr>
      <w:r>
        <w:rPr>
          <w:rFonts w:ascii="宋体" w:hAnsi="宋体" w:cs="宋体" w:eastAsia="宋体" w:hint="default"/>
        </w:rPr>
        <w:t>8</w:t>
      </w:r>
      <w:r>
        <w:rPr/>
        <w:t>、</w:t>
      </w:r>
      <w:r>
        <w:rPr>
          <w:spacing w:val="-2"/>
        </w:rPr>
        <w:t> </w:t>
      </w:r>
      <w:r>
        <w:rPr/>
        <w:t>应收股利</w:t>
      </w:r>
      <w:r>
        <w:rPr>
          <w:b w:val="0"/>
          <w:bCs w:val="0"/>
        </w:rPr>
      </w:r>
    </w:p>
    <w:p>
      <w:pPr>
        <w:pStyle w:val="BodyText"/>
        <w:spacing w:line="240" w:lineRule="auto" w:before="56"/>
        <w:ind w:left="958" w:right="299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520" w:left="840" w:right="780"/>
        </w:sectPr>
      </w:pPr>
    </w:p>
    <w:p>
      <w:pPr>
        <w:pStyle w:val="Heading2"/>
        <w:spacing w:line="240" w:lineRule="auto"/>
        <w:ind w:left="958"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2"/>
        <w:spacing w:line="240" w:lineRule="auto" w:before="59"/>
        <w:ind w:left="95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009" w:val="left" w:leader="none"/>
        </w:tabs>
        <w:spacing w:line="240" w:lineRule="auto" w:before="178"/>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520" w:left="840" w:right="780"/>
          <w:cols w:num="2" w:equalWidth="0">
            <w:col w:w="3447" w:space="2971"/>
            <w:col w:w="387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08"/>
        <w:gridCol w:w="1111"/>
        <w:gridCol w:w="392"/>
        <w:gridCol w:w="1008"/>
        <w:gridCol w:w="396"/>
        <w:gridCol w:w="1112"/>
        <w:gridCol w:w="1114"/>
        <w:gridCol w:w="377"/>
        <w:gridCol w:w="1009"/>
        <w:gridCol w:w="667"/>
        <w:gridCol w:w="1277"/>
      </w:tblGrid>
      <w:tr>
        <w:trPr>
          <w:trHeight w:val="293" w:hRule="exact"/>
        </w:trPr>
        <w:tc>
          <w:tcPr>
            <w:tcW w:w="16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40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608" w:type="dxa"/>
            <w:vMerge/>
            <w:tcBorders>
              <w:left w:val="single" w:sz="4" w:space="0" w:color="000000"/>
              <w:right w:val="single" w:sz="4" w:space="0" w:color="000000"/>
            </w:tcBorders>
          </w:tcPr>
          <w:p>
            <w:pPr/>
          </w:p>
        </w:tc>
        <w:tc>
          <w:tcPr>
            <w:tcW w:w="15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40" w:right="33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22" w:right="42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0" w:hRule="exact"/>
        </w:trPr>
        <w:tc>
          <w:tcPr>
            <w:tcW w:w="1608"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33" w:right="29" w:firstLine="52"/>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6"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35" w:right="31"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12" w:type="dxa"/>
            <w:vMerge/>
            <w:tcBorders>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3" w:right="24" w:firstLine="52"/>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17" w:right="11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277" w:type="dxa"/>
            <w:vMerge/>
            <w:tcBorders>
              <w:left w:val="single" w:sz="4" w:space="0" w:color="000000"/>
              <w:bottom w:val="single" w:sz="4" w:space="0" w:color="000000"/>
              <w:right w:val="single" w:sz="4" w:space="0" w:color="000000"/>
            </w:tcBorders>
          </w:tcPr>
          <w:p>
            <w:pPr/>
          </w:p>
        </w:tc>
      </w:tr>
      <w:tr>
        <w:trPr>
          <w:trHeight w:val="829"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72" w:lineRule="exact" w:before="27"/>
              <w:ind w:left="26" w:right="96"/>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111"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40" w:lineRule="auto"/>
              <w:ind w:left="26" w:right="96"/>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167,902,580</w:t>
            </w:r>
            <w:r>
              <w:rPr>
                <w:rFonts w:ascii="Times New Roman"/>
                <w:sz w:val="20"/>
              </w:rPr>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98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5" w:right="0"/>
              <w:jc w:val="center"/>
              <w:rPr>
                <w:rFonts w:ascii="Times New Roman" w:hAnsi="Times New Roman" w:cs="Times New Roman" w:eastAsia="Times New Roman" w:hint="default"/>
                <w:sz w:val="20"/>
                <w:szCs w:val="20"/>
              </w:rPr>
            </w:pPr>
            <w:r>
              <w:rPr>
                <w:rFonts w:ascii="Times New Roman"/>
                <w:sz w:val="20"/>
              </w:rPr>
              <w:t>15,981,287</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z w:val="21"/>
              </w:rPr>
              <w:t>10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151,921,293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182,594,353</w:t>
            </w:r>
            <w:r>
              <w:rPr>
                <w:rFonts w:ascii="Times New Roman"/>
                <w:sz w:val="20"/>
              </w:rPr>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3"/>
              <w:jc w:val="right"/>
              <w:rPr>
                <w:rFonts w:ascii="Times New Roman" w:hAnsi="Times New Roman" w:cs="Times New Roman" w:eastAsia="Times New Roman" w:hint="default"/>
                <w:sz w:val="20"/>
                <w:szCs w:val="20"/>
              </w:rPr>
            </w:pPr>
            <w:r>
              <w:rPr>
                <w:rFonts w:ascii="Times New Roman"/>
                <w:sz w:val="20"/>
              </w:rPr>
              <w:t>99</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4" w:right="0"/>
              <w:jc w:val="center"/>
              <w:rPr>
                <w:rFonts w:ascii="Times New Roman" w:hAnsi="Times New Roman" w:cs="Times New Roman" w:eastAsia="Times New Roman" w:hint="default"/>
                <w:sz w:val="20"/>
                <w:szCs w:val="20"/>
              </w:rPr>
            </w:pPr>
            <w:r>
              <w:rPr>
                <w:rFonts w:ascii="Times New Roman"/>
                <w:sz w:val="20"/>
              </w:rPr>
              <w:t>14,754,772</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w w:val="100"/>
                <w:sz w:val="21"/>
              </w:rPr>
              <w:t>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167,839,581</w:t>
            </w:r>
          </w:p>
        </w:tc>
      </w:tr>
      <w:tr>
        <w:trPr>
          <w:trHeight w:val="1099"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37" w:lineRule="auto" w:before="2"/>
              <w:ind w:left="26" w:right="96"/>
              <w:jc w:val="both"/>
              <w:rPr>
                <w:rFonts w:ascii="宋体" w:hAnsi="宋体" w:cs="宋体" w:eastAsia="宋体" w:hint="default"/>
                <w:sz w:val="21"/>
                <w:szCs w:val="21"/>
              </w:rPr>
            </w:pP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3,589,346</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center"/>
              <w:rPr>
                <w:rFonts w:ascii="Times New Roman" w:hAnsi="Times New Roman" w:cs="Times New Roman" w:eastAsia="Times New Roman" w:hint="default"/>
                <w:sz w:val="21"/>
                <w:szCs w:val="21"/>
              </w:rPr>
            </w:pPr>
            <w:r>
              <w:rPr>
                <w:rFonts w:ascii="Times New Roman"/>
                <w:sz w:val="21"/>
              </w:rPr>
              <w:t>3,589,346</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2,572,256</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w w:val="100"/>
                <w:sz w:val="21"/>
              </w:rPr>
              <w:t>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center"/>
              <w:rPr>
                <w:rFonts w:ascii="Times New Roman" w:hAnsi="Times New Roman" w:cs="Times New Roman" w:eastAsia="Times New Roman" w:hint="default"/>
                <w:sz w:val="21"/>
                <w:szCs w:val="21"/>
              </w:rPr>
            </w:pPr>
            <w:r>
              <w:rPr>
                <w:rFonts w:ascii="Times New Roman"/>
                <w:sz w:val="21"/>
              </w:rPr>
              <w:t>2,572,256</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171,491,926</w:t>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 w:right="0"/>
              <w:jc w:val="center"/>
              <w:rPr>
                <w:rFonts w:ascii="Times New Roman" w:hAnsi="Times New Roman" w:cs="Times New Roman" w:eastAsia="Times New Roman" w:hint="default"/>
                <w:sz w:val="21"/>
                <w:szCs w:val="21"/>
              </w:rPr>
            </w:pPr>
            <w:r>
              <w:rPr>
                <w:rFonts w:ascii="Times New Roman"/>
                <w:w w:val="100"/>
                <w:sz w:val="21"/>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19,570,633</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151,921,293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185,166,609</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sz w:val="21"/>
              </w:rPr>
              <w:t>17,327,028</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167,839,581</w:t>
            </w:r>
          </w:p>
        </w:tc>
      </w:tr>
    </w:tbl>
    <w:p>
      <w:pPr>
        <w:spacing w:line="240" w:lineRule="auto" w:before="7"/>
        <w:rPr>
          <w:rFonts w:ascii="宋体" w:hAnsi="宋体" w:cs="宋体" w:eastAsia="宋体" w:hint="default"/>
          <w:sz w:val="15"/>
          <w:szCs w:val="15"/>
        </w:rPr>
      </w:pPr>
    </w:p>
    <w:p>
      <w:pPr>
        <w:pStyle w:val="BodyText"/>
        <w:spacing w:line="273" w:lineRule="exact" w:before="36"/>
        <w:ind w:left="958" w:right="2991"/>
        <w:jc w:val="left"/>
      </w:pPr>
      <w:r>
        <w:rPr/>
        <w:t>期末单项金额重大并单项计提坏帐准备的其他应收款</w:t>
      </w:r>
    </w:p>
    <w:p>
      <w:pPr>
        <w:pStyle w:val="BodyText"/>
        <w:spacing w:line="240" w:lineRule="auto"/>
        <w:ind w:left="958" w:right="2991"/>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71" w:lineRule="exact"/>
        <w:ind w:left="958" w:right="2991"/>
        <w:jc w:val="left"/>
      </w:pPr>
      <w:r>
        <w:rPr/>
        <w:t>√适用□不适用</w:t>
      </w:r>
    </w:p>
    <w:p>
      <w:pPr>
        <w:spacing w:after="0" w:line="271" w:lineRule="exact"/>
        <w:jc w:val="left"/>
        <w:sectPr>
          <w:type w:val="continuous"/>
          <w:pgSz w:w="11910" w:h="16840"/>
          <w:pgMar w:top="1120" w:bottom="1520" w:left="840" w:right="78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114,458,315</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21,860,413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2,186,041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14,065,111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2,813,022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6,096,087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2,438,435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5,757,731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2,878,866</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5,664,923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5,664,923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167,902,580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15,981,287</w:t>
            </w:r>
          </w:p>
        </w:tc>
        <w:tc>
          <w:tcPr>
            <w:tcW w:w="21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218" w:right="2465"/>
        <w:jc w:val="left"/>
      </w:pPr>
      <w:r>
        <w:rPr/>
        <w:t>确定该组合依据的说明：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73" w:lineRule="exact" w:before="36"/>
        <w:ind w:left="218" w:right="2465"/>
        <w:jc w:val="left"/>
      </w:pPr>
      <w:r>
        <w:rPr/>
        <w:t>组合中，采用余额百分比法计提坏账准备的其他应收款：</w:t>
      </w:r>
    </w:p>
    <w:p>
      <w:pPr>
        <w:pStyle w:val="BodyText"/>
        <w:spacing w:line="273" w:lineRule="exact"/>
        <w:ind w:left="218" w:right="2465"/>
        <w:jc w:val="left"/>
      </w:pPr>
      <w:r>
        <w:rPr/>
        <w:t>□适用√不适用</w:t>
      </w:r>
    </w:p>
    <w:p>
      <w:pPr>
        <w:spacing w:line="240" w:lineRule="auto" w:before="8"/>
        <w:rPr>
          <w:rFonts w:ascii="宋体" w:hAnsi="宋体" w:cs="宋体" w:eastAsia="宋体" w:hint="default"/>
          <w:sz w:val="20"/>
          <w:szCs w:val="20"/>
        </w:rPr>
      </w:pPr>
    </w:p>
    <w:p>
      <w:pPr>
        <w:pStyle w:val="BodyText"/>
        <w:spacing w:line="274" w:lineRule="exact"/>
        <w:ind w:left="218" w:right="2465"/>
        <w:jc w:val="left"/>
      </w:pPr>
      <w:r>
        <w:rPr/>
        <w:t>组合中，采用其他方法计提坏账准备的其他应收款：</w:t>
      </w:r>
    </w:p>
    <w:p>
      <w:pPr>
        <w:pStyle w:val="BodyText"/>
        <w:spacing w:line="274" w:lineRule="exact"/>
        <w:ind w:left="218" w:right="2465"/>
        <w:jc w:val="left"/>
      </w:pPr>
      <w:r>
        <w:rPr/>
        <w:t>□适用</w:t>
      </w:r>
      <w:r>
        <w:rPr>
          <w:spacing w:val="-1"/>
        </w:rPr>
        <w:t> </w:t>
      </w:r>
      <w:r>
        <w:rPr/>
        <w:t>□不适用</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97" w:lineRule="auto" w:before="58"/>
        <w:ind w:left="218" w:right="1292"/>
        <w:jc w:val="left"/>
      </w:pPr>
      <w:r>
        <w:rPr/>
        <w:t>本期计提坏账准备金额</w:t>
      </w:r>
      <w:r>
        <w:rPr>
          <w:spacing w:val="-54"/>
        </w:rPr>
        <w:t> </w:t>
      </w:r>
      <w:r>
        <w:rPr>
          <w:rFonts w:ascii="宋体" w:hAnsi="宋体" w:cs="宋体" w:eastAsia="宋体" w:hint="default"/>
        </w:rPr>
        <w:t>4,570,955</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2,327,350</w:t>
      </w:r>
      <w:r>
        <w:rPr>
          <w:rFonts w:ascii="宋体" w:hAnsi="宋体" w:cs="宋体" w:eastAsia="宋体" w:hint="default"/>
          <w:spacing w:val="-54"/>
        </w:rPr>
        <w:t> </w:t>
      </w:r>
      <w:r>
        <w:rPr>
          <w:spacing w:val="-3"/>
        </w:rPr>
        <w:t>元。</w:t>
      </w:r>
      <w:r>
        <w:rPr>
          <w:spacing w:val="-3"/>
          <w:w w:val="100"/>
        </w:rPr>
        <w:t> </w:t>
      </w:r>
      <w:r>
        <w:rPr/>
        <w:t>其中本期坏账准备转回或收回金额重要的：</w:t>
      </w:r>
    </w:p>
    <w:p>
      <w:pPr>
        <w:pStyle w:val="BodyText"/>
        <w:spacing w:line="240" w:lineRule="auto" w:before="13"/>
        <w:ind w:left="218" w:right="2465"/>
        <w:jc w:val="left"/>
      </w:pPr>
      <w:r>
        <w:rPr/>
        <w:t>□适用</w:t>
      </w:r>
      <w:r>
        <w:rPr>
          <w:spacing w:val="-1"/>
        </w:rPr>
        <w:t> </w:t>
      </w:r>
      <w:r>
        <w:rPr/>
        <w:t>√不适用</w:t>
      </w:r>
    </w:p>
    <w:p>
      <w:pPr>
        <w:pStyle w:val="Heading2"/>
        <w:spacing w:line="240" w:lineRule="auto" w:before="58"/>
        <w:ind w:right="2465"/>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26" w:footer="1335" w:top="1120" w:bottom="152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9"/>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3759" w:space="2753"/>
            <w:col w:w="277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102,756,735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80,897,217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25,725,000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9,549,212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10,456,638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增值税退税款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606,760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62,601,635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32,854,219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31,211,119</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171,491,926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185,166,609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520" w:left="1580" w:right="1040"/>
        </w:sectPr>
      </w:pPr>
    </w:p>
    <w:p>
      <w:pPr>
        <w:pStyle w:val="Heading2"/>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6"/>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5655" w:space="867"/>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538"/>
        <w:gridCol w:w="1357"/>
        <w:gridCol w:w="1226"/>
        <w:gridCol w:w="1332"/>
        <w:gridCol w:w="1765"/>
        <w:gridCol w:w="1678"/>
      </w:tblGrid>
      <w:tr>
        <w:trPr>
          <w:trHeight w:val="833"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83"/>
              <w:jc w:val="right"/>
              <w:rPr>
                <w:rFonts w:ascii="宋体" w:hAnsi="宋体" w:cs="宋体" w:eastAsia="宋体" w:hint="default"/>
                <w:sz w:val="21"/>
                <w:szCs w:val="21"/>
              </w:rPr>
            </w:pPr>
            <w:r>
              <w:rPr>
                <w:rFonts w:ascii="宋体" w:hAnsi="宋体" w:cs="宋体" w:eastAsia="宋体" w:hint="default"/>
                <w:sz w:val="21"/>
                <w:szCs w:val="21"/>
              </w:rPr>
              <w:t>账龄</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3" w:right="0"/>
              <w:jc w:val="left"/>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40" w:lineRule="auto"/>
              <w:ind w:left="715" w:right="31" w:hanging="682"/>
              <w:jc w:val="left"/>
              <w:rPr>
                <w:rFonts w:ascii="宋体" w:hAnsi="宋体" w:cs="宋体" w:eastAsia="宋体" w:hint="default"/>
                <w:sz w:val="21"/>
                <w:szCs w:val="21"/>
              </w:rPr>
            </w:pPr>
            <w:r>
              <w:rPr>
                <w:rFonts w:ascii="宋体" w:hAnsi="宋体" w:cs="宋体" w:eastAsia="宋体" w:hint="default"/>
                <w:sz w:val="21"/>
                <w:szCs w:val="21"/>
              </w:rPr>
              <w:t>余额合计数的比例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10" w:right="40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25,725,000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0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15</w:t>
            </w:r>
          </w:p>
        </w:tc>
        <w:tc>
          <w:tcPr>
            <w:tcW w:w="16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房屋租金</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7,953,767</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0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w w:val="100"/>
                <w:sz w:val="21"/>
              </w:rPr>
              <w:t>5</w:t>
            </w:r>
          </w:p>
        </w:tc>
        <w:tc>
          <w:tcPr>
            <w:tcW w:w="167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房屋租金</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5,660,574</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0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w w:val="100"/>
                <w:sz w:val="21"/>
              </w:rPr>
              <w:t>3</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239,318</w:t>
            </w:r>
          </w:p>
        </w:tc>
      </w:tr>
      <w:tr>
        <w:trPr>
          <w:trHeight w:val="28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招标押金</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1,792,020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0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w w:val="100"/>
                <w:sz w:val="21"/>
              </w:rPr>
              <w:t>1</w:t>
            </w:r>
          </w:p>
        </w:tc>
        <w:tc>
          <w:tcPr>
            <w:tcW w:w="16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业务测试款</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1,661,574</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0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w w:val="100"/>
                <w:sz w:val="21"/>
              </w:rPr>
              <w:t>1</w:t>
            </w:r>
          </w:p>
        </w:tc>
        <w:tc>
          <w:tcPr>
            <w:tcW w:w="167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w w:val="100"/>
                <w:sz w:val="21"/>
              </w:rPr>
              <w:t>/</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42,792,935</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
              <w:jc w:val="center"/>
              <w:rPr>
                <w:rFonts w:ascii="宋体" w:hAnsi="宋体" w:cs="宋体" w:eastAsia="宋体" w:hint="default"/>
                <w:sz w:val="21"/>
                <w:szCs w:val="21"/>
              </w:rPr>
            </w:pPr>
            <w:r>
              <w:rPr>
                <w:rFonts w:ascii="宋体"/>
                <w:w w:val="100"/>
                <w:sz w:val="21"/>
              </w:rPr>
              <w:t>/</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25</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239,318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26" w:footer="1335" w:top="1120" w:bottom="1520" w:left="1580" w:right="780"/>
        </w:sectPr>
      </w:pPr>
    </w:p>
    <w:p>
      <w:pPr>
        <w:pStyle w:val="Heading2"/>
        <w:spacing w:line="240" w:lineRule="auto"/>
        <w:ind w:right="-19"/>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9"/>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780"/>
          <w:cols w:num="2" w:equalWidth="0">
            <w:col w:w="3127" w:space="3394"/>
            <w:col w:w="302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5"/>
        <w:gridCol w:w="1601"/>
        <w:gridCol w:w="1784"/>
        <w:gridCol w:w="1642"/>
        <w:gridCol w:w="2182"/>
      </w:tblGrid>
      <w:tr>
        <w:trPr>
          <w:trHeight w:val="554"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政府补助项目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5" w:right="0"/>
              <w:jc w:val="left"/>
              <w:rPr>
                <w:rFonts w:ascii="宋体" w:hAnsi="宋体" w:cs="宋体" w:eastAsia="宋体" w:hint="default"/>
                <w:sz w:val="21"/>
                <w:szCs w:val="21"/>
              </w:rPr>
            </w:pPr>
            <w:r>
              <w:rPr>
                <w:rFonts w:ascii="宋体" w:hAnsi="宋体" w:cs="宋体" w:eastAsia="宋体" w:hint="default"/>
                <w:sz w:val="21"/>
                <w:szCs w:val="21"/>
              </w:rPr>
              <w:t>期末账龄</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预计收取的时间、金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额及依据</w:t>
            </w:r>
          </w:p>
        </w:tc>
      </w:tr>
      <w:tr>
        <w:trPr>
          <w:trHeight w:val="1099"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北京市海淀区税务局</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606,760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firstLine="105"/>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2"/>
                <w:sz w:val="21"/>
                <w:szCs w:val="21"/>
              </w:rPr>
              <w:t> </w:t>
            </w:r>
            <w:r>
              <w:rPr>
                <w:rFonts w:ascii="宋体" w:hAnsi="宋体" w:cs="宋体" w:eastAsia="宋体" w:hint="default"/>
                <w:sz w:val="21"/>
                <w:szCs w:val="21"/>
              </w:rPr>
              <w:t>《关于</w:t>
            </w:r>
          </w:p>
          <w:p>
            <w:pPr>
              <w:pStyle w:val="TableParagraph"/>
              <w:spacing w:line="237" w:lineRule="auto"/>
              <w:ind w:left="101" w:right="175"/>
              <w:jc w:val="left"/>
              <w:rPr>
                <w:rFonts w:ascii="宋体" w:hAnsi="宋体" w:cs="宋体" w:eastAsia="宋体" w:hint="default"/>
                <w:sz w:val="21"/>
                <w:szCs w:val="21"/>
              </w:rPr>
            </w:pPr>
            <w:r>
              <w:rPr>
                <w:rFonts w:ascii="宋体" w:hAnsi="宋体" w:cs="宋体" w:eastAsia="宋体" w:hint="default"/>
                <w:sz w:val="21"/>
                <w:szCs w:val="21"/>
              </w:rPr>
              <w:t>软件产品增值税政策</w:t>
            </w:r>
            <w:r>
              <w:rPr>
                <w:rFonts w:ascii="宋体" w:hAnsi="宋体" w:cs="宋体" w:eastAsia="宋体" w:hint="default"/>
                <w:w w:val="100"/>
                <w:sz w:val="21"/>
                <w:szCs w:val="21"/>
              </w:rPr>
              <w:t> </w:t>
            </w:r>
            <w:r>
              <w:rPr>
                <w:rFonts w:ascii="宋体" w:hAnsi="宋体" w:cs="宋体" w:eastAsia="宋体" w:hint="default"/>
                <w:sz w:val="21"/>
                <w:szCs w:val="21"/>
              </w:rPr>
              <w:t>的通知》 </w:t>
            </w:r>
            <w:r>
              <w:rPr>
                <w:rFonts w:ascii="宋体" w:hAnsi="宋体" w:cs="宋体" w:eastAsia="宋体" w:hint="default"/>
                <w:sz w:val="21"/>
                <w:szCs w:val="21"/>
              </w:rPr>
              <w:t>(</w:t>
            </w:r>
            <w:r>
              <w:rPr>
                <w:rFonts w:ascii="宋体" w:hAnsi="宋体" w:cs="宋体" w:eastAsia="宋体" w:hint="default"/>
                <w:sz w:val="21"/>
                <w:szCs w:val="21"/>
              </w:rPr>
              <w:t>财税</w:t>
            </w:r>
            <w:r>
              <w:rPr>
                <w:rFonts w:ascii="宋体" w:hAnsi="宋体" w:cs="宋体" w:eastAsia="宋体" w:hint="default"/>
                <w:w w:val="100"/>
                <w:sz w:val="21"/>
                <w:szCs w:val="21"/>
              </w:rPr>
              <w:t> </w:t>
            </w:r>
            <w:r>
              <w:rPr>
                <w:rFonts w:ascii="宋体" w:hAnsi="宋体" w:cs="宋体" w:eastAsia="宋体" w:hint="default"/>
                <w:sz w:val="21"/>
                <w:szCs w:val="21"/>
              </w:rPr>
              <w:t>[2011]100</w:t>
            </w:r>
            <w:r>
              <w:rPr>
                <w:rFonts w:ascii="宋体" w:hAnsi="宋体" w:cs="宋体" w:eastAsia="宋体" w:hint="default"/>
                <w:spacing w:val="-51"/>
                <w:sz w:val="21"/>
                <w:szCs w:val="21"/>
              </w:rPr>
              <w:t> </w:t>
            </w:r>
            <w:r>
              <w:rPr>
                <w:rFonts w:ascii="宋体" w:hAnsi="宋体" w:cs="宋体" w:eastAsia="宋体" w:hint="default"/>
                <w:sz w:val="21"/>
                <w:szCs w:val="21"/>
              </w:rPr>
              <w:t>号</w:t>
            </w:r>
            <w:r>
              <w:rPr>
                <w:rFonts w:ascii="宋体" w:hAnsi="宋体" w:cs="宋体" w:eastAsia="宋体" w:hint="default"/>
                <w:sz w:val="21"/>
                <w:szCs w:val="21"/>
              </w:rPr>
              <w:t>)</w:t>
            </w:r>
          </w:p>
        </w:tc>
      </w:tr>
      <w:tr>
        <w:trPr>
          <w:trHeight w:val="281" w:hRule="exact"/>
        </w:trPr>
        <w:tc>
          <w:tcPr>
            <w:tcW w:w="211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606,760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r>
    </w:tbl>
    <w:p>
      <w:pPr>
        <w:pStyle w:val="BodyText"/>
        <w:spacing w:line="241" w:lineRule="exact"/>
        <w:ind w:left="218" w:right="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Heading2"/>
        <w:spacing w:line="240" w:lineRule="auto" w:before="37"/>
        <w:ind w:right="0"/>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right="0"/>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left="218" w:right="0"/>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520" w:left="1580" w:right="780"/>
        </w:sectPr>
      </w:pPr>
    </w:p>
    <w:p>
      <w:pPr>
        <w:pStyle w:val="Heading2"/>
        <w:tabs>
          <w:tab w:pos="849" w:val="left" w:leader="none"/>
          <w:tab w:pos="1057" w:val="left" w:leader="none"/>
        </w:tabs>
        <w:spacing w:line="290" w:lineRule="auto" w:before="37"/>
        <w:ind w:right="0"/>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9"/>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780"/>
          <w:cols w:num="2" w:equalWidth="0">
            <w:col w:w="1695" w:space="4827"/>
            <w:col w:w="302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02"/>
        <w:gridCol w:w="1193"/>
        <w:gridCol w:w="1248"/>
        <w:gridCol w:w="1251"/>
        <w:gridCol w:w="1229"/>
        <w:gridCol w:w="1239"/>
        <w:gridCol w:w="1234"/>
      </w:tblGrid>
      <w:tr>
        <w:trPr>
          <w:trHeight w:val="288" w:hRule="exact"/>
        </w:trPr>
        <w:tc>
          <w:tcPr>
            <w:tcW w:w="1502" w:type="dxa"/>
            <w:vMerge w:val="restart"/>
            <w:tcBorders>
              <w:top w:val="single" w:sz="6" w:space="0" w:color="000000"/>
              <w:left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502" w:type="dxa"/>
            <w:vMerge/>
            <w:tcBorders>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646,099</w:t>
            </w: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646,099</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1,160,565</w:t>
            </w: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1,160,565</w:t>
            </w:r>
          </w:p>
        </w:tc>
      </w:tr>
      <w:tr>
        <w:trPr>
          <w:trHeight w:val="286"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93"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23,258,589</w:t>
            </w: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23,258,589</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21,327,035</w:t>
            </w: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21,327,035</w:t>
            </w: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93"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消耗性生物资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193"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w:t>
            </w:r>
          </w:p>
          <w:p>
            <w:pPr>
              <w:pStyle w:val="TableParagraph"/>
              <w:spacing w:line="272" w:lineRule="exact" w:before="27"/>
              <w:ind w:left="24" w:right="199"/>
              <w:jc w:val="left"/>
              <w:rPr>
                <w:rFonts w:ascii="宋体" w:hAnsi="宋体" w:cs="宋体" w:eastAsia="宋体" w:hint="default"/>
                <w:sz w:val="21"/>
                <w:szCs w:val="21"/>
              </w:rPr>
            </w:pPr>
            <w:r>
              <w:rPr>
                <w:rFonts w:ascii="宋体" w:hAnsi="宋体" w:cs="宋体" w:eastAsia="宋体" w:hint="default"/>
                <w:sz w:val="21"/>
                <w:szCs w:val="21"/>
              </w:rPr>
              <w:t>的已完工未结</w:t>
            </w:r>
            <w:r>
              <w:rPr>
                <w:rFonts w:ascii="宋体" w:hAnsi="宋体" w:cs="宋体" w:eastAsia="宋体" w:hint="default"/>
                <w:w w:val="100"/>
                <w:sz w:val="21"/>
                <w:szCs w:val="21"/>
              </w:rPr>
              <w:t> </w:t>
            </w:r>
            <w:r>
              <w:rPr>
                <w:rFonts w:ascii="宋体" w:hAnsi="宋体" w:cs="宋体" w:eastAsia="宋体" w:hint="default"/>
                <w:sz w:val="21"/>
                <w:szCs w:val="21"/>
              </w:rPr>
              <w:t>算资产</w:t>
            </w:r>
          </w:p>
        </w:tc>
        <w:tc>
          <w:tcPr>
            <w:tcW w:w="1193"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502"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520" w:left="158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502"/>
        <w:gridCol w:w="1193"/>
        <w:gridCol w:w="1248"/>
        <w:gridCol w:w="1251"/>
        <w:gridCol w:w="1229"/>
        <w:gridCol w:w="1239"/>
        <w:gridCol w:w="1234"/>
      </w:tblGrid>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sz w:val="21"/>
              </w:rPr>
              <w:t>23,904,688</w:t>
            </w:r>
          </w:p>
        </w:tc>
        <w:tc>
          <w:tcPr>
            <w:tcW w:w="1248"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55" w:right="0"/>
              <w:jc w:val="left"/>
              <w:rPr>
                <w:rFonts w:ascii="宋体" w:hAnsi="宋体" w:cs="宋体" w:eastAsia="宋体" w:hint="default"/>
                <w:sz w:val="21"/>
                <w:szCs w:val="21"/>
              </w:rPr>
            </w:pPr>
            <w:r>
              <w:rPr>
                <w:rFonts w:ascii="宋体"/>
                <w:sz w:val="21"/>
              </w:rPr>
              <w:t>23,904,688</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34" w:right="0"/>
              <w:jc w:val="left"/>
              <w:rPr>
                <w:rFonts w:ascii="宋体" w:hAnsi="宋体" w:cs="宋体" w:eastAsia="宋体" w:hint="default"/>
                <w:sz w:val="21"/>
                <w:szCs w:val="21"/>
              </w:rPr>
            </w:pPr>
            <w:r>
              <w:rPr>
                <w:rFonts w:ascii="宋体"/>
                <w:sz w:val="21"/>
              </w:rPr>
              <w:t>22,487,600</w:t>
            </w:r>
          </w:p>
        </w:tc>
        <w:tc>
          <w:tcPr>
            <w:tcW w:w="1239"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39" w:right="0"/>
              <w:jc w:val="left"/>
              <w:rPr>
                <w:rFonts w:ascii="宋体" w:hAnsi="宋体" w:cs="宋体" w:eastAsia="宋体" w:hint="default"/>
                <w:sz w:val="21"/>
                <w:szCs w:val="21"/>
              </w:rPr>
            </w:pPr>
            <w:r>
              <w:rPr>
                <w:rFonts w:ascii="宋体"/>
                <w:sz w:val="21"/>
              </w:rPr>
              <w:t>22,487,600</w:t>
            </w:r>
          </w:p>
        </w:tc>
      </w:tr>
    </w:tbl>
    <w:p>
      <w:pPr>
        <w:spacing w:line="240" w:lineRule="auto" w:before="2"/>
        <w:rPr>
          <w:rFonts w:ascii="宋体" w:hAnsi="宋体" w:cs="宋体" w:eastAsia="宋体" w:hint="default"/>
          <w:sz w:val="20"/>
          <w:szCs w:val="20"/>
        </w:rPr>
      </w:pPr>
    </w:p>
    <w:p>
      <w:pPr>
        <w:tabs>
          <w:tab w:pos="849" w:val="left" w:leader="none"/>
        </w:tabs>
        <w:spacing w:before="36"/>
        <w:ind w:left="218" w:right="2465" w:firstLine="0"/>
        <w:jc w:val="left"/>
        <w:rPr>
          <w:rFonts w:ascii="宋体" w:hAnsi="宋体" w:cs="宋体" w:eastAsia="宋体" w:hint="default"/>
          <w:sz w:val="21"/>
          <w:szCs w:val="21"/>
        </w:rPr>
      </w:pPr>
      <w:r>
        <w:rPr>
          <w:rFonts w:ascii="宋体" w:hAnsi="宋体" w:cs="宋体" w:eastAsia="宋体" w:hint="default"/>
          <w:b/>
          <w:bCs/>
          <w:w w:val="95"/>
          <w:sz w:val="20"/>
          <w:szCs w:val="20"/>
        </w:rPr>
        <w:t>(2).</w:t>
        <w:tab/>
      </w:r>
      <w:r>
        <w:rPr>
          <w:rFonts w:ascii="宋体" w:hAnsi="宋体" w:cs="宋体" w:eastAsia="宋体" w:hint="default"/>
          <w:b/>
          <w:bCs/>
          <w:sz w:val="21"/>
          <w:szCs w:val="21"/>
        </w:rPr>
        <w:t>存货跌价准备</w:t>
      </w:r>
      <w:r>
        <w:rPr>
          <w:rFonts w:ascii="宋体" w:hAnsi="宋体" w:cs="宋体" w:eastAsia="宋体" w:hint="default"/>
          <w:sz w:val="21"/>
          <w:szCs w:val="21"/>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15"/>
        <w:gridCol w:w="1174"/>
        <w:gridCol w:w="1190"/>
        <w:gridCol w:w="1191"/>
        <w:gridCol w:w="1202"/>
        <w:gridCol w:w="1193"/>
        <w:gridCol w:w="1183"/>
      </w:tblGrid>
      <w:tr>
        <w:trPr>
          <w:trHeight w:val="281" w:hRule="exact"/>
        </w:trPr>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915"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3" w:type="dxa"/>
            <w:vMerge/>
            <w:tcBorders>
              <w:left w:val="single" w:sz="4" w:space="0" w:color="000000"/>
              <w:bottom w:val="single" w:sz="4" w:space="0" w:color="000000"/>
              <w:right w:val="single" w:sz="4" w:space="0" w:color="000000"/>
            </w:tcBorders>
          </w:tcPr>
          <w:p>
            <w:pPr/>
          </w:p>
        </w:tc>
      </w:tr>
      <w:tr>
        <w:trPr>
          <w:trHeight w:val="28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1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tabs>
          <w:tab w:pos="849" w:val="left" w:leader="none"/>
        </w:tabs>
        <w:spacing w:line="240" w:lineRule="auto"/>
        <w:ind w:right="2465"/>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tabs>
          <w:tab w:pos="849" w:val="left" w:leader="none"/>
        </w:tabs>
        <w:spacing w:line="240" w:lineRule="auto"/>
        <w:ind w:right="2465"/>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11</w:t>
      </w:r>
      <w:r>
        <w:rPr/>
        <w:t>、</w:t>
      </w:r>
      <w:r>
        <w:rPr>
          <w:spacing w:val="-26"/>
        </w:rPr>
        <w:t> </w:t>
      </w:r>
      <w:r>
        <w:rPr/>
        <w:t>划分为持有待售的资产</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ind w:right="2465"/>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tabs>
          <w:tab w:pos="1051" w:val="left" w:leader="none"/>
        </w:tabs>
        <w:spacing w:line="240" w:lineRule="auto" w:before="56"/>
        <w:ind w:left="0" w:right="439"/>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897"/>
        <w:gridCol w:w="2864"/>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18" w:right="246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pStyle w:val="Heading2"/>
        <w:spacing w:line="240" w:lineRule="auto" w:before="37"/>
        <w:ind w:right="2465"/>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841,800,000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246,080,000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待摊房租费用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3,883,528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2,944,759</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其他待摊费用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26,934,418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1,452,933</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872,617,946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250,477,692</w:t>
            </w:r>
          </w:p>
        </w:tc>
      </w:tr>
    </w:tbl>
    <w:p>
      <w:pPr>
        <w:spacing w:line="240" w:lineRule="auto" w:before="5"/>
        <w:rPr>
          <w:rFonts w:ascii="宋体" w:hAnsi="宋体" w:cs="宋体" w:eastAsia="宋体" w:hint="default"/>
          <w:sz w:val="15"/>
          <w:szCs w:val="15"/>
        </w:rPr>
      </w:pPr>
    </w:p>
    <w:p>
      <w:pPr>
        <w:pStyle w:val="BodyText"/>
        <w:spacing w:line="274" w:lineRule="exact" w:before="36"/>
        <w:ind w:left="218" w:right="2465"/>
        <w:jc w:val="left"/>
      </w:pPr>
      <w:r>
        <w:rPr/>
        <w:t>其他说明</w:t>
      </w:r>
    </w:p>
    <w:p>
      <w:pPr>
        <w:pStyle w:val="BodyText"/>
        <w:spacing w:line="273" w:lineRule="exact"/>
        <w:ind w:left="218" w:right="225"/>
        <w:jc w:val="left"/>
      </w:pPr>
      <w:r>
        <w:rPr/>
        <w:t>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日，理财产品为从银行直接购入，预期年化收益率为</w:t>
      </w:r>
      <w:r>
        <w:rPr>
          <w:spacing w:val="-53"/>
        </w:rPr>
        <w:t> </w:t>
      </w:r>
      <w:r>
        <w:rPr>
          <w:rFonts w:ascii="宋体" w:hAnsi="宋体" w:cs="宋体" w:eastAsia="宋体" w:hint="default"/>
        </w:rPr>
        <w:t>3.2%-5.77%</w:t>
      </w:r>
      <w:r>
        <w:rPr/>
        <w:t>。</w:t>
      </w:r>
      <w:r>
        <w:rPr>
          <w:rFonts w:ascii="宋体" w:hAnsi="宋体" w:cs="宋体" w:eastAsia="宋体" w:hint="default"/>
        </w:rPr>
        <w:t>(2014</w:t>
      </w:r>
      <w:r>
        <w:rPr>
          <w:rFonts w:ascii="宋体" w:hAnsi="宋体" w:cs="宋体" w:eastAsia="宋体" w:hint="default"/>
          <w:spacing w:val="-55"/>
        </w:rPr>
        <w:t> </w:t>
      </w:r>
      <w:r>
        <w:rPr/>
        <w:t>年</w:t>
      </w:r>
    </w:p>
    <w:p>
      <w:pPr>
        <w:pStyle w:val="BodyText"/>
        <w:spacing w:line="273" w:lineRule="exact"/>
        <w:ind w:left="218" w:right="2465"/>
        <w:jc w:val="left"/>
      </w:pP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r>
        <w:rPr>
          <w:rFonts w:ascii="宋体" w:hAnsi="宋体" w:cs="宋体" w:eastAsia="宋体" w:hint="default"/>
        </w:rPr>
        <w:t>2.7%-4.4%)</w:t>
      </w:r>
      <w:r>
        <w:rPr/>
        <w:t>。</w:t>
      </w:r>
    </w:p>
    <w:p>
      <w:pPr>
        <w:spacing w:after="0" w:line="273" w:lineRule="exact"/>
        <w:jc w:val="left"/>
        <w:sectPr>
          <w:pgSz w:w="11910" w:h="16840"/>
          <w:pgMar w:header="926" w:footer="1335" w:top="1120" w:bottom="152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926" w:footer="1335" w:top="1120" w:bottom="1520" w:left="0" w:right="0"/>
        </w:sectPr>
      </w:pPr>
    </w:p>
    <w:p>
      <w:pPr>
        <w:pStyle w:val="Heading2"/>
        <w:spacing w:line="240" w:lineRule="auto"/>
        <w:ind w:left="1798" w:right="-9"/>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BodyText"/>
        <w:spacing w:line="240" w:lineRule="auto" w:before="58"/>
        <w:ind w:left="1798" w:right="-9"/>
        <w:jc w:val="left"/>
      </w:pPr>
      <w:r>
        <w:rPr/>
        <w:t>√适用</w:t>
      </w:r>
      <w:r>
        <w:rPr>
          <w:spacing w:val="-1"/>
        </w:rPr>
        <w:t> </w:t>
      </w:r>
      <w:r>
        <w:rPr/>
        <w:t>□不适用</w:t>
      </w:r>
    </w:p>
    <w:p>
      <w:pPr>
        <w:tabs>
          <w:tab w:pos="2441" w:val="left" w:leader="none"/>
        </w:tabs>
        <w:spacing w:before="56"/>
        <w:ind w:left="1798" w:right="-9" w:firstLine="0"/>
        <w:jc w:val="left"/>
        <w:rPr>
          <w:rFonts w:ascii="宋体" w:hAnsi="宋体" w:cs="宋体" w:eastAsia="宋体" w:hint="default"/>
          <w:sz w:val="21"/>
          <w:szCs w:val="21"/>
        </w:rPr>
      </w:pPr>
      <w:r>
        <w:rPr>
          <w:rFonts w:ascii="宋体" w:hAnsi="宋体" w:cs="宋体" w:eastAsia="宋体" w:hint="default"/>
          <w:b/>
          <w:bCs/>
          <w:w w:val="95"/>
          <w:sz w:val="20"/>
          <w:szCs w:val="20"/>
        </w:rPr>
        <w:t>(1).</w:t>
        <w:tab/>
      </w:r>
      <w:r>
        <w:rPr>
          <w:rFonts w:ascii="宋体" w:hAnsi="宋体" w:cs="宋体" w:eastAsia="宋体" w:hint="default"/>
          <w:b/>
          <w:bCs/>
          <w:spacing w:val="-1"/>
          <w:sz w:val="21"/>
          <w:szCs w:val="21"/>
        </w:rPr>
        <w:t>可供出售金融资产情况</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2849" w:val="left" w:leader="none"/>
        </w:tabs>
        <w:spacing w:line="240" w:lineRule="auto"/>
        <w:ind w:left="1798" w:right="0"/>
        <w:jc w:val="left"/>
      </w:pPr>
      <w:r>
        <w:rPr>
          <w:spacing w:val="-1"/>
        </w:rPr>
        <w:t>单位：元</w:t>
        <w:tab/>
      </w:r>
      <w:r>
        <w:rPr>
          <w:spacing w:val="-2"/>
        </w:rPr>
        <w:t>币种：人民币</w:t>
      </w:r>
    </w:p>
    <w:p>
      <w:pPr>
        <w:spacing w:after="0" w:line="240" w:lineRule="auto"/>
        <w:jc w:val="left"/>
        <w:sectPr>
          <w:type w:val="continuous"/>
          <w:pgSz w:w="11910" w:h="16840"/>
          <w:pgMar w:top="1120" w:bottom="1520" w:left="0" w:right="0"/>
          <w:cols w:num="2" w:equalWidth="0">
            <w:col w:w="4551" w:space="1970"/>
            <w:col w:w="5389"/>
          </w:cols>
        </w:sectPr>
      </w:pPr>
    </w:p>
    <w:p>
      <w:pPr>
        <w:spacing w:line="240" w:lineRule="auto" w:before="4"/>
        <w:rPr>
          <w:rFonts w:ascii="宋体" w:hAnsi="宋体" w:cs="宋体" w:eastAsia="宋体" w:hint="default"/>
          <w:sz w:val="2"/>
          <w:szCs w:val="2"/>
        </w:rPr>
      </w:pPr>
    </w:p>
    <w:tbl>
      <w:tblPr>
        <w:tblW w:w="0" w:type="auto"/>
        <w:jc w:val="left"/>
        <w:tblInd w:w="1759" w:type="dxa"/>
        <w:tblLayout w:type="fixed"/>
        <w:tblCellMar>
          <w:top w:w="0" w:type="dxa"/>
          <w:left w:w="0" w:type="dxa"/>
          <w:bottom w:w="0" w:type="dxa"/>
          <w:right w:w="0" w:type="dxa"/>
        </w:tblCellMar>
        <w:tblLook w:val="01E0"/>
      </w:tblPr>
      <w:tblGrid>
        <w:gridCol w:w="2045"/>
        <w:gridCol w:w="1217"/>
        <w:gridCol w:w="1114"/>
        <w:gridCol w:w="1217"/>
        <w:gridCol w:w="1217"/>
        <w:gridCol w:w="869"/>
        <w:gridCol w:w="1217"/>
      </w:tblGrid>
      <w:tr>
        <w:trPr>
          <w:trHeight w:val="288" w:hRule="exact"/>
        </w:trPr>
        <w:tc>
          <w:tcPr>
            <w:tcW w:w="204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4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2045" w:type="dxa"/>
            <w:vMerge/>
            <w:tcBorders>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6"/>
              <w:jc w:val="center"/>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217"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6"/>
              <w:jc w:val="center"/>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408,714,111</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14,100,000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394,614,111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370,420,681</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370,320,681</w:t>
            </w:r>
          </w:p>
        </w:tc>
      </w:tr>
      <w:tr>
        <w:trPr>
          <w:trHeight w:val="559"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40" w:right="0"/>
              <w:jc w:val="left"/>
              <w:rPr>
                <w:rFonts w:ascii="宋体" w:hAnsi="宋体" w:cs="宋体" w:eastAsia="宋体" w:hint="default"/>
                <w:sz w:val="21"/>
                <w:szCs w:val="21"/>
              </w:rPr>
            </w:pPr>
            <w:r>
              <w:rPr>
                <w:rFonts w:ascii="宋体" w:hAnsi="宋体" w:cs="宋体" w:eastAsia="宋体" w:hint="default"/>
                <w:sz w:val="21"/>
                <w:szCs w:val="21"/>
              </w:rPr>
              <w:t>按公允价值计量</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的</w:t>
            </w:r>
          </w:p>
        </w:tc>
        <w:tc>
          <w:tcPr>
            <w:tcW w:w="1217"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9"/>
              <w:jc w:val="center"/>
              <w:rPr>
                <w:rFonts w:ascii="宋体" w:hAnsi="宋体" w:cs="宋体" w:eastAsia="宋体" w:hint="default"/>
                <w:sz w:val="21"/>
                <w:szCs w:val="21"/>
              </w:rPr>
            </w:pPr>
            <w:r>
              <w:rPr>
                <w:rFonts w:ascii="宋体" w:hAnsi="宋体" w:cs="宋体" w:eastAsia="宋体" w:hint="default"/>
                <w:sz w:val="21"/>
                <w:szCs w:val="21"/>
              </w:rPr>
              <w:t>按成本计量的</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408,714,111</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14,100,000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394,614,111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370,420,681</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370,320,681</w:t>
            </w:r>
          </w:p>
        </w:tc>
      </w:tr>
      <w:tr>
        <w:trPr>
          <w:trHeight w:val="286" w:hRule="exact"/>
        </w:trPr>
        <w:tc>
          <w:tcPr>
            <w:tcW w:w="2045"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45"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408,714,111</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14,100,000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394,614,111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370,420,681</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370,320,681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520" w:left="0" w:right="0"/>
        </w:sectPr>
      </w:pPr>
    </w:p>
    <w:p>
      <w:pPr>
        <w:tabs>
          <w:tab w:pos="2441" w:val="left" w:leader="none"/>
        </w:tabs>
        <w:spacing w:before="36"/>
        <w:ind w:left="1798" w:right="0" w:firstLine="0"/>
        <w:jc w:val="left"/>
        <w:rPr>
          <w:rFonts w:ascii="宋体" w:hAnsi="宋体" w:cs="宋体" w:eastAsia="宋体" w:hint="default"/>
          <w:sz w:val="21"/>
          <w:szCs w:val="21"/>
        </w:rPr>
      </w:pPr>
      <w:r>
        <w:rPr>
          <w:rFonts w:ascii="宋体" w:hAnsi="宋体" w:cs="宋体" w:eastAsia="宋体" w:hint="default"/>
          <w:b/>
          <w:bCs/>
          <w:w w:val="95"/>
          <w:sz w:val="20"/>
          <w:szCs w:val="20"/>
        </w:rPr>
        <w:t>(2).</w:t>
        <w:tab/>
      </w:r>
      <w:r>
        <w:rPr>
          <w:rFonts w:ascii="宋体" w:hAnsi="宋体" w:cs="宋体" w:eastAsia="宋体" w:hint="default"/>
          <w:b/>
          <w:bCs/>
          <w:spacing w:val="-1"/>
          <w:sz w:val="21"/>
          <w:szCs w:val="21"/>
        </w:rPr>
        <w:t>期末按公允价值计量的可供出售金融资产</w:t>
      </w:r>
      <w:r>
        <w:rPr>
          <w:rFonts w:ascii="宋体" w:hAnsi="宋体" w:cs="宋体" w:eastAsia="宋体" w:hint="default"/>
          <w:spacing w:val="-1"/>
          <w:sz w:val="21"/>
          <w:szCs w:val="21"/>
        </w:rPr>
      </w:r>
    </w:p>
    <w:p>
      <w:pPr>
        <w:pStyle w:val="BodyText"/>
        <w:spacing w:line="240" w:lineRule="auto" w:before="56"/>
        <w:ind w:left="1798" w:right="0"/>
        <w:jc w:val="left"/>
      </w:pPr>
      <w:r>
        <w:rPr/>
        <w:t>□适用</w:t>
      </w:r>
      <w:r>
        <w:rPr>
          <w:spacing w:val="-1"/>
        </w:rPr>
        <w:t> </w:t>
      </w:r>
      <w:r>
        <w:rPr/>
        <w:t>√不适用</w:t>
      </w:r>
    </w:p>
    <w:p>
      <w:pPr>
        <w:tabs>
          <w:tab w:pos="2441" w:val="left" w:leader="none"/>
        </w:tabs>
        <w:spacing w:before="56"/>
        <w:ind w:left="1798" w:right="0" w:firstLine="0"/>
        <w:jc w:val="left"/>
        <w:rPr>
          <w:rFonts w:ascii="宋体" w:hAnsi="宋体" w:cs="宋体" w:eastAsia="宋体" w:hint="default"/>
          <w:sz w:val="21"/>
          <w:szCs w:val="21"/>
        </w:rPr>
      </w:pPr>
      <w:r>
        <w:rPr>
          <w:rFonts w:ascii="宋体" w:hAnsi="宋体" w:cs="宋体" w:eastAsia="宋体" w:hint="default"/>
          <w:b/>
          <w:bCs/>
          <w:w w:val="95"/>
          <w:sz w:val="20"/>
          <w:szCs w:val="20"/>
        </w:rPr>
        <w:t>(3).</w:t>
        <w:tab/>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pStyle w:val="BodyText"/>
        <w:spacing w:line="240" w:lineRule="auto" w:before="58"/>
        <w:ind w:left="17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2849" w:val="left" w:leader="none"/>
        </w:tabs>
        <w:spacing w:line="240" w:lineRule="auto"/>
        <w:ind w:left="1798" w:right="0"/>
        <w:jc w:val="left"/>
      </w:pPr>
      <w:r>
        <w:rPr>
          <w:spacing w:val="-1"/>
        </w:rPr>
        <w:t>单位：元</w:t>
        <w:tab/>
      </w:r>
      <w:r>
        <w:rPr>
          <w:spacing w:val="-2"/>
        </w:rPr>
        <w:t>币种：人民币</w:t>
      </w:r>
    </w:p>
    <w:p>
      <w:pPr>
        <w:spacing w:after="0" w:line="240" w:lineRule="auto"/>
        <w:jc w:val="left"/>
        <w:sectPr>
          <w:type w:val="continuous"/>
          <w:pgSz w:w="11910" w:h="16840"/>
          <w:pgMar w:top="1120" w:bottom="1520" w:left="0" w:right="0"/>
          <w:cols w:num="2" w:equalWidth="0">
            <w:col w:w="6239" w:space="283"/>
            <w:col w:w="5388"/>
          </w:cols>
        </w:sectPr>
      </w:pPr>
    </w:p>
    <w:p>
      <w:pPr>
        <w:spacing w:line="240" w:lineRule="auto" w:before="7"/>
        <w:rPr>
          <w:rFonts w:ascii="宋体" w:hAnsi="宋体" w:cs="宋体" w:eastAsia="宋体" w:hint="default"/>
          <w:sz w:val="2"/>
          <w:szCs w:val="2"/>
        </w:rPr>
      </w:pPr>
    </w:p>
    <w:tbl>
      <w:tblPr>
        <w:tblW w:w="0" w:type="auto"/>
        <w:jc w:val="left"/>
        <w:tblInd w:w="91" w:type="dxa"/>
        <w:tblLayout w:type="fixed"/>
        <w:tblCellMar>
          <w:top w:w="0" w:type="dxa"/>
          <w:left w:w="0" w:type="dxa"/>
          <w:bottom w:w="0" w:type="dxa"/>
          <w:right w:w="0" w:type="dxa"/>
        </w:tblCellMar>
        <w:tblLook w:val="01E0"/>
      </w:tblPr>
      <w:tblGrid>
        <w:gridCol w:w="1275"/>
        <w:gridCol w:w="1277"/>
        <w:gridCol w:w="1133"/>
        <w:gridCol w:w="1136"/>
        <w:gridCol w:w="1279"/>
        <w:gridCol w:w="848"/>
        <w:gridCol w:w="1138"/>
        <w:gridCol w:w="706"/>
        <w:gridCol w:w="1138"/>
        <w:gridCol w:w="710"/>
        <w:gridCol w:w="1131"/>
      </w:tblGrid>
      <w:tr>
        <w:trPr>
          <w:trHeight w:val="718" w:hRule="exact"/>
        </w:trPr>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2" w:right="312"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482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710" w:type="dxa"/>
            <w:vMerge w:val="restart"/>
            <w:tcBorders>
              <w:top w:val="single" w:sz="4" w:space="0" w:color="000000"/>
              <w:left w:val="single" w:sz="4" w:space="0" w:color="000000"/>
              <w:right w:val="single" w:sz="4" w:space="0" w:color="000000"/>
            </w:tcBorders>
          </w:tcPr>
          <w:p>
            <w:pPr>
              <w:pStyle w:val="TableParagraph"/>
              <w:spacing w:line="243" w:lineRule="exact"/>
              <w:ind w:left="136" w:right="0"/>
              <w:jc w:val="both"/>
              <w:rPr>
                <w:rFonts w:ascii="宋体" w:hAnsi="宋体" w:cs="宋体" w:eastAsia="宋体" w:hint="default"/>
                <w:sz w:val="21"/>
                <w:szCs w:val="21"/>
              </w:rPr>
            </w:pPr>
            <w:r>
              <w:rPr>
                <w:rFonts w:ascii="宋体" w:hAnsi="宋体" w:cs="宋体" w:eastAsia="宋体" w:hint="default"/>
                <w:sz w:val="21"/>
                <w:szCs w:val="21"/>
              </w:rPr>
              <w:t>在被</w:t>
            </w:r>
          </w:p>
          <w:p>
            <w:pPr>
              <w:pStyle w:val="TableParagraph"/>
              <w:spacing w:line="237" w:lineRule="auto" w:before="2"/>
              <w:ind w:left="136" w:right="139"/>
              <w:jc w:val="both"/>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0" w:right="137" w:hanging="212"/>
              <w:jc w:val="left"/>
              <w:rPr>
                <w:rFonts w:ascii="宋体" w:hAnsi="宋体" w:cs="宋体" w:eastAsia="宋体" w:hint="default"/>
                <w:sz w:val="21"/>
                <w:szCs w:val="21"/>
              </w:rPr>
            </w:pPr>
            <w:r>
              <w:rPr>
                <w:rFonts w:ascii="宋体" w:hAnsi="宋体" w:cs="宋体" w:eastAsia="宋体" w:hint="default"/>
                <w:sz w:val="21"/>
                <w:szCs w:val="21"/>
              </w:rPr>
              <w:t>本期现金</w:t>
            </w:r>
            <w:r>
              <w:rPr>
                <w:rFonts w:ascii="宋体" w:hAnsi="宋体" w:cs="宋体" w:eastAsia="宋体" w:hint="default"/>
                <w:w w:val="100"/>
                <w:sz w:val="21"/>
                <w:szCs w:val="21"/>
              </w:rPr>
              <w:t> </w:t>
            </w:r>
            <w:r>
              <w:rPr>
                <w:rFonts w:ascii="宋体" w:hAnsi="宋体" w:cs="宋体" w:eastAsia="宋体" w:hint="default"/>
                <w:sz w:val="21"/>
                <w:szCs w:val="21"/>
              </w:rPr>
              <w:t>红利</w:t>
            </w:r>
          </w:p>
        </w:tc>
      </w:tr>
      <w:tr>
        <w:trPr>
          <w:trHeight w:val="931" w:hRule="exact"/>
        </w:trPr>
        <w:tc>
          <w:tcPr>
            <w:tcW w:w="1275"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2" w:lineRule="exact"/>
              <w:ind w:left="347" w:right="35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2" w:lineRule="exact"/>
              <w:ind w:left="350" w:right="35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2" w:lineRule="exact"/>
              <w:ind w:left="352" w:right="35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2" w:lineRule="exact"/>
              <w:ind w:left="136" w:right="13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710" w:type="dxa"/>
            <w:vMerge/>
            <w:tcBorders>
              <w:left w:val="single" w:sz="4" w:space="0" w:color="000000"/>
              <w:bottom w:val="single" w:sz="4" w:space="0" w:color="000000"/>
              <w:right w:val="single" w:sz="4" w:space="0" w:color="000000"/>
            </w:tcBorders>
          </w:tcPr>
          <w:p>
            <w:pPr/>
          </w:p>
        </w:tc>
        <w:tc>
          <w:tcPr>
            <w:tcW w:w="1131" w:type="dxa"/>
            <w:vMerge/>
            <w:tcBorders>
              <w:left w:val="single" w:sz="4" w:space="0" w:color="000000"/>
              <w:bottom w:val="single" w:sz="4" w:space="0" w:color="000000"/>
              <w:right w:val="single" w:sz="4" w:space="0" w:color="000000"/>
            </w:tcBorders>
          </w:tcPr>
          <w:p>
            <w:pPr/>
          </w:p>
        </w:tc>
      </w:tr>
      <w:tr>
        <w:trPr>
          <w:trHeight w:val="52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中投信用担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保有限公司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w w:val="85"/>
                <w:sz w:val="21"/>
              </w:rPr>
              <w:t>5,000,000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w w:val="85"/>
                <w:sz w:val="21"/>
              </w:rPr>
              <w:t>5,000,000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8" w:right="0"/>
              <w:jc w:val="left"/>
              <w:rPr>
                <w:rFonts w:ascii="宋体" w:hAnsi="宋体" w:cs="宋体" w:eastAsia="宋体" w:hint="default"/>
                <w:sz w:val="21"/>
                <w:szCs w:val="21"/>
              </w:rPr>
            </w:pPr>
            <w:r>
              <w:rPr>
                <w:rFonts w:ascii="宋体" w:hAnsi="宋体" w:cs="宋体" w:eastAsia="宋体" w:hint="default"/>
                <w:sz w:val="21"/>
                <w:szCs w:val="21"/>
              </w:rPr>
              <w:t>低于</w:t>
            </w:r>
          </w:p>
          <w:p>
            <w:pPr>
              <w:pStyle w:val="TableParagraph"/>
              <w:spacing w:line="240" w:lineRule="auto" w:before="24"/>
              <w:ind w:left="201" w:right="0"/>
              <w:jc w:val="left"/>
              <w:rPr>
                <w:rFonts w:ascii="Times New Roman" w:hAnsi="Times New Roman" w:cs="Times New Roman" w:eastAsia="Times New Roman" w:hint="default"/>
                <w:sz w:val="21"/>
                <w:szCs w:val="21"/>
              </w:rPr>
            </w:pPr>
            <w:r>
              <w:rPr>
                <w:rFonts w:ascii="Times New Roman"/>
                <w:sz w:val="21"/>
              </w:rPr>
              <w:t>10%</w:t>
            </w: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中企永联数</w:t>
            </w:r>
          </w:p>
          <w:p>
            <w:pPr>
              <w:pStyle w:val="TableParagraph"/>
              <w:spacing w:line="228" w:lineRule="auto" w:before="9"/>
              <w:ind w:left="103" w:right="149"/>
              <w:jc w:val="left"/>
              <w:rPr>
                <w:rFonts w:ascii="宋体" w:hAnsi="宋体" w:cs="宋体" w:eastAsia="宋体" w:hint="default"/>
                <w:sz w:val="18"/>
                <w:szCs w:val="18"/>
              </w:rPr>
            </w:pPr>
            <w:r>
              <w:rPr>
                <w:rFonts w:ascii="宋体" w:hAnsi="宋体" w:cs="宋体" w:eastAsia="宋体" w:hint="default"/>
                <w:sz w:val="18"/>
                <w:szCs w:val="18"/>
              </w:rPr>
              <w:t>据交换技术 </w:t>
            </w:r>
            <w:r>
              <w:rPr>
                <w:rFonts w:ascii="Calibri" w:hAnsi="Calibri" w:cs="Calibri" w:eastAsia="Calibri" w:hint="default"/>
                <w:sz w:val="18"/>
                <w:szCs w:val="18"/>
              </w:rPr>
              <w:t>(</w:t>
            </w:r>
            <w:r>
              <w:rPr>
                <w:rFonts w:ascii="宋体" w:hAnsi="宋体" w:cs="宋体" w:eastAsia="宋体" w:hint="default"/>
                <w:sz w:val="18"/>
                <w:szCs w:val="18"/>
              </w:rPr>
              <w:t>北京</w:t>
            </w:r>
            <w:r>
              <w:rPr>
                <w:rFonts w:ascii="Calibri" w:hAnsi="Calibri" w:cs="Calibri" w:eastAsia="Calibri" w:hint="default"/>
                <w:sz w:val="18"/>
                <w:szCs w:val="18"/>
              </w:rPr>
              <w:t>)</w:t>
            </w:r>
            <w:r>
              <w:rPr>
                <w:rFonts w:ascii="宋体" w:hAnsi="宋体" w:cs="宋体" w:eastAsia="宋体" w:hint="default"/>
                <w:sz w:val="18"/>
                <w:szCs w:val="18"/>
              </w:rPr>
              <w:t>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2,500,000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2,500,000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19.81</w:t>
            </w:r>
            <w:r>
              <w:rPr>
                <w:rFonts w:ascii="Times New Roman"/>
                <w:sz w:val="21"/>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61,433</w:t>
            </w:r>
            <w:r>
              <w:rPr>
                <w:rFonts w:ascii="Times New Roman"/>
                <w:sz w:val="21"/>
              </w:rPr>
            </w: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深圳市新希</w:t>
            </w:r>
          </w:p>
          <w:p>
            <w:pPr>
              <w:pStyle w:val="TableParagraph"/>
              <w:spacing w:line="240" w:lineRule="auto"/>
              <w:ind w:left="103" w:right="260"/>
              <w:jc w:val="left"/>
              <w:rPr>
                <w:rFonts w:ascii="宋体" w:hAnsi="宋体" w:cs="宋体" w:eastAsia="宋体" w:hint="default"/>
                <w:sz w:val="18"/>
                <w:szCs w:val="18"/>
              </w:rPr>
            </w:pPr>
            <w:r>
              <w:rPr>
                <w:rFonts w:ascii="宋体" w:hAnsi="宋体" w:cs="宋体" w:eastAsia="宋体" w:hint="default"/>
                <w:sz w:val="18"/>
                <w:szCs w:val="18"/>
              </w:rPr>
              <w:t>元软件技术 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5,000,000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5,000,000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19.8</w:t>
            </w:r>
            <w:r>
              <w:rPr>
                <w:rFonts w:ascii="Times New Roman"/>
                <w:sz w:val="21"/>
              </w:rPr>
            </w: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通联支付网</w:t>
            </w:r>
          </w:p>
          <w:p>
            <w:pPr>
              <w:pStyle w:val="TableParagraph"/>
              <w:spacing w:line="240" w:lineRule="auto"/>
              <w:ind w:left="103" w:right="260"/>
              <w:jc w:val="left"/>
              <w:rPr>
                <w:rFonts w:ascii="宋体" w:hAnsi="宋体" w:cs="宋体" w:eastAsia="宋体" w:hint="default"/>
                <w:sz w:val="18"/>
                <w:szCs w:val="18"/>
              </w:rPr>
            </w:pPr>
            <w:r>
              <w:rPr>
                <w:rFonts w:ascii="宋体" w:hAnsi="宋体" w:cs="宋体" w:eastAsia="宋体" w:hint="default"/>
                <w:sz w:val="18"/>
                <w:szCs w:val="18"/>
              </w:rPr>
              <w:t>络服务股份 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45,000,000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45,000,000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低于</w:t>
            </w:r>
          </w:p>
          <w:p>
            <w:pPr>
              <w:pStyle w:val="TableParagraph"/>
              <w:spacing w:line="240" w:lineRule="auto" w:before="26"/>
              <w:ind w:left="156" w:right="0"/>
              <w:jc w:val="left"/>
              <w:rPr>
                <w:rFonts w:ascii="Times New Roman" w:hAnsi="Times New Roman" w:cs="Times New Roman" w:eastAsia="Times New Roman" w:hint="default"/>
                <w:sz w:val="21"/>
                <w:szCs w:val="21"/>
              </w:rPr>
            </w:pPr>
            <w:r>
              <w:rPr>
                <w:rFonts w:ascii="Times New Roman"/>
                <w:sz w:val="21"/>
              </w:rPr>
              <w:t>10%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1,500,000</w:t>
            </w:r>
            <w:r>
              <w:rPr>
                <w:rFonts w:ascii="Times New Roman"/>
                <w:sz w:val="21"/>
              </w:rPr>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上海长伴信</w:t>
            </w:r>
          </w:p>
          <w:p>
            <w:pPr>
              <w:pStyle w:val="TableParagraph"/>
              <w:spacing w:line="240" w:lineRule="auto"/>
              <w:ind w:left="103" w:right="260"/>
              <w:jc w:val="left"/>
              <w:rPr>
                <w:rFonts w:ascii="宋体" w:hAnsi="宋体" w:cs="宋体" w:eastAsia="宋体" w:hint="default"/>
                <w:sz w:val="18"/>
                <w:szCs w:val="18"/>
              </w:rPr>
            </w:pPr>
            <w:r>
              <w:rPr>
                <w:rFonts w:ascii="宋体" w:hAnsi="宋体" w:cs="宋体" w:eastAsia="宋体" w:hint="default"/>
                <w:sz w:val="18"/>
                <w:szCs w:val="18"/>
              </w:rPr>
              <w:t>息技术咨询 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85"/>
                <w:sz w:val="21"/>
              </w:rPr>
              <w:t>540,000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85"/>
                <w:sz w:val="21"/>
              </w:rPr>
              <w:t>540,000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18</w:t>
            </w:r>
            <w:r>
              <w:rPr>
                <w:rFonts w:ascii="Times New Roman"/>
                <w:sz w:val="21"/>
              </w:rPr>
            </w: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百年人寿保</w:t>
            </w:r>
          </w:p>
          <w:p>
            <w:pPr>
              <w:pStyle w:val="TableParagraph"/>
              <w:spacing w:line="240" w:lineRule="auto"/>
              <w:ind w:left="103" w:right="260"/>
              <w:jc w:val="left"/>
              <w:rPr>
                <w:rFonts w:ascii="宋体" w:hAnsi="宋体" w:cs="宋体" w:eastAsia="宋体" w:hint="default"/>
                <w:sz w:val="18"/>
                <w:szCs w:val="18"/>
              </w:rPr>
            </w:pPr>
            <w:r>
              <w:rPr>
                <w:rFonts w:ascii="宋体" w:hAnsi="宋体" w:cs="宋体" w:eastAsia="宋体" w:hint="default"/>
                <w:sz w:val="18"/>
                <w:szCs w:val="18"/>
              </w:rPr>
              <w:t>险股份有限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240,000,000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240,000,000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低于</w:t>
            </w:r>
          </w:p>
          <w:p>
            <w:pPr>
              <w:pStyle w:val="TableParagraph"/>
              <w:spacing w:line="240" w:lineRule="auto" w:before="24"/>
              <w:ind w:left="156" w:right="0"/>
              <w:jc w:val="left"/>
              <w:rPr>
                <w:rFonts w:ascii="Times New Roman" w:hAnsi="Times New Roman" w:cs="Times New Roman" w:eastAsia="Times New Roman" w:hint="default"/>
                <w:sz w:val="21"/>
                <w:szCs w:val="21"/>
              </w:rPr>
            </w:pPr>
            <w:r>
              <w:rPr>
                <w:rFonts w:ascii="Times New Roman"/>
                <w:sz w:val="21"/>
              </w:rPr>
              <w:t>10%</w:t>
            </w: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北京市致远</w:t>
            </w:r>
          </w:p>
          <w:p>
            <w:pPr>
              <w:pStyle w:val="TableParagraph"/>
              <w:spacing w:line="232" w:lineRule="exact" w:before="23"/>
              <w:ind w:left="103" w:right="260"/>
              <w:jc w:val="left"/>
              <w:rPr>
                <w:rFonts w:ascii="宋体" w:hAnsi="宋体" w:cs="宋体" w:eastAsia="宋体" w:hint="default"/>
                <w:sz w:val="18"/>
                <w:szCs w:val="18"/>
              </w:rPr>
            </w:pPr>
            <w:r>
              <w:rPr>
                <w:rFonts w:ascii="宋体" w:hAnsi="宋体" w:cs="宋体" w:eastAsia="宋体" w:hint="default"/>
                <w:sz w:val="18"/>
                <w:szCs w:val="18"/>
              </w:rPr>
              <w:t>协创软件有 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7" w:right="0"/>
              <w:jc w:val="left"/>
              <w:rPr>
                <w:rFonts w:ascii="Times New Roman" w:hAnsi="Times New Roman" w:cs="Times New Roman" w:eastAsia="Times New Roman" w:hint="default"/>
                <w:sz w:val="21"/>
                <w:szCs w:val="21"/>
              </w:rPr>
            </w:pPr>
            <w:r>
              <w:rPr>
                <w:rFonts w:ascii="Times New Roman"/>
                <w:w w:val="95"/>
                <w:sz w:val="21"/>
              </w:rPr>
              <w:t>34,860,000</w:t>
            </w:r>
            <w:r>
              <w:rPr>
                <w:rFonts w:ascii="Times New Roman"/>
                <w:sz w:val="21"/>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34,860,000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低于</w:t>
            </w:r>
          </w:p>
          <w:p>
            <w:pPr>
              <w:pStyle w:val="TableParagraph"/>
              <w:spacing w:line="240" w:lineRule="auto" w:before="24"/>
              <w:ind w:left="156" w:right="0"/>
              <w:jc w:val="left"/>
              <w:rPr>
                <w:rFonts w:ascii="Times New Roman" w:hAnsi="Times New Roman" w:cs="Times New Roman" w:eastAsia="Times New Roman" w:hint="default"/>
                <w:sz w:val="21"/>
                <w:szCs w:val="21"/>
              </w:rPr>
            </w:pPr>
            <w:r>
              <w:rPr>
                <w:rFonts w:ascii="Times New Roman"/>
                <w:sz w:val="21"/>
              </w:rPr>
              <w:t>10%</w:t>
            </w: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太原用友政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85"/>
                <w:sz w:val="21"/>
              </w:rPr>
              <w:t>100,000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85"/>
                <w:sz w:val="21"/>
              </w:rPr>
              <w:t>100,000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 w:right="0"/>
              <w:jc w:val="center"/>
              <w:rPr>
                <w:rFonts w:ascii="Times New Roman" w:hAnsi="Times New Roman" w:cs="Times New Roman" w:eastAsia="Times New Roman" w:hint="default"/>
                <w:sz w:val="21"/>
                <w:szCs w:val="21"/>
              </w:rPr>
            </w:pPr>
            <w:r>
              <w:rPr>
                <w:rFonts w:ascii="Times New Roman"/>
                <w:sz w:val="21"/>
              </w:rPr>
              <w:t>100,000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10" w:right="0"/>
              <w:jc w:val="left"/>
              <w:rPr>
                <w:rFonts w:ascii="Times New Roman" w:hAnsi="Times New Roman" w:cs="Times New Roman" w:eastAsia="Times New Roman" w:hint="default"/>
                <w:sz w:val="21"/>
                <w:szCs w:val="21"/>
              </w:rPr>
            </w:pPr>
            <w:r>
              <w:rPr>
                <w:rFonts w:ascii="Times New Roman"/>
                <w:sz w:val="21"/>
              </w:rPr>
              <w:t>100,000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20</w:t>
            </w:r>
            <w:r>
              <w:rPr>
                <w:rFonts w:ascii="Times New Roman"/>
                <w:sz w:val="21"/>
              </w:rPr>
            </w:r>
          </w:p>
        </w:tc>
        <w:tc>
          <w:tcPr>
            <w:tcW w:w="113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52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91" w:type="dxa"/>
        <w:tblLayout w:type="fixed"/>
        <w:tblCellMar>
          <w:top w:w="0" w:type="dxa"/>
          <w:left w:w="0" w:type="dxa"/>
          <w:bottom w:w="0" w:type="dxa"/>
          <w:right w:w="0" w:type="dxa"/>
        </w:tblCellMar>
        <w:tblLook w:val="01E0"/>
      </w:tblPr>
      <w:tblGrid>
        <w:gridCol w:w="1275"/>
        <w:gridCol w:w="1277"/>
        <w:gridCol w:w="1133"/>
        <w:gridCol w:w="1136"/>
        <w:gridCol w:w="1279"/>
        <w:gridCol w:w="848"/>
        <w:gridCol w:w="1138"/>
        <w:gridCol w:w="706"/>
        <w:gridCol w:w="1138"/>
        <w:gridCol w:w="710"/>
        <w:gridCol w:w="1131"/>
      </w:tblGrid>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北京随锐科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4"/>
              <w:jc w:val="right"/>
              <w:rPr>
                <w:rFonts w:ascii="Times New Roman" w:hAnsi="Times New Roman" w:cs="Times New Roman" w:eastAsia="Times New Roman" w:hint="default"/>
                <w:sz w:val="21"/>
                <w:szCs w:val="21"/>
              </w:rPr>
            </w:pPr>
            <w:r>
              <w:rPr>
                <w:rFonts w:ascii="Times New Roman"/>
                <w:w w:val="85"/>
                <w:sz w:val="21"/>
              </w:rPr>
              <w:t>9,093,770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6"/>
              <w:jc w:val="right"/>
              <w:rPr>
                <w:rFonts w:ascii="Times New Roman" w:hAnsi="Times New Roman" w:cs="Times New Roman" w:eastAsia="Times New Roman" w:hint="default"/>
                <w:sz w:val="21"/>
                <w:szCs w:val="21"/>
              </w:rPr>
            </w:pPr>
            <w:r>
              <w:rPr>
                <w:rFonts w:ascii="Times New Roman"/>
                <w:w w:val="85"/>
                <w:sz w:val="21"/>
              </w:rPr>
              <w:t>4,000,000</w:t>
            </w:r>
            <w:r>
              <w:rPr>
                <w:rFonts w:ascii="Times New Roman"/>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6"/>
              <w:jc w:val="right"/>
              <w:rPr>
                <w:rFonts w:ascii="Times New Roman" w:hAnsi="Times New Roman" w:cs="Times New Roman" w:eastAsia="Times New Roman" w:hint="default"/>
                <w:sz w:val="21"/>
                <w:szCs w:val="21"/>
              </w:rPr>
            </w:pPr>
            <w:r>
              <w:rPr>
                <w:rFonts w:ascii="Times New Roman"/>
                <w:w w:val="85"/>
                <w:sz w:val="21"/>
              </w:rPr>
              <w:t>13,093,770</w:t>
            </w:r>
            <w:r>
              <w:rPr>
                <w:rFonts w:ascii="Times New Roman"/>
                <w:sz w:val="21"/>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51"/>
              <w:jc w:val="right"/>
              <w:rPr>
                <w:rFonts w:ascii="Times New Roman" w:hAnsi="Times New Roman" w:cs="Times New Roman" w:eastAsia="Times New Roman" w:hint="default"/>
                <w:sz w:val="21"/>
                <w:szCs w:val="21"/>
              </w:rPr>
            </w:pPr>
            <w:r>
              <w:rPr>
                <w:rFonts w:ascii="Times New Roman"/>
                <w:w w:val="89"/>
                <w:sz w:val="21"/>
              </w:rPr>
              <w:t>-</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3"/>
              <w:jc w:val="right"/>
              <w:rPr>
                <w:rFonts w:ascii="Times New Roman" w:hAnsi="Times New Roman" w:cs="Times New Roman" w:eastAsia="Times New Roman" w:hint="default"/>
                <w:sz w:val="21"/>
                <w:szCs w:val="21"/>
              </w:rPr>
            </w:pPr>
            <w:r>
              <w:rPr>
                <w:rFonts w:ascii="Times New Roman"/>
                <w:w w:val="89"/>
                <w:sz w:val="21"/>
              </w:rPr>
              <w:t>-</w:t>
            </w:r>
            <w:r>
              <w:rPr>
                <w:rFonts w:ascii="Times New Roman"/>
                <w:sz w:val="21"/>
              </w:rPr>
            </w: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北京族米科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15,000,000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15,000,000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w w:val="95"/>
                <w:sz w:val="21"/>
              </w:rPr>
              <w:t>14,000,000</w:t>
            </w:r>
            <w:r>
              <w:rPr>
                <w:rFonts w:ascii="Times New Roman"/>
                <w:sz w:val="21"/>
              </w:rPr>
            </w: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w w:val="95"/>
                <w:sz w:val="21"/>
              </w:rPr>
              <w:t>14,000,000</w:t>
            </w:r>
            <w:r>
              <w:rPr>
                <w:rFonts w:ascii="Times New Roman"/>
                <w:sz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12.85</w:t>
            </w:r>
            <w:r>
              <w:rPr>
                <w:rFonts w:ascii="Times New Roman"/>
                <w:sz w:val="21"/>
              </w:rPr>
            </w: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北京中明万</w:t>
            </w:r>
          </w:p>
          <w:p>
            <w:pPr>
              <w:pStyle w:val="TableParagraph"/>
              <w:spacing w:line="240" w:lineRule="auto"/>
              <w:ind w:left="103" w:right="260"/>
              <w:jc w:val="left"/>
              <w:rPr>
                <w:rFonts w:ascii="宋体" w:hAnsi="宋体" w:cs="宋体" w:eastAsia="宋体" w:hint="default"/>
                <w:sz w:val="18"/>
                <w:szCs w:val="18"/>
              </w:rPr>
            </w:pPr>
            <w:r>
              <w:rPr>
                <w:rFonts w:ascii="宋体" w:hAnsi="宋体" w:cs="宋体" w:eastAsia="宋体" w:hint="default"/>
                <w:sz w:val="18"/>
                <w:szCs w:val="18"/>
              </w:rPr>
              <w:t>长管理咨询 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2,019,500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2,019,500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12.25</w:t>
            </w:r>
            <w:r>
              <w:rPr>
                <w:rFonts w:ascii="Times New Roman"/>
                <w:sz w:val="21"/>
              </w:rPr>
            </w: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929"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创业黑马（北</w:t>
            </w:r>
          </w:p>
          <w:p>
            <w:pPr>
              <w:pStyle w:val="TableParagraph"/>
              <w:spacing w:line="242" w:lineRule="auto"/>
              <w:ind w:left="103" w:right="101"/>
              <w:jc w:val="left"/>
              <w:rPr>
                <w:rFonts w:ascii="Calibri" w:hAnsi="Calibri" w:cs="Calibri" w:eastAsia="Calibri" w:hint="default"/>
                <w:sz w:val="18"/>
                <w:szCs w:val="18"/>
              </w:rPr>
            </w:pPr>
            <w:r>
              <w:rPr>
                <w:rFonts w:ascii="宋体" w:hAnsi="宋体" w:cs="宋体" w:eastAsia="宋体" w:hint="default"/>
                <w:spacing w:val="-4"/>
                <w:sz w:val="18"/>
                <w:szCs w:val="18"/>
              </w:rPr>
              <w:t>京）科技股份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r>
              <w:rPr>
                <w:rFonts w:ascii="Calibri" w:hAnsi="Calibri" w:cs="Calibri" w:eastAsia="Calibri" w:hint="default"/>
                <w:sz w:val="18"/>
                <w:szCs w:val="18"/>
              </w:rPr>
              <w:t>(</w:t>
            </w:r>
            <w:r>
              <w:rPr>
                <w:rFonts w:ascii="宋体" w:hAnsi="宋体" w:cs="宋体" w:eastAsia="宋体" w:hint="default"/>
                <w:sz w:val="18"/>
                <w:szCs w:val="18"/>
              </w:rPr>
              <w:t>注 </w:t>
            </w:r>
            <w:r>
              <w:rPr>
                <w:rFonts w:ascii="Calibri" w:hAnsi="Calibri" w:cs="Calibri" w:eastAsia="Calibri" w:hint="default"/>
                <w:sz w:val="18"/>
                <w:szCs w:val="18"/>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6,000,000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6,000,000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低于</w:t>
            </w:r>
          </w:p>
          <w:p>
            <w:pPr>
              <w:pStyle w:val="TableParagraph"/>
              <w:spacing w:line="240" w:lineRule="auto" w:before="24"/>
              <w:ind w:left="249" w:right="0"/>
              <w:jc w:val="left"/>
              <w:rPr>
                <w:rFonts w:ascii="Times New Roman" w:hAnsi="Times New Roman" w:cs="Times New Roman" w:eastAsia="Times New Roman" w:hint="default"/>
                <w:sz w:val="21"/>
                <w:szCs w:val="21"/>
              </w:rPr>
            </w:pPr>
            <w:r>
              <w:rPr>
                <w:rFonts w:ascii="Times New Roman"/>
                <w:sz w:val="21"/>
              </w:rPr>
              <w:t>10%</w:t>
            </w: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北京文德致</w:t>
            </w:r>
          </w:p>
          <w:p>
            <w:pPr>
              <w:pStyle w:val="TableParagraph"/>
              <w:spacing w:line="232" w:lineRule="exact" w:before="24"/>
              <w:ind w:left="103" w:right="260"/>
              <w:jc w:val="left"/>
              <w:rPr>
                <w:rFonts w:ascii="宋体" w:hAnsi="宋体" w:cs="宋体" w:eastAsia="宋体" w:hint="default"/>
                <w:sz w:val="18"/>
                <w:szCs w:val="18"/>
              </w:rPr>
            </w:pPr>
            <w:r>
              <w:rPr>
                <w:rFonts w:ascii="宋体" w:hAnsi="宋体" w:cs="宋体" w:eastAsia="宋体" w:hint="default"/>
                <w:sz w:val="18"/>
                <w:szCs w:val="18"/>
              </w:rPr>
              <w:t>远文化传播 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5,980,500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5,980,500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低于</w:t>
            </w:r>
          </w:p>
          <w:p>
            <w:pPr>
              <w:pStyle w:val="TableParagraph"/>
              <w:spacing w:line="240" w:lineRule="auto" w:before="26"/>
              <w:ind w:left="249" w:right="0"/>
              <w:jc w:val="left"/>
              <w:rPr>
                <w:rFonts w:ascii="Times New Roman" w:hAnsi="Times New Roman" w:cs="Times New Roman" w:eastAsia="Times New Roman" w:hint="default"/>
                <w:sz w:val="21"/>
                <w:szCs w:val="21"/>
              </w:rPr>
            </w:pPr>
            <w:r>
              <w:rPr>
                <w:rFonts w:ascii="Times New Roman"/>
                <w:sz w:val="21"/>
              </w:rPr>
              <w:t>10%</w:t>
            </w: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中驰车福联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合电子商务</w:t>
            </w:r>
          </w:p>
          <w:p>
            <w:pPr>
              <w:pStyle w:val="TableParagraph"/>
              <w:spacing w:line="232" w:lineRule="exact" w:before="23"/>
              <w:ind w:left="103" w:right="101"/>
              <w:jc w:val="left"/>
              <w:rPr>
                <w:rFonts w:ascii="Calibri" w:hAnsi="Calibri" w:cs="Calibri" w:eastAsia="Calibri" w:hint="default"/>
                <w:sz w:val="18"/>
                <w:szCs w:val="18"/>
              </w:rPr>
            </w:pPr>
            <w:r>
              <w:rPr>
                <w:rFonts w:ascii="宋体" w:hAnsi="宋体" w:cs="宋体" w:eastAsia="宋体" w:hint="default"/>
                <w:spacing w:val="-4"/>
                <w:sz w:val="18"/>
                <w:szCs w:val="18"/>
              </w:rPr>
              <w:t>（北京）有限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Calibri" w:hAnsi="Calibri" w:cs="Calibri" w:eastAsia="Calibri"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alibri" w:hAnsi="Calibri" w:cs="Calibri" w:eastAsia="Calibri" w:hint="default"/>
                <w:sz w:val="18"/>
                <w:szCs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4"/>
              <w:jc w:val="right"/>
              <w:rPr>
                <w:rFonts w:ascii="Times New Roman" w:hAnsi="Times New Roman" w:cs="Times New Roman" w:eastAsia="Times New Roman" w:hint="default"/>
                <w:sz w:val="21"/>
                <w:szCs w:val="21"/>
              </w:rPr>
            </w:pPr>
            <w:r>
              <w:rPr>
                <w:rFonts w:ascii="Times New Roman"/>
                <w:w w:val="85"/>
                <w:sz w:val="21"/>
              </w:rPr>
              <w:t>5,000,000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6"/>
              <w:jc w:val="right"/>
              <w:rPr>
                <w:rFonts w:ascii="Times New Roman" w:hAnsi="Times New Roman" w:cs="Times New Roman" w:eastAsia="Times New Roman" w:hint="default"/>
                <w:sz w:val="21"/>
                <w:szCs w:val="21"/>
              </w:rPr>
            </w:pPr>
            <w:r>
              <w:rPr>
                <w:rFonts w:ascii="Times New Roman"/>
                <w:w w:val="85"/>
                <w:sz w:val="21"/>
              </w:rPr>
              <w:t>562,200</w:t>
            </w:r>
            <w:r>
              <w:rPr>
                <w:rFonts w:ascii="Times New Roman"/>
                <w:sz w:val="21"/>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4"/>
              <w:jc w:val="right"/>
              <w:rPr>
                <w:rFonts w:ascii="Times New Roman" w:hAnsi="Times New Roman" w:cs="Times New Roman" w:eastAsia="Times New Roman" w:hint="default"/>
                <w:sz w:val="21"/>
                <w:szCs w:val="21"/>
              </w:rPr>
            </w:pPr>
            <w:r>
              <w:rPr>
                <w:rFonts w:ascii="Times New Roman"/>
                <w:w w:val="85"/>
                <w:sz w:val="21"/>
              </w:rPr>
              <w:t>5,562,200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低于</w:t>
            </w:r>
          </w:p>
          <w:p>
            <w:pPr>
              <w:pStyle w:val="TableParagraph"/>
              <w:spacing w:line="240" w:lineRule="auto" w:before="26"/>
              <w:ind w:left="249" w:right="0"/>
              <w:jc w:val="left"/>
              <w:rPr>
                <w:rFonts w:ascii="Times New Roman" w:hAnsi="Times New Roman" w:cs="Times New Roman" w:eastAsia="Times New Roman" w:hint="default"/>
                <w:sz w:val="21"/>
                <w:szCs w:val="21"/>
              </w:rPr>
            </w:pPr>
            <w:r>
              <w:rPr>
                <w:rFonts w:ascii="Times New Roman"/>
                <w:sz w:val="21"/>
              </w:rPr>
              <w:t>10%</w:t>
            </w: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易云捷讯科</w:t>
            </w:r>
          </w:p>
          <w:p>
            <w:pPr>
              <w:pStyle w:val="TableParagraph"/>
              <w:spacing w:line="232" w:lineRule="exact" w:before="23"/>
              <w:ind w:left="103" w:right="104"/>
              <w:jc w:val="left"/>
              <w:rPr>
                <w:rFonts w:ascii="宋体" w:hAnsi="宋体" w:cs="宋体" w:eastAsia="宋体" w:hint="default"/>
                <w:sz w:val="18"/>
                <w:szCs w:val="18"/>
              </w:rPr>
            </w:pPr>
            <w:r>
              <w:rPr>
                <w:rFonts w:ascii="宋体" w:hAnsi="宋体" w:cs="宋体" w:eastAsia="宋体" w:hint="default"/>
                <w:spacing w:val="-5"/>
                <w:sz w:val="18"/>
                <w:szCs w:val="18"/>
              </w:rPr>
              <w:t>技（北京）有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w w:val="85"/>
                <w:sz w:val="21"/>
              </w:rPr>
              <w:t>10,000,000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w w:val="85"/>
                <w:sz w:val="21"/>
              </w:rPr>
              <w:t>1,450,000</w:t>
            </w:r>
            <w:r>
              <w:rPr>
                <w:rFonts w:ascii="Times New Roman"/>
                <w:sz w:val="21"/>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w w:val="85"/>
                <w:sz w:val="21"/>
              </w:rPr>
              <w:t>11,450,000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6" w:right="0"/>
              <w:jc w:val="left"/>
              <w:rPr>
                <w:rFonts w:ascii="宋体" w:hAnsi="宋体" w:cs="宋体" w:eastAsia="宋体" w:hint="default"/>
                <w:sz w:val="21"/>
                <w:szCs w:val="21"/>
              </w:rPr>
            </w:pPr>
            <w:r>
              <w:rPr>
                <w:rFonts w:ascii="宋体" w:hAnsi="宋体" w:cs="宋体" w:eastAsia="宋体" w:hint="default"/>
                <w:sz w:val="21"/>
                <w:szCs w:val="21"/>
              </w:rPr>
              <w:t>低于</w:t>
            </w:r>
          </w:p>
          <w:p>
            <w:pPr>
              <w:pStyle w:val="TableParagraph"/>
              <w:spacing w:line="240" w:lineRule="auto" w:before="24"/>
              <w:ind w:left="249" w:right="0"/>
              <w:jc w:val="left"/>
              <w:rPr>
                <w:rFonts w:ascii="Times New Roman" w:hAnsi="Times New Roman" w:cs="Times New Roman" w:eastAsia="Times New Roman" w:hint="default"/>
                <w:sz w:val="21"/>
                <w:szCs w:val="21"/>
              </w:rPr>
            </w:pPr>
            <w:r>
              <w:rPr>
                <w:rFonts w:ascii="Times New Roman"/>
                <w:sz w:val="21"/>
              </w:rPr>
              <w:t>10%</w:t>
            </w: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上海通联金</w:t>
            </w:r>
          </w:p>
          <w:p>
            <w:pPr>
              <w:pStyle w:val="TableParagraph"/>
              <w:spacing w:line="232" w:lineRule="exact" w:before="23"/>
              <w:ind w:left="103" w:right="260"/>
              <w:jc w:val="left"/>
              <w:rPr>
                <w:rFonts w:ascii="宋体" w:hAnsi="宋体" w:cs="宋体" w:eastAsia="宋体" w:hint="default"/>
                <w:sz w:val="18"/>
                <w:szCs w:val="18"/>
              </w:rPr>
            </w:pPr>
            <w:r>
              <w:rPr>
                <w:rFonts w:ascii="宋体" w:hAnsi="宋体" w:cs="宋体" w:eastAsia="宋体" w:hint="default"/>
                <w:sz w:val="18"/>
                <w:szCs w:val="18"/>
              </w:rPr>
              <w:t>融服务有限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1"/>
              <w:jc w:val="right"/>
              <w:rPr>
                <w:rFonts w:ascii="Times New Roman" w:hAnsi="Times New Roman" w:cs="Times New Roman" w:eastAsia="Times New Roman" w:hint="default"/>
                <w:sz w:val="21"/>
                <w:szCs w:val="21"/>
              </w:rPr>
            </w:pPr>
            <w:r>
              <w:rPr>
                <w:rFonts w:ascii="Times New Roman"/>
                <w:w w:val="89"/>
                <w:sz w:val="21"/>
              </w:rPr>
              <w:t>-</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w w:val="85"/>
                <w:sz w:val="21"/>
              </w:rPr>
              <w:t>15,900,000</w:t>
            </w:r>
            <w:r>
              <w:rPr>
                <w:rFonts w:ascii="Times New Roman"/>
                <w:sz w:val="21"/>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w w:val="85"/>
                <w:sz w:val="21"/>
              </w:rPr>
              <w:t>15,900,000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8" w:right="0"/>
              <w:jc w:val="left"/>
              <w:rPr>
                <w:rFonts w:ascii="宋体" w:hAnsi="宋体" w:cs="宋体" w:eastAsia="宋体" w:hint="default"/>
                <w:sz w:val="21"/>
                <w:szCs w:val="21"/>
              </w:rPr>
            </w:pPr>
            <w:r>
              <w:rPr>
                <w:rFonts w:ascii="宋体" w:hAnsi="宋体" w:cs="宋体" w:eastAsia="宋体" w:hint="default"/>
                <w:sz w:val="21"/>
                <w:szCs w:val="21"/>
              </w:rPr>
              <w:t>低于</w:t>
            </w:r>
          </w:p>
          <w:p>
            <w:pPr>
              <w:pStyle w:val="TableParagraph"/>
              <w:spacing w:line="240" w:lineRule="auto" w:before="24"/>
              <w:ind w:left="249" w:right="0"/>
              <w:jc w:val="left"/>
              <w:rPr>
                <w:rFonts w:ascii="Times New Roman" w:hAnsi="Times New Roman" w:cs="Times New Roman" w:eastAsia="Times New Roman" w:hint="default"/>
                <w:sz w:val="21"/>
                <w:szCs w:val="21"/>
              </w:rPr>
            </w:pPr>
            <w:r>
              <w:rPr>
                <w:rFonts w:ascii="Times New Roman"/>
                <w:sz w:val="21"/>
              </w:rPr>
              <w:t>10%</w:t>
            </w: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52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w w:val="85"/>
                <w:sz w:val="21"/>
              </w:rPr>
              <w:t>1,911</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w w:val="85"/>
                <w:sz w:val="21"/>
              </w:rPr>
              <w:t>1,911</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6" w:right="0"/>
              <w:jc w:val="left"/>
              <w:rPr>
                <w:rFonts w:ascii="宋体" w:hAnsi="宋体" w:cs="宋体" w:eastAsia="宋体" w:hint="default"/>
                <w:sz w:val="21"/>
                <w:szCs w:val="21"/>
              </w:rPr>
            </w:pPr>
            <w:r>
              <w:rPr>
                <w:rFonts w:ascii="宋体" w:hAnsi="宋体" w:cs="宋体" w:eastAsia="宋体" w:hint="default"/>
                <w:sz w:val="21"/>
                <w:szCs w:val="21"/>
              </w:rPr>
              <w:t>低于</w:t>
            </w:r>
          </w:p>
          <w:p>
            <w:pPr>
              <w:pStyle w:val="TableParagraph"/>
              <w:spacing w:line="240" w:lineRule="auto" w:before="24"/>
              <w:ind w:left="201" w:right="0"/>
              <w:jc w:val="left"/>
              <w:rPr>
                <w:rFonts w:ascii="Times New Roman" w:hAnsi="Times New Roman" w:cs="Times New Roman" w:eastAsia="Times New Roman" w:hint="default"/>
                <w:sz w:val="21"/>
                <w:szCs w:val="21"/>
              </w:rPr>
            </w:pPr>
            <w:r>
              <w:rPr>
                <w:rFonts w:ascii="Times New Roman"/>
                <w:sz w:val="21"/>
              </w:rPr>
              <w:t>10%</w:t>
            </w: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易游时代网</w:t>
            </w:r>
          </w:p>
          <w:p>
            <w:pPr>
              <w:pStyle w:val="TableParagraph"/>
              <w:spacing w:line="232" w:lineRule="exact" w:before="23"/>
              <w:ind w:left="103" w:right="260"/>
              <w:jc w:val="left"/>
              <w:rPr>
                <w:rFonts w:ascii="宋体" w:hAnsi="宋体" w:cs="宋体" w:eastAsia="宋体" w:hint="default"/>
                <w:sz w:val="18"/>
                <w:szCs w:val="18"/>
              </w:rPr>
            </w:pPr>
            <w:r>
              <w:rPr>
                <w:rFonts w:ascii="宋体" w:hAnsi="宋体" w:cs="宋体" w:eastAsia="宋体" w:hint="default"/>
                <w:sz w:val="18"/>
                <w:szCs w:val="18"/>
              </w:rPr>
              <w:t>络科技有限 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2,000,000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2,000,000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17</w:t>
            </w:r>
            <w:r>
              <w:rPr>
                <w:rFonts w:ascii="Times New Roman"/>
                <w:sz w:val="21"/>
              </w:rPr>
            </w: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深圳华傲数</w:t>
            </w:r>
          </w:p>
          <w:p>
            <w:pPr>
              <w:pStyle w:val="TableParagraph"/>
              <w:spacing w:line="232" w:lineRule="exact" w:before="23"/>
              <w:ind w:left="103" w:right="260"/>
              <w:jc w:val="left"/>
              <w:rPr>
                <w:rFonts w:ascii="宋体" w:hAnsi="宋体" w:cs="宋体" w:eastAsia="宋体" w:hint="default"/>
                <w:sz w:val="18"/>
                <w:szCs w:val="18"/>
              </w:rPr>
            </w:pPr>
            <w:r>
              <w:rPr>
                <w:rFonts w:ascii="宋体" w:hAnsi="宋体" w:cs="宋体" w:eastAsia="宋体" w:hint="default"/>
                <w:sz w:val="18"/>
                <w:szCs w:val="18"/>
              </w:rPr>
              <w:t>据技术有限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9,800,000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9,800,000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低于</w:t>
            </w:r>
          </w:p>
          <w:p>
            <w:pPr>
              <w:pStyle w:val="TableParagraph"/>
              <w:spacing w:line="240" w:lineRule="auto" w:before="24"/>
              <w:ind w:left="249" w:right="0"/>
              <w:jc w:val="left"/>
              <w:rPr>
                <w:rFonts w:ascii="Times New Roman" w:hAnsi="Times New Roman" w:cs="Times New Roman" w:eastAsia="Times New Roman" w:hint="default"/>
                <w:sz w:val="21"/>
                <w:szCs w:val="21"/>
              </w:rPr>
            </w:pPr>
            <w:r>
              <w:rPr>
                <w:rFonts w:ascii="Times New Roman"/>
                <w:sz w:val="21"/>
              </w:rPr>
              <w:t>10%</w:t>
            </w: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北京圣围科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5,000,000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5,000,000</w:t>
            </w:r>
            <w:r>
              <w:rPr>
                <w:rFonts w:ascii="Times New Roman"/>
                <w:sz w:val="21"/>
              </w:rPr>
            </w:r>
          </w:p>
        </w:tc>
        <w:tc>
          <w:tcPr>
            <w:tcW w:w="127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北京爱肌肤</w:t>
            </w:r>
          </w:p>
          <w:p>
            <w:pPr>
              <w:pStyle w:val="TableParagraph"/>
              <w:spacing w:line="232" w:lineRule="exact" w:before="24"/>
              <w:ind w:left="103" w:right="260"/>
              <w:jc w:val="left"/>
              <w:rPr>
                <w:rFonts w:ascii="宋体" w:hAnsi="宋体" w:cs="宋体" w:eastAsia="宋体" w:hint="default"/>
                <w:sz w:val="18"/>
                <w:szCs w:val="18"/>
              </w:rPr>
            </w:pPr>
            <w:r>
              <w:rPr>
                <w:rFonts w:ascii="宋体" w:hAnsi="宋体" w:cs="宋体" w:eastAsia="宋体" w:hint="default"/>
                <w:sz w:val="18"/>
                <w:szCs w:val="18"/>
              </w:rPr>
              <w:t>科技有限公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2,000,000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1,000,000</w:t>
            </w:r>
            <w:r>
              <w:rPr>
                <w:rFonts w:ascii="Times New Roman"/>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3,000,000</w:t>
            </w:r>
            <w:r>
              <w:rPr>
                <w:rFonts w:ascii="Times New Roman"/>
                <w:sz w:val="21"/>
              </w:rPr>
            </w:r>
          </w:p>
        </w:tc>
        <w:tc>
          <w:tcPr>
            <w:tcW w:w="127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中驰电子商</w:t>
            </w:r>
          </w:p>
          <w:p>
            <w:pPr>
              <w:pStyle w:val="TableParagraph"/>
              <w:spacing w:line="232" w:lineRule="exact" w:before="24"/>
              <w:ind w:left="103" w:right="10"/>
              <w:jc w:val="left"/>
              <w:rPr>
                <w:rFonts w:ascii="宋体" w:hAnsi="宋体" w:cs="宋体" w:eastAsia="宋体" w:hint="default"/>
                <w:sz w:val="18"/>
                <w:szCs w:val="18"/>
              </w:rPr>
            </w:pPr>
            <w:r>
              <w:rPr>
                <w:rFonts w:ascii="宋体" w:hAnsi="宋体" w:cs="宋体" w:eastAsia="宋体" w:hint="default"/>
                <w:spacing w:val="-5"/>
                <w:sz w:val="18"/>
                <w:szCs w:val="18"/>
              </w:rPr>
              <w:t>务（昆山）有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限公司（注</w:t>
            </w:r>
            <w:r>
              <w:rPr>
                <w:rFonts w:ascii="宋体" w:hAnsi="宋体" w:cs="宋体" w:eastAsia="宋体" w:hint="default"/>
                <w:spacing w:val="-44"/>
                <w:sz w:val="18"/>
                <w:szCs w:val="18"/>
              </w:rPr>
              <w:t> </w:t>
            </w:r>
            <w:r>
              <w:rPr>
                <w:rFonts w:ascii="Calibri" w:hAnsi="Calibri" w:cs="Calibri" w:eastAsia="Calibri" w:hint="default"/>
                <w:sz w:val="18"/>
                <w:szCs w:val="18"/>
              </w:rPr>
              <w:t>2</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85"/>
                <w:sz w:val="21"/>
              </w:rPr>
              <w:t>385,000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177,200</w:t>
            </w:r>
            <w:r>
              <w:rPr>
                <w:rFonts w:ascii="Times New Roman"/>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562,200</w:t>
            </w:r>
            <w:r>
              <w:rPr>
                <w:rFonts w:ascii="Times New Roman"/>
                <w:sz w:val="21"/>
              </w:rPr>
            </w:r>
          </w:p>
        </w:tc>
        <w:tc>
          <w:tcPr>
            <w:tcW w:w="1279"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中卫大河云</w:t>
            </w:r>
          </w:p>
          <w:p>
            <w:pPr>
              <w:pStyle w:val="TableParagraph"/>
              <w:spacing w:line="232" w:lineRule="exact" w:before="25"/>
              <w:ind w:left="103" w:right="260"/>
              <w:jc w:val="left"/>
              <w:rPr>
                <w:rFonts w:ascii="宋体" w:hAnsi="宋体" w:cs="宋体" w:eastAsia="宋体" w:hint="default"/>
                <w:sz w:val="18"/>
                <w:szCs w:val="18"/>
              </w:rPr>
            </w:pPr>
            <w:r>
              <w:rPr>
                <w:rFonts w:ascii="宋体" w:hAnsi="宋体" w:cs="宋体" w:eastAsia="宋体" w:hint="default"/>
                <w:sz w:val="18"/>
                <w:szCs w:val="18"/>
              </w:rPr>
              <w:t>联网络技术 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2,000,000</w:t>
            </w:r>
            <w:r>
              <w:rPr>
                <w:rFonts w:ascii="Times New Roman"/>
                <w:sz w:val="21"/>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2,000,000</w:t>
            </w:r>
            <w:r>
              <w:rPr>
                <w:rFonts w:ascii="Times New Roman"/>
                <w:sz w:val="21"/>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低于</w:t>
            </w:r>
          </w:p>
          <w:p>
            <w:pPr>
              <w:pStyle w:val="TableParagraph"/>
              <w:spacing w:line="240" w:lineRule="auto" w:before="27"/>
              <w:ind w:left="249" w:right="0"/>
              <w:jc w:val="left"/>
              <w:rPr>
                <w:rFonts w:ascii="Times New Roman" w:hAnsi="Times New Roman" w:cs="Times New Roman" w:eastAsia="Times New Roman" w:hint="default"/>
                <w:sz w:val="21"/>
                <w:szCs w:val="21"/>
              </w:rPr>
            </w:pPr>
            <w:r>
              <w:rPr>
                <w:rFonts w:ascii="Times New Roman"/>
                <w:sz w:val="21"/>
              </w:rPr>
              <w:t>10%</w:t>
            </w:r>
          </w:p>
        </w:tc>
        <w:tc>
          <w:tcPr>
            <w:tcW w:w="1131"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85"/>
                <w:sz w:val="21"/>
              </w:rPr>
              <w:t>370,420,681</w:t>
            </w:r>
            <w:r>
              <w:rPr>
                <w:rFonts w:ascii="宋体"/>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6"/>
              <w:jc w:val="right"/>
              <w:rPr>
                <w:rFonts w:ascii="宋体" w:hAnsi="宋体" w:cs="宋体" w:eastAsia="宋体" w:hint="default"/>
                <w:sz w:val="21"/>
                <w:szCs w:val="21"/>
              </w:rPr>
            </w:pPr>
            <w:r>
              <w:rPr>
                <w:rFonts w:ascii="宋体"/>
                <w:w w:val="85"/>
                <w:sz w:val="21"/>
              </w:rPr>
              <w:t>59,949,40</w:t>
            </w:r>
            <w:r>
              <w:rPr>
                <w:rFonts w:ascii="宋体"/>
                <w:sz w:val="21"/>
              </w:rPr>
            </w:r>
          </w:p>
          <w:p>
            <w:pPr>
              <w:pStyle w:val="TableParagraph"/>
              <w:spacing w:line="274" w:lineRule="exact"/>
              <w:ind w:right="103"/>
              <w:jc w:val="right"/>
              <w:rPr>
                <w:rFonts w:ascii="宋体" w:hAnsi="宋体" w:cs="宋体" w:eastAsia="宋体" w:hint="default"/>
                <w:sz w:val="21"/>
                <w:szCs w:val="21"/>
              </w:rPr>
            </w:pPr>
            <w:r>
              <w:rPr>
                <w:rFonts w:ascii="宋体"/>
                <w:w w:val="89"/>
                <w:sz w:val="21"/>
              </w:rPr>
              <w:t>0</w:t>
            </w:r>
            <w:r>
              <w:rPr>
                <w:rFonts w:ascii="宋体"/>
                <w:sz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6"/>
              <w:jc w:val="right"/>
              <w:rPr>
                <w:rFonts w:ascii="宋体" w:hAnsi="宋体" w:cs="宋体" w:eastAsia="宋体" w:hint="default"/>
                <w:sz w:val="21"/>
                <w:szCs w:val="21"/>
              </w:rPr>
            </w:pPr>
            <w:r>
              <w:rPr>
                <w:rFonts w:ascii="宋体"/>
                <w:w w:val="85"/>
                <w:sz w:val="21"/>
              </w:rPr>
              <w:t>21,655,97</w:t>
            </w:r>
            <w:r>
              <w:rPr>
                <w:rFonts w:ascii="宋体"/>
                <w:sz w:val="21"/>
              </w:rPr>
            </w:r>
          </w:p>
          <w:p>
            <w:pPr>
              <w:pStyle w:val="TableParagraph"/>
              <w:spacing w:line="274" w:lineRule="exact"/>
              <w:ind w:right="103"/>
              <w:jc w:val="right"/>
              <w:rPr>
                <w:rFonts w:ascii="宋体" w:hAnsi="宋体" w:cs="宋体" w:eastAsia="宋体" w:hint="default"/>
                <w:sz w:val="21"/>
                <w:szCs w:val="21"/>
              </w:rPr>
            </w:pPr>
            <w:r>
              <w:rPr>
                <w:rFonts w:ascii="宋体"/>
                <w:w w:val="89"/>
                <w:sz w:val="21"/>
              </w:rPr>
              <w:t>0</w:t>
            </w:r>
            <w:r>
              <w:rPr>
                <w:rFonts w:ascii="宋体"/>
                <w:sz w:val="21"/>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85"/>
                <w:sz w:val="21"/>
              </w:rPr>
              <w:t>408,714,111</w:t>
            </w:r>
            <w:r>
              <w:rPr>
                <w:rFonts w:ascii="宋体"/>
                <w:sz w:val="21"/>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w w:val="85"/>
                <w:sz w:val="21"/>
              </w:rPr>
              <w:t>100,00</w:t>
            </w:r>
            <w:r>
              <w:rPr>
                <w:rFonts w:ascii="宋体"/>
                <w:sz w:val="21"/>
              </w:rPr>
            </w:r>
          </w:p>
          <w:p>
            <w:pPr>
              <w:pStyle w:val="TableParagraph"/>
              <w:spacing w:line="274" w:lineRule="exact"/>
              <w:ind w:right="101"/>
              <w:jc w:val="right"/>
              <w:rPr>
                <w:rFonts w:ascii="宋体" w:hAnsi="宋体" w:cs="宋体" w:eastAsia="宋体" w:hint="default"/>
                <w:sz w:val="21"/>
                <w:szCs w:val="21"/>
              </w:rPr>
            </w:pPr>
            <w:r>
              <w:rPr>
                <w:rFonts w:ascii="宋体"/>
                <w:w w:val="89"/>
                <w:sz w:val="21"/>
              </w:rPr>
              <w:t>0</w:t>
            </w:r>
            <w:r>
              <w:rPr>
                <w:rFonts w:ascii="宋体"/>
                <w:sz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w w:val="85"/>
                <w:sz w:val="21"/>
              </w:rPr>
              <w:t>14,000,00</w:t>
            </w:r>
            <w:r>
              <w:rPr>
                <w:rFonts w:ascii="宋体"/>
                <w:sz w:val="21"/>
              </w:rPr>
            </w:r>
          </w:p>
          <w:p>
            <w:pPr>
              <w:pStyle w:val="TableParagraph"/>
              <w:spacing w:line="274" w:lineRule="exact"/>
              <w:ind w:right="101"/>
              <w:jc w:val="right"/>
              <w:rPr>
                <w:rFonts w:ascii="宋体" w:hAnsi="宋体" w:cs="宋体" w:eastAsia="宋体" w:hint="default"/>
                <w:sz w:val="21"/>
                <w:szCs w:val="21"/>
              </w:rPr>
            </w:pPr>
            <w:r>
              <w:rPr>
                <w:rFonts w:ascii="宋体"/>
                <w:w w:val="89"/>
                <w:sz w:val="21"/>
              </w:rPr>
              <w:t>0</w:t>
            </w:r>
            <w:r>
              <w:rPr>
                <w:rFonts w:ascii="宋体"/>
                <w:sz w:val="21"/>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4"/>
              <w:jc w:val="right"/>
              <w:rPr>
                <w:rFonts w:ascii="宋体" w:hAnsi="宋体" w:cs="宋体" w:eastAsia="宋体" w:hint="default"/>
                <w:sz w:val="21"/>
                <w:szCs w:val="21"/>
              </w:rPr>
            </w:pPr>
            <w:r>
              <w:rPr>
                <w:rFonts w:ascii="宋体"/>
                <w:w w:val="89"/>
                <w:sz w:val="21"/>
              </w:rPr>
              <w:t>-</w:t>
            </w:r>
            <w:r>
              <w:rPr>
                <w:rFonts w:ascii="宋体"/>
                <w:sz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w w:val="85"/>
                <w:sz w:val="21"/>
              </w:rPr>
              <w:t>14,100,00</w:t>
            </w:r>
            <w:r>
              <w:rPr>
                <w:rFonts w:ascii="宋体"/>
                <w:sz w:val="21"/>
              </w:rPr>
            </w:r>
          </w:p>
          <w:p>
            <w:pPr>
              <w:pStyle w:val="TableParagraph"/>
              <w:spacing w:line="274" w:lineRule="exact"/>
              <w:ind w:right="101"/>
              <w:jc w:val="right"/>
              <w:rPr>
                <w:rFonts w:ascii="宋体" w:hAnsi="宋体" w:cs="宋体" w:eastAsia="宋体" w:hint="default"/>
                <w:sz w:val="21"/>
                <w:szCs w:val="21"/>
              </w:rPr>
            </w:pPr>
            <w:r>
              <w:rPr>
                <w:rFonts w:ascii="宋体"/>
                <w:w w:val="89"/>
                <w:sz w:val="21"/>
              </w:rPr>
              <w:t>0</w:t>
            </w:r>
            <w:r>
              <w:rPr>
                <w:rFonts w:ascii="宋体"/>
                <w:sz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89"/>
                <w:sz w:val="21"/>
              </w:rPr>
              <w:t>/</w:t>
            </w:r>
            <w:r>
              <w:rPr>
                <w:rFonts w:ascii="宋体"/>
                <w:sz w:val="21"/>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 w:right="0"/>
              <w:jc w:val="left"/>
              <w:rPr>
                <w:rFonts w:ascii="宋体" w:hAnsi="宋体" w:cs="宋体" w:eastAsia="宋体" w:hint="default"/>
                <w:sz w:val="21"/>
                <w:szCs w:val="21"/>
              </w:rPr>
            </w:pPr>
            <w:r>
              <w:rPr>
                <w:rFonts w:ascii="宋体"/>
                <w:w w:val="95"/>
                <w:sz w:val="21"/>
              </w:rPr>
              <w:t>1,561,433</w:t>
            </w:r>
            <w:r>
              <w:rPr>
                <w:rFonts w:ascii="宋体"/>
                <w:sz w:val="21"/>
              </w:rPr>
            </w:r>
          </w:p>
        </w:tc>
      </w:tr>
    </w:tbl>
    <w:p>
      <w:pPr>
        <w:pStyle w:val="BodyText"/>
        <w:tabs>
          <w:tab w:pos="3261" w:val="left" w:leader="none"/>
        </w:tabs>
        <w:spacing w:line="241" w:lineRule="exact"/>
        <w:ind w:left="2554" w:right="0"/>
        <w:jc w:val="left"/>
      </w:pPr>
      <w:r>
        <w:rPr>
          <w:w w:val="99"/>
          <w:sz w:val="20"/>
          <w:szCs w:val="20"/>
        </w:rPr>
        <w:t>注</w:t>
      </w:r>
      <w:r>
        <w:rPr>
          <w:rFonts w:ascii="宋体" w:hAnsi="宋体" w:cs="宋体" w:eastAsia="宋体" w:hint="default"/>
          <w:spacing w:val="1"/>
          <w:w w:val="99"/>
          <w:sz w:val="20"/>
          <w:szCs w:val="20"/>
        </w:rPr>
        <w:t>1</w:t>
      </w:r>
      <w:r>
        <w:rPr>
          <w:w w:val="99"/>
          <w:sz w:val="20"/>
          <w:szCs w:val="20"/>
        </w:rPr>
        <w:t>．</w:t>
      </w:r>
      <w:r>
        <w:rPr>
          <w:sz w:val="20"/>
          <w:szCs w:val="20"/>
        </w:rPr>
        <w:tab/>
      </w:r>
      <w:r>
        <w:rPr>
          <w:w w:val="100"/>
        </w:rPr>
        <w:t>本集</w:t>
      </w:r>
      <w:r>
        <w:rPr>
          <w:spacing w:val="-3"/>
          <w:w w:val="100"/>
        </w:rPr>
        <w:t>团</w:t>
      </w:r>
      <w:r>
        <w:rPr>
          <w:w w:val="100"/>
        </w:rPr>
        <w:t>原</w:t>
      </w:r>
      <w:r>
        <w:rPr>
          <w:spacing w:val="-3"/>
          <w:w w:val="100"/>
        </w:rPr>
        <w:t>投</w:t>
      </w:r>
      <w:r>
        <w:rPr>
          <w:w w:val="100"/>
        </w:rPr>
        <w:t>资</w:t>
      </w:r>
      <w:r>
        <w:rPr>
          <w:spacing w:val="-3"/>
          <w:w w:val="100"/>
        </w:rPr>
        <w:t>项</w:t>
      </w:r>
      <w:r>
        <w:rPr>
          <w:w w:val="100"/>
        </w:rPr>
        <w:t>目</w:t>
      </w:r>
      <w:r>
        <w:rPr>
          <w:spacing w:val="-3"/>
          <w:w w:val="100"/>
        </w:rPr>
        <w:t>北</w:t>
      </w:r>
      <w:r>
        <w:rPr>
          <w:w w:val="100"/>
        </w:rPr>
        <w:t>京</w:t>
      </w:r>
      <w:r>
        <w:rPr>
          <w:spacing w:val="-3"/>
          <w:w w:val="100"/>
        </w:rPr>
        <w:t>创</w:t>
      </w:r>
      <w:r>
        <w:rPr>
          <w:w w:val="100"/>
        </w:rPr>
        <w:t>业创</w:t>
      </w:r>
      <w:r>
        <w:rPr>
          <w:spacing w:val="-3"/>
          <w:w w:val="100"/>
        </w:rPr>
        <w:t>媒</w:t>
      </w:r>
      <w:r>
        <w:rPr>
          <w:w w:val="100"/>
        </w:rPr>
        <w:t>传</w:t>
      </w:r>
      <w:r>
        <w:rPr>
          <w:spacing w:val="-3"/>
          <w:w w:val="100"/>
        </w:rPr>
        <w:t>媒</w:t>
      </w:r>
      <w:r>
        <w:rPr>
          <w:w w:val="100"/>
        </w:rPr>
        <w:t>技</w:t>
      </w:r>
      <w:r>
        <w:rPr>
          <w:spacing w:val="-3"/>
          <w:w w:val="100"/>
        </w:rPr>
        <w:t>术</w:t>
      </w:r>
      <w:r>
        <w:rPr>
          <w:w w:val="100"/>
        </w:rPr>
        <w:t>有</w:t>
      </w:r>
      <w:r>
        <w:rPr>
          <w:spacing w:val="-3"/>
          <w:w w:val="100"/>
        </w:rPr>
        <w:t>限</w:t>
      </w:r>
      <w:r>
        <w:rPr>
          <w:w w:val="100"/>
        </w:rPr>
        <w:t>公</w:t>
      </w:r>
      <w:r>
        <w:rPr>
          <w:spacing w:val="-3"/>
          <w:w w:val="100"/>
        </w:rPr>
        <w:t>司</w:t>
      </w:r>
      <w:r>
        <w:rPr>
          <w:w w:val="100"/>
        </w:rPr>
        <w:t>于</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spacing w:val="-3"/>
          <w:w w:val="100"/>
        </w:rPr>
        <w:t>年</w:t>
      </w:r>
      <w:r>
        <w:rPr>
          <w:w w:val="100"/>
        </w:rPr>
        <w:t>更</w:t>
      </w:r>
      <w:r>
        <w:rPr>
          <w:spacing w:val="-3"/>
          <w:w w:val="100"/>
        </w:rPr>
        <w:t>名</w:t>
      </w:r>
      <w:r>
        <w:rPr>
          <w:w w:val="100"/>
        </w:rPr>
        <w:t>为</w:t>
      </w:r>
      <w:r>
        <w:rPr>
          <w:spacing w:val="-3"/>
          <w:w w:val="100"/>
        </w:rPr>
        <w:t>创</w:t>
      </w:r>
      <w:r>
        <w:rPr>
          <w:w w:val="100"/>
        </w:rPr>
        <w:t>业</w:t>
      </w:r>
      <w:r>
        <w:rPr>
          <w:spacing w:val="-3"/>
          <w:w w:val="100"/>
        </w:rPr>
        <w:t>黑</w:t>
      </w:r>
      <w:r>
        <w:rPr>
          <w:spacing w:val="-87"/>
          <w:w w:val="100"/>
        </w:rPr>
        <w:t>马</w:t>
      </w:r>
      <w:r>
        <w:rPr>
          <w:spacing w:val="-3"/>
          <w:w w:val="100"/>
        </w:rPr>
        <w:t>（</w:t>
      </w:r>
      <w:r>
        <w:rPr>
          <w:w w:val="100"/>
        </w:rPr>
        <w:t>北</w:t>
      </w:r>
    </w:p>
    <w:p>
      <w:pPr>
        <w:pStyle w:val="BodyText"/>
        <w:spacing w:line="240" w:lineRule="auto" w:before="66"/>
        <w:ind w:left="3262" w:right="0"/>
        <w:jc w:val="left"/>
      </w:pPr>
      <w:r>
        <w:rPr/>
        <w:t>京）科技股份有限公司。</w:t>
      </w:r>
    </w:p>
    <w:p>
      <w:pPr>
        <w:spacing w:line="240" w:lineRule="auto" w:before="0"/>
        <w:rPr>
          <w:rFonts w:ascii="宋体" w:hAnsi="宋体" w:cs="宋体" w:eastAsia="宋体" w:hint="default"/>
          <w:sz w:val="20"/>
          <w:szCs w:val="20"/>
        </w:rPr>
      </w:pPr>
    </w:p>
    <w:p>
      <w:pPr>
        <w:pStyle w:val="BodyText"/>
        <w:spacing w:line="297" w:lineRule="auto" w:before="145"/>
        <w:ind w:left="3262" w:right="1268" w:hanging="708"/>
        <w:jc w:val="both"/>
      </w:pPr>
      <w:r>
        <w:rPr>
          <w:sz w:val="20"/>
          <w:szCs w:val="20"/>
        </w:rPr>
        <w:t>注</w:t>
      </w:r>
      <w:r>
        <w:rPr>
          <w:rFonts w:ascii="宋体" w:hAnsi="宋体" w:cs="宋体" w:eastAsia="宋体" w:hint="default"/>
          <w:sz w:val="20"/>
          <w:szCs w:val="20"/>
        </w:rPr>
        <w:t>2</w:t>
      </w:r>
      <w:r>
        <w:rPr>
          <w:sz w:val="20"/>
          <w:szCs w:val="20"/>
        </w:rPr>
        <w:t>．</w:t>
      </w:r>
      <w:r>
        <w:rPr>
          <w:spacing w:val="57"/>
          <w:sz w:val="20"/>
          <w:szCs w:val="20"/>
        </w:rPr>
        <w:t> </w:t>
      </w:r>
      <w:r>
        <w:rPr>
          <w:spacing w:val="-7"/>
        </w:rPr>
        <w:t>本集团原投资持股的启购时代电子商务（北京）有限公司和中驰车福电子商务（昆</w:t>
      </w:r>
      <w:r>
        <w:rPr>
          <w:spacing w:val="-101"/>
        </w:rPr>
        <w:t> </w:t>
      </w:r>
      <w:r>
        <w:rPr>
          <w:spacing w:val="-101"/>
        </w:rPr>
      </w:r>
      <w:r>
        <w:rPr>
          <w:spacing w:val="-4"/>
        </w:rPr>
        <w:t>山）有限公司于 </w:t>
      </w:r>
      <w:r>
        <w:rPr>
          <w:rFonts w:ascii="宋体" w:hAnsi="宋体" w:cs="宋体" w:eastAsia="宋体" w:hint="default"/>
        </w:rPr>
        <w:t>2015</w:t>
      </w:r>
      <w:r>
        <w:rPr>
          <w:rFonts w:ascii="宋体" w:hAnsi="宋体" w:cs="宋体" w:eastAsia="宋体" w:hint="default"/>
          <w:spacing w:val="-70"/>
        </w:rPr>
        <w:t> </w:t>
      </w:r>
      <w:r>
        <w:rPr>
          <w:spacing w:val="-4"/>
        </w:rPr>
        <w:t>年合并，合并成新公司中驰车福联合电子商务（北京）有限</w:t>
      </w:r>
      <w:r>
        <w:rPr>
          <w:w w:val="100"/>
        </w:rPr>
        <w:t> </w:t>
      </w:r>
      <w:r>
        <w:rPr/>
        <w:t>公司。</w:t>
      </w:r>
    </w:p>
    <w:p>
      <w:pPr>
        <w:spacing w:after="0" w:line="297" w:lineRule="auto"/>
        <w:jc w:val="both"/>
        <w:sectPr>
          <w:headerReference w:type="default" r:id="rId62"/>
          <w:pgSz w:w="11910" w:h="16840"/>
          <w:pgMar w:header="926" w:footer="1335" w:top="1120" w:bottom="152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6" w:footer="1335" w:top="1120" w:bottom="1520" w:left="1580" w:right="1040"/>
        </w:sectPr>
      </w:pPr>
    </w:p>
    <w:p>
      <w:pPr>
        <w:tabs>
          <w:tab w:pos="861" w:val="left" w:leader="none"/>
        </w:tabs>
        <w:spacing w:before="175"/>
        <w:ind w:left="218" w:right="0" w:firstLine="0"/>
        <w:jc w:val="left"/>
        <w:rPr>
          <w:rFonts w:ascii="宋体" w:hAnsi="宋体" w:cs="宋体" w:eastAsia="宋体" w:hint="default"/>
          <w:sz w:val="21"/>
          <w:szCs w:val="21"/>
        </w:rPr>
      </w:pPr>
      <w:r>
        <w:rPr>
          <w:rFonts w:ascii="宋体" w:hAnsi="宋体" w:cs="宋体" w:eastAsia="宋体" w:hint="default"/>
          <w:b/>
          <w:bCs/>
          <w:w w:val="95"/>
          <w:sz w:val="20"/>
          <w:szCs w:val="20"/>
        </w:rPr>
        <w:t>(4).</w:t>
        <w:tab/>
      </w:r>
      <w:r>
        <w:rPr>
          <w:rFonts w:ascii="宋体" w:hAnsi="宋体" w:cs="宋体" w:eastAsia="宋体" w:hint="default"/>
          <w:b/>
          <w:bCs/>
          <w:spacing w:val="-1"/>
          <w:sz w:val="21"/>
          <w:szCs w:val="21"/>
        </w:rPr>
        <w:t>报告期内可供出售金融资产减值的变动情况</w:t>
      </w:r>
      <w:r>
        <w:rPr>
          <w:rFonts w:ascii="宋体" w:hAnsi="宋体" w:cs="宋体" w:eastAsia="宋体" w:hint="default"/>
          <w:spacing w:val="-1"/>
          <w:sz w:val="21"/>
          <w:szCs w:val="21"/>
        </w:rPr>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4870" w:space="165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9"/>
        <w:gridCol w:w="1692"/>
        <w:gridCol w:w="1724"/>
        <w:gridCol w:w="1585"/>
        <w:gridCol w:w="1601"/>
      </w:tblGrid>
      <w:tr>
        <w:trPr>
          <w:trHeight w:val="55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8"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w:t>
            </w: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w:t>
            </w:r>
          </w:p>
        </w:tc>
      </w:tr>
      <w:tr>
        <w:trPr>
          <w:trHeight w:val="55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其中：从其他综合收益转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其中：期后公允价值回升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14,100,000</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14,100,000</w:t>
            </w:r>
          </w:p>
        </w:tc>
      </w:tr>
    </w:tbl>
    <w:p>
      <w:pPr>
        <w:pStyle w:val="BodyText"/>
        <w:spacing w:line="238" w:lineRule="exact"/>
        <w:ind w:left="878" w:right="225" w:hanging="12"/>
        <w:jc w:val="left"/>
      </w:pPr>
      <w:r>
        <w:rPr/>
        <w:t>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日，可供出售金额资产减值准备金额为人民币</w:t>
      </w:r>
      <w:r>
        <w:rPr>
          <w:rFonts w:ascii="宋体" w:hAnsi="宋体" w:cs="宋体" w:eastAsia="宋体" w:hint="default"/>
        </w:rPr>
        <w:t>14,100,000</w:t>
      </w:r>
      <w:r>
        <w:rPr/>
        <w:t>元</w:t>
      </w:r>
      <w:r>
        <w:rPr>
          <w:rFonts w:ascii="宋体" w:hAnsi="宋体" w:cs="宋体" w:eastAsia="宋体" w:hint="default"/>
        </w:rPr>
        <w:t>(2014</w:t>
      </w:r>
      <w:r>
        <w:rPr/>
        <w:t>年</w:t>
      </w:r>
      <w:r>
        <w:rPr>
          <w:rFonts w:ascii="宋体" w:hAnsi="宋体" w:cs="宋体" w:eastAsia="宋体" w:hint="default"/>
        </w:rPr>
        <w:t>12</w:t>
      </w:r>
      <w:r>
        <w:rPr/>
        <w:t>月</w:t>
      </w:r>
    </w:p>
    <w:p>
      <w:pPr>
        <w:pStyle w:val="BodyText"/>
        <w:spacing w:line="297" w:lineRule="auto" w:before="66"/>
        <w:ind w:left="878" w:right="225"/>
        <w:jc w:val="left"/>
      </w:pPr>
      <w:r>
        <w:rPr>
          <w:rFonts w:ascii="宋体" w:hAnsi="宋体" w:cs="宋体" w:eastAsia="宋体" w:hint="default"/>
          <w:spacing w:val="-2"/>
        </w:rPr>
        <w:t>31</w:t>
      </w:r>
      <w:r>
        <w:rPr>
          <w:spacing w:val="-2"/>
        </w:rPr>
        <w:t>日：人民币</w:t>
      </w:r>
      <w:r>
        <w:rPr>
          <w:rFonts w:ascii="宋体" w:hAnsi="宋体" w:cs="宋体" w:eastAsia="宋体" w:hint="default"/>
          <w:spacing w:val="-2"/>
        </w:rPr>
        <w:t>100,000</w:t>
      </w:r>
      <w:r>
        <w:rPr>
          <w:spacing w:val="-2"/>
        </w:rPr>
        <w:t>元</w:t>
      </w:r>
      <w:r>
        <w:rPr>
          <w:rFonts w:ascii="宋体" w:hAnsi="宋体" w:cs="宋体" w:eastAsia="宋体" w:hint="default"/>
          <w:spacing w:val="-2"/>
        </w:rPr>
        <w:t>)</w:t>
      </w:r>
      <w:r>
        <w:rPr>
          <w:spacing w:val="-2"/>
        </w:rPr>
        <w:t>，本年对北京族米科技有限公司计提减值准备人民币</w:t>
      </w:r>
      <w:r>
        <w:rPr>
          <w:rFonts w:ascii="宋体" w:hAnsi="宋体" w:cs="宋体" w:eastAsia="宋体" w:hint="default"/>
          <w:spacing w:val="-2"/>
        </w:rPr>
        <w:t>14,000,000</w:t>
      </w:r>
      <w:r>
        <w:rPr>
          <w:rFonts w:ascii="宋体" w:hAnsi="宋体" w:cs="宋体" w:eastAsia="宋体" w:hint="default"/>
          <w:spacing w:val="-32"/>
        </w:rPr>
        <w:t> </w:t>
      </w:r>
      <w:r>
        <w:rPr>
          <w:rFonts w:ascii="宋体" w:hAnsi="宋体" w:cs="宋体" w:eastAsia="宋体" w:hint="default"/>
          <w:spacing w:val="-32"/>
        </w:rPr>
      </w:r>
      <w:r>
        <w:rPr/>
        <w:t>元。</w:t>
      </w:r>
    </w:p>
    <w:p>
      <w:pPr>
        <w:spacing w:line="240" w:lineRule="auto" w:before="9"/>
        <w:rPr>
          <w:rFonts w:ascii="宋体" w:hAnsi="宋体" w:cs="宋体" w:eastAsia="宋体" w:hint="default"/>
          <w:sz w:val="26"/>
          <w:szCs w:val="26"/>
        </w:rPr>
      </w:pPr>
    </w:p>
    <w:p>
      <w:pPr>
        <w:pStyle w:val="Heading2"/>
        <w:tabs>
          <w:tab w:pos="861" w:val="left" w:leader="none"/>
        </w:tabs>
        <w:spacing w:line="240" w:lineRule="auto" w:before="0"/>
        <w:ind w:right="99"/>
        <w:jc w:val="left"/>
        <w:rPr>
          <w:b w:val="0"/>
          <w:bCs w:val="0"/>
        </w:rPr>
      </w:pPr>
      <w:r>
        <w:rPr>
          <w:rFonts w:ascii="宋体" w:hAnsi="宋体" w:cs="宋体" w:eastAsia="宋体" w:hint="default"/>
          <w:w w:val="95"/>
          <w:sz w:val="20"/>
          <w:szCs w:val="20"/>
        </w:rPr>
        <w:t>(5).</w:t>
        <w:tab/>
      </w:r>
      <w:r>
        <w:rPr/>
        <w:t>可供出售权益工具期末公允价值严重下跌或非暂时性下跌但未计提减值准备的相关说明：</w:t>
      </w:r>
      <w:r>
        <w:rPr>
          <w:b w:val="0"/>
          <w:bCs w:val="0"/>
        </w:rPr>
      </w:r>
    </w:p>
    <w:p>
      <w:pPr>
        <w:pStyle w:val="BodyText"/>
        <w:spacing w:line="272" w:lineRule="exact" w:before="86"/>
        <w:ind w:left="218" w:right="7474"/>
        <w:jc w:val="left"/>
      </w:pPr>
      <w:r>
        <w:rPr/>
        <w:t>□适用</w:t>
      </w:r>
      <w:r>
        <w:rPr>
          <w:spacing w:val="-1"/>
        </w:rPr>
        <w:t> </w:t>
      </w:r>
      <w:r>
        <w:rPr/>
        <w:t>√不适用</w:t>
      </w:r>
      <w:r>
        <w:rPr>
          <w:w w:val="100"/>
        </w:rPr>
        <w:t> </w:t>
      </w:r>
      <w:r>
        <w:rPr/>
        <w:t>其他说明</w:t>
      </w:r>
    </w:p>
    <w:p>
      <w:pPr>
        <w:spacing w:line="240" w:lineRule="auto" w:before="12"/>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520" w:left="1580" w:right="1040"/>
        </w:sectPr>
      </w:pPr>
    </w:p>
    <w:p>
      <w:pPr>
        <w:pStyle w:val="Heading2"/>
        <w:spacing w:line="240" w:lineRule="auto"/>
        <w:ind w:right="-17"/>
        <w:jc w:val="left"/>
        <w:rPr>
          <w:b w:val="0"/>
          <w:bCs w:val="0"/>
        </w:rPr>
      </w:pPr>
      <w:r>
        <w:rPr>
          <w:rFonts w:ascii="宋体" w:hAnsi="宋体" w:cs="宋体" w:eastAsia="宋体" w:hint="default"/>
        </w:rPr>
        <w:t>15</w:t>
      </w:r>
      <w:r>
        <w:rPr/>
        <w:t>、</w:t>
      </w:r>
      <w:r>
        <w:rPr>
          <w:spacing w:val="-24"/>
        </w:rPr>
        <w:t> </w:t>
      </w:r>
      <w:r>
        <w:rPr/>
        <w:t>持有至到期投资</w:t>
      </w:r>
      <w:r>
        <w:rPr>
          <w:b w:val="0"/>
          <w:bCs w:val="0"/>
        </w:rPr>
      </w:r>
    </w:p>
    <w:p>
      <w:pPr>
        <w:spacing w:before="56"/>
        <w:ind w:left="218" w:right="-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2753" w:space="3769"/>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59"/>
        <w:gridCol w:w="1261"/>
        <w:gridCol w:w="1130"/>
        <w:gridCol w:w="1179"/>
        <w:gridCol w:w="1248"/>
        <w:gridCol w:w="1155"/>
        <w:gridCol w:w="1164"/>
      </w:tblGrid>
      <w:tr>
        <w:trPr>
          <w:trHeight w:val="286" w:hRule="exact"/>
        </w:trPr>
        <w:tc>
          <w:tcPr>
            <w:tcW w:w="1759" w:type="dxa"/>
            <w:vMerge w:val="restart"/>
            <w:tcBorders>
              <w:top w:val="single" w:sz="6" w:space="0" w:color="000000"/>
              <w:left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759" w:type="dxa"/>
            <w:vMerge/>
            <w:tcBorders>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3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6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5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520" w:left="1580" w:right="1040"/>
        </w:sectPr>
      </w:pPr>
    </w:p>
    <w:p>
      <w:pPr>
        <w:pStyle w:val="Heading2"/>
        <w:spacing w:line="274" w:lineRule="exact"/>
        <w:ind w:right="-2"/>
        <w:jc w:val="left"/>
        <w:rPr>
          <w:b w:val="0"/>
          <w:bCs w:val="0"/>
        </w:rPr>
      </w:pPr>
      <w:r>
        <w:rPr>
          <w:rFonts w:ascii="宋体" w:hAnsi="宋体" w:cs="宋体" w:eastAsia="宋体" w:hint="default"/>
          <w:spacing w:val="-1"/>
        </w:rPr>
        <w:t>(2).</w:t>
      </w:r>
      <w:r>
        <w:rPr>
          <w:spacing w:val="-1"/>
        </w:rPr>
        <w:t>期末重要的持有至到期投资：</w:t>
      </w:r>
      <w:r>
        <w:rPr>
          <w:b w:val="0"/>
          <w:bCs w:val="0"/>
          <w:spacing w:val="-1"/>
        </w:rPr>
      </w:r>
    </w:p>
    <w:p>
      <w:pPr>
        <w:pStyle w:val="BodyText"/>
        <w:spacing w:line="274" w:lineRule="exact"/>
        <w:ind w:left="21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3384" w:space="3137"/>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708"/>
        <w:gridCol w:w="1567"/>
        <w:gridCol w:w="1455"/>
        <w:gridCol w:w="1474"/>
        <w:gridCol w:w="1692"/>
      </w:tblGrid>
      <w:tr>
        <w:trPr>
          <w:trHeight w:val="286"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债券项目</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票面利率</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实际利率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到期日</w:t>
            </w:r>
          </w:p>
        </w:tc>
      </w:tr>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Heading2"/>
        <w:spacing w:line="240" w:lineRule="auto"/>
        <w:ind w:right="2465"/>
        <w:jc w:val="left"/>
        <w:rPr>
          <w:b w:val="0"/>
          <w:bCs w:val="0"/>
        </w:rPr>
      </w:pPr>
      <w:r>
        <w:rPr>
          <w:rFonts w:ascii="宋体" w:hAnsi="宋体" w:cs="宋体" w:eastAsia="宋体" w:hint="default"/>
        </w:rPr>
        <w:t>(3).</w:t>
      </w:r>
      <w:r>
        <w:rPr/>
        <w:t>本期重分类的持有至到期投资：</w:t>
      </w:r>
      <w:r>
        <w:rPr>
          <w:b w:val="0"/>
          <w:bCs w:val="0"/>
        </w:rPr>
      </w:r>
    </w:p>
    <w:p>
      <w:pPr>
        <w:spacing w:line="240" w:lineRule="auto" w:before="11"/>
        <w:rPr>
          <w:rFonts w:ascii="宋体" w:hAnsi="宋体" w:cs="宋体" w:eastAsia="宋体" w:hint="default"/>
          <w:b/>
          <w:bCs/>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left="218"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52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926" w:footer="1335" w:top="1120" w:bottom="1520" w:left="120" w:right="200"/>
        </w:sectPr>
      </w:pPr>
    </w:p>
    <w:p>
      <w:pPr>
        <w:pStyle w:val="Heading2"/>
        <w:spacing w:line="240" w:lineRule="auto"/>
        <w:ind w:left="1678" w:right="-18"/>
        <w:jc w:val="left"/>
        <w:rPr>
          <w:b w:val="0"/>
          <w:bCs w:val="0"/>
        </w:rPr>
      </w:pPr>
      <w:r>
        <w:rPr>
          <w:rFonts w:ascii="宋体" w:hAnsi="宋体" w:cs="宋体" w:eastAsia="宋体" w:hint="default"/>
        </w:rPr>
        <w:t>16</w:t>
      </w:r>
      <w:r>
        <w:rPr/>
        <w:t>、</w:t>
      </w:r>
      <w:r>
        <w:rPr>
          <w:spacing w:val="-25"/>
        </w:rPr>
        <w:t> </w:t>
      </w:r>
      <w:r>
        <w:rPr/>
        <w:t>长期应收款</w:t>
      </w:r>
      <w:r>
        <w:rPr>
          <w:b w:val="0"/>
          <w:bCs w:val="0"/>
        </w:rPr>
      </w:r>
    </w:p>
    <w:p>
      <w:pPr>
        <w:spacing w:line="290" w:lineRule="auto" w:before="58"/>
        <w:ind w:left="1678" w:right="-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17</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240" w:lineRule="auto" w:before="14"/>
        <w:ind w:left="167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520" w:left="120" w:right="200"/>
          <w:cols w:num="2" w:equalWidth="0">
            <w:col w:w="3450" w:space="3072"/>
            <w:col w:w="5068"/>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848"/>
        <w:gridCol w:w="1188"/>
        <w:gridCol w:w="1220"/>
        <w:gridCol w:w="1277"/>
        <w:gridCol w:w="1133"/>
        <w:gridCol w:w="288"/>
        <w:gridCol w:w="994"/>
        <w:gridCol w:w="1133"/>
        <w:gridCol w:w="286"/>
        <w:gridCol w:w="283"/>
        <w:gridCol w:w="1279"/>
        <w:gridCol w:w="413"/>
      </w:tblGrid>
      <w:tr>
        <w:trPr>
          <w:trHeight w:val="281" w:hRule="exact"/>
        </w:trPr>
        <w:tc>
          <w:tcPr>
            <w:tcW w:w="1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1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379" w:right="374"/>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66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2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424" w:right="42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413" w:type="dxa"/>
            <w:vMerge w:val="restart"/>
            <w:tcBorders>
              <w:top w:val="single" w:sz="4" w:space="0" w:color="000000"/>
              <w:left w:val="single" w:sz="4" w:space="0" w:color="000000"/>
              <w:right w:val="single" w:sz="4" w:space="0" w:color="000000"/>
            </w:tcBorders>
          </w:tcPr>
          <w:p>
            <w:pPr>
              <w:pStyle w:val="TableParagraph"/>
              <w:spacing w:line="237" w:lineRule="auto" w:before="110"/>
              <w:ind w:left="103" w:right="87"/>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2189" w:hRule="exact"/>
        </w:trPr>
        <w:tc>
          <w:tcPr>
            <w:tcW w:w="1848" w:type="dxa"/>
            <w:vMerge/>
            <w:tcBorders>
              <w:left w:val="single" w:sz="4" w:space="0" w:color="000000"/>
              <w:bottom w:val="single" w:sz="4" w:space="0" w:color="000000"/>
              <w:right w:val="single" w:sz="4" w:space="0" w:color="000000"/>
            </w:tcBorders>
          </w:tcPr>
          <w:p>
            <w:pPr/>
          </w:p>
        </w:tc>
        <w:tc>
          <w:tcPr>
            <w:tcW w:w="1188" w:type="dxa"/>
            <w:vMerge/>
            <w:tcBorders>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84"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11"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39" w:right="139"/>
              <w:jc w:val="both"/>
              <w:rPr>
                <w:rFonts w:ascii="宋体" w:hAnsi="宋体" w:cs="宋体" w:eastAsia="宋体" w:hint="default"/>
                <w:sz w:val="21"/>
                <w:szCs w:val="21"/>
              </w:rPr>
            </w:pPr>
            <w:r>
              <w:rPr>
                <w:rFonts w:ascii="宋体" w:hAnsi="宋体" w:cs="宋体" w:eastAsia="宋体" w:hint="default"/>
                <w:sz w:val="21"/>
                <w:szCs w:val="21"/>
              </w:rPr>
              <w:t>权益法下</w:t>
            </w:r>
            <w:r>
              <w:rPr>
                <w:rFonts w:ascii="宋体" w:hAnsi="宋体" w:cs="宋体" w:eastAsia="宋体" w:hint="default"/>
                <w:w w:val="100"/>
                <w:sz w:val="21"/>
                <w:szCs w:val="21"/>
              </w:rPr>
              <w:t> </w:t>
            </w: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103" w:right="-37"/>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调</w:t>
            </w:r>
            <w:r>
              <w:rPr>
                <w:rFonts w:ascii="宋体" w:hAnsi="宋体" w:cs="宋体" w:eastAsia="宋体" w:hint="default"/>
                <w:w w:val="100"/>
                <w:sz w:val="21"/>
                <w:szCs w:val="21"/>
              </w:rPr>
              <w:t> </w:t>
            </w:r>
            <w:r>
              <w:rPr>
                <w:rFonts w:ascii="宋体" w:hAnsi="宋体" w:cs="宋体" w:eastAsia="宋体" w:hint="default"/>
                <w:sz w:val="21"/>
                <w:szCs w:val="21"/>
              </w:rPr>
              <w:t>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75" w:right="173"/>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41" w:right="137"/>
              <w:jc w:val="both"/>
              <w:rPr>
                <w:rFonts w:ascii="宋体" w:hAnsi="宋体" w:cs="宋体" w:eastAsia="宋体" w:hint="default"/>
                <w:sz w:val="21"/>
                <w:szCs w:val="21"/>
              </w:rPr>
            </w:pPr>
            <w:r>
              <w:rPr>
                <w:rFonts w:ascii="宋体" w:hAnsi="宋体" w:cs="宋体" w:eastAsia="宋体" w:hint="default"/>
                <w:sz w:val="21"/>
                <w:szCs w:val="21"/>
              </w:rPr>
              <w:t>宣告发放</w:t>
            </w:r>
            <w:r>
              <w:rPr>
                <w:rFonts w:ascii="宋体" w:hAnsi="宋体" w:cs="宋体" w:eastAsia="宋体" w:hint="default"/>
                <w:w w:val="100"/>
                <w:sz w:val="21"/>
                <w:szCs w:val="21"/>
              </w:rPr>
              <w:t> </w:t>
            </w: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39"/>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0" w:right="-3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279" w:type="dxa"/>
            <w:vMerge/>
            <w:tcBorders>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c>
          <w:tcPr>
            <w:tcW w:w="118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8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c>
          <w:tcPr>
            <w:tcW w:w="118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北京致远协创软件有</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8"/>
                <w:sz w:val="18"/>
                <w:szCs w:val="18"/>
              </w:rPr>
              <w:t>限公司</w:t>
            </w:r>
            <w:r>
              <w:rPr>
                <w:rFonts w:ascii="宋体" w:hAnsi="宋体" w:cs="宋体" w:eastAsia="宋体" w:hint="default"/>
                <w:spacing w:val="-8"/>
                <w:sz w:val="18"/>
                <w:szCs w:val="18"/>
              </w:rPr>
              <w:t>(</w:t>
            </w:r>
            <w:r>
              <w:rPr>
                <w:rFonts w:ascii="宋体" w:hAnsi="宋体" w:cs="宋体" w:eastAsia="宋体" w:hint="default"/>
                <w:spacing w:val="-8"/>
                <w:sz w:val="18"/>
                <w:szCs w:val="18"/>
              </w:rPr>
              <w:t>以下简称“致</w:t>
            </w:r>
            <w:r>
              <w:rPr>
                <w:rFonts w:ascii="宋体" w:hAnsi="宋体" w:cs="宋体" w:eastAsia="宋体" w:hint="default"/>
                <w:sz w:val="18"/>
                <w:szCs w:val="18"/>
              </w:rPr>
              <w:t> 远协创”</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58,244,043</w:t>
            </w:r>
            <w:r>
              <w:rPr>
                <w:rFonts w:ascii="Times New Roman"/>
                <w:sz w:val="21"/>
              </w:rPr>
            </w:r>
          </w:p>
        </w:tc>
        <w:tc>
          <w:tcPr>
            <w:tcW w:w="12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9" w:right="0"/>
              <w:jc w:val="left"/>
              <w:rPr>
                <w:rFonts w:ascii="Times New Roman" w:hAnsi="Times New Roman" w:cs="Times New Roman" w:eastAsia="Times New Roman" w:hint="default"/>
                <w:sz w:val="21"/>
                <w:szCs w:val="21"/>
              </w:rPr>
            </w:pPr>
            <w:r>
              <w:rPr>
                <w:rFonts w:ascii="Times New Roman"/>
                <w:w w:val="95"/>
                <w:sz w:val="21"/>
              </w:rPr>
              <w:t>-55,633,222</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-1,438,457</w:t>
            </w:r>
            <w:r>
              <w:rPr>
                <w:rFonts w:ascii="Times New Roman"/>
                <w:sz w:val="21"/>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1,217,501</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-2,389,865</w:t>
            </w:r>
            <w:r>
              <w:rPr>
                <w:rFonts w:ascii="Times New Roman"/>
                <w:sz w:val="21"/>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北京西玛国正商用表</w:t>
            </w:r>
          </w:p>
          <w:p>
            <w:pPr>
              <w:pStyle w:val="TableParagraph"/>
              <w:spacing w:line="237" w:lineRule="auto"/>
              <w:ind w:left="103" w:right="113"/>
              <w:jc w:val="left"/>
              <w:rPr>
                <w:rFonts w:ascii="宋体" w:hAnsi="宋体" w:cs="宋体" w:eastAsia="宋体" w:hint="default"/>
                <w:sz w:val="18"/>
                <w:szCs w:val="18"/>
              </w:rPr>
            </w:pPr>
            <w:r>
              <w:rPr>
                <w:rFonts w:ascii="宋体" w:hAnsi="宋体" w:cs="宋体" w:eastAsia="宋体" w:hint="default"/>
                <w:sz w:val="18"/>
                <w:szCs w:val="18"/>
              </w:rPr>
              <w:t>单技术有限公司</w:t>
            </w:r>
            <w:r>
              <w:rPr>
                <w:rFonts w:ascii="宋体" w:hAnsi="宋体" w:cs="宋体" w:eastAsia="宋体" w:hint="default"/>
                <w:sz w:val="18"/>
                <w:szCs w:val="18"/>
              </w:rPr>
              <w:t>(</w:t>
            </w:r>
            <w:r>
              <w:rPr>
                <w:rFonts w:ascii="宋体" w:hAnsi="宋体" w:cs="宋体" w:eastAsia="宋体" w:hint="default"/>
                <w:sz w:val="18"/>
                <w:szCs w:val="18"/>
              </w:rPr>
              <w:t>以 下简称“西玛商用表 单”</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6,192,432</w:t>
            </w:r>
            <w:r>
              <w:rPr>
                <w:rFonts w:ascii="Times New Roman"/>
                <w:sz w:val="21"/>
              </w:rPr>
            </w:r>
          </w:p>
        </w:tc>
        <w:tc>
          <w:tcPr>
            <w:tcW w:w="12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392,018</w:t>
            </w:r>
            <w:r>
              <w:rPr>
                <w:rFonts w:ascii="Times New Roman"/>
                <w:sz w:val="21"/>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-303,317</w:t>
            </w:r>
            <w:r>
              <w:rPr>
                <w:rFonts w:ascii="Times New Roman"/>
                <w:sz w:val="21"/>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6,281,133</w:t>
            </w:r>
            <w:r>
              <w:rPr>
                <w:rFonts w:ascii="Times New Roman"/>
                <w:sz w:val="21"/>
              </w:rPr>
            </w: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北京西玛永泰商用表</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单技术有限公司</w:t>
            </w:r>
            <w:r>
              <w:rPr>
                <w:rFonts w:ascii="宋体" w:hAnsi="宋体" w:cs="宋体" w:eastAsia="宋体" w:hint="default"/>
                <w:sz w:val="18"/>
                <w:szCs w:val="18"/>
              </w:rPr>
              <w:t>(</w:t>
            </w:r>
            <w:r>
              <w:rPr>
                <w:rFonts w:ascii="宋体" w:hAnsi="宋体" w:cs="宋体" w:eastAsia="宋体" w:hint="default"/>
                <w:sz w:val="18"/>
                <w:szCs w:val="18"/>
              </w:rPr>
              <w:t>以 </w:t>
            </w:r>
            <w:r>
              <w:rPr>
                <w:rFonts w:ascii="宋体" w:hAnsi="宋体" w:cs="宋体" w:eastAsia="宋体" w:hint="default"/>
                <w:spacing w:val="-8"/>
                <w:sz w:val="18"/>
                <w:szCs w:val="18"/>
              </w:rPr>
              <w:t>下简称“西玛永泰”</w:t>
            </w:r>
            <w:r>
              <w:rPr>
                <w:rFonts w:ascii="宋体" w:hAnsi="宋体" w:cs="宋体" w:eastAsia="宋体" w:hint="default"/>
                <w:spacing w:val="-8"/>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85"/>
                <w:sz w:val="21"/>
              </w:rPr>
              <w:t>398,813</w:t>
            </w:r>
            <w:r>
              <w:rPr>
                <w:rFonts w:ascii="Times New Roman"/>
                <w:sz w:val="21"/>
              </w:rPr>
            </w:r>
          </w:p>
        </w:tc>
        <w:tc>
          <w:tcPr>
            <w:tcW w:w="12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-41</w:t>
            </w:r>
            <w:r>
              <w:rPr>
                <w:rFonts w:ascii="Times New Roman"/>
                <w:sz w:val="21"/>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85"/>
                <w:sz w:val="21"/>
              </w:rPr>
              <w:t>398,772</w:t>
            </w:r>
            <w:r>
              <w:rPr>
                <w:rFonts w:ascii="Times New Roman"/>
                <w:sz w:val="21"/>
              </w:rPr>
            </w: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北京用友幸福联创投</w:t>
            </w:r>
          </w:p>
          <w:p>
            <w:pPr>
              <w:pStyle w:val="TableParagraph"/>
              <w:spacing w:line="237" w:lineRule="auto"/>
              <w:ind w:left="103" w:right="202"/>
              <w:jc w:val="left"/>
              <w:rPr>
                <w:rFonts w:ascii="宋体" w:hAnsi="宋体" w:cs="宋体" w:eastAsia="宋体" w:hint="default"/>
                <w:sz w:val="18"/>
                <w:szCs w:val="18"/>
              </w:rPr>
            </w:pPr>
            <w:r>
              <w:rPr>
                <w:rFonts w:ascii="宋体" w:hAnsi="宋体" w:cs="宋体" w:eastAsia="宋体" w:hint="default"/>
                <w:sz w:val="18"/>
                <w:szCs w:val="18"/>
              </w:rPr>
              <w:t>资中心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r>
              <w:rPr>
                <w:rFonts w:ascii="宋体" w:hAnsi="宋体" w:cs="宋体" w:eastAsia="宋体" w:hint="default"/>
                <w:sz w:val="18"/>
                <w:szCs w:val="18"/>
              </w:rPr>
              <w:t>以下简称“幸福联 创”</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69,895,530</w:t>
            </w:r>
            <w:r>
              <w:rPr>
                <w:rFonts w:ascii="Times New Roman"/>
                <w:sz w:val="21"/>
              </w:rPr>
            </w:r>
          </w:p>
        </w:tc>
        <w:tc>
          <w:tcPr>
            <w:tcW w:w="12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-1,186,094</w:t>
            </w:r>
            <w:r>
              <w:rPr>
                <w:rFonts w:ascii="Times New Roman"/>
                <w:sz w:val="21"/>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29,632</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68,739,068</w:t>
            </w:r>
            <w:r>
              <w:rPr>
                <w:rFonts w:ascii="Times New Roman"/>
                <w:sz w:val="21"/>
              </w:rPr>
            </w: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YUNNO(</w:t>
            </w:r>
            <w:r>
              <w:rPr>
                <w:rFonts w:ascii="宋体" w:hAnsi="宋体" w:cs="宋体" w:eastAsia="宋体" w:hint="default"/>
                <w:sz w:val="18"/>
                <w:szCs w:val="18"/>
              </w:rPr>
              <w:t>以下简称“用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友云安”</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民太安财产保险公估</w:t>
            </w:r>
          </w:p>
          <w:p>
            <w:pPr>
              <w:pStyle w:val="TableParagraph"/>
              <w:spacing w:line="232" w:lineRule="exact" w:before="23"/>
              <w:ind w:left="103" w:right="191"/>
              <w:jc w:val="left"/>
              <w:rPr>
                <w:rFonts w:ascii="宋体" w:hAnsi="宋体" w:cs="宋体" w:eastAsia="宋体" w:hint="default"/>
                <w:sz w:val="18"/>
                <w:szCs w:val="18"/>
              </w:rPr>
            </w:pPr>
            <w:r>
              <w:rPr>
                <w:rFonts w:ascii="宋体" w:hAnsi="宋体" w:cs="宋体" w:eastAsia="宋体" w:hint="default"/>
                <w:sz w:val="18"/>
                <w:szCs w:val="18"/>
              </w:rPr>
              <w:t>股份有限公司</w:t>
            </w:r>
            <w:r>
              <w:rPr>
                <w:rFonts w:ascii="宋体" w:hAnsi="宋体" w:cs="宋体" w:eastAsia="宋体" w:hint="default"/>
                <w:sz w:val="18"/>
                <w:szCs w:val="18"/>
              </w:rPr>
              <w:t>(</w:t>
            </w:r>
            <w:r>
              <w:rPr>
                <w:rFonts w:ascii="宋体" w:hAnsi="宋体" w:cs="宋体" w:eastAsia="宋体" w:hint="default"/>
                <w:sz w:val="18"/>
                <w:szCs w:val="18"/>
              </w:rPr>
              <w:t>以下 </w:t>
            </w:r>
            <w:r>
              <w:rPr>
                <w:rFonts w:ascii="宋体" w:hAnsi="宋体" w:cs="宋体" w:eastAsia="宋体" w:hint="default"/>
                <w:spacing w:val="-17"/>
                <w:sz w:val="18"/>
                <w:szCs w:val="18"/>
              </w:rPr>
              <w:t>简称“民太安公估”</w:t>
            </w:r>
            <w:r>
              <w:rPr>
                <w:rFonts w:ascii="宋体" w:hAnsi="宋体" w:cs="宋体" w:eastAsia="宋体" w:hint="default"/>
                <w:spacing w:val="-17"/>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45,165,687</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3,155,769</w:t>
            </w:r>
            <w:r>
              <w:rPr>
                <w:rFonts w:ascii="Times New Roman"/>
                <w:sz w:val="21"/>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48,321,456</w:t>
            </w:r>
            <w:r>
              <w:rPr>
                <w:rFonts w:ascii="Times New Roman"/>
                <w:sz w:val="21"/>
              </w:rPr>
            </w: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北京随锐科技有限公</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8"/>
                <w:sz w:val="18"/>
                <w:szCs w:val="18"/>
              </w:rPr>
              <w:t>司</w:t>
            </w:r>
            <w:r>
              <w:rPr>
                <w:rFonts w:ascii="宋体" w:hAnsi="宋体" w:cs="宋体" w:eastAsia="宋体" w:hint="default"/>
                <w:spacing w:val="-8"/>
                <w:sz w:val="18"/>
                <w:szCs w:val="18"/>
              </w:rPr>
              <w:t>(</w:t>
            </w:r>
            <w:r>
              <w:rPr>
                <w:rFonts w:ascii="宋体" w:hAnsi="宋体" w:cs="宋体" w:eastAsia="宋体" w:hint="default"/>
                <w:spacing w:val="-8"/>
                <w:sz w:val="18"/>
                <w:szCs w:val="18"/>
              </w:rPr>
              <w:t>以下简称“随锐科</w:t>
            </w:r>
            <w:r>
              <w:rPr>
                <w:rFonts w:ascii="宋体" w:hAnsi="宋体" w:cs="宋体" w:eastAsia="宋体" w:hint="default"/>
                <w:sz w:val="18"/>
                <w:szCs w:val="18"/>
              </w:rPr>
              <w:t> 技”</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13,093,770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394,884</w:t>
            </w:r>
            <w:r>
              <w:rPr>
                <w:rFonts w:ascii="Times New Roman"/>
                <w:sz w:val="21"/>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13,488,654</w:t>
            </w:r>
            <w:r>
              <w:rPr>
                <w:rFonts w:ascii="Times New Roman"/>
                <w:sz w:val="21"/>
              </w:rPr>
            </w: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北京爱肌肤科技有限</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8"/>
                <w:sz w:val="18"/>
                <w:szCs w:val="18"/>
              </w:rPr>
              <w:t>公司</w:t>
            </w:r>
            <w:r>
              <w:rPr>
                <w:rFonts w:ascii="宋体" w:hAnsi="宋体" w:cs="宋体" w:eastAsia="宋体" w:hint="default"/>
                <w:spacing w:val="-8"/>
                <w:sz w:val="18"/>
                <w:szCs w:val="18"/>
              </w:rPr>
              <w:t>(</w:t>
            </w:r>
            <w:r>
              <w:rPr>
                <w:rFonts w:ascii="宋体" w:hAnsi="宋体" w:cs="宋体" w:eastAsia="宋体" w:hint="default"/>
                <w:spacing w:val="-8"/>
                <w:sz w:val="18"/>
                <w:szCs w:val="18"/>
              </w:rPr>
              <w:t>以下简称“爱肌</w:t>
            </w:r>
            <w:r>
              <w:rPr>
                <w:rFonts w:ascii="宋体" w:hAnsi="宋体" w:cs="宋体" w:eastAsia="宋体" w:hint="default"/>
                <w:sz w:val="18"/>
                <w:szCs w:val="18"/>
              </w:rPr>
              <w:t> 肤科技”</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3,000,000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-334,716</w:t>
            </w:r>
            <w:r>
              <w:rPr>
                <w:rFonts w:ascii="Times New Roman"/>
                <w:sz w:val="21"/>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2,665,284</w:t>
            </w:r>
            <w:r>
              <w:rPr>
                <w:rFonts w:ascii="Times New Roman"/>
                <w:sz w:val="21"/>
              </w:rPr>
            </w: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北京慧友云商科技有</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8"/>
                <w:sz w:val="18"/>
                <w:szCs w:val="18"/>
              </w:rPr>
              <w:t>限公司</w:t>
            </w:r>
            <w:r>
              <w:rPr>
                <w:rFonts w:ascii="宋体" w:hAnsi="宋体" w:cs="宋体" w:eastAsia="宋体" w:hint="default"/>
                <w:spacing w:val="-8"/>
                <w:sz w:val="18"/>
                <w:szCs w:val="18"/>
              </w:rPr>
              <w:t>(</w:t>
            </w:r>
            <w:r>
              <w:rPr>
                <w:rFonts w:ascii="宋体" w:hAnsi="宋体" w:cs="宋体" w:eastAsia="宋体" w:hint="default"/>
                <w:spacing w:val="-8"/>
                <w:sz w:val="18"/>
                <w:szCs w:val="18"/>
              </w:rPr>
              <w:t>以下简称“慧</w:t>
            </w:r>
            <w:r>
              <w:rPr>
                <w:rFonts w:ascii="宋体" w:hAnsi="宋体" w:cs="宋体" w:eastAsia="宋体" w:hint="default"/>
                <w:sz w:val="18"/>
                <w:szCs w:val="18"/>
              </w:rPr>
              <w:t> 友云商”</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9,003,798</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-1,817,731</w:t>
            </w:r>
            <w:r>
              <w:rPr>
                <w:rFonts w:ascii="Times New Roman"/>
                <w:sz w:val="21"/>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7,186,067</w:t>
            </w:r>
            <w:r>
              <w:rPr>
                <w:rFonts w:ascii="Times New Roman"/>
                <w:sz w:val="21"/>
              </w:rPr>
            </w: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深圳市六度人和科技</w:t>
            </w:r>
          </w:p>
          <w:p>
            <w:pPr>
              <w:pStyle w:val="TableParagraph"/>
              <w:spacing w:line="232" w:lineRule="exact" w:before="23"/>
              <w:ind w:left="103" w:right="202"/>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以下简称 “六度人和”</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5,000,000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-814,476</w:t>
            </w:r>
            <w:r>
              <w:rPr>
                <w:rFonts w:ascii="Times New Roman"/>
                <w:sz w:val="21"/>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4,185,524</w:t>
            </w:r>
            <w:r>
              <w:rPr>
                <w:rFonts w:ascii="Times New Roman"/>
                <w:sz w:val="21"/>
              </w:rPr>
            </w: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西安融科通信技术有</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8"/>
                <w:sz w:val="18"/>
                <w:szCs w:val="18"/>
              </w:rPr>
              <w:t>限公司</w:t>
            </w:r>
            <w:r>
              <w:rPr>
                <w:rFonts w:ascii="宋体" w:hAnsi="宋体" w:cs="宋体" w:eastAsia="宋体" w:hint="default"/>
                <w:spacing w:val="-8"/>
                <w:sz w:val="18"/>
                <w:szCs w:val="18"/>
              </w:rPr>
              <w:t>(</w:t>
            </w:r>
            <w:r>
              <w:rPr>
                <w:rFonts w:ascii="宋体" w:hAnsi="宋体" w:cs="宋体" w:eastAsia="宋体" w:hint="default"/>
                <w:spacing w:val="-8"/>
                <w:sz w:val="18"/>
                <w:szCs w:val="18"/>
              </w:rPr>
              <w:t>以下简称“融</w:t>
            </w:r>
            <w:r>
              <w:rPr>
                <w:rFonts w:ascii="宋体" w:hAnsi="宋体" w:cs="宋体" w:eastAsia="宋体" w:hint="default"/>
                <w:sz w:val="18"/>
                <w:szCs w:val="18"/>
              </w:rPr>
              <w:t> 科通信”</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5,000,000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1,285</w:t>
            </w:r>
            <w:r>
              <w:rPr>
                <w:rFonts w:ascii="Times New Roman"/>
                <w:sz w:val="21"/>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5,001,285</w:t>
            </w:r>
            <w:r>
              <w:rPr>
                <w:rFonts w:ascii="Times New Roman"/>
                <w:sz w:val="21"/>
              </w:rPr>
            </w: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北京珊瑚灵御科技有</w:t>
            </w:r>
          </w:p>
        </w:tc>
        <w:tc>
          <w:tcPr>
            <w:tcW w:w="118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12,000,000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-844,598</w:t>
            </w:r>
            <w:r>
              <w:rPr>
                <w:rFonts w:ascii="Times New Roman"/>
                <w:sz w:val="21"/>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11,155,402</w:t>
            </w:r>
            <w:r>
              <w:rPr>
                <w:rFonts w:ascii="Times New Roman"/>
                <w:sz w:val="21"/>
              </w:rPr>
            </w:r>
          </w:p>
        </w:tc>
        <w:tc>
          <w:tcPr>
            <w:tcW w:w="41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520" w:left="120" w:right="2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848"/>
        <w:gridCol w:w="1188"/>
        <w:gridCol w:w="1220"/>
        <w:gridCol w:w="1277"/>
        <w:gridCol w:w="1133"/>
        <w:gridCol w:w="288"/>
        <w:gridCol w:w="994"/>
        <w:gridCol w:w="1133"/>
        <w:gridCol w:w="286"/>
        <w:gridCol w:w="283"/>
        <w:gridCol w:w="1279"/>
        <w:gridCol w:w="413"/>
      </w:tblGrid>
      <w:tr>
        <w:trPr>
          <w:trHeight w:val="47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pacing w:val="1"/>
                <w:sz w:val="18"/>
                <w:szCs w:val="18"/>
              </w:rPr>
              <w:t>(</w:t>
            </w:r>
            <w:r>
              <w:rPr>
                <w:rFonts w:ascii="宋体" w:hAnsi="宋体" w:cs="宋体" w:eastAsia="宋体" w:hint="default"/>
                <w:sz w:val="18"/>
                <w:szCs w:val="18"/>
              </w:rPr>
              <w:t>以下简</w:t>
            </w:r>
            <w:r>
              <w:rPr>
                <w:rFonts w:ascii="宋体" w:hAnsi="宋体" w:cs="宋体" w:eastAsia="宋体" w:hint="default"/>
                <w:spacing w:val="-80"/>
                <w:sz w:val="18"/>
                <w:szCs w:val="18"/>
              </w:rPr>
              <w:t>称</w:t>
            </w:r>
            <w:r>
              <w:rPr>
                <w:rFonts w:ascii="宋体" w:hAnsi="宋体" w:cs="宋体" w:eastAsia="宋体" w:hint="default"/>
                <w:sz w:val="18"/>
                <w:szCs w:val="18"/>
              </w:rPr>
              <w:t>“珊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瑚灵御”</w:t>
            </w:r>
            <w:r>
              <w:rPr>
                <w:rFonts w:ascii="宋体" w:hAnsi="宋体" w:cs="宋体" w:eastAsia="宋体" w:hint="default"/>
                <w:sz w:val="18"/>
                <w:szCs w:val="18"/>
              </w:rPr>
              <w:t>)</w:t>
            </w:r>
          </w:p>
        </w:tc>
        <w:tc>
          <w:tcPr>
            <w:tcW w:w="1188"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134,730,818</w:t>
            </w:r>
            <w:r>
              <w:rPr>
                <w:rFonts w:ascii="Times New Roman"/>
                <w:sz w:val="21"/>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92263255</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-55633222</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-2,492,157</w:t>
            </w:r>
            <w:r>
              <w:rPr>
                <w:rFonts w:ascii="Times New Roman"/>
                <w:sz w:val="21"/>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1,247,133</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-2,693,182</w:t>
            </w:r>
            <w:r>
              <w:rPr>
                <w:rFonts w:ascii="Times New Roman"/>
                <w:sz w:val="21"/>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6" w:right="0"/>
              <w:jc w:val="center"/>
              <w:rPr>
                <w:rFonts w:ascii="Times New Roman" w:hAnsi="Times New Roman" w:cs="Times New Roman" w:eastAsia="Times New Roman" w:hint="default"/>
                <w:sz w:val="21"/>
                <w:szCs w:val="21"/>
              </w:rPr>
            </w:pPr>
            <w:r>
              <w:rPr>
                <w:rFonts w:ascii="Times New Roman"/>
                <w:w w:val="95"/>
                <w:sz w:val="21"/>
              </w:rPr>
              <w:t>167,422,645</w:t>
            </w:r>
            <w:r>
              <w:rPr>
                <w:rFonts w:ascii="Times New Roman"/>
                <w:sz w:val="21"/>
              </w:rPr>
            </w:r>
          </w:p>
        </w:tc>
        <w:tc>
          <w:tcPr>
            <w:tcW w:w="4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134,730,818</w:t>
            </w:r>
            <w:r>
              <w:rPr>
                <w:rFonts w:ascii="Times New Roman"/>
                <w:sz w:val="21"/>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92,263,255</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-55,633,222</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w w:val="85"/>
                <w:sz w:val="21"/>
              </w:rPr>
              <w:t>-2,492,157</w:t>
            </w:r>
            <w:r>
              <w:rPr>
                <w:rFonts w:ascii="Times New Roman"/>
                <w:sz w:val="21"/>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1,247,133</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-2,693,182</w:t>
            </w:r>
            <w:r>
              <w:rPr>
                <w:rFonts w:ascii="Times New Roman"/>
                <w:sz w:val="21"/>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6" w:right="0"/>
              <w:jc w:val="center"/>
              <w:rPr>
                <w:rFonts w:ascii="Times New Roman" w:hAnsi="Times New Roman" w:cs="Times New Roman" w:eastAsia="Times New Roman" w:hint="default"/>
                <w:sz w:val="21"/>
                <w:szCs w:val="21"/>
              </w:rPr>
            </w:pPr>
            <w:r>
              <w:rPr>
                <w:rFonts w:ascii="Times New Roman"/>
                <w:w w:val="95"/>
                <w:sz w:val="21"/>
              </w:rPr>
              <w:t>167,422,645</w:t>
            </w:r>
            <w:r>
              <w:rPr>
                <w:rFonts w:ascii="Times New Roman"/>
                <w:sz w:val="21"/>
              </w:rPr>
            </w:r>
          </w:p>
        </w:tc>
        <w:tc>
          <w:tcPr>
            <w:tcW w:w="4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1678" w:right="0"/>
        <w:jc w:val="left"/>
      </w:pPr>
      <w:r>
        <w:rPr/>
        <w:t>其他说明</w:t>
      </w:r>
    </w:p>
    <w:p>
      <w:pPr>
        <w:spacing w:line="240" w:lineRule="auto" w:before="11"/>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6" w:footer="1335" w:top="1120" w:bottom="1520" w:left="120" w:right="200"/>
        </w:sectPr>
      </w:pPr>
    </w:p>
    <w:p>
      <w:pPr>
        <w:pStyle w:val="Heading2"/>
        <w:spacing w:line="240" w:lineRule="auto" w:before="37"/>
        <w:ind w:left="1678" w:right="-19"/>
        <w:jc w:val="left"/>
        <w:rPr>
          <w:b w:val="0"/>
          <w:bCs w:val="0"/>
        </w:rPr>
      </w:pPr>
      <w:r>
        <w:rPr>
          <w:rFonts w:ascii="宋体" w:hAnsi="宋体" w:cs="宋体" w:eastAsia="宋体" w:hint="default"/>
        </w:rPr>
        <w:t>18</w:t>
      </w:r>
      <w:r>
        <w:rPr/>
        <w:t>、</w:t>
      </w:r>
      <w:r>
        <w:rPr>
          <w:spacing w:val="-24"/>
        </w:rPr>
        <w:t> </w:t>
      </w:r>
      <w:r>
        <w:rPr/>
        <w:t>投资性房地产</w:t>
      </w:r>
      <w:r>
        <w:rPr>
          <w:b w:val="0"/>
          <w:bCs w:val="0"/>
        </w:rPr>
      </w:r>
    </w:p>
    <w:p>
      <w:pPr>
        <w:spacing w:line="290" w:lineRule="auto" w:before="56"/>
        <w:ind w:left="1678" w:right="2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pStyle w:val="Heading2"/>
        <w:spacing w:line="240" w:lineRule="auto" w:before="12"/>
        <w:ind w:left="167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520" w:left="120" w:right="200"/>
          <w:cols w:num="2" w:equalWidth="0">
            <w:col w:w="3534" w:space="2988"/>
            <w:col w:w="5068"/>
          </w:cols>
        </w:sectPr>
      </w:pPr>
    </w:p>
    <w:p>
      <w:pPr>
        <w:spacing w:line="240" w:lineRule="auto" w:before="4"/>
        <w:rPr>
          <w:rFonts w:ascii="宋体" w:hAnsi="宋体" w:cs="宋体" w:eastAsia="宋体" w:hint="default"/>
          <w:sz w:val="2"/>
          <w:szCs w:val="2"/>
        </w:rPr>
      </w:pPr>
    </w:p>
    <w:tbl>
      <w:tblPr>
        <w:tblW w:w="0" w:type="auto"/>
        <w:jc w:val="left"/>
        <w:tblInd w:w="1639" w:type="dxa"/>
        <w:tblLayout w:type="fixed"/>
        <w:tblCellMar>
          <w:top w:w="0" w:type="dxa"/>
          <w:left w:w="0" w:type="dxa"/>
          <w:bottom w:w="0" w:type="dxa"/>
          <w:right w:w="0" w:type="dxa"/>
        </w:tblCellMar>
        <w:tblLook w:val="01E0"/>
      </w:tblPr>
      <w:tblGrid>
        <w:gridCol w:w="2283"/>
        <w:gridCol w:w="1426"/>
        <w:gridCol w:w="1253"/>
        <w:gridCol w:w="1253"/>
        <w:gridCol w:w="1253"/>
        <w:gridCol w:w="1428"/>
      </w:tblGrid>
      <w:tr>
        <w:trPr>
          <w:trHeight w:val="562"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6"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办公及电子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设备</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6"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872,649,470</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131,605,689</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56,834,753</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277,102,888</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1,338,192,800</w:t>
            </w: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607,842,734</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35,929,649</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2,380,025</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59,327,224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705,479,632</w:t>
            </w:r>
          </w:p>
        </w:tc>
      </w:tr>
      <w:tr>
        <w:trPr>
          <w:trHeight w:val="286"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405,966</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2,380,025</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53,904,567</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56,690,558</w:t>
            </w:r>
          </w:p>
        </w:tc>
      </w:tr>
      <w:tr>
        <w:trPr>
          <w:trHeight w:val="562"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）在建工程转</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607,842,734</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35,523,683</w:t>
            </w: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4,690,255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648,056,672</w:t>
            </w:r>
          </w:p>
        </w:tc>
      </w:tr>
      <w:tr>
        <w:trPr>
          <w:trHeight w:val="559"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732,402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732,402</w:t>
            </w: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30,000</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8,286,294</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29,415,518</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37,731,812</w:t>
            </w: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4"/>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z w:val="21"/>
              </w:rPr>
              <w:t>30,000</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8,286,294</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29,415,518</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37,731,812</w:t>
            </w: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1,480,492,204</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167,505,338</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50,928,484</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307,014,594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2,005,940,620</w:t>
            </w:r>
          </w:p>
        </w:tc>
      </w:tr>
      <w:tr>
        <w:trPr>
          <w:trHeight w:val="286"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100,377,839</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40,729,669</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34,087,133</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203,815,932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379,010,573</w:t>
            </w: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29,146,487</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7,513,102</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7,321,252</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39,931,227</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83,912,068</w:t>
            </w:r>
          </w:p>
        </w:tc>
      </w:tr>
      <w:tr>
        <w:trPr>
          <w:trHeight w:val="286"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29,146,487</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7,513,102</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7,321,252</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39,931,227</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83,912,068</w:t>
            </w: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14,092</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6,225,483</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25,494,938</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31,734,513</w:t>
            </w: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4"/>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14,092</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6,225,483</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25,494,938</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31,734,513</w:t>
            </w:r>
          </w:p>
        </w:tc>
      </w:tr>
      <w:tr>
        <w:trPr>
          <w:trHeight w:val="286" w:hRule="exact"/>
        </w:trPr>
        <w:tc>
          <w:tcPr>
            <w:tcW w:w="2283"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129,524,326</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48,228,679</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35,182,902</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218,252,221</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431,188,128</w:t>
            </w: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4"/>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）处置或报废</w:t>
            </w: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426"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1,350,967,878</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119,276,659</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15,745,582</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88,762,373</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1,574,752,492</w:t>
            </w:r>
          </w:p>
        </w:tc>
      </w:tr>
    </w:tbl>
    <w:p>
      <w:pPr>
        <w:spacing w:after="0" w:line="243" w:lineRule="exact"/>
        <w:jc w:val="right"/>
        <w:rPr>
          <w:rFonts w:ascii="宋体" w:hAnsi="宋体" w:cs="宋体" w:eastAsia="宋体" w:hint="default"/>
          <w:sz w:val="21"/>
          <w:szCs w:val="21"/>
        </w:rPr>
        <w:sectPr>
          <w:type w:val="continuous"/>
          <w:pgSz w:w="11910" w:h="16840"/>
          <w:pgMar w:top="1120" w:bottom="1520" w:left="120" w:right="2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283"/>
        <w:gridCol w:w="1426"/>
        <w:gridCol w:w="1253"/>
        <w:gridCol w:w="1253"/>
        <w:gridCol w:w="1253"/>
        <w:gridCol w:w="1428"/>
      </w:tblGrid>
      <w:tr>
        <w:trPr>
          <w:trHeight w:val="288"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2" w:right="0"/>
              <w:jc w:val="left"/>
              <w:rPr>
                <w:rFonts w:ascii="宋体" w:hAnsi="宋体" w:cs="宋体" w:eastAsia="宋体" w:hint="default"/>
                <w:sz w:val="21"/>
                <w:szCs w:val="21"/>
              </w:rPr>
            </w:pPr>
            <w:r>
              <w:rPr>
                <w:rFonts w:ascii="宋体"/>
                <w:sz w:val="21"/>
              </w:rPr>
              <w:t>772,271,631</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63" w:right="0"/>
              <w:jc w:val="left"/>
              <w:rPr>
                <w:rFonts w:ascii="宋体" w:hAnsi="宋体" w:cs="宋体" w:eastAsia="宋体" w:hint="default"/>
                <w:sz w:val="21"/>
                <w:szCs w:val="21"/>
              </w:rPr>
            </w:pPr>
            <w:r>
              <w:rPr>
                <w:rFonts w:ascii="宋体"/>
                <w:sz w:val="21"/>
              </w:rPr>
              <w:t>90,876,020</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63" w:right="0"/>
              <w:jc w:val="left"/>
              <w:rPr>
                <w:rFonts w:ascii="宋体" w:hAnsi="宋体" w:cs="宋体" w:eastAsia="宋体" w:hint="default"/>
                <w:sz w:val="21"/>
                <w:szCs w:val="21"/>
              </w:rPr>
            </w:pPr>
            <w:r>
              <w:rPr>
                <w:rFonts w:ascii="宋体"/>
                <w:sz w:val="21"/>
              </w:rPr>
              <w:t>22,747,620</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63" w:right="0"/>
              <w:jc w:val="left"/>
              <w:rPr>
                <w:rFonts w:ascii="宋体" w:hAnsi="宋体" w:cs="宋体" w:eastAsia="宋体" w:hint="default"/>
                <w:sz w:val="21"/>
                <w:szCs w:val="21"/>
              </w:rPr>
            </w:pPr>
            <w:r>
              <w:rPr>
                <w:rFonts w:ascii="宋体"/>
                <w:sz w:val="21"/>
              </w:rPr>
              <w:t>73,286,956</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5" w:right="0"/>
              <w:jc w:val="left"/>
              <w:rPr>
                <w:rFonts w:ascii="宋体" w:hAnsi="宋体" w:cs="宋体" w:eastAsia="宋体" w:hint="default"/>
                <w:sz w:val="21"/>
                <w:szCs w:val="21"/>
              </w:rPr>
            </w:pPr>
            <w:r>
              <w:rPr>
                <w:rFonts w:ascii="宋体"/>
                <w:sz w:val="21"/>
              </w:rPr>
              <w:t>959,182,227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6" w:footer="1335" w:top="1120" w:bottom="1520" w:left="1580" w:right="102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6"/>
        <w:ind w:left="218" w:right="-18"/>
        <w:jc w:val="left"/>
      </w:pPr>
      <w:r>
        <w:rPr/>
        <w:t>□适用</w:t>
      </w:r>
      <w:r>
        <w:rPr>
          <w:spacing w:val="-1"/>
        </w:rPr>
        <w:t> </w:t>
      </w:r>
      <w:r>
        <w:rPr/>
        <w:t>√不适用</w:t>
      </w:r>
    </w:p>
    <w:p>
      <w:pPr>
        <w:pStyle w:val="Heading2"/>
        <w:spacing w:line="240" w:lineRule="auto" w:before="58"/>
        <w:ind w:right="-18"/>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6"/>
        <w:ind w:left="218" w:right="-18"/>
        <w:jc w:val="left"/>
      </w:pPr>
      <w:r>
        <w:rPr/>
        <w:t>□适用</w:t>
      </w:r>
      <w:r>
        <w:rPr>
          <w:spacing w:val="-1"/>
        </w:rPr>
        <w:t> </w:t>
      </w:r>
      <w:r>
        <w:rPr/>
        <w:t>√不适用</w:t>
      </w:r>
    </w:p>
    <w:p>
      <w:pPr>
        <w:pStyle w:val="Heading2"/>
        <w:spacing w:line="240" w:lineRule="auto" w:before="58"/>
        <w:ind w:right="-18"/>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8"/>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20"/>
          <w:cols w:num="2" w:equalWidth="0">
            <w:col w:w="3970" w:space="2552"/>
            <w:col w:w="278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53"/>
        <w:gridCol w:w="4897"/>
      </w:tblGrid>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506,106,337</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
        </w:tc>
        <w:tc>
          <w:tcPr>
            <w:tcW w:w="48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before="36"/>
        <w:ind w:left="218" w:right="0" w:firstLine="0"/>
        <w:jc w:val="left"/>
        <w:rPr>
          <w:rFonts w:ascii="宋体" w:hAnsi="宋体" w:cs="宋体" w:eastAsia="宋体" w:hint="default"/>
          <w:sz w:val="21"/>
          <w:szCs w:val="21"/>
        </w:rPr>
      </w:pPr>
      <w:r>
        <w:rPr>
          <w:rFonts w:ascii="宋体" w:hAnsi="宋体" w:cs="宋体" w:eastAsia="宋体" w:hint="default"/>
          <w:b/>
          <w:bCs/>
          <w:sz w:val="20"/>
          <w:szCs w:val="20"/>
        </w:rPr>
        <w:t>(5).</w:t>
      </w:r>
      <w:r>
        <w:rPr>
          <w:rFonts w:ascii="宋体" w:hAnsi="宋体" w:cs="宋体" w:eastAsia="宋体" w:hint="default"/>
          <w:b/>
          <w:bCs/>
          <w:spacing w:val="82"/>
          <w:sz w:val="20"/>
          <w:szCs w:val="20"/>
        </w:rPr>
        <w:t> </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pStyle w:val="BodyText"/>
        <w:spacing w:line="240" w:lineRule="auto" w:before="56"/>
        <w:ind w:left="218" w:right="7494"/>
        <w:jc w:val="left"/>
      </w:pPr>
      <w:r>
        <w:rPr/>
        <w:t>□适用</w:t>
      </w:r>
      <w:r>
        <w:rPr>
          <w:spacing w:val="-1"/>
        </w:rPr>
        <w:t> </w:t>
      </w:r>
      <w:r>
        <w:rPr/>
        <w:t>√不适用</w:t>
      </w:r>
      <w:r>
        <w:rPr>
          <w:w w:val="100"/>
        </w:rPr>
        <w:t> </w:t>
      </w:r>
      <w:r>
        <w:rPr/>
        <w:t>其他说明：</w:t>
      </w:r>
    </w:p>
    <w:p>
      <w:pPr>
        <w:pStyle w:val="BodyText"/>
        <w:spacing w:line="297" w:lineRule="auto"/>
        <w:ind w:left="645" w:right="103"/>
        <w:jc w:val="both"/>
      </w:pPr>
      <w:r>
        <w:rPr>
          <w:spacing w:val="-3"/>
        </w:rPr>
        <w:t>本集团于</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日的固定资产中不存在由于市价持续下跌、或技术陈旧、损坏、长期闲</w:t>
      </w:r>
      <w:r>
        <w:rPr>
          <w:spacing w:val="-41"/>
        </w:rPr>
        <w:t> </w:t>
      </w:r>
      <w:r>
        <w:rPr>
          <w:spacing w:val="-41"/>
        </w:rPr>
      </w:r>
      <w:r>
        <w:rPr/>
        <w:t>置等原因导致固定资产可收回金额低于账面价值的情况，故不需计提固定资产减值准备</w:t>
      </w:r>
      <w:r>
        <w:rPr>
          <w:rFonts w:ascii="宋体" w:hAnsi="宋体" w:cs="宋体" w:eastAsia="宋体" w:hint="default"/>
        </w:rPr>
        <w:t>(2014</w:t>
      </w:r>
      <w:r>
        <w:rPr>
          <w:rFonts w:ascii="宋体" w:hAnsi="宋体" w:cs="宋体" w:eastAsia="宋体" w:hint="default"/>
          <w:spacing w:val="-56"/>
        </w:rPr>
        <w:t> </w:t>
      </w:r>
      <w:r>
        <w:rPr/>
        <w:t>年</w:t>
      </w:r>
      <w:r>
        <w:rPr>
          <w:rFonts w:ascii="宋体" w:hAnsi="宋体" w:cs="宋体" w:eastAsia="宋体" w:hint="default"/>
        </w:rPr>
        <w:t>12</w:t>
      </w:r>
      <w:r>
        <w:rPr/>
        <w:t>月</w:t>
      </w:r>
      <w:r>
        <w:rPr>
          <w:rFonts w:ascii="宋体" w:hAnsi="宋体" w:cs="宋体" w:eastAsia="宋体" w:hint="default"/>
        </w:rPr>
        <w:t>31</w:t>
      </w:r>
      <w:r>
        <w:rPr/>
        <w:t>日：无</w:t>
      </w:r>
      <w:r>
        <w:rPr>
          <w:rFonts w:ascii="宋体" w:hAnsi="宋体" w:cs="宋体" w:eastAsia="宋体" w:hint="default"/>
        </w:rPr>
        <w:t>)</w:t>
      </w:r>
      <w:r>
        <w:rPr/>
        <w:t>。</w:t>
      </w:r>
    </w:p>
    <w:p>
      <w:pPr>
        <w:spacing w:line="240" w:lineRule="auto" w:before="3"/>
        <w:rPr>
          <w:rFonts w:ascii="宋体" w:hAnsi="宋体" w:cs="宋体" w:eastAsia="宋体" w:hint="default"/>
          <w:sz w:val="27"/>
          <w:szCs w:val="27"/>
        </w:rPr>
      </w:pPr>
    </w:p>
    <w:p>
      <w:pPr>
        <w:pStyle w:val="BodyText"/>
        <w:spacing w:line="295" w:lineRule="auto"/>
        <w:ind w:left="645" w:right="104"/>
        <w:jc w:val="both"/>
      </w:pPr>
      <w:r>
        <w:rPr/>
        <w:t>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日，本集团没有重大暂时闲置及已退废和准备处置的固定资产</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spacing w:val="-56"/>
        </w:rPr>
        <w:t> </w:t>
      </w:r>
      <w:r>
        <w:rPr/>
        <w:t>日：无</w:t>
      </w:r>
      <w:r>
        <w:rPr>
          <w:rFonts w:ascii="宋体" w:hAnsi="宋体" w:cs="宋体" w:eastAsia="宋体" w:hint="default"/>
        </w:rPr>
        <w:t>)</w:t>
      </w:r>
      <w:r>
        <w:rPr/>
        <w:t>。</w:t>
      </w:r>
    </w:p>
    <w:p>
      <w:pPr>
        <w:spacing w:line="240" w:lineRule="auto" w:before="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520" w:left="1580" w:right="1020"/>
        </w:sectPr>
      </w:pPr>
    </w:p>
    <w:p>
      <w:pPr>
        <w:pStyle w:val="Heading2"/>
        <w:spacing w:line="240" w:lineRule="auto"/>
        <w:ind w:right="-19"/>
        <w:jc w:val="left"/>
        <w:rPr>
          <w:b w:val="0"/>
          <w:bCs w:val="0"/>
        </w:rPr>
      </w:pPr>
      <w:r>
        <w:rPr>
          <w:rFonts w:ascii="宋体" w:hAnsi="宋体" w:cs="宋体" w:eastAsia="宋体" w:hint="default"/>
        </w:rPr>
        <w:t>20</w:t>
      </w:r>
      <w:r>
        <w:rPr/>
        <w:t>、</w:t>
      </w:r>
      <w:r>
        <w:rPr>
          <w:spacing w:val="-25"/>
        </w:rPr>
        <w:t> </w:t>
      </w:r>
      <w:r>
        <w:rPr/>
        <w:t>在建工程</w:t>
      </w:r>
      <w:r>
        <w:rPr>
          <w:b w:val="0"/>
          <w:bCs w:val="0"/>
        </w:rPr>
      </w:r>
    </w:p>
    <w:p>
      <w:pPr>
        <w:pStyle w:val="BodyText"/>
        <w:spacing w:line="240" w:lineRule="auto" w:before="56"/>
        <w:ind w:left="218" w:right="-19"/>
        <w:jc w:val="left"/>
      </w:pPr>
      <w:r>
        <w:rPr/>
        <w:t>√适用</w:t>
      </w:r>
      <w:r>
        <w:rPr>
          <w:spacing w:val="-1"/>
        </w:rPr>
        <w:t> </w:t>
      </w:r>
      <w:r>
        <w:rPr/>
        <w:t>□不适用</w:t>
      </w:r>
    </w:p>
    <w:p>
      <w:pPr>
        <w:spacing w:before="58"/>
        <w:ind w:left="218" w:right="-19" w:firstLine="0"/>
        <w:jc w:val="left"/>
        <w:rPr>
          <w:rFonts w:ascii="宋体" w:hAnsi="宋体" w:cs="宋体" w:eastAsia="宋体" w:hint="default"/>
          <w:sz w:val="21"/>
          <w:szCs w:val="21"/>
        </w:rPr>
      </w:pPr>
      <w:r>
        <w:rPr>
          <w:rFonts w:ascii="宋体" w:hAnsi="宋体" w:cs="宋体" w:eastAsia="宋体" w:hint="default"/>
          <w:b/>
          <w:bCs/>
          <w:sz w:val="20"/>
          <w:szCs w:val="20"/>
        </w:rPr>
        <w:t>(1).</w:t>
      </w:r>
      <w:r>
        <w:rPr>
          <w:rFonts w:ascii="宋体" w:hAnsi="宋体" w:cs="宋体" w:eastAsia="宋体" w:hint="default"/>
          <w:b/>
          <w:bCs/>
          <w:spacing w:val="85"/>
          <w:sz w:val="20"/>
          <w:szCs w:val="20"/>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20"/>
          <w:cols w:num="2" w:equalWidth="0">
            <w:col w:w="2074" w:space="4448"/>
            <w:col w:w="278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33"/>
        <w:gridCol w:w="1323"/>
        <w:gridCol w:w="1058"/>
        <w:gridCol w:w="1289"/>
        <w:gridCol w:w="1217"/>
        <w:gridCol w:w="1059"/>
        <w:gridCol w:w="1217"/>
      </w:tblGrid>
      <w:tr>
        <w:trPr>
          <w:trHeight w:val="286" w:hRule="exact"/>
        </w:trPr>
        <w:tc>
          <w:tcPr>
            <w:tcW w:w="1733"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9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733" w:type="dxa"/>
            <w:vMerge/>
            <w:tcBorders>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2"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37"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2"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01"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559"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用友软件园项目</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二期工程</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369,584,135</w:t>
            </w:r>
          </w:p>
        </w:tc>
        <w:tc>
          <w:tcPr>
            <w:tcW w:w="1058"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369,584,135</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552,137,958</w:t>
            </w:r>
          </w:p>
        </w:tc>
        <w:tc>
          <w:tcPr>
            <w:tcW w:w="1059"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552,137,958</w:t>
            </w:r>
          </w:p>
        </w:tc>
      </w:tr>
      <w:tr>
        <w:trPr>
          <w:trHeight w:val="562"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z w:val="21"/>
                <w:szCs w:val="21"/>
              </w:rPr>
              <w:t>(</w:t>
            </w:r>
            <w:r>
              <w:rPr>
                <w:rFonts w:ascii="宋体" w:hAnsi="宋体" w:cs="宋体" w:eastAsia="宋体" w:hint="default"/>
                <w:sz w:val="21"/>
                <w:szCs w:val="21"/>
              </w:rPr>
              <w:t>南昌</w:t>
            </w:r>
            <w:r>
              <w:rPr>
                <w:rFonts w:ascii="宋体" w:hAnsi="宋体" w:cs="宋体" w:eastAsia="宋体" w:hint="default"/>
                <w:sz w:val="21"/>
                <w:szCs w:val="21"/>
              </w:rPr>
              <w:t>)</w:t>
            </w:r>
            <w:r>
              <w:rPr>
                <w:rFonts w:ascii="宋体" w:hAnsi="宋体" w:cs="宋体" w:eastAsia="宋体" w:hint="default"/>
                <w:sz w:val="21"/>
                <w:szCs w:val="21"/>
              </w:rPr>
              <w:t>工程</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一期</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25"/>
              <w:jc w:val="right"/>
              <w:rPr>
                <w:rFonts w:ascii="宋体" w:hAnsi="宋体" w:cs="宋体" w:eastAsia="宋体" w:hint="default"/>
                <w:sz w:val="21"/>
                <w:szCs w:val="21"/>
              </w:rPr>
            </w:pPr>
            <w:r>
              <w:rPr>
                <w:rFonts w:ascii="宋体"/>
                <w:spacing w:val="-1"/>
                <w:sz w:val="21"/>
              </w:rPr>
              <w:t>22,688,356</w:t>
            </w:r>
          </w:p>
        </w:tc>
        <w:tc>
          <w:tcPr>
            <w:tcW w:w="1058"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1"/>
              <w:jc w:val="right"/>
              <w:rPr>
                <w:rFonts w:ascii="宋体" w:hAnsi="宋体" w:cs="宋体" w:eastAsia="宋体" w:hint="default"/>
                <w:sz w:val="21"/>
                <w:szCs w:val="21"/>
              </w:rPr>
            </w:pPr>
            <w:r>
              <w:rPr>
                <w:rFonts w:ascii="宋体"/>
                <w:spacing w:val="-1"/>
                <w:sz w:val="21"/>
              </w:rPr>
              <w:t>22,688,356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289,405,101</w:t>
            </w:r>
          </w:p>
        </w:tc>
        <w:tc>
          <w:tcPr>
            <w:tcW w:w="1059"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289,405,101</w:t>
            </w:r>
          </w:p>
        </w:tc>
      </w:tr>
      <w:tr>
        <w:trPr>
          <w:trHeight w:val="286"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22,589,771</w:t>
            </w:r>
          </w:p>
        </w:tc>
        <w:tc>
          <w:tcPr>
            <w:tcW w:w="1058"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22,589,771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9,320,217</w:t>
            </w:r>
          </w:p>
        </w:tc>
        <w:tc>
          <w:tcPr>
            <w:tcW w:w="1059"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9,320,217</w:t>
            </w:r>
          </w:p>
        </w:tc>
      </w:tr>
      <w:tr>
        <w:trPr>
          <w:trHeight w:val="288"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5"/>
              <w:jc w:val="right"/>
              <w:rPr>
                <w:rFonts w:ascii="宋体" w:hAnsi="宋体" w:cs="宋体" w:eastAsia="宋体" w:hint="default"/>
                <w:sz w:val="21"/>
                <w:szCs w:val="21"/>
              </w:rPr>
            </w:pPr>
            <w:r>
              <w:rPr>
                <w:rFonts w:ascii="宋体"/>
                <w:spacing w:val="-1"/>
                <w:sz w:val="21"/>
              </w:rPr>
              <w:t>414,862,262</w:t>
            </w:r>
          </w:p>
        </w:tc>
        <w:tc>
          <w:tcPr>
            <w:tcW w:w="1058"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414,862,262</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850,863,276</w:t>
            </w:r>
          </w:p>
        </w:tc>
        <w:tc>
          <w:tcPr>
            <w:tcW w:w="1059"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850,863,276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520" w:left="1580" w:right="1020"/>
        </w:sectPr>
      </w:pPr>
    </w:p>
    <w:p>
      <w:pPr>
        <w:spacing w:before="36"/>
        <w:ind w:left="218" w:right="-18" w:firstLine="0"/>
        <w:jc w:val="left"/>
        <w:rPr>
          <w:rFonts w:ascii="宋体" w:hAnsi="宋体" w:cs="宋体" w:eastAsia="宋体" w:hint="default"/>
          <w:sz w:val="21"/>
          <w:szCs w:val="21"/>
        </w:rPr>
      </w:pPr>
      <w:r>
        <w:rPr>
          <w:rFonts w:ascii="宋体" w:hAnsi="宋体" w:cs="宋体" w:eastAsia="宋体" w:hint="default"/>
          <w:b/>
          <w:bCs/>
          <w:sz w:val="20"/>
          <w:szCs w:val="20"/>
        </w:rPr>
        <w:t>(2).</w:t>
      </w:r>
      <w:r>
        <w:rPr>
          <w:rFonts w:ascii="宋体" w:hAnsi="宋体" w:cs="宋体" w:eastAsia="宋体" w:hint="default"/>
          <w:b/>
          <w:bCs/>
          <w:spacing w:val="82"/>
          <w:sz w:val="20"/>
          <w:szCs w:val="20"/>
        </w:rPr>
        <w:t> </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20"/>
          <w:cols w:num="2" w:equalWidth="0">
            <w:col w:w="3759" w:space="2763"/>
            <w:col w:w="278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852"/>
        <w:gridCol w:w="1275"/>
        <w:gridCol w:w="1135"/>
        <w:gridCol w:w="1136"/>
        <w:gridCol w:w="1274"/>
        <w:gridCol w:w="283"/>
        <w:gridCol w:w="1136"/>
        <w:gridCol w:w="566"/>
        <w:gridCol w:w="427"/>
        <w:gridCol w:w="992"/>
        <w:gridCol w:w="991"/>
        <w:gridCol w:w="566"/>
        <w:gridCol w:w="711"/>
      </w:tblGrid>
      <w:tr>
        <w:trPr>
          <w:trHeight w:val="2194"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59" w:right="151" w:hanging="209"/>
              <w:jc w:val="left"/>
              <w:rPr>
                <w:rFonts w:ascii="宋体" w:hAnsi="宋体" w:cs="宋体" w:eastAsia="宋体" w:hint="default"/>
                <w:sz w:val="21"/>
                <w:szCs w:val="21"/>
              </w:rPr>
            </w:pPr>
            <w:r>
              <w:rPr>
                <w:rFonts w:ascii="宋体" w:hAnsi="宋体" w:cs="宋体" w:eastAsia="宋体" w:hint="default"/>
                <w:sz w:val="21"/>
                <w:szCs w:val="21"/>
              </w:rPr>
              <w:t>项目名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59"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97" w:right="39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95" w:right="190" w:hanging="21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67" w:right="137"/>
              <w:jc w:val="left"/>
              <w:rPr>
                <w:rFonts w:ascii="宋体" w:hAnsi="宋体" w:cs="宋体" w:eastAsia="宋体" w:hint="default"/>
                <w:sz w:val="21"/>
                <w:szCs w:val="21"/>
              </w:rPr>
            </w:pPr>
            <w:r>
              <w:rPr>
                <w:rFonts w:ascii="宋体" w:hAnsi="宋体" w:cs="宋体" w:eastAsia="宋体" w:hint="default"/>
                <w:sz w:val="21"/>
                <w:szCs w:val="21"/>
              </w:rPr>
              <w:t>本期转入固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定资产金额</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23" w:right="3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50" w:right="34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64" w:right="62"/>
              <w:jc w:val="center"/>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累计</w:t>
            </w:r>
            <w:r>
              <w:rPr>
                <w:rFonts w:ascii="宋体" w:hAnsi="宋体" w:cs="宋体" w:eastAsia="宋体" w:hint="default"/>
                <w:w w:val="100"/>
                <w:sz w:val="21"/>
                <w:szCs w:val="21"/>
              </w:rPr>
              <w:t> </w:t>
            </w:r>
            <w:r>
              <w:rPr>
                <w:rFonts w:ascii="宋体" w:hAnsi="宋体" w:cs="宋体" w:eastAsia="宋体" w:hint="default"/>
                <w:sz w:val="21"/>
                <w:szCs w:val="21"/>
              </w:rPr>
              <w:t>投入</w:t>
            </w:r>
            <w:r>
              <w:rPr>
                <w:rFonts w:ascii="宋体" w:hAnsi="宋体" w:cs="宋体" w:eastAsia="宋体" w:hint="default"/>
                <w:w w:val="100"/>
                <w:sz w:val="21"/>
                <w:szCs w:val="21"/>
              </w:rPr>
              <w:t> </w:t>
            </w:r>
            <w:r>
              <w:rPr>
                <w:rFonts w:ascii="宋体" w:hAnsi="宋体" w:cs="宋体" w:eastAsia="宋体" w:hint="default"/>
                <w:sz w:val="21"/>
                <w:szCs w:val="21"/>
              </w:rPr>
              <w:t>占预</w:t>
            </w:r>
            <w:r>
              <w:rPr>
                <w:rFonts w:ascii="宋体" w:hAnsi="宋体" w:cs="宋体" w:eastAsia="宋体" w:hint="default"/>
                <w:w w:val="100"/>
                <w:sz w:val="21"/>
                <w:szCs w:val="21"/>
              </w:rPr>
              <w:t> </w:t>
            </w:r>
            <w:r>
              <w:rPr>
                <w:rFonts w:ascii="宋体" w:hAnsi="宋体" w:cs="宋体" w:eastAsia="宋体" w:hint="default"/>
                <w:sz w:val="21"/>
                <w:szCs w:val="21"/>
              </w:rPr>
              <w:t>算比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64" w:right="68"/>
              <w:jc w:val="center"/>
              <w:rPr>
                <w:rFonts w:ascii="宋体" w:hAnsi="宋体" w:cs="宋体" w:eastAsia="宋体" w:hint="default"/>
                <w:sz w:val="21"/>
                <w:szCs w:val="21"/>
              </w:rPr>
            </w:pPr>
            <w:r>
              <w:rPr>
                <w:rFonts w:ascii="宋体" w:hAnsi="宋体" w:cs="宋体" w:eastAsia="宋体" w:hint="default"/>
                <w:sz w:val="21"/>
                <w:szCs w:val="21"/>
              </w:rPr>
              <w:t>利息资本</w:t>
            </w:r>
            <w:r>
              <w:rPr>
                <w:rFonts w:ascii="宋体" w:hAnsi="宋体" w:cs="宋体" w:eastAsia="宋体" w:hint="default"/>
                <w:w w:val="100"/>
                <w:sz w:val="21"/>
                <w:szCs w:val="21"/>
              </w:rPr>
              <w:t> </w:t>
            </w:r>
            <w:r>
              <w:rPr>
                <w:rFonts w:ascii="宋体" w:hAnsi="宋体" w:cs="宋体" w:eastAsia="宋体" w:hint="default"/>
                <w:sz w:val="21"/>
                <w:szCs w:val="21"/>
              </w:rPr>
              <w:t>化累计金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64" w:right="67"/>
              <w:jc w:val="both"/>
              <w:rPr>
                <w:rFonts w:ascii="宋体" w:hAnsi="宋体" w:cs="宋体" w:eastAsia="宋体" w:hint="default"/>
                <w:sz w:val="21"/>
                <w:szCs w:val="21"/>
              </w:rPr>
            </w:pPr>
            <w:r>
              <w:rPr>
                <w:rFonts w:ascii="宋体" w:hAnsi="宋体" w:cs="宋体" w:eastAsia="宋体" w:hint="default"/>
                <w:sz w:val="21"/>
                <w:szCs w:val="21"/>
              </w:rPr>
              <w:t>其中：本</w:t>
            </w:r>
            <w:r>
              <w:rPr>
                <w:rFonts w:ascii="宋体" w:hAnsi="宋体" w:cs="宋体" w:eastAsia="宋体" w:hint="default"/>
                <w:w w:val="100"/>
                <w:sz w:val="21"/>
                <w:szCs w:val="21"/>
              </w:rPr>
              <w:t> </w:t>
            </w:r>
            <w:r>
              <w:rPr>
                <w:rFonts w:ascii="宋体" w:hAnsi="宋体" w:cs="宋体" w:eastAsia="宋体" w:hint="default"/>
                <w:sz w:val="21"/>
                <w:szCs w:val="21"/>
              </w:rPr>
              <w:t>期利息资</w:t>
            </w:r>
            <w:r>
              <w:rPr>
                <w:rFonts w:ascii="宋体" w:hAnsi="宋体" w:cs="宋体" w:eastAsia="宋体" w:hint="default"/>
                <w:w w:val="100"/>
                <w:sz w:val="21"/>
                <w:szCs w:val="21"/>
              </w:rPr>
              <w:t> </w:t>
            </w:r>
            <w:r>
              <w:rPr>
                <w:rFonts w:ascii="宋体" w:hAnsi="宋体" w:cs="宋体" w:eastAsia="宋体" w:hint="default"/>
                <w:sz w:val="21"/>
                <w:szCs w:val="21"/>
              </w:rPr>
              <w:t>本化金额</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62" w:right="65"/>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化率</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40" w:right="33" w:hanging="212"/>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p>
        </w:tc>
      </w:tr>
      <w:tr>
        <w:trPr>
          <w:trHeight w:val="1106"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sz w:val="21"/>
                <w:szCs w:val="21"/>
              </w:rPr>
              <w:t>用友软</w:t>
            </w:r>
          </w:p>
          <w:p>
            <w:pPr>
              <w:pStyle w:val="TableParagraph"/>
              <w:spacing w:line="237" w:lineRule="auto"/>
              <w:ind w:left="23" w:right="179"/>
              <w:jc w:val="both"/>
              <w:rPr>
                <w:rFonts w:ascii="宋体" w:hAnsi="宋体" w:cs="宋体" w:eastAsia="宋体" w:hint="default"/>
                <w:sz w:val="21"/>
                <w:szCs w:val="21"/>
              </w:rPr>
            </w:pPr>
            <w:r>
              <w:rPr>
                <w:rFonts w:ascii="宋体" w:hAnsi="宋体" w:cs="宋体" w:eastAsia="宋体" w:hint="default"/>
                <w:sz w:val="21"/>
                <w:szCs w:val="21"/>
              </w:rPr>
              <w:t>件园项</w:t>
            </w:r>
            <w:r>
              <w:rPr>
                <w:rFonts w:ascii="宋体" w:hAnsi="宋体" w:cs="宋体" w:eastAsia="宋体" w:hint="default"/>
                <w:spacing w:val="-102"/>
                <w:sz w:val="21"/>
                <w:szCs w:val="21"/>
              </w:rPr>
              <w:t> </w:t>
            </w:r>
            <w:r>
              <w:rPr>
                <w:rFonts w:ascii="宋体" w:hAnsi="宋体" w:cs="宋体" w:eastAsia="宋体" w:hint="default"/>
                <w:sz w:val="21"/>
                <w:szCs w:val="21"/>
              </w:rPr>
              <w:t>目二期</w:t>
            </w:r>
            <w:r>
              <w:rPr>
                <w:rFonts w:ascii="宋体" w:hAnsi="宋体" w:cs="宋体" w:eastAsia="宋体" w:hint="default"/>
                <w:spacing w:val="-102"/>
                <w:sz w:val="21"/>
                <w:szCs w:val="21"/>
              </w:rPr>
              <w:t> </w:t>
            </w:r>
            <w:r>
              <w:rPr>
                <w:rFonts w:ascii="宋体" w:hAnsi="宋体" w:cs="宋体" w:eastAsia="宋体" w:hint="default"/>
                <w:sz w:val="21"/>
                <w:szCs w:val="21"/>
              </w:rPr>
              <w:t>工程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30"/>
              <w:jc w:val="right"/>
              <w:rPr>
                <w:rFonts w:ascii="Times New Roman" w:hAnsi="Times New Roman" w:cs="Times New Roman" w:eastAsia="Times New Roman" w:hint="default"/>
                <w:sz w:val="21"/>
                <w:szCs w:val="21"/>
              </w:rPr>
            </w:pPr>
            <w:r>
              <w:rPr>
                <w:rFonts w:ascii="Times New Roman"/>
                <w:w w:val="85"/>
                <w:sz w:val="21"/>
              </w:rPr>
              <w:t>1,400,000,000</w:t>
            </w:r>
            <w:r>
              <w:rPr>
                <w:rFonts w:ascii="Times New Roman"/>
                <w:sz w:val="21"/>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pacing w:val="-1"/>
                <w:w w:val="90"/>
                <w:sz w:val="18"/>
              </w:rPr>
              <w:t>552,137,958</w:t>
            </w:r>
            <w:r>
              <w:rPr>
                <w:rFonts w:ascii="Times New Roman"/>
                <w:spacing w:val="-1"/>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Times New Roman" w:hAnsi="Times New Roman" w:cs="Times New Roman" w:eastAsia="Times New Roman" w:hint="default"/>
                <w:sz w:val="18"/>
                <w:szCs w:val="18"/>
              </w:rPr>
            </w:pPr>
            <w:r>
              <w:rPr>
                <w:rFonts w:ascii="Times New Roman"/>
                <w:spacing w:val="-1"/>
                <w:w w:val="90"/>
                <w:sz w:val="18"/>
              </w:rPr>
              <w:t>95,719,553</w:t>
            </w:r>
            <w:r>
              <w:rPr>
                <w:rFonts w:ascii="Times New Roman"/>
                <w:spacing w:val="-1"/>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98" w:right="0"/>
              <w:jc w:val="center"/>
              <w:rPr>
                <w:rFonts w:ascii="Times New Roman" w:hAnsi="Times New Roman" w:cs="Times New Roman" w:eastAsia="Times New Roman" w:hint="default"/>
                <w:sz w:val="18"/>
                <w:szCs w:val="18"/>
              </w:rPr>
            </w:pPr>
            <w:r>
              <w:rPr>
                <w:rFonts w:ascii="Times New Roman"/>
                <w:w w:val="95"/>
                <w:sz w:val="21"/>
              </w:rPr>
              <w:t>-</w:t>
            </w:r>
            <w:r>
              <w:rPr>
                <w:rFonts w:ascii="Times New Roman"/>
                <w:w w:val="95"/>
                <w:sz w:val="18"/>
              </w:rPr>
              <w:t>278,273,376</w:t>
            </w:r>
            <w:r>
              <w:rPr>
                <w:rFonts w:ascii="Times New Roman"/>
                <w:sz w:val="18"/>
              </w:rPr>
            </w:r>
          </w:p>
        </w:tc>
        <w:tc>
          <w:tcPr>
            <w:tcW w:w="28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Times New Roman" w:hAnsi="Times New Roman" w:cs="Times New Roman" w:eastAsia="Times New Roman" w:hint="default"/>
                <w:sz w:val="18"/>
                <w:szCs w:val="18"/>
              </w:rPr>
            </w:pPr>
            <w:r>
              <w:rPr>
                <w:rFonts w:ascii="Times New Roman"/>
                <w:spacing w:val="-1"/>
                <w:w w:val="90"/>
                <w:sz w:val="18"/>
              </w:rPr>
              <w:t>369,584,135</w:t>
            </w:r>
            <w:r>
              <w:rPr>
                <w:rFonts w:ascii="Times New Roman"/>
                <w:spacing w:val="-1"/>
                <w:sz w:val="18"/>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w w:val="95"/>
                <w:sz w:val="21"/>
              </w:rPr>
              <w:t>86%</w:t>
            </w:r>
            <w:r>
              <w:rPr>
                <w:rFonts w:ascii="Times New Roman"/>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30"/>
              <w:jc w:val="right"/>
              <w:rPr>
                <w:rFonts w:ascii="Times New Roman" w:hAnsi="Times New Roman" w:cs="Times New Roman" w:eastAsia="Times New Roman" w:hint="default"/>
                <w:sz w:val="20"/>
                <w:szCs w:val="20"/>
              </w:rPr>
            </w:pPr>
            <w:r>
              <w:rPr>
                <w:rFonts w:ascii="Times New Roman"/>
                <w:w w:val="85"/>
                <w:sz w:val="20"/>
              </w:rPr>
              <w:t>54,918,029</w:t>
            </w:r>
            <w:r>
              <w:rPr>
                <w:rFonts w:ascii="Times New Roman"/>
                <w:sz w:val="20"/>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30"/>
              <w:jc w:val="right"/>
              <w:rPr>
                <w:rFonts w:ascii="Times New Roman" w:hAnsi="Times New Roman" w:cs="Times New Roman" w:eastAsia="Times New Roman" w:hint="default"/>
                <w:sz w:val="20"/>
                <w:szCs w:val="20"/>
              </w:rPr>
            </w:pPr>
            <w:r>
              <w:rPr>
                <w:rFonts w:ascii="Times New Roman"/>
                <w:w w:val="85"/>
                <w:sz w:val="20"/>
              </w:rPr>
              <w:t>14,945,311</w:t>
            </w:r>
            <w:r>
              <w:rPr>
                <w:rFonts w:ascii="Times New Roman"/>
                <w:sz w:val="20"/>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211" w:right="0"/>
              <w:jc w:val="left"/>
              <w:rPr>
                <w:rFonts w:ascii="Times New Roman" w:hAnsi="Times New Roman" w:cs="Times New Roman" w:eastAsia="Times New Roman" w:hint="default"/>
                <w:sz w:val="20"/>
                <w:szCs w:val="20"/>
              </w:rPr>
            </w:pPr>
            <w:r>
              <w:rPr>
                <w:rFonts w:ascii="Times New Roman"/>
                <w:w w:val="95"/>
                <w:sz w:val="20"/>
              </w:rPr>
              <w:t>6.59</w:t>
            </w:r>
            <w:r>
              <w:rPr>
                <w:rFonts w:ascii="Times New Roman"/>
                <w:sz w:val="20"/>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自筹资</w:t>
            </w:r>
          </w:p>
          <w:p>
            <w:pPr>
              <w:pStyle w:val="TableParagraph"/>
              <w:spacing w:line="240" w:lineRule="auto"/>
              <w:ind w:left="21" w:right="39"/>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w:t>
            </w:r>
            <w:r>
              <w:rPr>
                <w:rFonts w:ascii="宋体" w:hAnsi="宋体" w:cs="宋体" w:eastAsia="宋体" w:hint="default"/>
                <w:sz w:val="21"/>
                <w:szCs w:val="21"/>
              </w:rPr>
              <w:t>银</w:t>
            </w:r>
            <w:r>
              <w:rPr>
                <w:rFonts w:ascii="宋体" w:hAnsi="宋体" w:cs="宋体" w:eastAsia="宋体" w:hint="default"/>
                <w:spacing w:val="-102"/>
                <w:sz w:val="21"/>
                <w:szCs w:val="21"/>
              </w:rPr>
              <w:t> </w:t>
            </w:r>
            <w:r>
              <w:rPr>
                <w:rFonts w:ascii="宋体" w:hAnsi="宋体" w:cs="宋体" w:eastAsia="宋体" w:hint="default"/>
                <w:sz w:val="21"/>
                <w:szCs w:val="21"/>
              </w:rPr>
              <w:t>行贷款</w:t>
            </w:r>
          </w:p>
        </w:tc>
      </w:tr>
      <w:tr>
        <w:trPr>
          <w:trHeight w:val="1105"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用友</w:t>
            </w:r>
          </w:p>
          <w:p>
            <w:pPr>
              <w:pStyle w:val="TableParagraph"/>
              <w:spacing w:line="237" w:lineRule="auto"/>
              <w:ind w:left="23" w:right="17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南昌</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工程一</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30"/>
              <w:jc w:val="right"/>
              <w:rPr>
                <w:rFonts w:ascii="Times New Roman" w:hAnsi="Times New Roman" w:cs="Times New Roman" w:eastAsia="Times New Roman" w:hint="default"/>
                <w:sz w:val="21"/>
                <w:szCs w:val="21"/>
              </w:rPr>
            </w:pPr>
            <w:r>
              <w:rPr>
                <w:rFonts w:ascii="Times New Roman"/>
                <w:w w:val="85"/>
                <w:sz w:val="21"/>
              </w:rPr>
              <w:t>450,000,000</w:t>
            </w:r>
            <w:r>
              <w:rPr>
                <w:rFonts w:ascii="Times New Roman"/>
                <w:sz w:val="21"/>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0"/>
              <w:jc w:val="right"/>
              <w:rPr>
                <w:rFonts w:ascii="Times New Roman" w:hAnsi="Times New Roman" w:cs="Times New Roman" w:eastAsia="Times New Roman" w:hint="default"/>
                <w:sz w:val="18"/>
                <w:szCs w:val="18"/>
              </w:rPr>
            </w:pPr>
            <w:r>
              <w:rPr>
                <w:rFonts w:ascii="Times New Roman"/>
                <w:spacing w:val="-1"/>
                <w:w w:val="90"/>
                <w:sz w:val="18"/>
              </w:rPr>
              <w:t>289,405,101</w:t>
            </w:r>
            <w:r>
              <w:rPr>
                <w:rFonts w:ascii="Times New Roman"/>
                <w:spacing w:val="-1"/>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5"/>
              <w:jc w:val="right"/>
              <w:rPr>
                <w:rFonts w:ascii="Times New Roman" w:hAnsi="Times New Roman" w:cs="Times New Roman" w:eastAsia="Times New Roman" w:hint="default"/>
                <w:sz w:val="18"/>
                <w:szCs w:val="18"/>
              </w:rPr>
            </w:pPr>
            <w:r>
              <w:rPr>
                <w:rFonts w:ascii="Times New Roman"/>
                <w:spacing w:val="-1"/>
                <w:w w:val="90"/>
                <w:sz w:val="18"/>
              </w:rPr>
              <w:t>103,066,551</w:t>
            </w:r>
            <w:r>
              <w:rPr>
                <w:rFonts w:ascii="Times New Roman"/>
                <w:spacing w:val="-1"/>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8" w:right="0"/>
              <w:jc w:val="center"/>
              <w:rPr>
                <w:rFonts w:ascii="Times New Roman" w:hAnsi="Times New Roman" w:cs="Times New Roman" w:eastAsia="Times New Roman" w:hint="default"/>
                <w:sz w:val="18"/>
                <w:szCs w:val="18"/>
              </w:rPr>
            </w:pPr>
            <w:r>
              <w:rPr>
                <w:rFonts w:ascii="Times New Roman"/>
                <w:w w:val="95"/>
                <w:sz w:val="21"/>
              </w:rPr>
              <w:t>-</w:t>
            </w:r>
            <w:r>
              <w:rPr>
                <w:rFonts w:ascii="Times New Roman"/>
                <w:w w:val="95"/>
                <w:sz w:val="18"/>
              </w:rPr>
              <w:t>369,783,296</w:t>
            </w:r>
            <w:r>
              <w:rPr>
                <w:rFonts w:ascii="Times New Roman"/>
                <w:sz w:val="18"/>
              </w:rPr>
            </w:r>
          </w:p>
        </w:tc>
        <w:tc>
          <w:tcPr>
            <w:tcW w:w="28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0"/>
              <w:jc w:val="right"/>
              <w:rPr>
                <w:rFonts w:ascii="Times New Roman" w:hAnsi="Times New Roman" w:cs="Times New Roman" w:eastAsia="Times New Roman" w:hint="default"/>
                <w:sz w:val="18"/>
                <w:szCs w:val="18"/>
              </w:rPr>
            </w:pPr>
            <w:r>
              <w:rPr>
                <w:rFonts w:ascii="Times New Roman"/>
                <w:spacing w:val="-1"/>
                <w:w w:val="90"/>
                <w:sz w:val="18"/>
              </w:rPr>
              <w:t>22,688,356</w:t>
            </w:r>
            <w:r>
              <w:rPr>
                <w:rFonts w:ascii="Times New Roman"/>
                <w:spacing w:val="-1"/>
                <w:sz w:val="18"/>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Times New Roman" w:hAnsi="Times New Roman" w:cs="Times New Roman" w:eastAsia="Times New Roman" w:hint="default"/>
                <w:sz w:val="21"/>
                <w:szCs w:val="21"/>
              </w:rPr>
            </w:pPr>
            <w:r>
              <w:rPr>
                <w:rFonts w:ascii="Times New Roman"/>
                <w:w w:val="95"/>
                <w:sz w:val="21"/>
              </w:rPr>
              <w:t>87%</w:t>
            </w:r>
            <w:r>
              <w:rPr>
                <w:rFonts w:ascii="Times New Roman"/>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27"/>
              <w:jc w:val="right"/>
              <w:rPr>
                <w:rFonts w:ascii="Times New Roman" w:hAnsi="Times New Roman" w:cs="Times New Roman" w:eastAsia="Times New Roman" w:hint="default"/>
                <w:sz w:val="21"/>
                <w:szCs w:val="21"/>
              </w:rPr>
            </w:pPr>
            <w:r>
              <w:rPr>
                <w:rFonts w:ascii="Times New Roman"/>
                <w:w w:val="85"/>
                <w:sz w:val="21"/>
              </w:rPr>
              <w:t>16,813,405</w:t>
            </w:r>
            <w:r>
              <w:rPr>
                <w:rFonts w:ascii="Times New Roman"/>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27"/>
              <w:jc w:val="right"/>
              <w:rPr>
                <w:rFonts w:ascii="Times New Roman" w:hAnsi="Times New Roman" w:cs="Times New Roman" w:eastAsia="Times New Roman" w:hint="default"/>
                <w:sz w:val="21"/>
                <w:szCs w:val="21"/>
              </w:rPr>
            </w:pPr>
            <w:r>
              <w:rPr>
                <w:rFonts w:ascii="Times New Roman"/>
                <w:w w:val="85"/>
                <w:sz w:val="21"/>
              </w:rPr>
              <w:t>8,127,322</w:t>
            </w:r>
            <w:r>
              <w:rPr>
                <w:rFonts w:ascii="Times New Roman"/>
                <w:sz w:val="21"/>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4" w:right="0"/>
              <w:jc w:val="left"/>
              <w:rPr>
                <w:rFonts w:ascii="Times New Roman" w:hAnsi="Times New Roman" w:cs="Times New Roman" w:eastAsia="Times New Roman" w:hint="default"/>
                <w:sz w:val="21"/>
                <w:szCs w:val="21"/>
              </w:rPr>
            </w:pPr>
            <w:r>
              <w:rPr>
                <w:rFonts w:ascii="Times New Roman"/>
                <w:w w:val="95"/>
                <w:sz w:val="21"/>
              </w:rPr>
              <w:t>6.06</w:t>
            </w:r>
            <w:r>
              <w:rPr>
                <w:rFonts w:ascii="Times New Roman"/>
                <w:sz w:val="21"/>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自筹资</w:t>
            </w:r>
          </w:p>
          <w:p>
            <w:pPr>
              <w:pStyle w:val="TableParagraph"/>
              <w:spacing w:line="240" w:lineRule="auto"/>
              <w:ind w:left="21" w:right="39"/>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w:t>
            </w:r>
            <w:r>
              <w:rPr>
                <w:rFonts w:ascii="宋体" w:hAnsi="宋体" w:cs="宋体" w:eastAsia="宋体" w:hint="default"/>
                <w:sz w:val="21"/>
                <w:szCs w:val="21"/>
              </w:rPr>
              <w:t>银</w:t>
            </w:r>
            <w:r>
              <w:rPr>
                <w:rFonts w:ascii="宋体" w:hAnsi="宋体" w:cs="宋体" w:eastAsia="宋体" w:hint="default"/>
                <w:spacing w:val="-102"/>
                <w:sz w:val="21"/>
                <w:szCs w:val="21"/>
              </w:rPr>
              <w:t> </w:t>
            </w:r>
            <w:r>
              <w:rPr>
                <w:rFonts w:ascii="宋体" w:hAnsi="宋体" w:cs="宋体" w:eastAsia="宋体" w:hint="default"/>
                <w:sz w:val="21"/>
                <w:szCs w:val="21"/>
              </w:rPr>
              <w:t>行贷款</w:t>
            </w:r>
          </w:p>
        </w:tc>
      </w:tr>
      <w:tr>
        <w:trPr>
          <w:trHeight w:val="559"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0"/>
              <w:jc w:val="right"/>
              <w:rPr>
                <w:rFonts w:ascii="Times New Roman" w:hAnsi="Times New Roman" w:cs="Times New Roman" w:eastAsia="Times New Roman" w:hint="default"/>
                <w:sz w:val="21"/>
                <w:szCs w:val="21"/>
              </w:rPr>
            </w:pPr>
            <w:r>
              <w:rPr>
                <w:rFonts w:ascii="Times New Roman"/>
                <w:w w:val="85"/>
                <w:sz w:val="21"/>
              </w:rPr>
              <w:t>260,000,000</w:t>
            </w:r>
            <w:r>
              <w:rPr>
                <w:rFonts w:ascii="Times New Roman"/>
                <w:sz w:val="21"/>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w w:val="85"/>
                <w:sz w:val="21"/>
              </w:rPr>
              <w:t>9,320,217</w:t>
            </w:r>
            <w:r>
              <w:rPr>
                <w:rFonts w:ascii="Times New Roman"/>
                <w:sz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497"/>
              <w:jc w:val="center"/>
              <w:rPr>
                <w:rFonts w:ascii="Times New Roman" w:hAnsi="Times New Roman" w:cs="Times New Roman" w:eastAsia="Times New Roman" w:hint="default"/>
                <w:sz w:val="21"/>
                <w:szCs w:val="21"/>
              </w:rPr>
            </w:pPr>
            <w:r>
              <w:rPr>
                <w:rFonts w:ascii="Times New Roman"/>
                <w:w w:val="90"/>
                <w:sz w:val="21"/>
              </w:rPr>
              <w:t>13,269,</w:t>
            </w:r>
            <w:r>
              <w:rPr>
                <w:rFonts w:ascii="Times New Roman"/>
                <w:sz w:val="21"/>
              </w:rPr>
            </w:r>
          </w:p>
          <w:p>
            <w:pPr>
              <w:pStyle w:val="TableParagraph"/>
              <w:spacing w:line="240" w:lineRule="auto" w:before="1"/>
              <w:ind w:right="496"/>
              <w:jc w:val="center"/>
              <w:rPr>
                <w:rFonts w:ascii="Times New Roman" w:hAnsi="Times New Roman" w:cs="Times New Roman" w:eastAsia="Times New Roman" w:hint="default"/>
                <w:sz w:val="21"/>
                <w:szCs w:val="21"/>
              </w:rPr>
            </w:pPr>
            <w:r>
              <w:rPr>
                <w:rFonts w:ascii="Times New Roman"/>
                <w:sz w:val="21"/>
              </w:rPr>
              <w:t>554</w:t>
            </w:r>
          </w:p>
        </w:tc>
        <w:tc>
          <w:tcPr>
            <w:tcW w:w="1274" w:type="dxa"/>
            <w:tcBorders>
              <w:top w:val="single" w:sz="6" w:space="0" w:color="000000"/>
              <w:left w:val="single" w:sz="6" w:space="0" w:color="000000"/>
              <w:bottom w:val="single" w:sz="6" w:space="0" w:color="000000"/>
              <w:right w:val="single" w:sz="6" w:space="0" w:color="000000"/>
            </w:tcBorders>
          </w:tcPr>
          <w:p>
            <w:pPr/>
          </w:p>
        </w:tc>
        <w:tc>
          <w:tcPr>
            <w:tcW w:w="28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w w:val="85"/>
                <w:sz w:val="21"/>
              </w:rPr>
              <w:t>22,589,771</w:t>
            </w:r>
            <w:r>
              <w:rPr>
                <w:rFonts w:ascii="Times New Roman"/>
                <w:sz w:val="21"/>
              </w:rPr>
            </w:r>
          </w:p>
        </w:tc>
        <w:tc>
          <w:tcPr>
            <w:tcW w:w="566"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8%</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自筹资</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金</w:t>
            </w:r>
          </w:p>
        </w:tc>
      </w:tr>
      <w:tr>
        <w:trPr>
          <w:trHeight w:val="288" w:hRule="exact"/>
        </w:trPr>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0"/>
              <w:jc w:val="right"/>
              <w:rPr>
                <w:rFonts w:ascii="Times New Roman" w:hAnsi="Times New Roman" w:cs="Times New Roman" w:eastAsia="Times New Roman" w:hint="default"/>
                <w:sz w:val="21"/>
                <w:szCs w:val="21"/>
              </w:rPr>
            </w:pPr>
            <w:r>
              <w:rPr>
                <w:rFonts w:ascii="Times New Roman"/>
                <w:w w:val="85"/>
                <w:sz w:val="21"/>
              </w:rPr>
              <w:t>2,110,000,000</w:t>
            </w:r>
            <w:r>
              <w:rPr>
                <w:rFonts w:ascii="Times New Roman"/>
                <w:sz w:val="21"/>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8" w:right="0"/>
              <w:jc w:val="left"/>
              <w:rPr>
                <w:rFonts w:ascii="Times New Roman" w:hAnsi="Times New Roman" w:cs="Times New Roman" w:eastAsia="Times New Roman" w:hint="default"/>
                <w:sz w:val="21"/>
                <w:szCs w:val="21"/>
              </w:rPr>
            </w:pPr>
            <w:r>
              <w:rPr>
                <w:rFonts w:ascii="Times New Roman"/>
                <w:w w:val="95"/>
                <w:sz w:val="21"/>
              </w:rPr>
              <w:t>850,863,276</w:t>
            </w:r>
            <w:r>
              <w:rPr>
                <w:rFonts w:ascii="Times New Roman"/>
                <w:sz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w w:val="85"/>
                <w:sz w:val="21"/>
              </w:rPr>
              <w:t>212,055,658</w:t>
            </w:r>
            <w:r>
              <w:rPr>
                <w:rFonts w:ascii="Times New Roman"/>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9" w:right="0"/>
              <w:jc w:val="center"/>
              <w:rPr>
                <w:rFonts w:ascii="Times New Roman" w:hAnsi="Times New Roman" w:cs="Times New Roman" w:eastAsia="Times New Roman" w:hint="default"/>
                <w:sz w:val="21"/>
                <w:szCs w:val="21"/>
              </w:rPr>
            </w:pPr>
            <w:r>
              <w:rPr>
                <w:rFonts w:ascii="Times New Roman"/>
                <w:w w:val="95"/>
                <w:sz w:val="21"/>
              </w:rPr>
              <w:t>-648,056,672</w:t>
            </w:r>
            <w:r>
              <w:rPr>
                <w:rFonts w:ascii="Times New Roman"/>
                <w:sz w:val="21"/>
              </w:rPr>
            </w:r>
          </w:p>
        </w:tc>
        <w:tc>
          <w:tcPr>
            <w:tcW w:w="283"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w w:val="85"/>
                <w:sz w:val="21"/>
              </w:rPr>
              <w:t>414,862,262</w:t>
            </w:r>
            <w:r>
              <w:rPr>
                <w:rFonts w:ascii="Times New Roman"/>
                <w:sz w:val="21"/>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63" w:right="0"/>
              <w:jc w:val="left"/>
              <w:rPr>
                <w:rFonts w:ascii="Times New Roman" w:hAnsi="Times New Roman" w:cs="Times New Roman" w:eastAsia="Times New Roman" w:hint="default"/>
                <w:sz w:val="21"/>
                <w:szCs w:val="21"/>
              </w:rPr>
            </w:pPr>
            <w:r>
              <w:rPr>
                <w:rFonts w:ascii="Times New Roman"/>
                <w:w w:val="89"/>
                <w:sz w:val="21"/>
              </w:rPr>
              <w:t>/</w:t>
            </w:r>
            <w:r>
              <w:rPr>
                <w:rFonts w:ascii="Times New Roman"/>
                <w:sz w:val="21"/>
              </w:rPr>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1" w:right="0"/>
              <w:jc w:val="left"/>
              <w:rPr>
                <w:rFonts w:ascii="Times New Roman" w:hAnsi="Times New Roman" w:cs="Times New Roman" w:eastAsia="Times New Roman" w:hint="default"/>
                <w:sz w:val="21"/>
                <w:szCs w:val="21"/>
              </w:rPr>
            </w:pPr>
            <w:r>
              <w:rPr>
                <w:rFonts w:ascii="Times New Roman"/>
                <w:w w:val="89"/>
                <w:sz w:val="21"/>
              </w:rPr>
              <w:t>/</w:t>
            </w:r>
            <w:r>
              <w:rPr>
                <w:rFonts w:ascii="Times New Roman"/>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w w:val="85"/>
                <w:sz w:val="21"/>
              </w:rPr>
              <w:t>71,731,434</w:t>
            </w:r>
            <w:r>
              <w:rPr>
                <w:rFonts w:ascii="Times New Roman"/>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7"/>
              <w:jc w:val="right"/>
              <w:rPr>
                <w:rFonts w:ascii="Times New Roman" w:hAnsi="Times New Roman" w:cs="Times New Roman" w:eastAsia="Times New Roman" w:hint="default"/>
                <w:sz w:val="21"/>
                <w:szCs w:val="21"/>
              </w:rPr>
            </w:pPr>
            <w:r>
              <w:rPr>
                <w:rFonts w:ascii="Times New Roman"/>
                <w:w w:val="85"/>
                <w:sz w:val="21"/>
              </w:rPr>
              <w:t>23,072,633</w:t>
            </w:r>
            <w:r>
              <w:rPr>
                <w:rFonts w:ascii="Times New Roman"/>
                <w:sz w:val="21"/>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60" w:right="0"/>
              <w:jc w:val="left"/>
              <w:rPr>
                <w:rFonts w:ascii="Times New Roman" w:hAnsi="Times New Roman" w:cs="Times New Roman" w:eastAsia="Times New Roman" w:hint="default"/>
                <w:sz w:val="21"/>
                <w:szCs w:val="21"/>
              </w:rPr>
            </w:pPr>
            <w:r>
              <w:rPr>
                <w:rFonts w:ascii="Times New Roman"/>
                <w:w w:val="89"/>
                <w:sz w:val="21"/>
              </w:rPr>
              <w:t>/</w:t>
            </w:r>
            <w:r>
              <w:rPr>
                <w:rFonts w:ascii="Times New Roman"/>
                <w:sz w:val="21"/>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before="36"/>
        <w:ind w:left="1538" w:right="0" w:firstLine="0"/>
        <w:jc w:val="left"/>
        <w:rPr>
          <w:rFonts w:ascii="宋体" w:hAnsi="宋体" w:cs="宋体" w:eastAsia="宋体" w:hint="default"/>
          <w:sz w:val="21"/>
          <w:szCs w:val="21"/>
        </w:rPr>
      </w:pPr>
      <w:r>
        <w:rPr>
          <w:rFonts w:ascii="宋体" w:hAnsi="宋体" w:cs="宋体" w:eastAsia="宋体" w:hint="default"/>
          <w:b/>
          <w:bCs/>
          <w:sz w:val="20"/>
          <w:szCs w:val="20"/>
        </w:rPr>
        <w:t>(3).</w:t>
      </w:r>
      <w:r>
        <w:rPr>
          <w:rFonts w:ascii="宋体" w:hAnsi="宋体" w:cs="宋体" w:eastAsia="宋体" w:hint="default"/>
          <w:b/>
          <w:bCs/>
          <w:spacing w:val="82"/>
          <w:sz w:val="20"/>
          <w:szCs w:val="20"/>
        </w:rPr>
        <w:t> </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pStyle w:val="BodyText"/>
        <w:spacing w:line="272" w:lineRule="exact" w:before="86"/>
        <w:ind w:left="1538" w:right="8454"/>
        <w:jc w:val="left"/>
      </w:pPr>
      <w:r>
        <w:rPr/>
        <w:t>□适用</w:t>
      </w:r>
      <w:r>
        <w:rPr>
          <w:spacing w:val="-1"/>
        </w:rPr>
        <w:t> </w:t>
      </w:r>
      <w:r>
        <w:rPr/>
        <w:t>√不适用</w:t>
      </w:r>
      <w:r>
        <w:rPr>
          <w:w w:val="100"/>
        </w:rPr>
        <w:t> </w:t>
      </w:r>
      <w:r>
        <w:rPr/>
        <w:t>其他说明</w:t>
      </w:r>
    </w:p>
    <w:p>
      <w:pPr>
        <w:spacing w:line="240" w:lineRule="auto" w:before="13"/>
        <w:rPr>
          <w:rFonts w:ascii="宋体" w:hAnsi="宋体" w:cs="宋体" w:eastAsia="宋体" w:hint="default"/>
          <w:sz w:val="18"/>
          <w:szCs w:val="18"/>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left="1538" w:right="0"/>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56"/>
        <w:ind w:left="15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left="1538" w:right="0"/>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6"/>
        <w:ind w:left="15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left="1538" w:right="0"/>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BodyText"/>
        <w:spacing w:line="240" w:lineRule="auto" w:before="57"/>
        <w:ind w:left="15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left="1538" w:right="0"/>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6"/>
        <w:ind w:left="15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63"/>
          <w:pgSz w:w="11910" w:h="16840"/>
          <w:pgMar w:header="926" w:footer="1335" w:top="1120" w:bottom="1520" w:left="260" w:right="60"/>
        </w:sectPr>
      </w:pPr>
    </w:p>
    <w:p>
      <w:pPr>
        <w:pStyle w:val="Heading2"/>
        <w:spacing w:line="240" w:lineRule="auto"/>
        <w:ind w:left="1538"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2"/>
        <w:spacing w:line="240" w:lineRule="auto" w:before="58"/>
        <w:ind w:left="1538"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589" w:val="left" w:leader="none"/>
        </w:tabs>
        <w:spacing w:line="240" w:lineRule="auto" w:before="177"/>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520" w:left="260" w:right="60"/>
          <w:cols w:num="2" w:equalWidth="0">
            <w:col w:w="3408" w:space="3114"/>
            <w:col w:w="5068"/>
          </w:cols>
        </w:sectPr>
      </w:pP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1982"/>
        <w:gridCol w:w="1371"/>
        <w:gridCol w:w="1359"/>
        <w:gridCol w:w="1370"/>
        <w:gridCol w:w="1378"/>
        <w:gridCol w:w="1589"/>
      </w:tblGrid>
      <w:tr>
        <w:trPr>
          <w:trHeight w:val="351"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520" w:left="260" w:right="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82"/>
        <w:gridCol w:w="1371"/>
        <w:gridCol w:w="1359"/>
        <w:gridCol w:w="1370"/>
        <w:gridCol w:w="1378"/>
        <w:gridCol w:w="1589"/>
      </w:tblGrid>
      <w:tr>
        <w:trPr>
          <w:trHeight w:val="351"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382,507,452</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300,445,629</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682,953,081</w:t>
            </w: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212,804,373</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212,804,373</w:t>
            </w: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6" w:right="0"/>
              <w:jc w:val="center"/>
              <w:rPr>
                <w:rFonts w:ascii="宋体" w:hAnsi="宋体" w:cs="宋体" w:eastAsia="宋体" w:hint="default"/>
                <w:sz w:val="21"/>
                <w:szCs w:val="21"/>
              </w:rPr>
            </w:pPr>
            <w:r>
              <w:rPr>
                <w:rFonts w:ascii="宋体"/>
                <w:sz w:val="21"/>
              </w:rPr>
              <w:t>3,653,660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3,653,660</w:t>
            </w: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189,150,713</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189,150,713</w:t>
            </w: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20,000,000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w:t>
            </w: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382,507,452</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513,250,002</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sz w:val="21"/>
              </w:rPr>
              <w:t>895,757,454</w:t>
            </w: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51,874,407</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130,974,533</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182,848,940</w:t>
            </w: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8,272,206</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42,454,939</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50,727,145</w:t>
            </w: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88"/>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8,272,206</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42,454,939</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50,727,145</w:t>
            </w:r>
          </w:p>
        </w:tc>
      </w:tr>
      <w:tr>
        <w:trPr>
          <w:trHeight w:val="348" w:hRule="exact"/>
        </w:trPr>
        <w:tc>
          <w:tcPr>
            <w:tcW w:w="19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96"/>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60,146,613</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173,429,472</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233,576,085</w:t>
            </w: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center"/>
              <w:rPr>
                <w:rFonts w:ascii="宋体" w:hAnsi="宋体" w:cs="宋体" w:eastAsia="宋体" w:hint="default"/>
                <w:sz w:val="21"/>
                <w:szCs w:val="21"/>
              </w:rPr>
            </w:pPr>
            <w:r>
              <w:rPr>
                <w:rFonts w:ascii="宋体"/>
                <w:sz w:val="21"/>
              </w:rPr>
              <w:t>7,622,801</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7,622,801</w:t>
            </w: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88"/>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center"/>
              <w:rPr>
                <w:rFonts w:ascii="宋体" w:hAnsi="宋体" w:cs="宋体" w:eastAsia="宋体" w:hint="default"/>
                <w:sz w:val="21"/>
                <w:szCs w:val="21"/>
              </w:rPr>
            </w:pPr>
            <w:r>
              <w:rPr>
                <w:rFonts w:ascii="宋体"/>
                <w:sz w:val="21"/>
              </w:rPr>
              <w:t>7,622,801</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7,622,801</w:t>
            </w: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322,360,839</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332,197,729</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654,558,568</w:t>
            </w: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330,633,045</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161,848,295</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492,481,340</w:t>
            </w:r>
          </w:p>
        </w:tc>
      </w:tr>
    </w:tbl>
    <w:p>
      <w:pPr>
        <w:spacing w:line="240" w:lineRule="auto" w:before="7"/>
        <w:rPr>
          <w:rFonts w:ascii="宋体" w:hAnsi="宋体" w:cs="宋体" w:eastAsia="宋体" w:hint="default"/>
          <w:sz w:val="15"/>
          <w:szCs w:val="15"/>
        </w:rPr>
      </w:pPr>
    </w:p>
    <w:p>
      <w:pPr>
        <w:pStyle w:val="BodyText"/>
        <w:spacing w:line="240" w:lineRule="auto" w:before="36"/>
        <w:ind w:left="218" w:right="2465"/>
        <w:jc w:val="left"/>
        <w:rPr>
          <w:rFonts w:ascii="宋体" w:hAnsi="宋体" w:cs="宋体" w:eastAsia="宋体" w:hint="default"/>
        </w:rPr>
      </w:pPr>
      <w:r>
        <w:rPr>
          <w:spacing w:val="-2"/>
        </w:rPr>
        <w:t>本期末通过公司内部研发形成的无形资产占无形资产余额的比例</w:t>
      </w:r>
      <w:r>
        <w:rPr>
          <w:spacing w:val="4"/>
        </w:rPr>
        <w:t> </w:t>
      </w:r>
      <w:r>
        <w:rPr>
          <w:rFonts w:ascii="宋体" w:hAnsi="宋体" w:cs="宋体" w:eastAsia="宋体" w:hint="default"/>
          <w:spacing w:val="-1"/>
        </w:rPr>
        <w:t>45.19%</w:t>
      </w:r>
    </w:p>
    <w:p>
      <w:pPr>
        <w:spacing w:after="0" w:line="240" w:lineRule="auto"/>
        <w:jc w:val="left"/>
        <w:rPr>
          <w:rFonts w:ascii="宋体" w:hAnsi="宋体" w:cs="宋体" w:eastAsia="宋体" w:hint="default"/>
        </w:rPr>
        <w:sectPr>
          <w:pgSz w:w="11910" w:h="16840"/>
          <w:pgMar w:header="926" w:footer="1335" w:top="1120" w:bottom="1520" w:left="1580" w:right="1040"/>
        </w:sectPr>
      </w:pPr>
    </w:p>
    <w:p>
      <w:pPr>
        <w:spacing w:line="240" w:lineRule="auto" w:before="1"/>
        <w:rPr>
          <w:rFonts w:ascii="宋体" w:hAnsi="宋体" w:cs="宋体" w:eastAsia="宋体" w:hint="default"/>
          <w:sz w:val="25"/>
          <w:szCs w:val="25"/>
        </w:rPr>
      </w:pPr>
    </w:p>
    <w:p>
      <w:pPr>
        <w:tabs>
          <w:tab w:pos="2280" w:val="left" w:leader="none"/>
        </w:tabs>
        <w:spacing w:before="36"/>
        <w:ind w:left="1678" w:right="0" w:firstLine="0"/>
        <w:jc w:val="left"/>
        <w:rPr>
          <w:rFonts w:ascii="宋体" w:hAnsi="宋体" w:cs="宋体" w:eastAsia="宋体" w:hint="default"/>
          <w:sz w:val="21"/>
          <w:szCs w:val="21"/>
        </w:rPr>
      </w:pPr>
      <w:r>
        <w:rPr>
          <w:rFonts w:ascii="宋体" w:hAnsi="宋体" w:cs="宋体" w:eastAsia="宋体" w:hint="default"/>
          <w:b/>
          <w:bCs/>
          <w:w w:val="95"/>
          <w:sz w:val="20"/>
          <w:szCs w:val="20"/>
        </w:rPr>
        <w:t>(2).</w:t>
        <w:tab/>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pStyle w:val="BodyText"/>
        <w:spacing w:line="475" w:lineRule="auto" w:before="58"/>
        <w:ind w:left="1678" w:right="7634"/>
        <w:jc w:val="left"/>
      </w:pPr>
      <w:r>
        <w:rPr/>
        <w:t>□适用</w:t>
      </w:r>
      <w:r>
        <w:rPr>
          <w:spacing w:val="-1"/>
        </w:rPr>
        <w:t> </w:t>
      </w:r>
      <w:r>
        <w:rPr/>
        <w:t>√不适用</w:t>
      </w:r>
      <w:r>
        <w:rPr>
          <w:w w:val="100"/>
        </w:rPr>
        <w:t> </w:t>
      </w:r>
      <w:r>
        <w:rPr/>
        <w:t>其他说明：</w:t>
      </w:r>
    </w:p>
    <w:p>
      <w:pPr>
        <w:spacing w:line="240" w:lineRule="auto" w:before="12"/>
        <w:rPr>
          <w:rFonts w:ascii="宋体" w:hAnsi="宋体" w:cs="宋体" w:eastAsia="宋体" w:hint="default"/>
          <w:sz w:val="4"/>
          <w:szCs w:val="4"/>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6" w:footer="1335" w:top="1120" w:bottom="1520" w:left="120" w:right="880"/>
        </w:sectPr>
      </w:pPr>
    </w:p>
    <w:p>
      <w:pPr>
        <w:pStyle w:val="Heading2"/>
        <w:spacing w:line="240" w:lineRule="auto"/>
        <w:ind w:left="1678" w:right="-18"/>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8"/>
        <w:ind w:left="1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520" w:left="120" w:right="880"/>
          <w:cols w:num="2" w:equalWidth="0">
            <w:col w:w="3255" w:space="3266"/>
            <w:col w:w="4389"/>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400"/>
        <w:gridCol w:w="1268"/>
        <w:gridCol w:w="1577"/>
        <w:gridCol w:w="847"/>
        <w:gridCol w:w="312"/>
        <w:gridCol w:w="1370"/>
        <w:gridCol w:w="756"/>
        <w:gridCol w:w="706"/>
        <w:gridCol w:w="1265"/>
      </w:tblGrid>
      <w:tr>
        <w:trPr>
          <w:trHeight w:val="281" w:hRule="exact"/>
        </w:trPr>
        <w:tc>
          <w:tcPr>
            <w:tcW w:w="24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17" w:right="416"/>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27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8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15" w:right="41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829" w:hRule="exact"/>
        </w:trPr>
        <w:tc>
          <w:tcPr>
            <w:tcW w:w="2400"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49"/>
              <w:jc w:val="right"/>
              <w:rPr>
                <w:rFonts w:ascii="宋体" w:hAnsi="宋体" w:cs="宋体" w:eastAsia="宋体" w:hint="default"/>
                <w:sz w:val="21"/>
                <w:szCs w:val="21"/>
              </w:rPr>
            </w:pPr>
            <w:r>
              <w:rPr>
                <w:rFonts w:ascii="宋体" w:hAnsi="宋体" w:cs="宋体" w:eastAsia="宋体" w:hint="default"/>
                <w:spacing w:val="-1"/>
                <w:sz w:val="21"/>
                <w:szCs w:val="21"/>
              </w:rPr>
              <w:t>内部开发支出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0" w:right="151" w:hanging="317"/>
              <w:jc w:val="left"/>
              <w:rPr>
                <w:rFonts w:ascii="宋体" w:hAnsi="宋体" w:cs="宋体" w:eastAsia="宋体" w:hint="default"/>
                <w:sz w:val="21"/>
                <w:szCs w:val="21"/>
              </w:rPr>
            </w:pPr>
            <w:r>
              <w:rPr>
                <w:rFonts w:ascii="宋体" w:hAnsi="宋体" w:cs="宋体" w:eastAsia="宋体" w:hint="default"/>
                <w:sz w:val="21"/>
                <w:szCs w:val="21"/>
              </w:rPr>
              <w:t>确认为无形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3" w:right="0"/>
              <w:jc w:val="left"/>
              <w:rPr>
                <w:rFonts w:ascii="宋体" w:hAnsi="宋体" w:cs="宋体" w:eastAsia="宋体" w:hint="default"/>
                <w:sz w:val="21"/>
                <w:szCs w:val="21"/>
              </w:rPr>
            </w:pPr>
            <w:r>
              <w:rPr>
                <w:rFonts w:ascii="宋体" w:hAnsi="宋体" w:cs="宋体" w:eastAsia="宋体" w:hint="default"/>
                <w:sz w:val="21"/>
                <w:szCs w:val="21"/>
              </w:rPr>
              <w:t>转入</w:t>
            </w:r>
          </w:p>
          <w:p>
            <w:pPr>
              <w:pStyle w:val="TableParagraph"/>
              <w:spacing w:line="272" w:lineRule="exact" w:before="26"/>
              <w:ind w:left="163" w:right="158"/>
              <w:jc w:val="left"/>
              <w:rPr>
                <w:rFonts w:ascii="宋体" w:hAnsi="宋体" w:cs="宋体" w:eastAsia="宋体" w:hint="default"/>
                <w:sz w:val="21"/>
                <w:szCs w:val="21"/>
              </w:rPr>
            </w:pPr>
            <w:r>
              <w:rPr>
                <w:rFonts w:ascii="宋体" w:hAnsi="宋体" w:cs="宋体" w:eastAsia="宋体" w:hint="default"/>
                <w:sz w:val="21"/>
                <w:szCs w:val="21"/>
              </w:rPr>
              <w:t>当期</w:t>
            </w:r>
            <w:r>
              <w:rPr>
                <w:rFonts w:ascii="宋体" w:hAnsi="宋体" w:cs="宋体" w:eastAsia="宋体" w:hint="default"/>
                <w:spacing w:val="-103"/>
                <w:sz w:val="21"/>
                <w:szCs w:val="21"/>
              </w:rPr>
              <w:t> </w:t>
            </w:r>
            <w:r>
              <w:rPr>
                <w:rFonts w:ascii="宋体" w:hAnsi="宋体" w:cs="宋体" w:eastAsia="宋体" w:hint="default"/>
                <w:sz w:val="21"/>
                <w:szCs w:val="21"/>
              </w:rPr>
              <w:t>损益</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r>
      <w:tr>
        <w:trPr>
          <w:trHeight w:val="283"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企业空间</w:t>
            </w:r>
          </w:p>
        </w:tc>
        <w:tc>
          <w:tcPr>
            <w:tcW w:w="126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16,595,413</w:t>
            </w:r>
          </w:p>
        </w:tc>
        <w:tc>
          <w:tcPr>
            <w:tcW w:w="8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16,595,413</w:t>
            </w:r>
          </w:p>
        </w:tc>
      </w:tr>
      <w:tr>
        <w:trPr>
          <w:trHeight w:val="281"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畅捷通大数据平台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874,384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4,736,829</w:t>
            </w:r>
          </w:p>
        </w:tc>
        <w:tc>
          <w:tcPr>
            <w:tcW w:w="8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5,611,213</w:t>
            </w:r>
          </w:p>
        </w:tc>
      </w:tr>
      <w:tr>
        <w:trPr>
          <w:trHeight w:val="554"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畅捷通微企创新云应用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好生意</w:t>
            </w:r>
          </w:p>
        </w:tc>
        <w:tc>
          <w:tcPr>
            <w:tcW w:w="126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3,818,944</w:t>
            </w:r>
          </w:p>
        </w:tc>
        <w:tc>
          <w:tcPr>
            <w:tcW w:w="8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3,818,944</w:t>
            </w:r>
          </w:p>
        </w:tc>
      </w:tr>
      <w:tr>
        <w:trPr>
          <w:trHeight w:val="554"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畅捷通微企创新云应用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好会计</w:t>
            </w:r>
          </w:p>
        </w:tc>
        <w:tc>
          <w:tcPr>
            <w:tcW w:w="126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1,775,713</w:t>
            </w:r>
          </w:p>
        </w:tc>
        <w:tc>
          <w:tcPr>
            <w:tcW w:w="8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1,775,713</w:t>
            </w:r>
          </w:p>
        </w:tc>
        <w:tc>
          <w:tcPr>
            <w:tcW w:w="7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用友新一代信息系统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7,750,916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14,417,119</w:t>
            </w:r>
          </w:p>
        </w:tc>
        <w:tc>
          <w:tcPr>
            <w:tcW w:w="8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22,168,035</w:t>
            </w:r>
          </w:p>
        </w:tc>
        <w:tc>
          <w:tcPr>
            <w:tcW w:w="7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w:t>
            </w:r>
            <w:r>
              <w:rPr>
                <w:rFonts w:ascii="宋体" w:hAnsi="宋体" w:cs="宋体" w:eastAsia="宋体" w:hint="default"/>
                <w:spacing w:val="-51"/>
                <w:sz w:val="21"/>
                <w:szCs w:val="21"/>
              </w:rPr>
              <w:t> </w:t>
            </w:r>
            <w:r>
              <w:rPr>
                <w:rFonts w:ascii="宋体" w:hAnsi="宋体" w:cs="宋体" w:eastAsia="宋体" w:hint="default"/>
                <w:sz w:val="21"/>
                <w:szCs w:val="21"/>
              </w:rPr>
              <w:t>CSP</w:t>
            </w:r>
            <w:r>
              <w:rPr>
                <w:rFonts w:ascii="宋体" w:hAnsi="宋体" w:cs="宋体" w:eastAsia="宋体" w:hint="default"/>
                <w:spacing w:val="-53"/>
                <w:sz w:val="21"/>
                <w:szCs w:val="21"/>
              </w:rPr>
              <w:t> </w:t>
            </w:r>
            <w:r>
              <w:rPr>
                <w:rFonts w:ascii="宋体" w:hAnsi="宋体" w:cs="宋体" w:eastAsia="宋体" w:hint="default"/>
                <w:sz w:val="21"/>
                <w:szCs w:val="21"/>
              </w:rPr>
              <w:t>开放平台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13,989,563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18,497,493</w:t>
            </w:r>
          </w:p>
        </w:tc>
        <w:tc>
          <w:tcPr>
            <w:tcW w:w="8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32,487,056</w:t>
            </w:r>
          </w:p>
        </w:tc>
        <w:tc>
          <w:tcPr>
            <w:tcW w:w="7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畅捷通通用数据平台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3,584,626</w:t>
            </w:r>
          </w:p>
        </w:tc>
        <w:tc>
          <w:tcPr>
            <w:tcW w:w="1577"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3,584,626</w:t>
            </w:r>
          </w:p>
        </w:tc>
        <w:tc>
          <w:tcPr>
            <w:tcW w:w="7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新一代商业智能平台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BQ8</w:t>
            </w:r>
            <w:r>
              <w:rPr>
                <w:rFonts w:ascii="宋体" w:hAnsi="宋体" w:cs="宋体" w:eastAsia="宋体" w:hint="default"/>
                <w:spacing w:val="-49"/>
                <w:sz w:val="21"/>
                <w:szCs w:val="21"/>
              </w:rPr>
              <w:t> </w:t>
            </w:r>
            <w:r>
              <w:rPr>
                <w:rFonts w:ascii="宋体" w:hAnsi="宋体" w:cs="宋体" w:eastAsia="宋体" w:hint="default"/>
                <w:spacing w:val="-3"/>
                <w:sz w:val="21"/>
                <w:szCs w:val="21"/>
              </w:rPr>
              <w:t>项目</w:t>
            </w:r>
            <w:r>
              <w:rPr>
                <w:rFonts w:ascii="宋体" w:hAnsi="宋体" w:cs="宋体" w:eastAsia="宋体"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22,860,934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8,766,168</w:t>
            </w:r>
          </w:p>
        </w:tc>
        <w:tc>
          <w:tcPr>
            <w:tcW w:w="8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31,627,102</w:t>
            </w:r>
          </w:p>
        </w:tc>
        <w:tc>
          <w:tcPr>
            <w:tcW w:w="7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4"/>
                <w:sz w:val="21"/>
                <w:szCs w:val="21"/>
              </w:rPr>
              <w:t> </w:t>
            </w:r>
            <w:r>
              <w:rPr>
                <w:rFonts w:ascii="宋体" w:hAnsi="宋体" w:cs="宋体" w:eastAsia="宋体" w:hint="default"/>
                <w:sz w:val="21"/>
                <w:szCs w:val="21"/>
              </w:rPr>
              <w:t>UAP</w:t>
            </w:r>
            <w:r>
              <w:rPr>
                <w:rFonts w:ascii="宋体" w:hAnsi="宋体" w:cs="宋体" w:eastAsia="宋体" w:hint="default"/>
                <w:spacing w:val="-1"/>
                <w:sz w:val="21"/>
                <w:szCs w:val="21"/>
              </w:rPr>
              <w:t> </w:t>
            </w:r>
            <w:r>
              <w:rPr>
                <w:rFonts w:ascii="宋体" w:hAnsi="宋体" w:cs="宋体" w:eastAsia="宋体" w:hint="default"/>
                <w:sz w:val="21"/>
                <w:szCs w:val="21"/>
              </w:rPr>
              <w:t>RIA</w:t>
            </w:r>
            <w:r>
              <w:rPr>
                <w:rFonts w:ascii="宋体" w:hAnsi="宋体" w:cs="宋体" w:eastAsia="宋体" w:hint="default"/>
                <w:spacing w:val="-53"/>
                <w:sz w:val="21"/>
                <w:szCs w:val="21"/>
              </w:rPr>
              <w:t> </w:t>
            </w:r>
            <w:r>
              <w:rPr>
                <w:rFonts w:ascii="宋体" w:hAnsi="宋体" w:cs="宋体" w:eastAsia="宋体" w:hint="default"/>
                <w:sz w:val="21"/>
                <w:szCs w:val="21"/>
              </w:rPr>
              <w:t>应用平台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6,850,508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8,599,617</w:t>
            </w:r>
          </w:p>
        </w:tc>
        <w:tc>
          <w:tcPr>
            <w:tcW w:w="8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15,450,125</w:t>
            </w:r>
          </w:p>
        </w:tc>
        <w:tc>
          <w:tcPr>
            <w:tcW w:w="7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 </w:t>
            </w:r>
            <w:r>
              <w:rPr>
                <w:rFonts w:ascii="宋体" w:hAnsi="宋体" w:cs="宋体" w:eastAsia="宋体" w:hint="default"/>
                <w:sz w:val="21"/>
                <w:szCs w:val="21"/>
              </w:rPr>
              <w:t>UAP</w:t>
            </w:r>
            <w:r>
              <w:rPr>
                <w:rFonts w:ascii="宋体" w:hAnsi="宋体" w:cs="宋体" w:eastAsia="宋体" w:hint="default"/>
                <w:spacing w:val="-52"/>
                <w:sz w:val="21"/>
                <w:szCs w:val="21"/>
              </w:rPr>
              <w:t> </w:t>
            </w:r>
            <w:r>
              <w:rPr>
                <w:rFonts w:ascii="宋体" w:hAnsi="宋体" w:cs="宋体" w:eastAsia="宋体" w:hint="default"/>
                <w:sz w:val="21"/>
                <w:szCs w:val="21"/>
              </w:rPr>
              <w:t>开发平台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6,579,190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10,843,625</w:t>
            </w:r>
          </w:p>
        </w:tc>
        <w:tc>
          <w:tcPr>
            <w:tcW w:w="8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17,422,815</w:t>
            </w:r>
          </w:p>
        </w:tc>
        <w:tc>
          <w:tcPr>
            <w:tcW w:w="7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4"/>
                <w:sz w:val="21"/>
                <w:szCs w:val="21"/>
              </w:rPr>
              <w:t> </w:t>
            </w:r>
            <w:r>
              <w:rPr>
                <w:rFonts w:ascii="宋体" w:hAnsi="宋体" w:cs="宋体" w:eastAsia="宋体" w:hint="default"/>
                <w:sz w:val="21"/>
                <w:szCs w:val="21"/>
              </w:rPr>
              <w:t>UAP</w:t>
            </w:r>
            <w:r>
              <w:rPr>
                <w:rFonts w:ascii="宋体" w:hAnsi="宋体" w:cs="宋体" w:eastAsia="宋体" w:hint="default"/>
                <w:spacing w:val="-1"/>
                <w:sz w:val="21"/>
                <w:szCs w:val="21"/>
              </w:rPr>
              <w:t> </w:t>
            </w:r>
            <w:r>
              <w:rPr>
                <w:rFonts w:ascii="宋体" w:hAnsi="宋体" w:cs="宋体" w:eastAsia="宋体" w:hint="default"/>
                <w:sz w:val="21"/>
                <w:szCs w:val="21"/>
              </w:rPr>
              <w:t>Web</w:t>
            </w:r>
            <w:r>
              <w:rPr>
                <w:rFonts w:ascii="宋体" w:hAnsi="宋体" w:cs="宋体" w:eastAsia="宋体" w:hint="default"/>
                <w:spacing w:val="-53"/>
                <w:sz w:val="21"/>
                <w:szCs w:val="21"/>
              </w:rPr>
              <w:t> </w:t>
            </w:r>
            <w:r>
              <w:rPr>
                <w:rFonts w:ascii="宋体" w:hAnsi="宋体" w:cs="宋体" w:eastAsia="宋体" w:hint="default"/>
                <w:sz w:val="21"/>
                <w:szCs w:val="21"/>
              </w:rPr>
              <w:t>应用平台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5,643,093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9,013,302</w:t>
            </w:r>
          </w:p>
        </w:tc>
        <w:tc>
          <w:tcPr>
            <w:tcW w:w="8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14,656,395</w:t>
            </w:r>
          </w:p>
        </w:tc>
        <w:tc>
          <w:tcPr>
            <w:tcW w:w="7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4"/>
                <w:sz w:val="21"/>
                <w:szCs w:val="21"/>
              </w:rPr>
              <w:t> </w:t>
            </w:r>
            <w:r>
              <w:rPr>
                <w:rFonts w:ascii="宋体" w:hAnsi="宋体" w:cs="宋体" w:eastAsia="宋体" w:hint="default"/>
                <w:sz w:val="21"/>
                <w:szCs w:val="21"/>
              </w:rPr>
              <w:t>UAP</w:t>
            </w:r>
            <w:r>
              <w:rPr>
                <w:rFonts w:ascii="宋体" w:hAnsi="宋体" w:cs="宋体" w:eastAsia="宋体" w:hint="default"/>
                <w:spacing w:val="-54"/>
                <w:sz w:val="21"/>
                <w:szCs w:val="21"/>
              </w:rPr>
              <w:t> </w:t>
            </w:r>
            <w:r>
              <w:rPr>
                <w:rFonts w:ascii="宋体" w:hAnsi="宋体" w:cs="宋体" w:eastAsia="宋体" w:hint="default"/>
                <w:sz w:val="21"/>
                <w:szCs w:val="21"/>
              </w:rPr>
              <w:t>移动应用平台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5,601,739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4,736,456</w:t>
            </w:r>
          </w:p>
        </w:tc>
        <w:tc>
          <w:tcPr>
            <w:tcW w:w="8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10,338,195</w:t>
            </w:r>
          </w:p>
        </w:tc>
        <w:tc>
          <w:tcPr>
            <w:tcW w:w="7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4"/>
                <w:sz w:val="21"/>
                <w:szCs w:val="21"/>
              </w:rPr>
              <w:t> </w:t>
            </w:r>
            <w:r>
              <w:rPr>
                <w:rFonts w:ascii="宋体" w:hAnsi="宋体" w:cs="宋体" w:eastAsia="宋体" w:hint="default"/>
                <w:sz w:val="21"/>
                <w:szCs w:val="21"/>
              </w:rPr>
              <w:t>UAP</w:t>
            </w:r>
            <w:r>
              <w:rPr>
                <w:rFonts w:ascii="宋体" w:hAnsi="宋体" w:cs="宋体" w:eastAsia="宋体" w:hint="default"/>
                <w:spacing w:val="-54"/>
                <w:sz w:val="21"/>
                <w:szCs w:val="21"/>
              </w:rPr>
              <w:t> </w:t>
            </w:r>
            <w:r>
              <w:rPr>
                <w:rFonts w:ascii="宋体" w:hAnsi="宋体" w:cs="宋体" w:eastAsia="宋体" w:hint="default"/>
                <w:sz w:val="21"/>
                <w:szCs w:val="21"/>
              </w:rPr>
              <w:t>数据处理平台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5,248,514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8,933,561</w:t>
            </w:r>
          </w:p>
        </w:tc>
        <w:tc>
          <w:tcPr>
            <w:tcW w:w="8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14,182,075</w:t>
            </w:r>
          </w:p>
        </w:tc>
        <w:tc>
          <w:tcPr>
            <w:tcW w:w="7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2"/>
                <w:sz w:val="21"/>
                <w:szCs w:val="21"/>
              </w:rPr>
              <w:t> </w:t>
            </w:r>
            <w:r>
              <w:rPr>
                <w:rFonts w:ascii="宋体" w:hAnsi="宋体" w:cs="宋体" w:eastAsia="宋体" w:hint="default"/>
                <w:sz w:val="21"/>
                <w:szCs w:val="21"/>
              </w:rPr>
              <w:t>UAPXBRL</w:t>
            </w:r>
            <w:r>
              <w:rPr>
                <w:rFonts w:ascii="宋体" w:hAnsi="宋体" w:cs="宋体" w:eastAsia="宋体" w:hint="default"/>
                <w:spacing w:val="-51"/>
                <w:sz w:val="21"/>
                <w:szCs w:val="21"/>
              </w:rPr>
              <w:t> </w:t>
            </w:r>
            <w:r>
              <w:rPr>
                <w:rFonts w:ascii="宋体" w:hAnsi="宋体" w:cs="宋体" w:eastAsia="宋体" w:hint="default"/>
                <w:spacing w:val="-3"/>
                <w:sz w:val="21"/>
                <w:szCs w:val="21"/>
              </w:rPr>
              <w:t>平台</w:t>
            </w:r>
            <w:r>
              <w:rPr>
                <w:rFonts w:ascii="宋体" w:hAnsi="宋体" w:cs="宋体" w:eastAsia="宋体"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4,906,347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10,411,962</w:t>
            </w:r>
          </w:p>
        </w:tc>
        <w:tc>
          <w:tcPr>
            <w:tcW w:w="8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15,318,309</w:t>
            </w:r>
          </w:p>
        </w:tc>
        <w:tc>
          <w:tcPr>
            <w:tcW w:w="7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 </w:t>
            </w:r>
            <w:r>
              <w:rPr>
                <w:rFonts w:ascii="宋体" w:hAnsi="宋体" w:cs="宋体" w:eastAsia="宋体" w:hint="default"/>
                <w:sz w:val="21"/>
                <w:szCs w:val="21"/>
              </w:rPr>
              <w:t>UAP</w:t>
            </w:r>
            <w:r>
              <w:rPr>
                <w:rFonts w:ascii="宋体" w:hAnsi="宋体" w:cs="宋体" w:eastAsia="宋体" w:hint="default"/>
                <w:spacing w:val="-54"/>
                <w:sz w:val="21"/>
                <w:szCs w:val="21"/>
              </w:rPr>
              <w:t> </w:t>
            </w:r>
            <w:r>
              <w:rPr>
                <w:rFonts w:ascii="宋体" w:hAnsi="宋体" w:cs="宋体" w:eastAsia="宋体" w:hint="default"/>
                <w:sz w:val="21"/>
                <w:szCs w:val="21"/>
              </w:rPr>
              <w:t>云管理平台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4,424,755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5,715,512</w:t>
            </w:r>
          </w:p>
        </w:tc>
        <w:tc>
          <w:tcPr>
            <w:tcW w:w="8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10,140,267</w:t>
            </w:r>
          </w:p>
        </w:tc>
        <w:tc>
          <w:tcPr>
            <w:tcW w:w="7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88,314,569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126,861,714</w:t>
            </w:r>
          </w:p>
        </w:tc>
        <w:tc>
          <w:tcPr>
            <w:tcW w:w="847"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189,150,713</w:t>
            </w:r>
          </w:p>
        </w:tc>
        <w:tc>
          <w:tcPr>
            <w:tcW w:w="75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26,025,570</w:t>
            </w:r>
          </w:p>
        </w:tc>
      </w:tr>
    </w:tbl>
    <w:p>
      <w:pPr>
        <w:spacing w:line="240" w:lineRule="auto" w:before="5"/>
        <w:rPr>
          <w:rFonts w:ascii="宋体" w:hAnsi="宋体" w:cs="宋体" w:eastAsia="宋体" w:hint="default"/>
          <w:sz w:val="15"/>
          <w:szCs w:val="15"/>
        </w:rPr>
      </w:pPr>
    </w:p>
    <w:p>
      <w:pPr>
        <w:pStyle w:val="BodyText"/>
        <w:spacing w:line="240" w:lineRule="auto" w:before="36"/>
        <w:ind w:left="1678" w:right="0"/>
        <w:jc w:val="left"/>
      </w:pPr>
      <w:r>
        <w:rPr/>
        <w:t>其他说明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520" w:left="120" w:right="880"/>
        </w:sectPr>
      </w:pPr>
    </w:p>
    <w:p>
      <w:pPr>
        <w:pStyle w:val="Heading2"/>
        <w:spacing w:line="240" w:lineRule="auto"/>
        <w:ind w:left="1678" w:right="-19"/>
        <w:jc w:val="left"/>
        <w:rPr>
          <w:b w:val="0"/>
          <w:bCs w:val="0"/>
        </w:rPr>
      </w:pPr>
      <w:r>
        <w:rPr>
          <w:rFonts w:ascii="宋体" w:hAnsi="宋体" w:cs="宋体" w:eastAsia="宋体" w:hint="default"/>
        </w:rPr>
        <w:t>27</w:t>
      </w:r>
      <w:r>
        <w:rPr/>
        <w:t>、</w:t>
      </w:r>
      <w:r>
        <w:rPr>
          <w:spacing w:val="-26"/>
        </w:rPr>
        <w:t> </w:t>
      </w:r>
      <w:r>
        <w:rPr/>
        <w:t>商誉</w:t>
      </w:r>
      <w:r>
        <w:rPr>
          <w:b w:val="0"/>
          <w:bCs w:val="0"/>
        </w:rPr>
      </w:r>
    </w:p>
    <w:p>
      <w:pPr>
        <w:spacing w:line="290" w:lineRule="auto" w:before="56"/>
        <w:ind w:left="167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2729" w:val="left" w:leader="none"/>
        </w:tabs>
        <w:spacing w:line="240" w:lineRule="auto"/>
        <w:ind w:left="1678" w:right="0"/>
        <w:jc w:val="left"/>
      </w:pPr>
      <w:r>
        <w:rPr>
          <w:spacing w:val="-1"/>
        </w:rPr>
        <w:t>单位：元</w:t>
        <w:tab/>
      </w:r>
      <w:r>
        <w:rPr>
          <w:spacing w:val="-2"/>
        </w:rPr>
        <w:t>币种：人民币</w:t>
      </w:r>
    </w:p>
    <w:p>
      <w:pPr>
        <w:spacing w:after="0" w:line="240" w:lineRule="auto"/>
        <w:jc w:val="left"/>
        <w:sectPr>
          <w:type w:val="continuous"/>
          <w:pgSz w:w="11910" w:h="16840"/>
          <w:pgMar w:top="1120" w:bottom="1520" w:left="120" w:right="880"/>
          <w:cols w:num="2" w:equalWidth="0">
            <w:col w:w="3534" w:space="2988"/>
            <w:col w:w="4388"/>
          </w:cols>
        </w:sectPr>
      </w:pPr>
    </w:p>
    <w:p>
      <w:pPr>
        <w:spacing w:line="240" w:lineRule="auto" w:before="7"/>
        <w:rPr>
          <w:rFonts w:ascii="宋体" w:hAnsi="宋体" w:cs="宋体" w:eastAsia="宋体" w:hint="default"/>
          <w:sz w:val="2"/>
          <w:szCs w:val="2"/>
        </w:rPr>
      </w:pPr>
    </w:p>
    <w:tbl>
      <w:tblPr>
        <w:tblW w:w="0" w:type="auto"/>
        <w:jc w:val="left"/>
        <w:tblInd w:w="1404" w:type="dxa"/>
        <w:tblLayout w:type="fixed"/>
        <w:tblCellMar>
          <w:top w:w="0" w:type="dxa"/>
          <w:left w:w="0" w:type="dxa"/>
          <w:bottom w:w="0" w:type="dxa"/>
          <w:right w:w="0" w:type="dxa"/>
        </w:tblCellMar>
        <w:tblLook w:val="01E0"/>
      </w:tblPr>
      <w:tblGrid>
        <w:gridCol w:w="2129"/>
        <w:gridCol w:w="1419"/>
        <w:gridCol w:w="1414"/>
        <w:gridCol w:w="857"/>
        <w:gridCol w:w="1202"/>
        <w:gridCol w:w="925"/>
        <w:gridCol w:w="1426"/>
      </w:tblGrid>
      <w:tr>
        <w:trPr>
          <w:trHeight w:val="293" w:hRule="exact"/>
        </w:trPr>
        <w:tc>
          <w:tcPr>
            <w:tcW w:w="2129" w:type="dxa"/>
            <w:vMerge w:val="restart"/>
            <w:tcBorders>
              <w:top w:val="single" w:sz="4" w:space="0" w:color="000000"/>
              <w:left w:val="single" w:sz="4" w:space="0" w:color="000000"/>
              <w:right w:val="single" w:sz="4" w:space="0" w:color="000000"/>
            </w:tcBorders>
          </w:tcPr>
          <w:p>
            <w:pPr>
              <w:pStyle w:val="TableParagraph"/>
              <w:spacing w:line="240" w:lineRule="auto" w:before="112"/>
              <w:ind w:left="429" w:right="110" w:hanging="317"/>
              <w:jc w:val="left"/>
              <w:rPr>
                <w:rFonts w:ascii="宋体" w:hAnsi="宋体" w:cs="宋体" w:eastAsia="宋体" w:hint="default"/>
                <w:sz w:val="21"/>
                <w:szCs w:val="21"/>
              </w:rPr>
            </w:pPr>
            <w:r>
              <w:rPr>
                <w:rFonts w:ascii="宋体" w:hAnsi="宋体" w:cs="宋体" w:eastAsia="宋体" w:hint="default"/>
                <w:sz w:val="21"/>
                <w:szCs w:val="21"/>
              </w:rPr>
              <w:t>被投资单位名称或形</w:t>
            </w:r>
            <w:r>
              <w:rPr>
                <w:rFonts w:ascii="宋体" w:hAnsi="宋体" w:cs="宋体" w:eastAsia="宋体" w:hint="default"/>
                <w:w w:val="100"/>
                <w:sz w:val="21"/>
                <w:szCs w:val="21"/>
              </w:rPr>
              <w:t> </w:t>
            </w:r>
            <w:r>
              <w:rPr>
                <w:rFonts w:ascii="宋体" w:hAnsi="宋体" w:cs="宋体" w:eastAsia="宋体" w:hint="default"/>
                <w:sz w:val="21"/>
                <w:szCs w:val="21"/>
              </w:rPr>
              <w:t>成商誉的事项</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3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129"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企业合并形</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成的</w:t>
            </w: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r>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用友汽车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378,396,387</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378,396,387</w:t>
            </w:r>
          </w:p>
        </w:tc>
      </w:tr>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用友政务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308,399,874</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308,399,874</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上海秉钧网络科技有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w:t>
            </w:r>
            <w:r>
              <w:rPr>
                <w:rFonts w:ascii="宋体" w:hAnsi="宋体" w:cs="宋体" w:eastAsia="宋体" w:hint="default"/>
                <w:sz w:val="21"/>
                <w:szCs w:val="21"/>
              </w:rPr>
              <w:t>以下简称</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113,445,152</w:t>
            </w: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113,445,152</w:t>
            </w:r>
          </w:p>
        </w:tc>
      </w:tr>
    </w:tbl>
    <w:p>
      <w:pPr>
        <w:spacing w:after="0" w:line="241" w:lineRule="exact"/>
        <w:jc w:val="right"/>
        <w:rPr>
          <w:rFonts w:ascii="宋体" w:hAnsi="宋体" w:cs="宋体" w:eastAsia="宋体" w:hint="default"/>
          <w:sz w:val="21"/>
          <w:szCs w:val="21"/>
        </w:rPr>
        <w:sectPr>
          <w:type w:val="continuous"/>
          <w:pgSz w:w="11910" w:h="16840"/>
          <w:pgMar w:top="1120" w:bottom="1520" w:left="12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129"/>
        <w:gridCol w:w="1419"/>
        <w:gridCol w:w="1414"/>
        <w:gridCol w:w="857"/>
        <w:gridCol w:w="1202"/>
        <w:gridCol w:w="925"/>
        <w:gridCol w:w="1426"/>
      </w:tblGrid>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“秉钧网络”)</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特博深</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37,828,833</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37,828,833</w:t>
            </w:r>
          </w:p>
        </w:tc>
      </w:tr>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时空超越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35,997,518</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35,997,518</w:t>
            </w:r>
          </w:p>
        </w:tc>
      </w:tr>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广州尚南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28,555,713</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28,555,713</w:t>
            </w:r>
          </w:p>
        </w:tc>
      </w:tr>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广州安易及江门安易</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14,807,958</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14,807,958</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用友政务收购参股代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14,579,959</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14,579,959</w:t>
            </w:r>
          </w:p>
        </w:tc>
      </w:tr>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上海天诺坛网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12,659,937</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12,659,937</w:t>
            </w:r>
          </w:p>
        </w:tc>
      </w:tr>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新道科技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8,823,414</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8,823,414</w:t>
            </w: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r>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用友医院</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7,602,648</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7,602,648</w:t>
            </w:r>
          </w:p>
        </w:tc>
      </w:tr>
      <w:tr>
        <w:trPr>
          <w:trHeight w:val="34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上海哈久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6,637,723</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6,637,723</w:t>
            </w:r>
          </w:p>
        </w:tc>
      </w:tr>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重庆迈特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5,709,400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5,709,400</w:t>
            </w:r>
          </w:p>
        </w:tc>
      </w:tr>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珠海用友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4,778,619</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4,778,619</w:t>
            </w:r>
          </w:p>
        </w:tc>
      </w:tr>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徐州用友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3,497,241</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3,497,241</w:t>
            </w:r>
          </w:p>
        </w:tc>
      </w:tr>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常州用友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3,115,084</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3,115,084</w:t>
            </w:r>
          </w:p>
        </w:tc>
      </w:tr>
      <w:tr>
        <w:trPr>
          <w:trHeight w:val="826"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北京伟库电子商务科</w:t>
            </w:r>
          </w:p>
          <w:p>
            <w:pPr>
              <w:pStyle w:val="TableParagraph"/>
              <w:spacing w:line="240" w:lineRule="auto"/>
              <w:ind w:left="103" w:right="225"/>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w:t>
            </w:r>
            <w:r>
              <w:rPr>
                <w:rFonts w:ascii="宋体" w:hAnsi="宋体" w:cs="宋体" w:eastAsia="宋体" w:hint="default"/>
                <w:sz w:val="21"/>
                <w:szCs w:val="21"/>
              </w:rPr>
              <w:t>以下简</w:t>
            </w:r>
            <w:r>
              <w:rPr>
                <w:rFonts w:ascii="宋体" w:hAnsi="宋体" w:cs="宋体" w:eastAsia="宋体" w:hint="default"/>
                <w:w w:val="100"/>
                <w:sz w:val="21"/>
                <w:szCs w:val="21"/>
              </w:rPr>
              <w:t> </w:t>
            </w:r>
            <w:r>
              <w:rPr>
                <w:rFonts w:ascii="宋体" w:hAnsi="宋体" w:cs="宋体" w:eastAsia="宋体" w:hint="default"/>
                <w:sz w:val="21"/>
                <w:szCs w:val="21"/>
              </w:rPr>
              <w:t>称“北京伟库”)</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2,896,357</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2,896,357</w:t>
            </w:r>
          </w:p>
        </w:tc>
      </w:tr>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用友华表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1,155,000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1,155,000</w:t>
            </w:r>
          </w:p>
        </w:tc>
      </w:tr>
      <w:tr>
        <w:trPr>
          <w:trHeight w:val="34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5,064,153</w:t>
            </w:r>
          </w:p>
        </w:tc>
        <w:tc>
          <w:tcPr>
            <w:tcW w:w="141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5,064,153</w:t>
            </w:r>
          </w:p>
        </w:tc>
      </w:tr>
      <w:tr>
        <w:trPr>
          <w:trHeight w:val="30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880,505,818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113,445,152</w:t>
            </w:r>
          </w:p>
        </w:tc>
        <w:tc>
          <w:tcPr>
            <w:tcW w:w="85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8,823,414</w:t>
            </w:r>
          </w:p>
        </w:tc>
        <w:tc>
          <w:tcPr>
            <w:tcW w:w="92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985,127,556</w:t>
            </w:r>
          </w:p>
        </w:tc>
      </w:tr>
    </w:tbl>
    <w:p>
      <w:pPr>
        <w:spacing w:line="240" w:lineRule="auto" w:before="12"/>
        <w:rPr>
          <w:rFonts w:ascii="宋体" w:hAnsi="宋体" w:cs="宋体" w:eastAsia="宋体" w:hint="default"/>
          <w:sz w:val="19"/>
          <w:szCs w:val="19"/>
        </w:rPr>
      </w:pPr>
    </w:p>
    <w:p>
      <w:pPr>
        <w:pStyle w:val="Heading2"/>
        <w:spacing w:line="240" w:lineRule="auto"/>
        <w:ind w:left="378" w:right="3915"/>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tabs>
          <w:tab w:pos="1051" w:val="left" w:leader="none"/>
        </w:tabs>
        <w:spacing w:line="240" w:lineRule="auto" w:before="58"/>
        <w:ind w:left="0" w:right="39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1944"/>
        <w:gridCol w:w="1174"/>
        <w:gridCol w:w="1205"/>
        <w:gridCol w:w="1176"/>
        <w:gridCol w:w="1186"/>
        <w:gridCol w:w="1239"/>
        <w:gridCol w:w="1126"/>
      </w:tblGrid>
      <w:tr>
        <w:trPr>
          <w:trHeight w:val="283" w:hRule="exact"/>
        </w:trPr>
        <w:tc>
          <w:tcPr>
            <w:tcW w:w="1944" w:type="dxa"/>
            <w:vMerge w:val="restart"/>
            <w:tcBorders>
              <w:top w:val="single" w:sz="4" w:space="0" w:color="000000"/>
              <w:left w:val="single" w:sz="4" w:space="0" w:color="000000"/>
              <w:right w:val="single" w:sz="4" w:space="0" w:color="000000"/>
            </w:tcBorders>
          </w:tcPr>
          <w:p>
            <w:pPr>
              <w:pStyle w:val="TableParagraph"/>
              <w:spacing w:line="274" w:lineRule="exact" w:before="8"/>
              <w:ind w:left="230" w:right="122"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119"/>
              <w:ind w:left="1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19"/>
              <w:ind w:left="13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5" w:hRule="exact"/>
        </w:trPr>
        <w:tc>
          <w:tcPr>
            <w:tcW w:w="1944"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8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79"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239" w:type="dxa"/>
            <w:tcBorders>
              <w:top w:val="single" w:sz="4" w:space="0" w:color="000000"/>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r>
      <w:tr>
        <w:trPr>
          <w:trHeight w:val="33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用友华表</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382,200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382,200</w:t>
            </w:r>
          </w:p>
        </w:tc>
      </w:tr>
      <w:tr>
        <w:trPr>
          <w:trHeight w:val="334"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382,200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382,200</w:t>
            </w:r>
          </w:p>
        </w:tc>
      </w:tr>
    </w:tbl>
    <w:p>
      <w:pPr>
        <w:spacing w:line="240" w:lineRule="auto" w:before="5"/>
        <w:rPr>
          <w:rFonts w:ascii="宋体" w:hAnsi="宋体" w:cs="宋体" w:eastAsia="宋体" w:hint="default"/>
          <w:sz w:val="15"/>
          <w:szCs w:val="15"/>
        </w:rPr>
      </w:pPr>
    </w:p>
    <w:p>
      <w:pPr>
        <w:pStyle w:val="BodyText"/>
        <w:spacing w:line="297" w:lineRule="auto" w:before="36"/>
        <w:ind w:left="378" w:right="3915"/>
        <w:jc w:val="left"/>
      </w:pPr>
      <w:r>
        <w:rPr>
          <w:spacing w:val="-2"/>
        </w:rPr>
        <w:t>说明商誉减值测试过程、参数及商誉减值损失的确认方法</w:t>
      </w:r>
      <w:r>
        <w:rPr>
          <w:spacing w:val="-55"/>
        </w:rPr>
        <w:t> </w:t>
      </w:r>
      <w:r>
        <w:rPr>
          <w:spacing w:val="-55"/>
        </w:rPr>
      </w:r>
      <w:r>
        <w:rPr/>
        <w:t>商誉的减值测试</w:t>
      </w:r>
    </w:p>
    <w:p>
      <w:pPr>
        <w:pStyle w:val="BodyText"/>
        <w:spacing w:line="240" w:lineRule="auto" w:before="15"/>
        <w:ind w:left="378" w:right="228"/>
        <w:jc w:val="left"/>
      </w:pPr>
      <w:r>
        <w:rPr/>
        <w:t>本公司于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日对上述商誉执行了减值测试。</w:t>
      </w:r>
    </w:p>
    <w:p>
      <w:pPr>
        <w:pStyle w:val="BodyText"/>
        <w:spacing w:line="240" w:lineRule="auto" w:before="66"/>
        <w:ind w:left="378" w:right="228"/>
        <w:jc w:val="left"/>
      </w:pPr>
      <w:r>
        <w:rPr/>
        <w:t>本公司对商誉相关资产组的可收回金额采用预计未来现金流量的现值，根据管理层批准的</w:t>
      </w:r>
      <w:r>
        <w:rPr>
          <w:spacing w:val="-53"/>
        </w:rPr>
        <w:t> </w:t>
      </w:r>
      <w:r>
        <w:rPr>
          <w:rFonts w:ascii="宋体" w:hAnsi="宋体" w:cs="宋体" w:eastAsia="宋体" w:hint="default"/>
        </w:rPr>
        <w:t>5</w:t>
      </w:r>
      <w:r>
        <w:rPr>
          <w:rFonts w:ascii="宋体" w:hAnsi="宋体" w:cs="宋体" w:eastAsia="宋体" w:hint="default"/>
          <w:spacing w:val="-56"/>
        </w:rPr>
        <w:t> </w:t>
      </w:r>
      <w:r>
        <w:rPr/>
        <w:t>年期</w:t>
      </w:r>
    </w:p>
    <w:p>
      <w:pPr>
        <w:pStyle w:val="BodyText"/>
        <w:spacing w:line="297" w:lineRule="auto" w:before="66"/>
        <w:ind w:left="378" w:right="228"/>
        <w:jc w:val="left"/>
      </w:pPr>
      <w:r>
        <w:rPr/>
        <w:t>的财务预算基础上的现金流量预测来确定。现金流量预测所用的折现率是</w:t>
      </w:r>
      <w:r>
        <w:rPr>
          <w:spacing w:val="-54"/>
        </w:rPr>
        <w:t> </w:t>
      </w:r>
      <w:r>
        <w:rPr>
          <w:rFonts w:ascii="宋体" w:hAnsi="宋体" w:cs="宋体" w:eastAsia="宋体" w:hint="default"/>
        </w:rPr>
        <w:t>13.30%(2014</w:t>
      </w:r>
      <w:r>
        <w:rPr>
          <w:rFonts w:ascii="宋体" w:hAnsi="宋体" w:cs="宋体" w:eastAsia="宋体" w:hint="default"/>
          <w:spacing w:val="-56"/>
        </w:rPr>
        <w:t> </w:t>
      </w:r>
      <w:r>
        <w:rPr/>
        <w:t>年：</w:t>
      </w:r>
      <w:r>
        <w:rPr>
          <w:w w:val="100"/>
        </w:rPr>
        <w:t> </w:t>
      </w:r>
      <w:r>
        <w:rPr>
          <w:rFonts w:ascii="宋体" w:hAnsi="宋体" w:cs="宋体" w:eastAsia="宋体" w:hint="default"/>
          <w:spacing w:val="-4"/>
        </w:rPr>
        <w:t>13.56%)</w:t>
      </w:r>
      <w:r>
        <w:rPr>
          <w:spacing w:val="-4"/>
        </w:rPr>
        <w:t>。管理层认为，尽管上述公司或业务所对应的市场需求和客户群体均在稳定增长，但五年</w:t>
      </w:r>
      <w:r>
        <w:rPr>
          <w:spacing w:val="-24"/>
        </w:rPr>
        <w:t> </w:t>
      </w:r>
      <w:r>
        <w:rPr>
          <w:spacing w:val="-24"/>
        </w:rPr>
      </w:r>
      <w:r>
        <w:rPr>
          <w:spacing w:val="-3"/>
        </w:rPr>
        <w:t>以后增长速度可能会逐渐放缓，且仍将维持在平稳增长的水平，由此，管理层使用 </w:t>
      </w:r>
      <w:r>
        <w:rPr>
          <w:rFonts w:ascii="宋体" w:hAnsi="宋体" w:cs="宋体" w:eastAsia="宋体" w:hint="default"/>
        </w:rPr>
        <w:t>3-5%</w:t>
      </w:r>
      <w:r>
        <w:rPr/>
        <w:t>的增长率</w:t>
      </w:r>
      <w:r>
        <w:rPr>
          <w:spacing w:val="-96"/>
        </w:rPr>
        <w:t> </w:t>
      </w:r>
      <w:r>
        <w:rPr>
          <w:spacing w:val="-96"/>
        </w:rPr>
      </w:r>
      <w:r>
        <w:rPr/>
        <w:t>来推断五年以后现金流量，管理层相信这一增长率是合理的。</w:t>
      </w:r>
    </w:p>
    <w:p>
      <w:pPr>
        <w:pStyle w:val="BodyText"/>
        <w:spacing w:line="297" w:lineRule="auto" w:before="15"/>
        <w:ind w:left="378" w:right="228"/>
        <w:jc w:val="left"/>
      </w:pPr>
      <w:r>
        <w:rPr>
          <w:spacing w:val="-2"/>
          <w:w w:val="100"/>
        </w:rPr>
        <w:t>计算相关资产组于</w:t>
      </w:r>
      <w:r>
        <w:rPr>
          <w:spacing w:val="-52"/>
          <w:w w:val="100"/>
        </w:rPr>
        <w:t> </w:t>
      </w:r>
      <w:r>
        <w:rPr>
          <w:rFonts w:ascii="宋体" w:hAnsi="宋体" w:cs="宋体" w:eastAsia="宋体" w:hint="default"/>
          <w:spacing w:val="-1"/>
          <w:w w:val="100"/>
        </w:rPr>
        <w:t>2015</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31</w:t>
      </w:r>
      <w:r>
        <w:rPr>
          <w:rFonts w:ascii="宋体" w:hAnsi="宋体" w:cs="宋体" w:eastAsia="宋体" w:hint="default"/>
          <w:spacing w:val="-54"/>
          <w:w w:val="100"/>
        </w:rPr>
        <w:t> </w:t>
      </w:r>
      <w:r>
        <w:rPr>
          <w:spacing w:val="-5"/>
          <w:w w:val="100"/>
        </w:rPr>
        <w:t>日预计未来现金流量现值采用了假设。以下详述了管理层为进</w:t>
      </w:r>
      <w:r>
        <w:rPr>
          <w:w w:val="100"/>
        </w:rPr>
        <w:t> </w:t>
      </w:r>
      <w:r>
        <w:rPr/>
        <w:t>行商誉的减值测试，在确定现金流量预测时作出的关键假设：</w:t>
      </w:r>
    </w:p>
    <w:p>
      <w:pPr>
        <w:pStyle w:val="BodyText"/>
        <w:tabs>
          <w:tab w:pos="1637" w:val="left" w:leader="none"/>
        </w:tabs>
        <w:spacing w:line="295" w:lineRule="auto" w:before="16"/>
        <w:ind w:left="378" w:right="397"/>
        <w:jc w:val="left"/>
      </w:pPr>
      <w:r>
        <w:rPr>
          <w:spacing w:val="-1"/>
        </w:rPr>
        <w:t>收入增长</w:t>
        <w:tab/>
      </w:r>
      <w:r>
        <w:rPr>
          <w:spacing w:val="-2"/>
        </w:rPr>
        <w:t>—确定基础是在预算年度前一年及历史上实现的收入增长率基础上，根据预计的市</w:t>
      </w:r>
      <w:r>
        <w:rPr>
          <w:spacing w:val="-35"/>
        </w:rPr>
        <w:t> </w:t>
      </w:r>
      <w:r>
        <w:rPr>
          <w:spacing w:val="-35"/>
        </w:rPr>
      </w:r>
      <w:r>
        <w:rPr/>
        <w:t>场需求及自身的业务发展及营销战略而保持相应的增长率。</w:t>
      </w:r>
    </w:p>
    <w:p>
      <w:pPr>
        <w:spacing w:after="0" w:line="295" w:lineRule="auto"/>
        <w:jc w:val="left"/>
        <w:sectPr>
          <w:headerReference w:type="default" r:id="rId64"/>
          <w:pgSz w:w="11910" w:h="16840"/>
          <w:pgMar w:header="926" w:footer="1335" w:top="1120" w:bottom="1520" w:left="1420" w:right="880"/>
        </w:sectPr>
      </w:pPr>
    </w:p>
    <w:p>
      <w:pPr>
        <w:spacing w:line="240" w:lineRule="auto" w:before="1"/>
        <w:rPr>
          <w:rFonts w:ascii="宋体" w:hAnsi="宋体" w:cs="宋体" w:eastAsia="宋体" w:hint="default"/>
          <w:sz w:val="25"/>
          <w:szCs w:val="25"/>
        </w:rPr>
      </w:pPr>
    </w:p>
    <w:p>
      <w:pPr>
        <w:pStyle w:val="BodyText"/>
        <w:tabs>
          <w:tab w:pos="1477" w:val="left" w:leader="none"/>
        </w:tabs>
        <w:spacing w:line="297" w:lineRule="auto" w:before="36"/>
        <w:ind w:left="218" w:right="238"/>
        <w:jc w:val="left"/>
      </w:pPr>
      <w:r>
        <w:rPr>
          <w:spacing w:val="-1"/>
        </w:rPr>
        <w:t>预算毛利</w:t>
        <w:tab/>
      </w:r>
      <w:r>
        <w:rPr>
          <w:spacing w:val="-2"/>
        </w:rPr>
        <w:t>—确定基础是在预算年度前一年实现的平均毛利率基础上，根据预计效率的提高及</w:t>
      </w:r>
      <w:r>
        <w:rPr>
          <w:spacing w:val="-35"/>
        </w:rPr>
        <w:t> </w:t>
      </w:r>
      <w:r>
        <w:rPr>
          <w:spacing w:val="-35"/>
        </w:rPr>
      </w:r>
      <w:r>
        <w:rPr/>
        <w:t>预计市场开发情况适当提高该平均毛利率。</w:t>
      </w:r>
      <w:r>
        <w:rPr>
          <w:w w:val="100"/>
        </w:rPr>
        <w:t> </w:t>
      </w:r>
      <w:r>
        <w:rPr/>
        <w:t>折现率—采用的折现率是反映相关资产组特定风险的税前折现率。</w:t>
      </w:r>
      <w:r>
        <w:rPr>
          <w:w w:val="100"/>
        </w:rPr>
        <w:t> </w:t>
      </w:r>
      <w:r>
        <w:rPr/>
        <w:t>分配至关键假设的金额与外部信息一致。</w:t>
      </w: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926" w:footer="1335" w:top="1120" w:bottom="1520" w:left="1580" w:right="1040"/>
        </w:sectPr>
      </w:pPr>
    </w:p>
    <w:p>
      <w:pPr>
        <w:pStyle w:val="Heading2"/>
        <w:spacing w:line="240" w:lineRule="auto"/>
        <w:ind w:right="-18"/>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14,202,472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12,079,981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9,446,666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16,835,787</w:t>
            </w:r>
          </w:p>
        </w:tc>
      </w:tr>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7,918,137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2,415,515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4,688,122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5,645,530</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22,120,609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14,495,496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14,134,788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22,481,317</w:t>
            </w:r>
          </w:p>
        </w:tc>
      </w:tr>
    </w:tbl>
    <w:p>
      <w:pPr>
        <w:pStyle w:val="BodyText"/>
        <w:spacing w:line="241" w:lineRule="exact"/>
        <w:ind w:left="218" w:right="2465"/>
        <w:jc w:val="left"/>
      </w:pPr>
      <w:r>
        <w:rPr/>
        <w:t>其他说明：</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520" w:left="1580" w:right="1040"/>
        </w:sectPr>
      </w:pPr>
    </w:p>
    <w:p>
      <w:pPr>
        <w:pStyle w:val="Heading2"/>
        <w:spacing w:line="290" w:lineRule="auto"/>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2"/>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3889" w:space="263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7,622,801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1,484,700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7,622,801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1,454,200</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20,880,861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4,318,565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13,589,155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3,103,140</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323,764,642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46,212,303</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未支付的应付职工薪酬</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22,097,000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3,314,542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477,856,941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55,266,656</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35,594,946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5,336,667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72,213,065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7,187,219</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16,450,893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3,392,841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14,266,262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1,878,676</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固定资产折旧差异</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7,416,461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1,037,841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6,916,037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793,891</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股权激励成本</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56,204,968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8,430,745</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490,032,572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73,528,204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592,464,261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69,683,782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52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9"/>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3336" w:space="318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42,474,564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8,487,541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26,291,762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3,686,778</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26,064,653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3,909,698</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68,539,217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12,397,239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26,291,762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3,686,778</w:t>
            </w:r>
          </w:p>
        </w:tc>
      </w:tr>
    </w:tbl>
    <w:p>
      <w:pPr>
        <w:spacing w:after="0" w:line="241" w:lineRule="exact"/>
        <w:jc w:val="right"/>
        <w:rPr>
          <w:rFonts w:ascii="宋体" w:hAnsi="宋体" w:cs="宋体" w:eastAsia="宋体" w:hint="default"/>
          <w:sz w:val="21"/>
          <w:szCs w:val="21"/>
        </w:rPr>
        <w:sectPr>
          <w:type w:val="continuous"/>
          <w:pgSz w:w="11910" w:h="16840"/>
          <w:pgMar w:top="1120" w:bottom="152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5"/>
          <w:pgSz w:w="11910" w:h="16840"/>
          <w:pgMar w:header="926" w:footer="1335" w:top="1120" w:bottom="1520" w:left="1580" w:right="1040"/>
        </w:sectPr>
      </w:pPr>
    </w:p>
    <w:p>
      <w:pPr>
        <w:pStyle w:val="Heading2"/>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8"/>
        <w:ind w:left="218" w:right="-18"/>
        <w:jc w:val="left"/>
      </w:pPr>
      <w:r>
        <w:rPr/>
        <w:t>□适用</w:t>
      </w:r>
      <w:r>
        <w:rPr>
          <w:spacing w:val="-1"/>
        </w:rPr>
        <w:t> </w:t>
      </w:r>
      <w:r>
        <w:rPr/>
        <w:t>√不适用</w:t>
      </w:r>
    </w:p>
    <w:p>
      <w:pPr>
        <w:pStyle w:val="Heading2"/>
        <w:spacing w:line="240" w:lineRule="auto" w:before="56"/>
        <w:ind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5026" w:space="149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112,203,140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76,391,522</w:t>
            </w:r>
          </w:p>
        </w:tc>
      </w:tr>
      <w:tr>
        <w:trPr>
          <w:trHeight w:val="29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69,637,425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39,879,467</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181,840,565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116,270,989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520" w:left="1580" w:right="1040"/>
        </w:sectPr>
      </w:pPr>
    </w:p>
    <w:p>
      <w:pPr>
        <w:pStyle w:val="Heading2"/>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5866" w:space="601"/>
            <w:col w:w="282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44,114,505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80,695,181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92,578,851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92,389,278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97,898,519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53,807,825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53,807,825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75,763,316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75,805,264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spacing w:val="-1"/>
                <w:sz w:val="21"/>
              </w:rPr>
              <w:t>462,213,959</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764,869,559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sz w:val="21"/>
              </w:rPr>
              <w:t>364,204,964</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40" w:lineRule="auto" w:before="36"/>
        <w:ind w:left="218" w:right="246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16"/>
        <w:gridCol w:w="3080"/>
        <w:gridCol w:w="3001"/>
      </w:tblGrid>
      <w:tr>
        <w:trPr>
          <w:trHeight w:val="286"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
        </w:tc>
        <w:tc>
          <w:tcPr>
            <w:tcW w:w="3080" w:type="dxa"/>
            <w:tcBorders>
              <w:top w:val="single" w:sz="6" w:space="0" w:color="000000"/>
              <w:left w:val="single" w:sz="6" w:space="0" w:color="000000"/>
              <w:bottom w:val="single" w:sz="6" w:space="0" w:color="000000"/>
              <w:right w:val="single" w:sz="6" w:space="0" w:color="000000"/>
            </w:tcBorders>
          </w:tcPr>
          <w:p>
            <w:pPr/>
          </w:p>
        </w:tc>
        <w:tc>
          <w:tcPr>
            <w:tcW w:w="3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
        </w:tc>
        <w:tc>
          <w:tcPr>
            <w:tcW w:w="3080" w:type="dxa"/>
            <w:tcBorders>
              <w:top w:val="single" w:sz="6" w:space="0" w:color="000000"/>
              <w:left w:val="single" w:sz="6" w:space="0" w:color="000000"/>
              <w:bottom w:val="single" w:sz="6" w:space="0" w:color="000000"/>
              <w:right w:val="single" w:sz="6" w:space="0" w:color="000000"/>
            </w:tcBorders>
          </w:tcPr>
          <w:p>
            <w:pPr/>
          </w:p>
        </w:tc>
        <w:tc>
          <w:tcPr>
            <w:tcW w:w="3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
        </w:tc>
        <w:tc>
          <w:tcPr>
            <w:tcW w:w="300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218"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520" w:left="1580" w:right="1040"/>
        </w:sectPr>
      </w:pPr>
    </w:p>
    <w:p>
      <w:pPr>
        <w:pStyle w:val="Heading2"/>
        <w:spacing w:line="240" w:lineRule="auto"/>
        <w:ind w:right="-18"/>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BodyText"/>
        <w:spacing w:line="240" w:lineRule="auto" w:before="58"/>
        <w:ind w:left="218" w:right="-18"/>
        <w:jc w:val="left"/>
      </w:pPr>
      <w:r>
        <w:rPr/>
        <w:t>√适用</w:t>
      </w:r>
      <w:r>
        <w:rPr>
          <w:spacing w:val="-1"/>
        </w:rPr>
        <w:t> </w:t>
      </w:r>
      <w:r>
        <w:rPr/>
        <w:t>□不适用</w:t>
      </w:r>
    </w:p>
    <w:p>
      <w:pPr>
        <w:tabs>
          <w:tab w:pos="849" w:val="left" w:leader="none"/>
        </w:tabs>
        <w:spacing w:before="56"/>
        <w:ind w:left="218" w:right="-18" w:firstLine="0"/>
        <w:jc w:val="left"/>
        <w:rPr>
          <w:rFonts w:ascii="宋体" w:hAnsi="宋体" w:cs="宋体" w:eastAsia="宋体" w:hint="default"/>
          <w:sz w:val="21"/>
          <w:szCs w:val="21"/>
        </w:rPr>
      </w:pPr>
      <w:r>
        <w:rPr>
          <w:rFonts w:ascii="宋体" w:hAnsi="宋体" w:cs="宋体" w:eastAsia="宋体" w:hint="default"/>
          <w:b/>
          <w:bCs/>
          <w:w w:val="95"/>
          <w:sz w:val="20"/>
          <w:szCs w:val="20"/>
        </w:rPr>
        <w:t>(1).</w:t>
        <w:tab/>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71"/>
        <w:gridCol w:w="3005"/>
        <w:gridCol w:w="3020"/>
      </w:tblGrid>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650,000,000</w:t>
            </w: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20" w:right="0"/>
              <w:jc w:val="left"/>
              <w:rPr>
                <w:rFonts w:ascii="宋体" w:hAnsi="宋体" w:cs="宋体" w:eastAsia="宋体" w:hint="default"/>
                <w:sz w:val="21"/>
                <w:szCs w:val="21"/>
              </w:rPr>
            </w:pPr>
            <w:r>
              <w:rPr>
                <w:rFonts w:ascii="宋体"/>
                <w:sz w:val="21"/>
              </w:rPr>
              <w:t>1,823,984,362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618,000,000</w:t>
            </w: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52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871"/>
        <w:gridCol w:w="3005"/>
        <w:gridCol w:w="3020"/>
      </w:tblGrid>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20" w:right="0"/>
              <w:jc w:val="left"/>
              <w:rPr>
                <w:rFonts w:ascii="宋体" w:hAnsi="宋体" w:cs="宋体" w:eastAsia="宋体" w:hint="default"/>
                <w:sz w:val="21"/>
                <w:szCs w:val="21"/>
              </w:rPr>
            </w:pPr>
            <w:r>
              <w:rPr>
                <w:rFonts w:ascii="宋体"/>
                <w:sz w:val="21"/>
              </w:rPr>
              <w:t>1,823,984,362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35" w:right="0"/>
              <w:jc w:val="left"/>
              <w:rPr>
                <w:rFonts w:ascii="宋体" w:hAnsi="宋体" w:cs="宋体" w:eastAsia="宋体" w:hint="default"/>
                <w:sz w:val="21"/>
                <w:szCs w:val="21"/>
              </w:rPr>
            </w:pPr>
            <w:r>
              <w:rPr>
                <w:rFonts w:ascii="宋体"/>
                <w:sz w:val="21"/>
              </w:rPr>
              <w:t>1,268,000,000</w:t>
            </w:r>
          </w:p>
        </w:tc>
      </w:tr>
    </w:tbl>
    <w:p>
      <w:pPr>
        <w:pStyle w:val="BodyText"/>
        <w:spacing w:line="240" w:lineRule="exact"/>
        <w:ind w:left="218" w:right="2465"/>
        <w:jc w:val="left"/>
      </w:pPr>
      <w:r>
        <w:rPr/>
        <w:t>短期借款分类的说明：</w:t>
      </w:r>
    </w:p>
    <w:p>
      <w:pPr>
        <w:pStyle w:val="BodyText"/>
        <w:spacing w:line="272" w:lineRule="exact" w:before="27"/>
        <w:ind w:left="218" w:right="225"/>
        <w:jc w:val="left"/>
      </w:pPr>
      <w:r>
        <w:rPr/>
        <w:t>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日，上述借款的年利率为</w:t>
      </w:r>
      <w:r>
        <w:rPr>
          <w:spacing w:val="-52"/>
        </w:rPr>
        <w:t> </w:t>
      </w:r>
      <w:r>
        <w:rPr>
          <w:rFonts w:ascii="宋体" w:hAnsi="宋体" w:cs="宋体" w:eastAsia="宋体" w:hint="default"/>
        </w:rPr>
        <w:t>1.80%</w:t>
      </w:r>
      <w:r>
        <w:rPr/>
        <w:t>至</w:t>
      </w:r>
      <w:r>
        <w:rPr>
          <w:spacing w:val="-53"/>
        </w:rPr>
        <w:t> </w:t>
      </w:r>
      <w:r>
        <w:rPr>
          <w:rFonts w:ascii="宋体" w:hAnsi="宋体" w:cs="宋体" w:eastAsia="宋体" w:hint="default"/>
        </w:rPr>
        <w:t>5.35%</w:t>
      </w:r>
      <w:r>
        <w:rPr>
          <w:rFonts w:ascii="宋体" w:hAnsi="宋体" w:cs="宋体" w:eastAsia="宋体" w:hint="default"/>
          <w:spacing w:val="-41"/>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t>日借款的年利率为</w:t>
      </w:r>
      <w:r>
        <w:rPr>
          <w:w w:val="100"/>
        </w:rPr>
        <w:t> </w:t>
      </w:r>
      <w:r>
        <w:rPr>
          <w:rFonts w:ascii="宋体" w:hAnsi="宋体" w:cs="宋体" w:eastAsia="宋体" w:hint="default"/>
        </w:rPr>
        <w:t>5.60%</w:t>
      </w:r>
      <w:r>
        <w:rPr/>
        <w:t>至</w:t>
      </w:r>
      <w:r>
        <w:rPr>
          <w:spacing w:val="-53"/>
        </w:rPr>
        <w:t> </w:t>
      </w:r>
      <w:r>
        <w:rPr>
          <w:rFonts w:ascii="宋体" w:hAnsi="宋体" w:cs="宋体" w:eastAsia="宋体" w:hint="default"/>
        </w:rPr>
        <w:t>6.30%)</w:t>
      </w:r>
      <w:r>
        <w:rPr/>
        <w:t>。</w:t>
      </w:r>
    </w:p>
    <w:p>
      <w:pPr>
        <w:spacing w:line="240" w:lineRule="auto" w:before="10"/>
        <w:rPr>
          <w:rFonts w:ascii="宋体" w:hAnsi="宋体" w:cs="宋体" w:eastAsia="宋体" w:hint="default"/>
          <w:sz w:val="18"/>
          <w:szCs w:val="18"/>
        </w:rPr>
      </w:pPr>
    </w:p>
    <w:p>
      <w:pPr>
        <w:pStyle w:val="BodyText"/>
        <w:spacing w:line="240" w:lineRule="auto"/>
        <w:ind w:left="218" w:right="225"/>
        <w:jc w:val="left"/>
      </w:pPr>
      <w:r>
        <w:rPr/>
        <w:t>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日，本集团无已到期但未偿还的短期借款</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t>日：无</w:t>
      </w:r>
      <w:r>
        <w:rPr>
          <w:rFonts w:ascii="宋体" w:hAnsi="宋体" w:cs="宋体" w:eastAsia="宋体" w:hint="default"/>
        </w:rPr>
        <w:t>)</w:t>
      </w:r>
      <w:r>
        <w:rPr/>
        <w:t>。</w:t>
      </w:r>
    </w:p>
    <w:p>
      <w:pPr>
        <w:spacing w:line="240" w:lineRule="auto" w:before="3"/>
        <w:rPr>
          <w:rFonts w:ascii="宋体" w:hAnsi="宋体" w:cs="宋体" w:eastAsia="宋体" w:hint="default"/>
          <w:sz w:val="25"/>
          <w:szCs w:val="25"/>
        </w:rPr>
      </w:pPr>
    </w:p>
    <w:p>
      <w:pPr>
        <w:tabs>
          <w:tab w:pos="849" w:val="left" w:leader="none"/>
        </w:tabs>
        <w:spacing w:before="0"/>
        <w:ind w:left="218" w:right="2465" w:firstLine="0"/>
        <w:jc w:val="left"/>
        <w:rPr>
          <w:rFonts w:ascii="宋体" w:hAnsi="宋体" w:cs="宋体" w:eastAsia="宋体" w:hint="default"/>
          <w:sz w:val="21"/>
          <w:szCs w:val="21"/>
        </w:rPr>
      </w:pPr>
      <w:r>
        <w:rPr>
          <w:rFonts w:ascii="宋体" w:hAnsi="宋体" w:cs="宋体" w:eastAsia="宋体" w:hint="default"/>
          <w:b/>
          <w:bCs/>
          <w:w w:val="95"/>
          <w:sz w:val="20"/>
          <w:szCs w:val="20"/>
        </w:rPr>
        <w:t>(2).</w:t>
        <w:tab/>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pStyle w:val="BodyText"/>
        <w:spacing w:line="240" w:lineRule="auto" w:before="56"/>
        <w:ind w:left="218" w:right="7474"/>
        <w:jc w:val="left"/>
      </w:pPr>
      <w:r>
        <w:rPr/>
        <w:t>□适用</w:t>
      </w:r>
      <w:r>
        <w:rPr>
          <w:spacing w:val="-1"/>
        </w:rPr>
        <w:t> </w:t>
      </w:r>
      <w:r>
        <w:rPr/>
        <w:t>√不适用</w:t>
      </w:r>
      <w:r>
        <w:rPr>
          <w:w w:val="100"/>
        </w:rPr>
        <w:t> </w:t>
      </w: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8"/>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9"/>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926" w:footer="1335" w:top="1120" w:bottom="1520" w:left="1580" w:right="1040"/>
        </w:sectPr>
      </w:pPr>
    </w:p>
    <w:p>
      <w:pPr>
        <w:pStyle w:val="Heading2"/>
        <w:spacing w:line="240" w:lineRule="auto"/>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2074" w:space="444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143,384,583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335,387,264</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201,698,842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38,722,295</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31,755,288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12,780,623</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25,267,269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13,479,349</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402,105,982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400,369,531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36"/>
        <w:ind w:left="218" w:right="2465" w:firstLine="0"/>
        <w:jc w:val="left"/>
        <w:rPr>
          <w:rFonts w:ascii="宋体" w:hAnsi="宋体" w:cs="宋体" w:eastAsia="宋体" w:hint="default"/>
          <w:sz w:val="21"/>
          <w:szCs w:val="21"/>
        </w:rPr>
      </w:pPr>
      <w:r>
        <w:rPr>
          <w:rFonts w:ascii="宋体" w:hAnsi="宋体" w:cs="宋体" w:eastAsia="宋体" w:hint="default"/>
          <w:b/>
          <w:bCs/>
          <w:sz w:val="20"/>
          <w:szCs w:val="20"/>
        </w:rPr>
        <w:t>(2). </w:t>
      </w:r>
      <w:r>
        <w:rPr>
          <w:rFonts w:ascii="宋体" w:hAnsi="宋体" w:cs="宋体" w:eastAsia="宋体" w:hint="default"/>
          <w:b/>
          <w:bCs/>
          <w:sz w:val="21"/>
          <w:szCs w:val="21"/>
        </w:rPr>
        <w:t>账龄超过 </w:t>
      </w:r>
      <w:r>
        <w:rPr>
          <w:rFonts w:ascii="Cambria" w:hAnsi="Cambria" w:cs="Cambria" w:eastAsia="Cambria" w:hint="default"/>
          <w:b/>
          <w:bCs/>
          <w:sz w:val="21"/>
          <w:szCs w:val="21"/>
        </w:rPr>
        <w:t>1</w:t>
      </w:r>
      <w:r>
        <w:rPr>
          <w:rFonts w:ascii="Cambria" w:hAnsi="Cambria" w:cs="Cambria" w:eastAsia="Cambria" w:hint="default"/>
          <w:b/>
          <w:bCs/>
          <w:spacing w:val="34"/>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pStyle w:val="BodyText"/>
        <w:spacing w:line="240" w:lineRule="auto" w:before="39"/>
        <w:ind w:left="218" w:right="7474"/>
        <w:jc w:val="left"/>
      </w:pPr>
      <w:r>
        <w:rPr/>
        <w:t>□适用</w:t>
      </w:r>
      <w:r>
        <w:rPr>
          <w:spacing w:val="-1"/>
        </w:rPr>
        <w:t> </w:t>
      </w:r>
      <w:r>
        <w:rPr/>
        <w:t>√不适用</w:t>
      </w:r>
      <w:r>
        <w:rPr>
          <w:w w:val="100"/>
        </w:rPr>
        <w:t> </w:t>
      </w:r>
      <w:r>
        <w:rPr/>
        <w:t>其他说明</w:t>
      </w:r>
    </w:p>
    <w:p>
      <w:pPr>
        <w:pStyle w:val="BodyText"/>
        <w:spacing w:line="230" w:lineRule="exact"/>
        <w:ind w:left="930" w:right="2465"/>
        <w:jc w:val="left"/>
      </w:pPr>
      <w:r>
        <w:rPr/>
        <w:t>应付账款不计息，并通常在</w:t>
      </w:r>
      <w:r>
        <w:rPr>
          <w:rFonts w:ascii="宋体" w:hAnsi="宋体" w:cs="宋体" w:eastAsia="宋体" w:hint="default"/>
        </w:rPr>
        <w:t>2</w:t>
      </w:r>
      <w:r>
        <w:rPr/>
        <w:t>个月内清偿。</w:t>
      </w:r>
    </w:p>
    <w:p>
      <w:pPr>
        <w:spacing w:line="240" w:lineRule="auto" w:before="9"/>
        <w:rPr>
          <w:rFonts w:ascii="宋体" w:hAnsi="宋体" w:cs="宋体" w:eastAsia="宋体" w:hint="default"/>
          <w:sz w:val="15"/>
          <w:szCs w:val="15"/>
        </w:rPr>
      </w:pPr>
    </w:p>
    <w:p>
      <w:pPr>
        <w:pStyle w:val="BodyText"/>
        <w:spacing w:line="240" w:lineRule="auto"/>
        <w:ind w:left="930" w:right="99"/>
        <w:jc w:val="left"/>
      </w:pPr>
      <w:r>
        <w:rPr>
          <w:w w:val="100"/>
        </w:rPr>
        <w:t>于</w:t>
      </w:r>
      <w:r>
        <w:rPr>
          <w:rFonts w:ascii="宋体" w:hAnsi="宋体" w:cs="宋体" w:eastAsia="宋体" w:hint="default"/>
          <w:w w:val="100"/>
        </w:rPr>
        <w:t>201</w:t>
      </w:r>
      <w:r>
        <w:rPr>
          <w:rFonts w:ascii="宋体" w:hAnsi="宋体" w:cs="宋体" w:eastAsia="宋体" w:hint="default"/>
          <w:spacing w:val="-3"/>
          <w:w w:val="100"/>
        </w:rPr>
        <w:t>5</w:t>
      </w:r>
      <w:r>
        <w:rPr>
          <w:w w:val="100"/>
        </w:rPr>
        <w:t>年</w:t>
      </w:r>
      <w:r>
        <w:rPr>
          <w:rFonts w:ascii="宋体" w:hAnsi="宋体" w:cs="宋体" w:eastAsia="宋体" w:hint="default"/>
          <w:w w:val="100"/>
        </w:rPr>
        <w:t>1</w:t>
      </w:r>
      <w:r>
        <w:rPr>
          <w:rFonts w:ascii="宋体" w:hAnsi="宋体" w:cs="宋体" w:eastAsia="宋体" w:hint="default"/>
          <w:spacing w:val="-3"/>
          <w:w w:val="100"/>
        </w:rPr>
        <w:t>2</w:t>
      </w:r>
      <w:r>
        <w:rPr>
          <w:w w:val="100"/>
        </w:rPr>
        <w:t>月</w:t>
      </w:r>
      <w:r>
        <w:rPr>
          <w:rFonts w:ascii="宋体" w:hAnsi="宋体" w:cs="宋体" w:eastAsia="宋体" w:hint="default"/>
          <w:w w:val="100"/>
        </w:rPr>
        <w:t>3</w:t>
      </w:r>
      <w:r>
        <w:rPr>
          <w:rFonts w:ascii="宋体" w:hAnsi="宋体" w:cs="宋体" w:eastAsia="宋体" w:hint="default"/>
          <w:spacing w:val="-2"/>
          <w:w w:val="100"/>
        </w:rPr>
        <w:t>1</w:t>
      </w:r>
      <w:r>
        <w:rPr>
          <w:w w:val="100"/>
        </w:rPr>
        <w:t>日</w:t>
      </w:r>
      <w:r>
        <w:rPr>
          <w:spacing w:val="-92"/>
          <w:w w:val="100"/>
        </w:rPr>
        <w:t>，</w:t>
      </w:r>
      <w:r>
        <w:rPr>
          <w:w w:val="100"/>
        </w:rPr>
        <w:t>本</w:t>
      </w:r>
      <w:r>
        <w:rPr>
          <w:spacing w:val="-3"/>
          <w:w w:val="100"/>
        </w:rPr>
        <w:t>账户</w:t>
      </w:r>
      <w:r>
        <w:rPr>
          <w:w w:val="100"/>
        </w:rPr>
        <w:t>余额</w:t>
      </w:r>
      <w:r>
        <w:rPr>
          <w:spacing w:val="-3"/>
          <w:w w:val="100"/>
        </w:rPr>
        <w:t>中</w:t>
      </w:r>
      <w:r>
        <w:rPr>
          <w:w w:val="100"/>
        </w:rPr>
        <w:t>无</w:t>
      </w:r>
      <w:r>
        <w:rPr>
          <w:spacing w:val="-3"/>
          <w:w w:val="100"/>
        </w:rPr>
        <w:t>账</w:t>
      </w:r>
      <w:r>
        <w:rPr>
          <w:w w:val="100"/>
        </w:rPr>
        <w:t>龄</w:t>
      </w:r>
      <w:r>
        <w:rPr>
          <w:spacing w:val="-3"/>
          <w:w w:val="100"/>
        </w:rPr>
        <w:t>超</w:t>
      </w:r>
      <w:r>
        <w:rPr>
          <w:w w:val="100"/>
        </w:rPr>
        <w:t>过</w:t>
      </w:r>
      <w:r>
        <w:rPr>
          <w:rFonts w:ascii="宋体" w:hAnsi="宋体" w:cs="宋体" w:eastAsia="宋体" w:hint="default"/>
          <w:spacing w:val="-3"/>
          <w:w w:val="100"/>
        </w:rPr>
        <w:t>1</w:t>
      </w:r>
      <w:r>
        <w:rPr>
          <w:w w:val="100"/>
        </w:rPr>
        <w:t>年</w:t>
      </w:r>
      <w:r>
        <w:rPr>
          <w:spacing w:val="-3"/>
          <w:w w:val="100"/>
        </w:rPr>
        <w:t>的重</w:t>
      </w:r>
      <w:r>
        <w:rPr>
          <w:w w:val="100"/>
        </w:rPr>
        <w:t>要应</w:t>
      </w:r>
      <w:r>
        <w:rPr>
          <w:spacing w:val="-3"/>
          <w:w w:val="100"/>
        </w:rPr>
        <w:t>付</w:t>
      </w:r>
      <w:r>
        <w:rPr>
          <w:w w:val="100"/>
        </w:rPr>
        <w:t>账</w:t>
      </w:r>
      <w:r>
        <w:rPr>
          <w:spacing w:val="-3"/>
          <w:w w:val="100"/>
        </w:rPr>
        <w:t>款</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w w:val="100"/>
        </w:rPr>
        <w:t>年</w:t>
      </w:r>
      <w:r>
        <w:rPr>
          <w:rFonts w:ascii="宋体" w:hAnsi="宋体" w:cs="宋体" w:eastAsia="宋体" w:hint="default"/>
          <w:spacing w:val="-3"/>
          <w:w w:val="100"/>
        </w:rPr>
        <w:t>1</w:t>
      </w:r>
      <w:r>
        <w:rPr>
          <w:rFonts w:ascii="宋体" w:hAnsi="宋体" w:cs="宋体" w:eastAsia="宋体" w:hint="default"/>
          <w:w w:val="100"/>
        </w:rPr>
        <w:t>2</w:t>
      </w:r>
      <w:r>
        <w:rPr>
          <w:w w:val="100"/>
        </w:rPr>
        <w:t>月</w:t>
      </w:r>
      <w:r>
        <w:rPr>
          <w:rFonts w:ascii="宋体" w:hAnsi="宋体" w:cs="宋体" w:eastAsia="宋体" w:hint="default"/>
          <w:spacing w:val="-3"/>
          <w:w w:val="100"/>
        </w:rPr>
        <w:t>31</w:t>
      </w:r>
      <w:r>
        <w:rPr>
          <w:w w:val="100"/>
        </w:rPr>
        <w:t>日</w:t>
      </w:r>
      <w:r>
        <w:rPr>
          <w:spacing w:val="-89"/>
          <w:w w:val="100"/>
        </w:rPr>
        <w:t>：</w:t>
      </w:r>
      <w:r>
        <w:rPr>
          <w:spacing w:val="-1"/>
          <w:w w:val="100"/>
        </w:rPr>
        <w:t>无</w:t>
      </w:r>
      <w:r>
        <w:rPr>
          <w:rFonts w:ascii="宋体" w:hAnsi="宋体" w:cs="宋体" w:eastAsia="宋体" w:hint="default"/>
          <w:spacing w:val="-3"/>
          <w:w w:val="100"/>
        </w:rPr>
        <w:t>)</w:t>
      </w:r>
      <w:r>
        <w:rPr>
          <w:w w:val="100"/>
        </w:rPr>
        <w:t>。</w:t>
      </w:r>
    </w:p>
    <w:p>
      <w:pPr>
        <w:spacing w:after="0" w:line="240" w:lineRule="auto"/>
        <w:jc w:val="left"/>
        <w:sectPr>
          <w:type w:val="continuous"/>
          <w:pgSz w:w="11910" w:h="16840"/>
          <w:pgMar w:top="1120" w:bottom="152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926" w:footer="1335" w:top="1120" w:bottom="1520" w:left="1580" w:right="1040"/>
        </w:sectPr>
      </w:pPr>
    </w:p>
    <w:p>
      <w:pPr>
        <w:pStyle w:val="Heading2"/>
        <w:spacing w:line="240" w:lineRule="auto"/>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2"/>
        <w:spacing w:line="240" w:lineRule="auto" w:before="58"/>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535,111,555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504,359,316</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121,229,020</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104,378,278</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64,401,688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35,981,926</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59,003,303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44,744,178</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779,745,566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689,463,698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36"/>
        <w:ind w:left="218" w:right="2465" w:firstLine="0"/>
        <w:jc w:val="left"/>
        <w:rPr>
          <w:rFonts w:ascii="宋体" w:hAnsi="宋体" w:cs="宋体" w:eastAsia="宋体" w:hint="default"/>
          <w:sz w:val="21"/>
          <w:szCs w:val="21"/>
        </w:rPr>
      </w:pPr>
      <w:r>
        <w:rPr>
          <w:rFonts w:ascii="宋体" w:hAnsi="宋体" w:cs="宋体" w:eastAsia="宋体" w:hint="default"/>
          <w:b/>
          <w:bCs/>
          <w:sz w:val="20"/>
          <w:szCs w:val="20"/>
        </w:rPr>
        <w:t>(2).</w:t>
      </w:r>
      <w:r>
        <w:rPr>
          <w:rFonts w:ascii="宋体" w:hAnsi="宋体" w:cs="宋体" w:eastAsia="宋体" w:hint="default"/>
          <w:b/>
          <w:bCs/>
          <w:spacing w:val="1"/>
          <w:sz w:val="20"/>
          <w:szCs w:val="20"/>
        </w:rPr>
        <w:t> </w:t>
      </w:r>
      <w:r>
        <w:rPr>
          <w:rFonts w:ascii="宋体" w:hAnsi="宋体" w:cs="宋体" w:eastAsia="宋体" w:hint="default"/>
          <w:b/>
          <w:bCs/>
          <w:sz w:val="21"/>
          <w:szCs w:val="21"/>
        </w:rPr>
        <w:t>账龄超过</w:t>
      </w:r>
      <w:r>
        <w:rPr>
          <w:rFonts w:ascii="宋体" w:hAnsi="宋体" w:cs="宋体" w:eastAsia="宋体" w:hint="default"/>
          <w:b/>
          <w:bCs/>
          <w:spacing w:val="-54"/>
          <w:sz w:val="21"/>
          <w:szCs w:val="21"/>
        </w:rPr>
        <w:t> </w:t>
      </w:r>
      <w:r>
        <w:rPr>
          <w:rFonts w:ascii="Cambria" w:hAnsi="Cambria" w:cs="Cambria" w:eastAsia="Cambria" w:hint="default"/>
          <w:b/>
          <w:bCs/>
          <w:sz w:val="21"/>
          <w:szCs w:val="21"/>
        </w:rPr>
        <w:t>1</w:t>
      </w:r>
      <w:r>
        <w:rPr>
          <w:rFonts w:ascii="Cambria" w:hAnsi="Cambria" w:cs="Cambria" w:eastAsia="Cambria" w:hint="default"/>
          <w:b/>
          <w:bCs/>
          <w:spacing w:val="3"/>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pStyle w:val="BodyText"/>
        <w:spacing w:line="240" w:lineRule="auto" w:before="41"/>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sz w:val="20"/>
          <w:szCs w:val="20"/>
        </w:rPr>
        <w:t>(3). </w:t>
      </w:r>
      <w:r>
        <w:rPr/>
        <w:t>期末建造合同形成的已结算未完工项目情况：</w:t>
      </w:r>
      <w:r>
        <w:rPr>
          <w:b w:val="0"/>
          <w:bCs w:val="0"/>
        </w:rPr>
      </w:r>
    </w:p>
    <w:p>
      <w:pPr>
        <w:pStyle w:val="BodyText"/>
        <w:spacing w:line="240" w:lineRule="auto" w:before="56"/>
        <w:ind w:left="218" w:right="7474"/>
        <w:jc w:val="left"/>
      </w:pPr>
      <w:r>
        <w:rPr/>
        <w:t>□适用</w:t>
      </w:r>
      <w:r>
        <w:rPr>
          <w:spacing w:val="-1"/>
        </w:rPr>
        <w:t> </w:t>
      </w:r>
      <w:r>
        <w:rPr/>
        <w:t>√不适用</w:t>
      </w:r>
      <w:r>
        <w:rPr>
          <w:w w:val="100"/>
        </w:rPr>
        <w:t> </w:t>
      </w:r>
      <w:r>
        <w:rPr/>
        <w:t>其他说明</w:t>
      </w:r>
    </w:p>
    <w:p>
      <w:pPr>
        <w:pStyle w:val="BodyText"/>
        <w:spacing w:line="240" w:lineRule="exact" w:before="9"/>
        <w:ind w:left="930" w:right="225"/>
        <w:jc w:val="left"/>
      </w:pPr>
      <w:r>
        <w:rPr/>
        <w:t>预收款项为预收客户有关软件销售及维护服务收入的款项。该款项按照收入确认的会计</w:t>
      </w:r>
      <w:r>
        <w:rPr>
          <w:w w:val="100"/>
        </w:rPr>
        <w:t> </w:t>
      </w:r>
      <w:r>
        <w:rPr/>
        <w:t>政策应于以后年度确认收入。</w:t>
      </w:r>
    </w:p>
    <w:p>
      <w:pPr>
        <w:spacing w:line="240" w:lineRule="auto" w:before="4"/>
        <w:rPr>
          <w:rFonts w:ascii="宋体" w:hAnsi="宋体" w:cs="宋体" w:eastAsia="宋体" w:hint="default"/>
          <w:sz w:val="14"/>
          <w:szCs w:val="14"/>
        </w:rPr>
      </w:pPr>
    </w:p>
    <w:p>
      <w:pPr>
        <w:pStyle w:val="BodyText"/>
        <w:spacing w:line="240" w:lineRule="auto"/>
        <w:ind w:left="930" w:right="99"/>
        <w:jc w:val="left"/>
      </w:pPr>
      <w:r>
        <w:rPr>
          <w:spacing w:val="-4"/>
        </w:rPr>
        <w:t>于</w:t>
      </w:r>
      <w:r>
        <w:rPr>
          <w:rFonts w:ascii="宋体" w:hAnsi="宋体" w:cs="宋体" w:eastAsia="宋体" w:hint="default"/>
          <w:spacing w:val="-4"/>
        </w:rPr>
        <w:t>2015</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日，本账户余额中无账龄超过</w:t>
      </w:r>
      <w:r>
        <w:rPr>
          <w:rFonts w:ascii="宋体" w:hAnsi="宋体" w:cs="宋体" w:eastAsia="宋体" w:hint="default"/>
          <w:spacing w:val="-4"/>
        </w:rPr>
        <w:t>1</w:t>
      </w:r>
      <w:r>
        <w:rPr>
          <w:spacing w:val="-4"/>
        </w:rPr>
        <w:t>年的重要预收款项</w:t>
      </w:r>
      <w:r>
        <w:rPr>
          <w:rFonts w:ascii="宋体" w:hAnsi="宋体" w:cs="宋体" w:eastAsia="宋体" w:hint="default"/>
          <w:spacing w:val="-4"/>
        </w:rPr>
        <w:t>(2014</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日：无</w:t>
      </w:r>
      <w:r>
        <w:rPr>
          <w:rFonts w:ascii="宋体" w:hAnsi="宋体" w:cs="宋体" w:eastAsia="宋体" w:hint="default"/>
          <w:spacing w:val="-4"/>
        </w:rPr>
        <w:t>)</w:t>
      </w:r>
      <w:r>
        <w:rPr>
          <w:spacing w:val="-4"/>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520" w:left="1580" w:right="1040"/>
        </w:sectPr>
      </w:pPr>
    </w:p>
    <w:p>
      <w:pPr>
        <w:pStyle w:val="Heading2"/>
        <w:spacing w:line="290" w:lineRule="auto"/>
        <w:ind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8"/>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492,187,502</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2,414,163,912</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2,367,640,792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538,710,622</w:t>
            </w:r>
          </w:p>
        </w:tc>
      </w:tr>
      <w:tr>
        <w:trPr>
          <w:trHeight w:val="562"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3"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12,874,260</w:t>
            </w:r>
          </w:p>
        </w:tc>
        <w:tc>
          <w:tcPr>
            <w:tcW w:w="1606"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281,927,008</w:t>
            </w:r>
          </w:p>
        </w:tc>
        <w:tc>
          <w:tcPr>
            <w:tcW w:w="1611"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281,807,421</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12,993,847</w:t>
            </w:r>
          </w:p>
        </w:tc>
      </w:tr>
      <w:tr>
        <w:trPr>
          <w:trHeight w:val="286"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545,641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8,628,130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8,792,897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380,874</w:t>
            </w:r>
          </w:p>
        </w:tc>
      </w:tr>
      <w:tr>
        <w:trPr>
          <w:trHeight w:val="562"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8"/>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505,607,403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2,704,719,050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2,658,241,110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552,085,343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520" w:left="1580" w:right="1040"/>
        </w:sectPr>
      </w:pPr>
    </w:p>
    <w:p>
      <w:pPr>
        <w:spacing w:before="36"/>
        <w:ind w:left="218" w:right="-18" w:firstLine="0"/>
        <w:jc w:val="left"/>
        <w:rPr>
          <w:rFonts w:ascii="宋体" w:hAnsi="宋体" w:cs="宋体" w:eastAsia="宋体" w:hint="default"/>
          <w:sz w:val="21"/>
          <w:szCs w:val="21"/>
        </w:rPr>
      </w:pPr>
      <w:r>
        <w:rPr>
          <w:rFonts w:ascii="宋体" w:hAnsi="宋体" w:cs="宋体" w:eastAsia="宋体" w:hint="default"/>
          <w:b/>
          <w:bCs/>
          <w:sz w:val="20"/>
          <w:szCs w:val="20"/>
        </w:rPr>
        <w:t>(2).</w:t>
      </w:r>
      <w:r>
        <w:rPr>
          <w:rFonts w:ascii="宋体" w:hAnsi="宋体" w:cs="宋体" w:eastAsia="宋体" w:hint="default"/>
          <w:b/>
          <w:bCs/>
          <w:spacing w:val="-79"/>
          <w:sz w:val="20"/>
          <w:szCs w:val="20"/>
        </w:rPr>
        <w:t> </w:t>
      </w:r>
      <w:r>
        <w:rPr>
          <w:rFonts w:ascii="宋体" w:hAnsi="宋体" w:cs="宋体" w:eastAsia="宋体" w:hint="default"/>
          <w:b/>
          <w:bCs/>
          <w:sz w:val="21"/>
          <w:szCs w:val="21"/>
        </w:rPr>
        <w:t>短期薪酬列示：</w:t>
      </w:r>
      <w:r>
        <w:rPr>
          <w:rFonts w:ascii="宋体" w:hAnsi="宋体" w:cs="宋体" w:eastAsia="宋体" w:hint="default"/>
          <w:sz w:val="21"/>
          <w:szCs w:val="21"/>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520" w:left="1580" w:right="1040"/>
          <w:cols w:num="2" w:equalWidth="0">
            <w:col w:w="2122" w:space="4506"/>
            <w:col w:w="266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477,856,941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2,037,572,762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1,988,717,047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526,712,656</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27,596,542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27,596,542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5,502,394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117,004,681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117,035,180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5,471,895</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4,830,964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105,418,662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105,452,525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4,797,101</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4,045,928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4,019,445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283,561</w:t>
            </w:r>
          </w:p>
        </w:tc>
      </w:tr>
    </w:tbl>
    <w:p>
      <w:pPr>
        <w:spacing w:after="0" w:line="241" w:lineRule="exact"/>
        <w:jc w:val="right"/>
        <w:rPr>
          <w:rFonts w:ascii="宋体" w:hAnsi="宋体" w:cs="宋体" w:eastAsia="宋体" w:hint="default"/>
          <w:sz w:val="21"/>
          <w:szCs w:val="21"/>
        </w:rPr>
        <w:sectPr>
          <w:type w:val="continuous"/>
          <w:pgSz w:w="11910" w:h="16840"/>
          <w:pgMar w:top="1120" w:bottom="152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414,352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7,540,091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7,563,210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391,233</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2,399,762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229,870,928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232,136,997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133,693</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4,774,722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1,161,735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1,196,158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4,740,299</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八、其他短期薪酬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1,653,683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957,264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958,868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1,652,079</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492,187,502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2,414,163,912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2,367,640,792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538,710,622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6"/>
          <w:pgSz w:w="11910" w:h="16840"/>
          <w:pgMar w:header="926" w:footer="1335" w:top="1120" w:bottom="1520" w:left="1580" w:right="1040"/>
        </w:sectPr>
      </w:pPr>
    </w:p>
    <w:p>
      <w:pPr>
        <w:spacing w:before="36"/>
        <w:ind w:left="218" w:right="-19" w:firstLine="0"/>
        <w:jc w:val="left"/>
        <w:rPr>
          <w:rFonts w:ascii="宋体" w:hAnsi="宋体" w:cs="宋体" w:eastAsia="宋体" w:hint="default"/>
          <w:sz w:val="21"/>
          <w:szCs w:val="21"/>
        </w:rPr>
      </w:pPr>
      <w:r>
        <w:rPr>
          <w:rFonts w:ascii="宋体" w:hAnsi="宋体" w:cs="宋体" w:eastAsia="宋体" w:hint="default"/>
          <w:b/>
          <w:bCs/>
          <w:sz w:val="20"/>
          <w:szCs w:val="20"/>
        </w:rPr>
        <w:t>(3).</w:t>
      </w:r>
      <w:r>
        <w:rPr>
          <w:rFonts w:ascii="宋体" w:hAnsi="宋体" w:cs="宋体" w:eastAsia="宋体" w:hint="default"/>
          <w:b/>
          <w:bCs/>
          <w:spacing w:val="-78"/>
          <w:sz w:val="20"/>
          <w:szCs w:val="20"/>
        </w:rPr>
        <w:t> </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12,311,111</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269,030,109</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268,962,488</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12,378,732</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563,149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12,896,899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12,844,933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615,115</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12,874,260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281,927,008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281,807,421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12,993,847</w:t>
            </w:r>
          </w:p>
        </w:tc>
      </w:tr>
    </w:tbl>
    <w:p>
      <w:pPr>
        <w:spacing w:line="240" w:lineRule="auto" w:before="7"/>
        <w:rPr>
          <w:rFonts w:ascii="宋体" w:hAnsi="宋体" w:cs="宋体" w:eastAsia="宋体" w:hint="default"/>
          <w:sz w:val="15"/>
          <w:szCs w:val="15"/>
        </w:rPr>
      </w:pPr>
    </w:p>
    <w:p>
      <w:pPr>
        <w:pStyle w:val="BodyText"/>
        <w:spacing w:line="240" w:lineRule="auto" w:before="36"/>
        <w:ind w:left="218"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0"/>
      </w:tblGrid>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142,214,106</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156,998,476</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13,066,452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2,271,753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27,742,737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57,124,406</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9,458,831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8,185,967</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18,196,831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17,695,888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1,546,851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2,085,440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212,225,808</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244,361,930</w:t>
            </w:r>
          </w:p>
        </w:tc>
      </w:tr>
    </w:tbl>
    <w:p>
      <w:pPr>
        <w:pStyle w:val="BodyText"/>
        <w:spacing w:line="241" w:lineRule="exact"/>
        <w:ind w:left="218"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520" w:left="1580" w:right="1040"/>
        </w:sectPr>
      </w:pPr>
    </w:p>
    <w:p>
      <w:pPr>
        <w:pStyle w:val="Heading2"/>
        <w:spacing w:line="240" w:lineRule="auto"/>
        <w:ind w:right="-18"/>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52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70"/>
              <w:jc w:val="right"/>
              <w:rPr>
                <w:rFonts w:ascii="宋体" w:hAnsi="宋体" w:cs="宋体" w:eastAsia="宋体" w:hint="default"/>
                <w:sz w:val="21"/>
                <w:szCs w:val="21"/>
              </w:rPr>
            </w:pPr>
            <w:r>
              <w:rPr>
                <w:rFonts w:ascii="宋体"/>
                <w:spacing w:val="-1"/>
                <w:sz w:val="21"/>
              </w:rPr>
              <w:t>21,137,671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21,137,671</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21,137,671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21,137,671</w:t>
            </w:r>
          </w:p>
        </w:tc>
      </w:tr>
    </w:tbl>
    <w:p>
      <w:pPr>
        <w:spacing w:line="240" w:lineRule="auto" w:before="7"/>
        <w:rPr>
          <w:rFonts w:ascii="宋体" w:hAnsi="宋体" w:cs="宋体" w:eastAsia="宋体" w:hint="default"/>
          <w:sz w:val="15"/>
          <w:szCs w:val="15"/>
        </w:rPr>
      </w:pPr>
    </w:p>
    <w:p>
      <w:pPr>
        <w:pStyle w:val="BodyText"/>
        <w:spacing w:line="273" w:lineRule="exact" w:before="36"/>
        <w:ind w:left="218" w:right="2465"/>
        <w:jc w:val="left"/>
      </w:pPr>
      <w:r>
        <w:rPr/>
        <w:t>重要的已逾期未支付的利息情况：</w:t>
      </w:r>
    </w:p>
    <w:p>
      <w:pPr>
        <w:pStyle w:val="BodyText"/>
        <w:spacing w:line="292" w:lineRule="auto"/>
        <w:ind w:left="218" w:right="7474"/>
        <w:jc w:val="left"/>
      </w:pPr>
      <w:r>
        <w:rPr/>
        <w:t>□适用</w:t>
      </w:r>
      <w:r>
        <w:rPr>
          <w:spacing w:val="-1"/>
        </w:rPr>
        <w:t> </w:t>
      </w:r>
      <w:r>
        <w:rPr/>
        <w:t>√不适用</w:t>
      </w:r>
      <w:r>
        <w:rPr>
          <w:w w:val="100"/>
        </w:rPr>
        <w:t> </w:t>
      </w:r>
      <w:r>
        <w:rPr/>
        <w:t>其他说明：</w:t>
      </w:r>
    </w:p>
    <w:p>
      <w:pPr>
        <w:spacing w:line="240" w:lineRule="auto" w:before="7"/>
        <w:rPr>
          <w:rFonts w:ascii="宋体" w:hAnsi="宋体" w:cs="宋体" w:eastAsia="宋体" w:hint="default"/>
          <w:sz w:val="21"/>
          <w:szCs w:val="21"/>
        </w:rPr>
      </w:pPr>
    </w:p>
    <w:p>
      <w:pPr>
        <w:pStyle w:val="BodyText"/>
        <w:spacing w:line="240" w:lineRule="auto"/>
        <w:ind w:left="218" w:right="2465"/>
        <w:jc w:val="left"/>
      </w:pPr>
      <w:r>
        <w:rPr/>
        <w:t>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日，集团无逾期未支付利息（</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日：无）。</w:t>
      </w:r>
    </w:p>
    <w:p>
      <w:pPr>
        <w:spacing w:line="240" w:lineRule="auto" w:before="9"/>
        <w:rPr>
          <w:rFonts w:ascii="宋体" w:hAnsi="宋体" w:cs="宋体" w:eastAsia="宋体" w:hint="default"/>
          <w:sz w:val="19"/>
          <w:szCs w:val="19"/>
        </w:rPr>
      </w:pPr>
    </w:p>
    <w:p>
      <w:pPr>
        <w:pStyle w:val="BodyText"/>
        <w:spacing w:line="273" w:lineRule="exact"/>
        <w:ind w:left="218" w:right="99"/>
        <w:jc w:val="left"/>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51"/>
        </w:rPr>
        <w:t> </w:t>
      </w:r>
      <w:r>
        <w:rPr/>
        <w:t>年</w:t>
      </w:r>
      <w:r>
        <w:rPr>
          <w:spacing w:val="-48"/>
        </w:rPr>
        <w:t> </w:t>
      </w:r>
      <w:r>
        <w:rPr>
          <w:rFonts w:ascii="宋体" w:hAnsi="宋体" w:cs="宋体" w:eastAsia="宋体" w:hint="default"/>
        </w:rPr>
        <w:t>3</w:t>
      </w:r>
      <w:r>
        <w:rPr>
          <w:rFonts w:ascii="宋体" w:hAnsi="宋体" w:cs="宋体" w:eastAsia="宋体" w:hint="default"/>
          <w:spacing w:val="-51"/>
        </w:rPr>
        <w:t> </w:t>
      </w:r>
      <w:r>
        <w:rPr/>
        <w:t>月</w:t>
      </w:r>
      <w:r>
        <w:rPr>
          <w:spacing w:val="-48"/>
        </w:rPr>
        <w:t> </w:t>
      </w:r>
      <w:r>
        <w:rPr>
          <w:rFonts w:ascii="宋体" w:hAnsi="宋体" w:cs="宋体" w:eastAsia="宋体" w:hint="default"/>
        </w:rPr>
        <w:t>19</w:t>
      </w:r>
      <w:r>
        <w:rPr>
          <w:rFonts w:ascii="宋体" w:hAnsi="宋体" w:cs="宋体" w:eastAsia="宋体" w:hint="default"/>
          <w:spacing w:val="-51"/>
        </w:rPr>
        <w:t> </w:t>
      </w:r>
      <w:r>
        <w:rPr>
          <w:spacing w:val="-10"/>
        </w:rPr>
        <w:t>日，本公司发行了</w:t>
      </w:r>
      <w:r>
        <w:rPr>
          <w:spacing w:val="-47"/>
        </w:rPr>
        <w:t> </w:t>
      </w:r>
      <w:r>
        <w:rPr>
          <w:rFonts w:ascii="宋体" w:hAnsi="宋体" w:cs="宋体" w:eastAsia="宋体" w:hint="default"/>
        </w:rPr>
        <w:t>2013</w:t>
      </w:r>
      <w:r>
        <w:rPr>
          <w:rFonts w:ascii="宋体" w:hAnsi="宋体" w:cs="宋体" w:eastAsia="宋体" w:hint="default"/>
          <w:spacing w:val="-48"/>
        </w:rPr>
        <w:t> </w:t>
      </w:r>
      <w:r>
        <w:rPr>
          <w:spacing w:val="-6"/>
        </w:rPr>
        <w:t>年度第一期中期票据，票据期限为</w:t>
      </w:r>
      <w:r>
        <w:rPr>
          <w:spacing w:val="-48"/>
        </w:rPr>
        <w:t> </w:t>
      </w:r>
      <w:r>
        <w:rPr>
          <w:rFonts w:ascii="宋体" w:hAnsi="宋体" w:cs="宋体" w:eastAsia="宋体" w:hint="default"/>
        </w:rPr>
        <w:t>3</w:t>
      </w:r>
      <w:r>
        <w:rPr>
          <w:rFonts w:ascii="宋体" w:hAnsi="宋体" w:cs="宋体" w:eastAsia="宋体" w:hint="default"/>
          <w:spacing w:val="-51"/>
        </w:rPr>
        <w:t> </w:t>
      </w:r>
      <w:r>
        <w:rPr>
          <w:spacing w:val="-10"/>
        </w:rPr>
        <w:t>年，面值为人民币</w:t>
      </w:r>
      <w:r>
        <w:rPr>
          <w:spacing w:val="-47"/>
        </w:rPr>
        <w:t> </w:t>
      </w:r>
      <w:r>
        <w:rPr>
          <w:rFonts w:ascii="宋体" w:hAnsi="宋体" w:cs="宋体" w:eastAsia="宋体" w:hint="default"/>
        </w:rPr>
        <w:t>100</w:t>
      </w:r>
    </w:p>
    <w:p>
      <w:pPr>
        <w:pStyle w:val="BodyText"/>
        <w:spacing w:line="272" w:lineRule="exact"/>
        <w:ind w:left="218" w:right="99"/>
        <w:jc w:val="left"/>
      </w:pPr>
      <w:r>
        <w:rPr/>
        <w:t>元，发行总额为人民币</w:t>
      </w:r>
      <w:r>
        <w:rPr>
          <w:spacing w:val="-49"/>
        </w:rPr>
        <w:t> </w:t>
      </w:r>
      <w:r>
        <w:rPr>
          <w:rFonts w:ascii="宋体" w:hAnsi="宋体" w:cs="宋体" w:eastAsia="宋体" w:hint="default"/>
        </w:rPr>
        <w:t>500,000,000</w:t>
      </w:r>
      <w:r>
        <w:rPr>
          <w:rFonts w:ascii="宋体" w:hAnsi="宋体" w:cs="宋体" w:eastAsia="宋体" w:hint="default"/>
          <w:spacing w:val="-49"/>
        </w:rPr>
        <w:t> </w:t>
      </w:r>
      <w:r>
        <w:rPr>
          <w:spacing w:val="-3"/>
        </w:rPr>
        <w:t>元，票面利率为</w:t>
      </w:r>
      <w:r>
        <w:rPr>
          <w:spacing w:val="-47"/>
        </w:rPr>
        <w:t> </w:t>
      </w:r>
      <w:r>
        <w:rPr>
          <w:rFonts w:ascii="宋体" w:hAnsi="宋体" w:cs="宋体" w:eastAsia="宋体" w:hint="default"/>
          <w:spacing w:val="-3"/>
        </w:rPr>
        <w:t>5.4%</w:t>
      </w:r>
      <w:r>
        <w:rPr>
          <w:spacing w:val="-3"/>
        </w:rPr>
        <w:t>，固定利率，单利按年计息，每年</w:t>
      </w:r>
      <w:r>
        <w:rPr>
          <w:spacing w:val="-47"/>
        </w:rPr>
        <w:t> </w:t>
      </w:r>
      <w:r>
        <w:rPr>
          <w:rFonts w:ascii="宋体" w:hAnsi="宋体" w:cs="宋体" w:eastAsia="宋体" w:hint="default"/>
        </w:rPr>
        <w:t>3</w:t>
      </w:r>
      <w:r>
        <w:rPr>
          <w:rFonts w:ascii="宋体" w:hAnsi="宋体" w:cs="宋体" w:eastAsia="宋体" w:hint="default"/>
          <w:spacing w:val="-49"/>
        </w:rPr>
        <w:t> </w:t>
      </w:r>
      <w:r>
        <w:rPr/>
        <w:t>月</w:t>
      </w:r>
    </w:p>
    <w:p>
      <w:pPr>
        <w:pStyle w:val="BodyText"/>
        <w:spacing w:line="274" w:lineRule="exact"/>
        <w:ind w:left="218" w:right="2465"/>
        <w:jc w:val="left"/>
      </w:pPr>
      <w:r>
        <w:rPr>
          <w:rFonts w:ascii="宋体" w:hAnsi="宋体" w:cs="宋体" w:eastAsia="宋体" w:hint="default"/>
        </w:rPr>
        <w:t>20</w:t>
      </w:r>
      <w:r>
        <w:rPr>
          <w:rFonts w:ascii="宋体" w:hAnsi="宋体" w:cs="宋体" w:eastAsia="宋体" w:hint="default"/>
          <w:spacing w:val="-54"/>
        </w:rPr>
        <w:t> </w:t>
      </w:r>
      <w:r>
        <w:rPr/>
        <w:t>日为付息日。</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26" w:footer="1335" w:top="1120" w:bottom="1520" w:left="1580" w:right="1040"/>
        </w:sectPr>
      </w:pPr>
    </w:p>
    <w:p>
      <w:pPr>
        <w:pStyle w:val="Heading2"/>
        <w:spacing w:line="240" w:lineRule="auto"/>
        <w:ind w:right="-18"/>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988,875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312,500</w:t>
            </w:r>
          </w:p>
        </w:tc>
      </w:tr>
      <w:tr>
        <w:trPr>
          <w:trHeight w:val="55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988,875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312,500</w:t>
            </w:r>
          </w:p>
        </w:tc>
      </w:tr>
    </w:tbl>
    <w:p>
      <w:pPr>
        <w:pStyle w:val="BodyText"/>
        <w:spacing w:line="241" w:lineRule="exact"/>
        <w:ind w:left="218" w:right="225"/>
        <w:jc w:val="left"/>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5"/>
        </w:rPr>
        <w:t> </w:t>
      </w:r>
      <w:r>
        <w:rPr/>
        <w:t>年未支付的应付股利，应披露未支付原因：</w:t>
      </w:r>
    </w:p>
    <w:p>
      <w:pPr>
        <w:pStyle w:val="BodyText"/>
        <w:spacing w:line="261" w:lineRule="auto" w:before="3"/>
        <w:ind w:left="218" w:right="218"/>
        <w:jc w:val="left"/>
      </w:pPr>
      <w:r>
        <w:rPr/>
        <w:t>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日，应付股利主要包括预计未来不可解锁的限制性股票股利人民币</w:t>
      </w:r>
      <w:r>
        <w:rPr>
          <w:rFonts w:ascii="宋体" w:hAnsi="宋体" w:cs="宋体" w:eastAsia="宋体" w:hint="default"/>
        </w:rPr>
        <w:t>676,375</w:t>
      </w:r>
      <w:r>
        <w:rPr/>
        <w:t>元以</w:t>
      </w:r>
      <w:r>
        <w:rPr>
          <w:spacing w:val="-89"/>
        </w:rPr>
        <w:t> </w:t>
      </w:r>
      <w:r>
        <w:rPr>
          <w:spacing w:val="-2"/>
          <w:w w:val="100"/>
        </w:rPr>
        <w:t>及用友政务向少数股东支付的现金股利人民币</w:t>
      </w:r>
      <w:r>
        <w:rPr>
          <w:rFonts w:ascii="宋体" w:hAnsi="宋体" w:cs="宋体" w:eastAsia="宋体" w:hint="default"/>
          <w:spacing w:val="-2"/>
          <w:w w:val="100"/>
        </w:rPr>
        <w:t>312,500</w:t>
      </w:r>
      <w:r>
        <w:rPr>
          <w:spacing w:val="-2"/>
          <w:w w:val="100"/>
        </w:rPr>
        <w:t>元</w:t>
      </w:r>
      <w:r>
        <w:rPr>
          <w:spacing w:val="40"/>
          <w:w w:val="100"/>
        </w:rPr>
        <w:t> </w:t>
      </w:r>
      <w:r>
        <w:rPr>
          <w:rFonts w:ascii="宋体" w:hAnsi="宋体" w:cs="宋体" w:eastAsia="宋体" w:hint="default"/>
          <w:spacing w:val="-5"/>
          <w:w w:val="100"/>
        </w:rPr>
        <w:t>(2014</w:t>
      </w:r>
      <w:r>
        <w:rPr>
          <w:spacing w:val="-5"/>
          <w:w w:val="100"/>
        </w:rPr>
        <w:t>年</w:t>
      </w:r>
      <w:r>
        <w:rPr>
          <w:rFonts w:ascii="宋体" w:hAnsi="宋体" w:cs="宋体" w:eastAsia="宋体" w:hint="default"/>
          <w:spacing w:val="-5"/>
          <w:w w:val="100"/>
        </w:rPr>
        <w:t>12</w:t>
      </w:r>
      <w:r>
        <w:rPr>
          <w:spacing w:val="-5"/>
          <w:w w:val="100"/>
        </w:rPr>
        <w:t>月</w:t>
      </w:r>
      <w:r>
        <w:rPr>
          <w:rFonts w:ascii="宋体" w:hAnsi="宋体" w:cs="宋体" w:eastAsia="宋体" w:hint="default"/>
          <w:spacing w:val="-5"/>
          <w:w w:val="100"/>
        </w:rPr>
        <w:t>31</w:t>
      </w:r>
      <w:r>
        <w:rPr>
          <w:spacing w:val="-5"/>
          <w:w w:val="100"/>
        </w:rPr>
        <w:t>日：人民币</w:t>
      </w:r>
      <w:r>
        <w:rPr>
          <w:rFonts w:ascii="宋体" w:hAnsi="宋体" w:cs="宋体" w:eastAsia="宋体" w:hint="default"/>
          <w:spacing w:val="-5"/>
          <w:w w:val="100"/>
        </w:rPr>
        <w:t>312,500</w:t>
      </w:r>
      <w:r>
        <w:rPr>
          <w:spacing w:val="-5"/>
          <w:w w:val="100"/>
        </w:rPr>
        <w:t>元</w:t>
      </w:r>
      <w:r>
        <w:rPr>
          <w:rFonts w:ascii="宋体" w:hAnsi="宋体" w:cs="宋体" w:eastAsia="宋体" w:hint="default"/>
          <w:spacing w:val="-5"/>
          <w:w w:val="100"/>
        </w:rPr>
        <w:t>)</w:t>
      </w:r>
      <w:r>
        <w:rPr>
          <w:spacing w:val="-5"/>
          <w:w w:val="100"/>
        </w:rPr>
        <w:t>。</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520" w:left="1580" w:right="1040"/>
        </w:sectPr>
      </w:pPr>
    </w:p>
    <w:p>
      <w:pPr>
        <w:pStyle w:val="Heading2"/>
        <w:spacing w:line="240" w:lineRule="auto"/>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2"/>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应付软件园建设款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70,931,266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11,277,918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56,997,419</w:t>
            </w:r>
            <w:r>
              <w:rPr>
                <w:rFonts w:ascii="宋体"/>
                <w:sz w:val="20"/>
              </w:rPr>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52,682,101</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应付土地开发建设费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52,342,500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74,596,620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股权收购款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29,272,947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4,272,947</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库存股回购款（注</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20,731,902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47,702,458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2,109,174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1,494,440</w:t>
            </w:r>
          </w:p>
        </w:tc>
      </w:tr>
    </w:tbl>
    <w:p>
      <w:pPr>
        <w:spacing w:after="0" w:line="243" w:lineRule="exact"/>
        <w:jc w:val="right"/>
        <w:rPr>
          <w:rFonts w:ascii="宋体" w:hAnsi="宋体" w:cs="宋体" w:eastAsia="宋体" w:hint="default"/>
          <w:sz w:val="21"/>
          <w:szCs w:val="21"/>
        </w:rPr>
        <w:sectPr>
          <w:type w:val="continuous"/>
          <w:pgSz w:w="11910" w:h="16840"/>
          <w:pgMar w:top="1120" w:bottom="152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58,979,264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57,503,629</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291,364,472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249,530,113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26" w:footer="1335" w:top="1120" w:bottom="1520" w:left="1580" w:right="1040"/>
        </w:sectPr>
      </w:pPr>
    </w:p>
    <w:p>
      <w:pPr>
        <w:pStyle w:val="Heading2"/>
        <w:spacing w:line="240" w:lineRule="auto"/>
        <w:ind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41"/>
        <w:ind w:left="21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3718" w:space="280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49,317,900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未到合同约定的付款日</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3,024,600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未到合同约定的付款日</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未到合同约定的付款日</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8"/>
              <w:jc w:val="right"/>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53,842,500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15"/>
          <w:szCs w:val="15"/>
        </w:rPr>
      </w:pPr>
    </w:p>
    <w:p>
      <w:pPr>
        <w:pStyle w:val="BodyText"/>
        <w:spacing w:line="273" w:lineRule="exact" w:before="36"/>
        <w:ind w:left="218" w:right="2465"/>
        <w:jc w:val="left"/>
      </w:pPr>
      <w:r>
        <w:rPr/>
        <w:t>其他说明</w:t>
      </w:r>
    </w:p>
    <w:p>
      <w:pPr>
        <w:pStyle w:val="BodyText"/>
        <w:spacing w:line="240" w:lineRule="auto"/>
        <w:ind w:left="218" w:right="285"/>
        <w:jc w:val="left"/>
      </w:pPr>
      <w:r>
        <w:rPr/>
        <w:t>注 </w:t>
      </w:r>
      <w:r>
        <w:rPr>
          <w:rFonts w:ascii="宋体" w:hAnsi="宋体" w:cs="宋体" w:eastAsia="宋体" w:hint="default"/>
        </w:rPr>
        <w:t>1.</w:t>
      </w:r>
      <w:r>
        <w:rPr>
          <w:rFonts w:ascii="宋体" w:hAnsi="宋体" w:cs="宋体" w:eastAsia="宋体" w:hint="default"/>
          <w:spacing w:val="-57"/>
        </w:rPr>
        <w:t> </w:t>
      </w:r>
      <w:r>
        <w:rPr/>
        <w:t>应付软件园建设款主要核算与南昌产业园以及用友软件园一期二期建设相关的建筑工程设</w:t>
      </w:r>
      <w:r>
        <w:rPr>
          <w:w w:val="100"/>
        </w:rPr>
        <w:t> </w:t>
      </w:r>
      <w:r>
        <w:rPr/>
        <w:t>计、工程招标咨询、工程建造等应付未付款项。</w:t>
      </w:r>
    </w:p>
    <w:p>
      <w:pPr>
        <w:spacing w:line="240" w:lineRule="auto" w:before="8"/>
        <w:rPr>
          <w:rFonts w:ascii="宋体" w:hAnsi="宋体" w:cs="宋体" w:eastAsia="宋体" w:hint="default"/>
          <w:sz w:val="20"/>
          <w:szCs w:val="20"/>
        </w:rPr>
      </w:pPr>
    </w:p>
    <w:p>
      <w:pPr>
        <w:pStyle w:val="BodyText"/>
        <w:spacing w:line="240" w:lineRule="auto"/>
        <w:ind w:left="218" w:right="225"/>
        <w:jc w:val="left"/>
      </w:pPr>
      <w:r>
        <w:rPr/>
        <w:t>注</w:t>
      </w:r>
      <w:r>
        <w:rPr>
          <w:spacing w:val="-54"/>
        </w:rPr>
        <w:t> </w:t>
      </w:r>
      <w:r>
        <w:rPr>
          <w:rFonts w:ascii="宋体" w:hAnsi="宋体" w:cs="宋体" w:eastAsia="宋体" w:hint="default"/>
        </w:rPr>
        <w:t>2.</w:t>
      </w:r>
      <w:r>
        <w:rPr>
          <w:rFonts w:ascii="宋体" w:hAnsi="宋体" w:cs="宋体" w:eastAsia="宋体" w:hint="default"/>
          <w:spacing w:val="-3"/>
        </w:rPr>
        <w:t> </w:t>
      </w:r>
      <w:r>
        <w:rPr/>
        <w:t>股权收购款主要为收购秉钧网络的应付股权收购款人民币</w:t>
      </w:r>
      <w:r>
        <w:rPr>
          <w:spacing w:val="-54"/>
        </w:rPr>
        <w:t> </w:t>
      </w:r>
      <w:r>
        <w:rPr>
          <w:rFonts w:ascii="宋体" w:hAnsi="宋体" w:cs="宋体" w:eastAsia="宋体" w:hint="default"/>
        </w:rPr>
        <w:t>25,000,000</w:t>
      </w:r>
      <w:r>
        <w:rPr>
          <w:rFonts w:ascii="宋体" w:hAnsi="宋体" w:cs="宋体" w:eastAsia="宋体" w:hint="default"/>
          <w:spacing w:val="-56"/>
        </w:rPr>
        <w:t> </w:t>
      </w:r>
      <w:r>
        <w:rPr/>
        <w:t>元。</w:t>
      </w:r>
    </w:p>
    <w:p>
      <w:pPr>
        <w:spacing w:line="604" w:lineRule="exact" w:before="29"/>
        <w:ind w:left="218" w:right="4063" w:firstLine="0"/>
        <w:jc w:val="left"/>
        <w:rPr>
          <w:rFonts w:ascii="宋体" w:hAnsi="宋体" w:cs="宋体" w:eastAsia="宋体" w:hint="default"/>
          <w:sz w:val="21"/>
          <w:szCs w:val="21"/>
        </w:rPr>
      </w:pPr>
      <w:r>
        <w:rPr>
          <w:rFonts w:ascii="宋体" w:hAnsi="宋体" w:cs="宋体" w:eastAsia="宋体" w:hint="default"/>
          <w:sz w:val="21"/>
          <w:szCs w:val="21"/>
        </w:rPr>
        <w:t>注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该款项为库存股回购义务产生的其他应付款项。</w:t>
      </w:r>
      <w:r>
        <w:rPr>
          <w:rFonts w:ascii="宋体" w:hAnsi="宋体" w:cs="宋体" w:eastAsia="宋体" w:hint="default"/>
          <w:w w:val="100"/>
          <w:sz w:val="21"/>
          <w:szCs w:val="21"/>
        </w:rPr>
        <w:t> </w:t>
      </w: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划分为持有待售的负债</w:t>
      </w:r>
      <w:r>
        <w:rPr>
          <w:rFonts w:ascii="宋体" w:hAnsi="宋体" w:cs="宋体" w:eastAsia="宋体" w:hint="default"/>
          <w:sz w:val="21"/>
          <w:szCs w:val="21"/>
        </w:rPr>
      </w:r>
    </w:p>
    <w:p>
      <w:pPr>
        <w:pStyle w:val="BodyText"/>
        <w:spacing w:line="242" w:lineRule="exact"/>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520" w:left="1580" w:right="1040"/>
        </w:sectPr>
      </w:pPr>
    </w:p>
    <w:p>
      <w:pPr>
        <w:pStyle w:val="Heading2"/>
        <w:spacing w:line="240" w:lineRule="auto"/>
        <w:ind w:right="-1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2993" w:space="352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60,793,114</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107,216,931</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499,648,984</w:t>
            </w: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一年内到期的递延收益</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42,148,302</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77,204,060</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602,590,400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184,420,991</w:t>
            </w:r>
          </w:p>
        </w:tc>
      </w:tr>
    </w:tbl>
    <w:p>
      <w:pPr>
        <w:pStyle w:val="BodyText"/>
        <w:spacing w:line="240" w:lineRule="auto" w:before="26"/>
        <w:ind w:left="218" w:right="2465"/>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pStyle w:val="Heading2"/>
        <w:spacing w:line="240" w:lineRule="auto" w:before="37"/>
        <w:ind w:right="2465"/>
        <w:jc w:val="left"/>
        <w:rPr>
          <w:b w:val="0"/>
          <w:bCs w:val="0"/>
        </w:rPr>
      </w:pPr>
      <w:r>
        <w:rPr>
          <w:rFonts w:ascii="宋体" w:hAnsi="宋体" w:cs="宋体" w:eastAsia="宋体" w:hint="default"/>
        </w:rPr>
        <w:t>44</w:t>
      </w:r>
      <w:r>
        <w:rPr/>
        <w:t>、</w:t>
      </w:r>
      <w:r>
        <w:rPr>
          <w:spacing w:val="-24"/>
        </w:rPr>
        <w:t> </w:t>
      </w:r>
      <w:r>
        <w:rPr/>
        <w:t>其他流动负债</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1,850,000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220,215</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16,717,031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12,440,530</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18,857,031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14,510,745</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36"/>
        <w:ind w:left="218" w:right="2465"/>
        <w:jc w:val="left"/>
      </w:pPr>
      <w:r>
        <w:rPr/>
        <w:t>短期应付债券的增减变动：</w:t>
      </w:r>
    </w:p>
    <w:p>
      <w:pPr>
        <w:spacing w:after="0" w:line="240" w:lineRule="auto"/>
        <w:jc w:val="left"/>
        <w:sectPr>
          <w:type w:val="continuous"/>
          <w:pgSz w:w="11910" w:h="16840"/>
          <w:pgMar w:top="1120" w:bottom="152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158" w:right="145"/>
        <w:jc w:val="left"/>
      </w:pPr>
      <w:r>
        <w:rPr/>
        <w:t>□适用</w:t>
      </w:r>
      <w:r>
        <w:rPr>
          <w:spacing w:val="-1"/>
        </w:rPr>
        <w:t> </w:t>
      </w:r>
      <w:r>
        <w:rPr/>
        <w:t>√不适用</w:t>
      </w:r>
    </w:p>
    <w:p>
      <w:pPr>
        <w:pStyle w:val="BodyText"/>
        <w:tabs>
          <w:tab w:pos="1051" w:val="left" w:leader="none"/>
        </w:tabs>
        <w:spacing w:line="274" w:lineRule="exact"/>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768"/>
        <w:gridCol w:w="768"/>
        <w:gridCol w:w="766"/>
        <w:gridCol w:w="768"/>
        <w:gridCol w:w="766"/>
        <w:gridCol w:w="764"/>
        <w:gridCol w:w="766"/>
        <w:gridCol w:w="890"/>
        <w:gridCol w:w="903"/>
        <w:gridCol w:w="842"/>
        <w:gridCol w:w="895"/>
      </w:tblGrid>
      <w:tr>
        <w:trPr>
          <w:trHeight w:val="833" w:hRule="exact"/>
        </w:trPr>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8" w:right="161"/>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5" w:right="161"/>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8" w:right="161"/>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期限</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3" w:right="163"/>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3" w:right="16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5" w:right="161"/>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发行</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hAnsi="宋体" w:cs="宋体" w:eastAsia="宋体" w:hint="default"/>
                <w:sz w:val="21"/>
                <w:szCs w:val="21"/>
              </w:rPr>
              <w:t>按面值</w:t>
            </w:r>
          </w:p>
          <w:p>
            <w:pPr>
              <w:pStyle w:val="TableParagraph"/>
              <w:spacing w:line="240" w:lineRule="auto"/>
              <w:ind w:left="331" w:right="120" w:hanging="212"/>
              <w:jc w:val="left"/>
              <w:rPr>
                <w:rFonts w:ascii="宋体" w:hAnsi="宋体" w:cs="宋体" w:eastAsia="宋体" w:hint="default"/>
                <w:sz w:val="21"/>
                <w:szCs w:val="21"/>
              </w:rPr>
            </w:pPr>
            <w:r>
              <w:rPr>
                <w:rFonts w:ascii="宋体" w:hAnsi="宋体" w:cs="宋体" w:eastAsia="宋体" w:hint="default"/>
                <w:sz w:val="21"/>
                <w:szCs w:val="21"/>
              </w:rPr>
              <w:t>计提利</w:t>
            </w:r>
            <w:r>
              <w:rPr>
                <w:rFonts w:ascii="宋体" w:hAnsi="宋体" w:cs="宋体" w:eastAsia="宋体" w:hint="default"/>
                <w:spacing w:val="-102"/>
                <w:sz w:val="21"/>
                <w:szCs w:val="21"/>
              </w:rPr>
              <w:t> </w:t>
            </w:r>
            <w:r>
              <w:rPr>
                <w:rFonts w:ascii="宋体" w:hAnsi="宋体" w:cs="宋体" w:eastAsia="宋体" w:hint="default"/>
                <w:sz w:val="21"/>
                <w:szCs w:val="21"/>
              </w:rPr>
              <w:t>息</w:t>
            </w:r>
          </w:p>
        </w:tc>
        <w:tc>
          <w:tcPr>
            <w:tcW w:w="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8" w:right="20" w:hanging="315"/>
              <w:jc w:val="left"/>
              <w:rPr>
                <w:rFonts w:ascii="宋体" w:hAnsi="宋体" w:cs="宋体" w:eastAsia="宋体" w:hint="default"/>
                <w:sz w:val="21"/>
                <w:szCs w:val="21"/>
              </w:rPr>
            </w:pPr>
            <w:r>
              <w:rPr>
                <w:rFonts w:ascii="宋体" w:hAnsi="宋体" w:cs="宋体" w:eastAsia="宋体" w:hint="default"/>
                <w:sz w:val="21"/>
                <w:szCs w:val="21"/>
              </w:rPr>
              <w:t>溢折价摊</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1" w:right="203"/>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偿还</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7" w:right="22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334" w:hRule="exact"/>
        </w:trPr>
        <w:tc>
          <w:tcPr>
            <w:tcW w:w="768"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903"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768"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903"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
        </w:tc>
      </w:tr>
      <w:tr>
        <w:trPr>
          <w:trHeight w:val="336" w:hRule="exact"/>
        </w:trPr>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6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903"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89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158" w:right="145"/>
        <w:jc w:val="left"/>
      </w:pPr>
      <w:r>
        <w:rPr/>
        <w:t>其他说明：</w:t>
      </w:r>
    </w:p>
    <w:p>
      <w:pPr>
        <w:spacing w:line="240" w:lineRule="auto" w:before="6"/>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926" w:footer="1335" w:top="1120" w:bottom="1520" w:left="1640" w:right="1120"/>
        </w:sectPr>
      </w:pPr>
    </w:p>
    <w:p>
      <w:pPr>
        <w:pStyle w:val="Heading2"/>
        <w:spacing w:line="240" w:lineRule="auto"/>
        <w:ind w:left="158" w:right="-18"/>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BodyText"/>
        <w:spacing w:line="240" w:lineRule="auto" w:before="56"/>
        <w:ind w:left="158" w:right="-18"/>
        <w:jc w:val="left"/>
      </w:pPr>
      <w:r>
        <w:rPr/>
        <w:t>√适用</w:t>
      </w:r>
      <w:r>
        <w:rPr>
          <w:spacing w:val="-1"/>
        </w:rPr>
        <w:t> </w:t>
      </w:r>
      <w:r>
        <w:rPr/>
        <w:t>□不适用</w:t>
      </w:r>
    </w:p>
    <w:p>
      <w:pPr>
        <w:tabs>
          <w:tab w:pos="789" w:val="left" w:leader="none"/>
        </w:tabs>
        <w:spacing w:before="58"/>
        <w:ind w:left="158" w:right="-18" w:firstLine="0"/>
        <w:jc w:val="left"/>
        <w:rPr>
          <w:rFonts w:ascii="宋体" w:hAnsi="宋体" w:cs="宋体" w:eastAsia="宋体" w:hint="default"/>
          <w:sz w:val="21"/>
          <w:szCs w:val="21"/>
        </w:rPr>
      </w:pPr>
      <w:r>
        <w:rPr>
          <w:rFonts w:ascii="宋体" w:hAnsi="宋体" w:cs="宋体" w:eastAsia="宋体" w:hint="default"/>
          <w:b/>
          <w:bCs/>
          <w:w w:val="95"/>
          <w:sz w:val="20"/>
          <w:szCs w:val="20"/>
        </w:rPr>
        <w:t>(1).</w:t>
        <w:tab/>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520" w:left="1640" w:right="1120"/>
          <w:cols w:num="2" w:equalWidth="0">
            <w:col w:w="2057" w:space="4465"/>
            <w:col w:w="26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01"/>
        <w:gridCol w:w="2998"/>
        <w:gridCol w:w="2897"/>
      </w:tblGrid>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抵押借款（注</w:t>
            </w:r>
            <w:r>
              <w:rPr>
                <w:rFonts w:ascii="宋体" w:hAnsi="宋体" w:cs="宋体" w:eastAsia="宋体" w:hint="default"/>
                <w:sz w:val="21"/>
                <w:szCs w:val="21"/>
              </w:rPr>
              <w:t>1</w:t>
            </w:r>
            <w:r>
              <w:rPr>
                <w:rFonts w:ascii="宋体" w:hAnsi="宋体" w:cs="宋体" w:eastAsia="宋体" w:hint="default"/>
                <w:sz w:val="21"/>
                <w:szCs w:val="21"/>
              </w:rPr>
              <w:t>）</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192,391,408</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433,549,395</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减：一年内到期的长期借款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-60,793,114</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-107,216,931</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131,598,294</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326,332,464</w:t>
            </w:r>
          </w:p>
        </w:tc>
      </w:tr>
    </w:tbl>
    <w:p>
      <w:pPr>
        <w:pStyle w:val="BodyText"/>
        <w:spacing w:line="240" w:lineRule="auto" w:before="26"/>
        <w:ind w:left="158" w:right="0"/>
        <w:jc w:val="both"/>
      </w:pPr>
      <w:r>
        <w:rPr/>
        <w:t>长期借款分类的说明：</w:t>
      </w:r>
    </w:p>
    <w:p>
      <w:pPr>
        <w:pStyle w:val="BodyText"/>
        <w:spacing w:line="297" w:lineRule="auto" w:before="56"/>
        <w:ind w:left="158" w:right="150"/>
        <w:jc w:val="both"/>
      </w:pPr>
      <w:r>
        <w:rPr>
          <w:w w:val="100"/>
        </w:rPr>
        <w:t>注</w:t>
      </w:r>
      <w:r>
        <w:rPr>
          <w:spacing w:val="-53"/>
          <w:w w:val="100"/>
        </w:rPr>
        <w:t> </w:t>
      </w:r>
      <w:r>
        <w:rPr>
          <w:rFonts w:ascii="宋体" w:hAnsi="宋体" w:cs="宋体" w:eastAsia="宋体" w:hint="default"/>
          <w:w w:val="100"/>
        </w:rPr>
        <w:t>1.</w:t>
      </w:r>
      <w:r>
        <w:rPr>
          <w:rFonts w:ascii="宋体" w:hAnsi="宋体" w:cs="宋体" w:eastAsia="宋体" w:hint="default"/>
          <w:spacing w:val="-1"/>
          <w:w w:val="100"/>
        </w:rPr>
        <w:t> </w:t>
      </w:r>
      <w:r>
        <w:rPr>
          <w:w w:val="100"/>
        </w:rPr>
        <w:t>于</w:t>
      </w:r>
      <w:r>
        <w:rPr>
          <w:spacing w:val="-53"/>
          <w:w w:val="100"/>
        </w:rPr>
        <w:t> </w:t>
      </w:r>
      <w:r>
        <w:rPr>
          <w:rFonts w:ascii="宋体" w:hAnsi="宋体" w:cs="宋体" w:eastAsia="宋体" w:hint="default"/>
          <w:spacing w:val="-1"/>
          <w:w w:val="100"/>
        </w:rPr>
        <w:t>2015</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2"/>
          <w:w w:val="100"/>
        </w:rPr>
        <w:t> </w:t>
      </w:r>
      <w:r>
        <w:rPr>
          <w:rFonts w:ascii="宋体" w:hAnsi="宋体" w:cs="宋体" w:eastAsia="宋体" w:hint="default"/>
          <w:spacing w:val="-2"/>
          <w:w w:val="100"/>
        </w:rPr>
        <w:t>31</w:t>
      </w:r>
      <w:r>
        <w:rPr>
          <w:rFonts w:ascii="宋体" w:hAnsi="宋体" w:cs="宋体" w:eastAsia="宋体" w:hint="default"/>
          <w:spacing w:val="-55"/>
          <w:w w:val="100"/>
        </w:rPr>
        <w:t> </w:t>
      </w:r>
      <w:r>
        <w:rPr>
          <w:spacing w:val="-9"/>
          <w:w w:val="100"/>
        </w:rPr>
        <w:t>日，本公司以账面价值人民币</w:t>
      </w:r>
      <w:r>
        <w:rPr>
          <w:spacing w:val="-53"/>
          <w:w w:val="100"/>
        </w:rPr>
        <w:t> </w:t>
      </w:r>
      <w:r>
        <w:rPr>
          <w:rFonts w:ascii="宋体" w:hAnsi="宋体" w:cs="宋体" w:eastAsia="宋体" w:hint="default"/>
          <w:spacing w:val="-1"/>
          <w:w w:val="100"/>
        </w:rPr>
        <w:t>23,982,409</w:t>
      </w:r>
      <w:r>
        <w:rPr>
          <w:rFonts w:ascii="宋体" w:hAnsi="宋体" w:cs="宋体" w:eastAsia="宋体" w:hint="default"/>
          <w:spacing w:val="-55"/>
          <w:w w:val="100"/>
        </w:rPr>
        <w:t> </w:t>
      </w:r>
      <w:r>
        <w:rPr>
          <w:spacing w:val="-1"/>
          <w:w w:val="100"/>
        </w:rPr>
        <w:t>元</w:t>
      </w:r>
      <w:r>
        <w:rPr>
          <w:rFonts w:ascii="宋体" w:hAnsi="宋体" w:cs="宋体" w:eastAsia="宋体" w:hint="default"/>
          <w:spacing w:val="-1"/>
          <w:w w:val="100"/>
        </w:rPr>
        <w:t>(2014</w:t>
      </w:r>
      <w:r>
        <w:rPr>
          <w:rFonts w:ascii="宋体" w:hAnsi="宋体" w:cs="宋体" w:eastAsia="宋体" w:hint="default"/>
          <w:spacing w:val="-55"/>
          <w:w w:val="100"/>
        </w:rPr>
        <w:t> </w:t>
      </w:r>
      <w:r>
        <w:rPr>
          <w:w w:val="100"/>
        </w:rPr>
        <w:t>年</w:t>
      </w:r>
      <w:r>
        <w:rPr>
          <w:spacing w:val="-54"/>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3"/>
          <w:w w:val="100"/>
        </w:rPr>
        <w:t> </w:t>
      </w:r>
      <w:r>
        <w:rPr>
          <w:rFonts w:ascii="宋体" w:hAnsi="宋体" w:cs="宋体" w:eastAsia="宋体" w:hint="default"/>
          <w:spacing w:val="-2"/>
          <w:w w:val="100"/>
        </w:rPr>
        <w:t>31</w:t>
      </w:r>
      <w:r>
        <w:rPr>
          <w:rFonts w:ascii="宋体" w:hAnsi="宋体" w:cs="宋体" w:eastAsia="宋体" w:hint="default"/>
          <w:spacing w:val="-53"/>
          <w:w w:val="100"/>
        </w:rPr>
        <w:t> </w:t>
      </w:r>
      <w:r>
        <w:rPr>
          <w:spacing w:val="-2"/>
          <w:w w:val="100"/>
        </w:rPr>
        <w:t>日人民币</w:t>
      </w:r>
      <w:r>
        <w:rPr>
          <w:w w:val="100"/>
        </w:rPr>
        <w:t> </w:t>
      </w:r>
      <w:r>
        <w:rPr>
          <w:rFonts w:ascii="宋体" w:hAnsi="宋体" w:cs="宋体" w:eastAsia="宋体" w:hint="default"/>
        </w:rPr>
        <w:t>24,487,559</w:t>
      </w:r>
      <w:r>
        <w:rPr>
          <w:rFonts w:ascii="宋体" w:hAnsi="宋体" w:cs="宋体" w:eastAsia="宋体" w:hint="default"/>
          <w:spacing w:val="-55"/>
        </w:rPr>
        <w:t> </w:t>
      </w:r>
      <w:r>
        <w:rPr/>
        <w:t>元</w:t>
      </w:r>
      <w:r>
        <w:rPr>
          <w:rFonts w:ascii="宋体" w:hAnsi="宋体" w:cs="宋体" w:eastAsia="宋体" w:hint="default"/>
        </w:rPr>
        <w:t>)</w:t>
      </w:r>
      <w:r>
        <w:rPr/>
        <w:t>的中关村永丰基地</w:t>
      </w:r>
      <w:r>
        <w:rPr>
          <w:spacing w:val="-54"/>
        </w:rPr>
        <w:t> </w:t>
      </w:r>
      <w:r>
        <w:rPr>
          <w:rFonts w:ascii="宋体" w:hAnsi="宋体" w:cs="宋体" w:eastAsia="宋体" w:hint="default"/>
        </w:rPr>
        <w:t>III-14</w:t>
      </w:r>
      <w:r>
        <w:rPr>
          <w:rFonts w:ascii="宋体" w:hAnsi="宋体" w:cs="宋体" w:eastAsia="宋体" w:hint="default"/>
          <w:spacing w:val="-55"/>
        </w:rPr>
        <w:t> </w:t>
      </w:r>
      <w:r>
        <w:rPr/>
        <w:t>及</w:t>
      </w:r>
      <w:r>
        <w:rPr>
          <w:spacing w:val="-57"/>
        </w:rPr>
        <w:t> </w:t>
      </w:r>
      <w:r>
        <w:rPr>
          <w:rFonts w:ascii="宋体" w:hAnsi="宋体" w:cs="宋体" w:eastAsia="宋体" w:hint="default"/>
        </w:rPr>
        <w:t>III-16</w:t>
      </w:r>
      <w:r>
        <w:rPr>
          <w:rFonts w:ascii="宋体" w:hAnsi="宋体" w:cs="宋体" w:eastAsia="宋体" w:hint="default"/>
          <w:spacing w:val="-54"/>
        </w:rPr>
        <w:t> </w:t>
      </w:r>
      <w:r>
        <w:rPr/>
        <w:t>地块土地使用权及价值为人民币</w:t>
      </w:r>
      <w:r>
        <w:rPr>
          <w:spacing w:val="-55"/>
        </w:rPr>
        <w:t> </w:t>
      </w:r>
      <w:r>
        <w:rPr>
          <w:rFonts w:ascii="宋体" w:hAnsi="宋体" w:cs="宋体" w:eastAsia="宋体" w:hint="default"/>
        </w:rPr>
        <w:t>79,625,056</w:t>
      </w:r>
      <w:r>
        <w:rPr>
          <w:rFonts w:ascii="宋体" w:hAnsi="宋体" w:cs="宋体" w:eastAsia="宋体" w:hint="default"/>
          <w:w w:val="100"/>
        </w:rPr>
        <w:t> </w:t>
      </w:r>
      <w:r>
        <w:rPr/>
        <w:t>元</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日人民币</w:t>
      </w:r>
      <w:r>
        <w:rPr>
          <w:spacing w:val="-52"/>
        </w:rPr>
        <w:t> </w:t>
      </w:r>
      <w:r>
        <w:rPr>
          <w:rFonts w:ascii="宋体" w:hAnsi="宋体" w:cs="宋体" w:eastAsia="宋体" w:hint="default"/>
        </w:rPr>
        <w:t>61,795,290</w:t>
      </w:r>
      <w:r>
        <w:rPr>
          <w:rFonts w:ascii="宋体" w:hAnsi="宋体" w:cs="宋体" w:eastAsia="宋体" w:hint="default"/>
          <w:spacing w:val="-53"/>
        </w:rPr>
        <w:t> </w:t>
      </w:r>
      <w:r>
        <w:rPr/>
        <w:t>元</w:t>
      </w:r>
      <w:r>
        <w:rPr>
          <w:rFonts w:ascii="宋体" w:hAnsi="宋体" w:cs="宋体" w:eastAsia="宋体" w:hint="default"/>
        </w:rPr>
        <w:t>)</w:t>
      </w:r>
      <w:r>
        <w:rPr/>
        <w:t>的地上在建工程为抵押，取得招商银行股份有限公</w:t>
      </w:r>
    </w:p>
    <w:p>
      <w:pPr>
        <w:pStyle w:val="BodyText"/>
        <w:spacing w:line="240" w:lineRule="auto" w:before="15"/>
        <w:ind w:left="158" w:right="0"/>
        <w:jc w:val="both"/>
      </w:pPr>
      <w:r>
        <w:rPr/>
        <w:t>司北京清华园支行借款人民币</w:t>
      </w:r>
      <w:r>
        <w:rPr>
          <w:spacing w:val="-54"/>
        </w:rPr>
        <w:t> </w:t>
      </w:r>
      <w:r>
        <w:rPr>
          <w:rFonts w:ascii="宋体" w:hAnsi="宋体" w:cs="宋体" w:eastAsia="宋体" w:hint="default"/>
        </w:rPr>
        <w:t>53,200,000</w:t>
      </w:r>
      <w:r>
        <w:rPr>
          <w:rFonts w:ascii="宋体" w:hAnsi="宋体" w:cs="宋体" w:eastAsia="宋体" w:hint="default"/>
          <w:spacing w:val="-54"/>
        </w:rPr>
        <w:t> </w:t>
      </w:r>
      <w:r>
        <w:rPr/>
        <w:t>元</w:t>
      </w:r>
      <w:r>
        <w:rPr>
          <w:rFonts w:ascii="宋体" w:hAnsi="宋体" w:cs="宋体" w:eastAsia="宋体" w:hint="default"/>
        </w:rPr>
        <w:t>(2014</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日人民币</w:t>
      </w:r>
      <w:r>
        <w:rPr>
          <w:spacing w:val="-54"/>
        </w:rPr>
        <w:t> </w:t>
      </w:r>
      <w:r>
        <w:rPr>
          <w:rFonts w:ascii="宋体" w:hAnsi="宋体" w:cs="宋体" w:eastAsia="宋体" w:hint="default"/>
        </w:rPr>
        <w:t>68,400,000</w:t>
      </w:r>
      <w:r>
        <w:rPr>
          <w:rFonts w:ascii="宋体" w:hAnsi="宋体" w:cs="宋体" w:eastAsia="宋体" w:hint="default"/>
          <w:spacing w:val="-53"/>
        </w:rPr>
        <w:t> </w:t>
      </w:r>
      <w:r>
        <w:rPr/>
        <w:t>元</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pStyle w:val="BodyText"/>
        <w:spacing w:line="297" w:lineRule="auto" w:before="142"/>
        <w:ind w:left="158" w:right="145" w:firstLine="211"/>
        <w:jc w:val="left"/>
      </w:pPr>
      <w:r>
        <w:rPr/>
        <w:t>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日，本公司以账面价值人民币</w:t>
      </w:r>
      <w:r>
        <w:rPr>
          <w:spacing w:val="-55"/>
        </w:rPr>
        <w:t> </w:t>
      </w:r>
      <w:r>
        <w:rPr>
          <w:rFonts w:ascii="宋体" w:hAnsi="宋体" w:cs="宋体" w:eastAsia="宋体" w:hint="default"/>
        </w:rPr>
        <w:t>45,944,411</w:t>
      </w:r>
      <w:r>
        <w:rPr>
          <w:rFonts w:ascii="宋体" w:hAnsi="宋体" w:cs="宋体" w:eastAsia="宋体" w:hint="default"/>
          <w:spacing w:val="-53"/>
        </w:rPr>
        <w:t> </w:t>
      </w:r>
      <w:r>
        <w:rPr/>
        <w:t>元</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日人民币</w:t>
      </w:r>
      <w:r>
        <w:rPr>
          <w:w w:val="100"/>
        </w:rPr>
        <w:t> </w:t>
      </w:r>
      <w:r>
        <w:rPr>
          <w:rFonts w:ascii="宋体" w:hAnsi="宋体" w:cs="宋体" w:eastAsia="宋体" w:hint="default"/>
        </w:rPr>
        <w:t>47,145,559</w:t>
      </w:r>
      <w:r>
        <w:rPr>
          <w:rFonts w:ascii="宋体" w:hAnsi="宋体" w:cs="宋体" w:eastAsia="宋体" w:hint="default"/>
          <w:spacing w:val="-70"/>
        </w:rPr>
        <w:t> </w:t>
      </w:r>
      <w:r>
        <w:rPr/>
        <w:t>元</w:t>
      </w:r>
      <w:r>
        <w:rPr>
          <w:rFonts w:ascii="宋体" w:hAnsi="宋体" w:cs="宋体" w:eastAsia="宋体" w:hint="default"/>
        </w:rPr>
        <w:t>)</w:t>
      </w:r>
      <w:r>
        <w:rPr/>
        <w:t>的中关村永丰基地</w:t>
      </w:r>
      <w:r>
        <w:rPr>
          <w:spacing w:val="-69"/>
        </w:rPr>
        <w:t> </w:t>
      </w:r>
      <w:r>
        <w:rPr>
          <w:rFonts w:ascii="宋体" w:hAnsi="宋体" w:cs="宋体" w:eastAsia="宋体" w:hint="default"/>
        </w:rPr>
        <w:t>III-10</w:t>
      </w:r>
      <w:r>
        <w:rPr>
          <w:rFonts w:ascii="宋体" w:hAnsi="宋体" w:cs="宋体" w:eastAsia="宋体" w:hint="default"/>
          <w:spacing w:val="-69"/>
        </w:rPr>
        <w:t> </w:t>
      </w:r>
      <w:r>
        <w:rPr/>
        <w:t>及</w:t>
      </w:r>
      <w:r>
        <w:rPr>
          <w:spacing w:val="-69"/>
        </w:rPr>
        <w:t> </w:t>
      </w:r>
      <w:r>
        <w:rPr>
          <w:rFonts w:ascii="宋体" w:hAnsi="宋体" w:cs="宋体" w:eastAsia="宋体" w:hint="default"/>
        </w:rPr>
        <w:t>III-12</w:t>
      </w:r>
      <w:r>
        <w:rPr>
          <w:rFonts w:ascii="宋体" w:hAnsi="宋体" w:cs="宋体" w:eastAsia="宋体" w:hint="default"/>
          <w:spacing w:val="-71"/>
        </w:rPr>
        <w:t> </w:t>
      </w:r>
      <w:r>
        <w:rPr/>
        <w:t>地块土地使用权及价值为人民币</w:t>
      </w:r>
      <w:r>
        <w:rPr>
          <w:spacing w:val="-69"/>
        </w:rPr>
        <w:t> </w:t>
      </w:r>
      <w:r>
        <w:rPr>
          <w:rFonts w:ascii="宋体" w:hAnsi="宋体" w:cs="宋体" w:eastAsia="宋体" w:hint="default"/>
        </w:rPr>
        <w:t>320,073,181</w:t>
      </w:r>
      <w:r>
        <w:rPr>
          <w:rFonts w:ascii="宋体" w:hAnsi="宋体" w:cs="宋体" w:eastAsia="宋体" w:hint="default"/>
          <w:w w:val="100"/>
        </w:rPr>
        <w:t> </w:t>
      </w:r>
      <w:r>
        <w:rPr/>
        <w:t>元</w:t>
      </w:r>
      <w:r>
        <w:rPr>
          <w:rFonts w:ascii="宋体" w:hAnsi="宋体" w:cs="宋体" w:eastAsia="宋体" w:hint="default"/>
        </w:rPr>
        <w:t>(2014</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6"/>
        </w:rPr>
        <w:t> </w:t>
      </w:r>
      <w:r>
        <w:rPr>
          <w:rFonts w:ascii="宋体" w:hAnsi="宋体" w:cs="宋体" w:eastAsia="宋体" w:hint="default"/>
        </w:rPr>
        <w:t>31</w:t>
      </w:r>
      <w:r>
        <w:rPr>
          <w:rFonts w:ascii="宋体" w:hAnsi="宋体" w:cs="宋体" w:eastAsia="宋体" w:hint="default"/>
          <w:spacing w:val="-48"/>
        </w:rPr>
        <w:t> </w:t>
      </w:r>
      <w:r>
        <w:rPr/>
        <w:t>日人民币</w:t>
      </w:r>
      <w:r>
        <w:rPr>
          <w:spacing w:val="-45"/>
        </w:rPr>
        <w:t> </w:t>
      </w:r>
      <w:r>
        <w:rPr>
          <w:rFonts w:ascii="宋体" w:hAnsi="宋体" w:cs="宋体" w:eastAsia="宋体" w:hint="default"/>
        </w:rPr>
        <w:t>248,401,897</w:t>
      </w:r>
      <w:r>
        <w:rPr>
          <w:rFonts w:ascii="宋体" w:hAnsi="宋体" w:cs="宋体" w:eastAsia="宋体" w:hint="default"/>
          <w:spacing w:val="-46"/>
        </w:rPr>
        <w:t> </w:t>
      </w:r>
      <w:r>
        <w:rPr>
          <w:spacing w:val="-4"/>
        </w:rPr>
        <w:t>元</w:t>
      </w:r>
      <w:r>
        <w:rPr>
          <w:rFonts w:ascii="宋体" w:hAnsi="宋体" w:cs="宋体" w:eastAsia="宋体" w:hint="default"/>
          <w:spacing w:val="-4"/>
        </w:rPr>
        <w:t>)</w:t>
      </w:r>
      <w:r>
        <w:rPr>
          <w:spacing w:val="-4"/>
        </w:rPr>
        <w:t>的地上在建工程为抵押，取得招商银行股份有限公</w:t>
      </w:r>
    </w:p>
    <w:p>
      <w:pPr>
        <w:pStyle w:val="BodyText"/>
        <w:spacing w:line="240" w:lineRule="auto" w:before="15"/>
        <w:ind w:left="158" w:right="0"/>
        <w:jc w:val="both"/>
      </w:pPr>
      <w:r>
        <w:rPr/>
        <w:t>司北京清华园支行借款人民币</w:t>
      </w:r>
      <w:r>
        <w:rPr>
          <w:spacing w:val="-54"/>
        </w:rPr>
        <w:t> </w:t>
      </w:r>
      <w:r>
        <w:rPr>
          <w:rFonts w:ascii="宋体" w:hAnsi="宋体" w:cs="宋体" w:eastAsia="宋体" w:hint="default"/>
        </w:rPr>
        <w:t>99,314,687</w:t>
      </w:r>
      <w:r>
        <w:rPr>
          <w:rFonts w:ascii="宋体" w:hAnsi="宋体" w:cs="宋体" w:eastAsia="宋体" w:hint="default"/>
          <w:spacing w:val="-54"/>
        </w:rPr>
        <w:t> </w:t>
      </w:r>
      <w:r>
        <w:rPr/>
        <w:t>元</w:t>
      </w:r>
      <w:r>
        <w:rPr>
          <w:rFonts w:ascii="宋体" w:hAnsi="宋体" w:cs="宋体" w:eastAsia="宋体" w:hint="default"/>
        </w:rPr>
        <w:t>(2014</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日人民币</w:t>
      </w:r>
      <w:r>
        <w:rPr>
          <w:spacing w:val="-54"/>
        </w:rPr>
        <w:t> </w:t>
      </w:r>
      <w:r>
        <w:rPr>
          <w:rFonts w:ascii="宋体" w:hAnsi="宋体" w:cs="宋体" w:eastAsia="宋体" w:hint="default"/>
        </w:rPr>
        <w:t>127,684,729</w:t>
      </w:r>
      <w:r>
        <w:rPr>
          <w:rFonts w:ascii="宋体" w:hAnsi="宋体" w:cs="宋体" w:eastAsia="宋体" w:hint="default"/>
          <w:spacing w:val="-53"/>
        </w:rPr>
        <w:t> </w:t>
      </w:r>
      <w:r>
        <w:rPr/>
        <w:t>元</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pStyle w:val="BodyText"/>
        <w:spacing w:line="297" w:lineRule="auto" w:before="145"/>
        <w:ind w:left="158" w:right="144" w:firstLine="211"/>
        <w:jc w:val="left"/>
      </w:pPr>
      <w:r>
        <w:rPr/>
        <w:t>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日，本公司以账面价值人民币</w:t>
      </w:r>
      <w:r>
        <w:rPr>
          <w:spacing w:val="-55"/>
        </w:rPr>
        <w:t> </w:t>
      </w:r>
      <w:r>
        <w:rPr>
          <w:rFonts w:ascii="宋体" w:hAnsi="宋体" w:cs="宋体" w:eastAsia="宋体" w:hint="default"/>
        </w:rPr>
        <w:t>47,212,144</w:t>
      </w:r>
      <w:r>
        <w:rPr>
          <w:rFonts w:ascii="宋体" w:hAnsi="宋体" w:cs="宋体" w:eastAsia="宋体" w:hint="default"/>
          <w:spacing w:val="-53"/>
        </w:rPr>
        <w:t> </w:t>
      </w:r>
      <w:r>
        <w:rPr/>
        <w:t>元</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日人民币</w:t>
      </w:r>
      <w:r>
        <w:rPr>
          <w:w w:val="100"/>
        </w:rPr>
        <w:t> </w:t>
      </w:r>
      <w:r>
        <w:rPr>
          <w:rFonts w:ascii="宋体" w:hAnsi="宋体" w:cs="宋体" w:eastAsia="宋体" w:hint="default"/>
        </w:rPr>
        <w:t>48,225,631</w:t>
      </w:r>
      <w:r>
        <w:rPr>
          <w:rFonts w:ascii="宋体" w:hAnsi="宋体" w:cs="宋体" w:eastAsia="宋体" w:hint="default"/>
          <w:spacing w:val="-70"/>
        </w:rPr>
        <w:t> </w:t>
      </w:r>
      <w:r>
        <w:rPr/>
        <w:t>元</w:t>
      </w:r>
      <w:r>
        <w:rPr>
          <w:rFonts w:ascii="宋体" w:hAnsi="宋体" w:cs="宋体" w:eastAsia="宋体" w:hint="default"/>
        </w:rPr>
        <w:t>)</w:t>
      </w:r>
      <w:r>
        <w:rPr/>
        <w:t>的中关村永丰基地</w:t>
      </w:r>
      <w:r>
        <w:rPr>
          <w:spacing w:val="-67"/>
        </w:rPr>
        <w:t> </w:t>
      </w:r>
      <w:r>
        <w:rPr>
          <w:rFonts w:ascii="宋体" w:hAnsi="宋体" w:cs="宋体" w:eastAsia="宋体" w:hint="default"/>
        </w:rPr>
        <w:t>III-22</w:t>
      </w:r>
      <w:r>
        <w:rPr>
          <w:rFonts w:ascii="宋体" w:hAnsi="宋体" w:cs="宋体" w:eastAsia="宋体" w:hint="default"/>
          <w:spacing w:val="-69"/>
        </w:rPr>
        <w:t> </w:t>
      </w:r>
      <w:r>
        <w:rPr/>
        <w:t>地块土地使用权为抵押取得工商银行北京中关村支行借</w:t>
      </w:r>
      <w:r>
        <w:rPr>
          <w:w w:val="100"/>
        </w:rPr>
        <w:t> </w:t>
      </w:r>
      <w:r>
        <w:rPr/>
        <w:t>款人民币</w:t>
      </w:r>
      <w:r>
        <w:rPr>
          <w:spacing w:val="-53"/>
        </w:rPr>
        <w:t> </w:t>
      </w:r>
      <w:r>
        <w:rPr>
          <w:rFonts w:ascii="宋体" w:hAnsi="宋体" w:cs="宋体" w:eastAsia="宋体" w:hint="default"/>
        </w:rPr>
        <w:t>39,876,721</w:t>
      </w:r>
      <w:r>
        <w:rPr>
          <w:rFonts w:ascii="宋体" w:hAnsi="宋体" w:cs="宋体" w:eastAsia="宋体" w:hint="default"/>
          <w:spacing w:val="-53"/>
        </w:rPr>
        <w:t> </w:t>
      </w:r>
      <w:r>
        <w:rPr/>
        <w:t>元</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日人民币</w:t>
      </w:r>
      <w:r>
        <w:rPr>
          <w:spacing w:val="-55"/>
        </w:rPr>
        <w:t> </w:t>
      </w:r>
      <w:r>
        <w:rPr>
          <w:rFonts w:ascii="宋体" w:hAnsi="宋体" w:cs="宋体" w:eastAsia="宋体" w:hint="default"/>
        </w:rPr>
        <w:t>51,657,492</w:t>
      </w:r>
      <w:r>
        <w:rPr>
          <w:rFonts w:ascii="宋体" w:hAnsi="宋体" w:cs="宋体" w:eastAsia="宋体" w:hint="default"/>
          <w:spacing w:val="-55"/>
        </w:rPr>
        <w:t> </w:t>
      </w:r>
      <w:r>
        <w:rPr/>
        <w:t>元</w:t>
      </w:r>
      <w:r>
        <w:rPr>
          <w:rFonts w:ascii="宋体" w:hAnsi="宋体" w:cs="宋体" w:eastAsia="宋体" w:hint="default"/>
        </w:rPr>
        <w:t>)</w:t>
      </w:r>
      <w:r>
        <w:rPr/>
        <w:t>。</w:t>
      </w:r>
    </w:p>
    <w:p>
      <w:pPr>
        <w:spacing w:line="240" w:lineRule="auto" w:before="6"/>
        <w:rPr>
          <w:rFonts w:ascii="宋体" w:hAnsi="宋体" w:cs="宋体" w:eastAsia="宋体" w:hint="default"/>
          <w:sz w:val="24"/>
          <w:szCs w:val="24"/>
        </w:rPr>
      </w:pPr>
    </w:p>
    <w:p>
      <w:pPr>
        <w:pStyle w:val="BodyText"/>
        <w:spacing w:line="268" w:lineRule="exact"/>
        <w:ind w:left="158" w:right="872"/>
        <w:jc w:val="left"/>
      </w:pPr>
      <w:r>
        <w:rPr/>
        <w:t>其他说明，包括利率区间：</w:t>
      </w:r>
      <w:r>
        <w:rPr>
          <w:w w:val="100"/>
        </w:rPr>
        <w:t> </w:t>
      </w:r>
      <w:r>
        <w:rPr>
          <w:spacing w:val="-2"/>
        </w:rPr>
        <w:t>上述长期借款利率以中国人民银行公布的同期基准利率为准。</w:t>
      </w:r>
    </w:p>
    <w:p>
      <w:pPr>
        <w:spacing w:after="0" w:line="268" w:lineRule="exact"/>
        <w:jc w:val="left"/>
        <w:sectPr>
          <w:type w:val="continuous"/>
          <w:pgSz w:w="11910" w:h="16840"/>
          <w:pgMar w:top="1120" w:bottom="1520" w:left="164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926" w:footer="1335" w:top="1120" w:bottom="1520" w:left="820" w:right="760"/>
        </w:sectPr>
      </w:pPr>
    </w:p>
    <w:p>
      <w:pPr>
        <w:pStyle w:val="Heading2"/>
        <w:spacing w:line="240" w:lineRule="auto"/>
        <w:ind w:left="978" w:right="-18"/>
        <w:jc w:val="left"/>
        <w:rPr>
          <w:b w:val="0"/>
          <w:bCs w:val="0"/>
        </w:rPr>
      </w:pPr>
      <w:r>
        <w:rPr>
          <w:rFonts w:ascii="宋体" w:hAnsi="宋体" w:cs="宋体" w:eastAsia="宋体" w:hint="default"/>
        </w:rPr>
        <w:t>46</w:t>
      </w:r>
      <w:r>
        <w:rPr/>
        <w:t>、</w:t>
      </w:r>
      <w:r>
        <w:rPr>
          <w:spacing w:val="-25"/>
        </w:rPr>
        <w:t> </w:t>
      </w:r>
      <w:r>
        <w:rPr/>
        <w:t>应付债券</w:t>
      </w:r>
      <w:r>
        <w:rPr>
          <w:b w:val="0"/>
          <w:bCs w:val="0"/>
        </w:rPr>
      </w:r>
    </w:p>
    <w:p>
      <w:pPr>
        <w:pStyle w:val="BodyText"/>
        <w:spacing w:line="240" w:lineRule="auto" w:before="58"/>
        <w:ind w:left="978" w:right="-18"/>
        <w:jc w:val="left"/>
      </w:pPr>
      <w:r>
        <w:rPr/>
        <w:t>√适用</w:t>
      </w:r>
      <w:r>
        <w:rPr>
          <w:spacing w:val="-1"/>
        </w:rPr>
        <w:t> </w:t>
      </w:r>
      <w:r>
        <w:rPr/>
        <w:t>□不适用</w:t>
      </w:r>
    </w:p>
    <w:p>
      <w:pPr>
        <w:spacing w:before="56"/>
        <w:ind w:left="978" w:right="-18" w:firstLine="0"/>
        <w:jc w:val="left"/>
        <w:rPr>
          <w:rFonts w:ascii="宋体" w:hAnsi="宋体" w:cs="宋体" w:eastAsia="宋体" w:hint="default"/>
          <w:sz w:val="21"/>
          <w:szCs w:val="21"/>
        </w:rPr>
      </w:pPr>
      <w:r>
        <w:rPr>
          <w:rFonts w:ascii="宋体" w:hAnsi="宋体" w:cs="宋体" w:eastAsia="宋体" w:hint="default"/>
          <w:b/>
          <w:bCs/>
          <w:sz w:val="20"/>
          <w:szCs w:val="20"/>
        </w:rPr>
        <w:t>(1).</w:t>
      </w:r>
      <w:r>
        <w:rPr>
          <w:rFonts w:ascii="宋体" w:hAnsi="宋体" w:cs="宋体" w:eastAsia="宋体" w:hint="default"/>
          <w:b/>
          <w:bCs/>
          <w:spacing w:val="-84"/>
          <w:sz w:val="20"/>
          <w:szCs w:val="20"/>
        </w:rPr>
        <w:t> </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520" w:left="820" w:right="760"/>
          <w:cols w:num="2" w:equalWidth="0">
            <w:col w:w="2555" w:space="3966"/>
            <w:col w:w="3809"/>
          </w:cols>
        </w:sectPr>
      </w:pPr>
    </w:p>
    <w:p>
      <w:pPr>
        <w:spacing w:line="240" w:lineRule="auto" w:before="4"/>
        <w:rPr>
          <w:rFonts w:ascii="宋体" w:hAnsi="宋体" w:cs="宋体" w:eastAsia="宋体" w:hint="default"/>
          <w:sz w:val="2"/>
          <w:szCs w:val="2"/>
        </w:rPr>
      </w:pPr>
    </w:p>
    <w:tbl>
      <w:tblPr>
        <w:tblW w:w="0" w:type="auto"/>
        <w:jc w:val="left"/>
        <w:tblInd w:w="939" w:type="dxa"/>
        <w:tblLayout w:type="fixed"/>
        <w:tblCellMar>
          <w:top w:w="0" w:type="dxa"/>
          <w:left w:w="0" w:type="dxa"/>
          <w:bottom w:w="0" w:type="dxa"/>
          <w:right w:w="0" w:type="dxa"/>
        </w:tblCellMar>
        <w:tblLook w:val="01E0"/>
      </w:tblPr>
      <w:tblGrid>
        <w:gridCol w:w="3001"/>
        <w:gridCol w:w="3022"/>
        <w:gridCol w:w="2873"/>
      </w:tblGrid>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年第一期中期债券</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499,648,984</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498,082,310</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减：一年内到期的应付债券</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-499,648,984</w:t>
            </w:r>
          </w:p>
        </w:tc>
        <w:tc>
          <w:tcPr>
            <w:tcW w:w="287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2" w:type="dxa"/>
            <w:tcBorders>
              <w:top w:val="single" w:sz="6" w:space="0" w:color="000000"/>
              <w:left w:val="single" w:sz="6" w:space="0" w:color="000000"/>
              <w:bottom w:val="single" w:sz="6" w:space="0" w:color="000000"/>
              <w:right w:val="single" w:sz="6" w:space="0" w:color="000000"/>
            </w:tcBorders>
          </w:tcPr>
          <w:p>
            <w:pP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498,082,310</w:t>
            </w:r>
          </w:p>
        </w:tc>
      </w:tr>
    </w:tbl>
    <w:p>
      <w:pPr>
        <w:spacing w:line="240" w:lineRule="auto" w:before="2"/>
        <w:rPr>
          <w:rFonts w:ascii="宋体" w:hAnsi="宋体" w:cs="宋体" w:eastAsia="宋体" w:hint="default"/>
          <w:sz w:val="20"/>
          <w:szCs w:val="20"/>
        </w:rPr>
      </w:pPr>
    </w:p>
    <w:p>
      <w:pPr>
        <w:pStyle w:val="Heading2"/>
        <w:spacing w:line="240" w:lineRule="auto"/>
        <w:ind w:left="978" w:right="0"/>
        <w:jc w:val="left"/>
        <w:rPr>
          <w:b w:val="0"/>
          <w:bCs w:val="0"/>
        </w:rPr>
      </w:pPr>
      <w:r>
        <w:rPr>
          <w:rFonts w:ascii="宋体" w:hAnsi="宋体" w:cs="宋体" w:eastAsia="宋体" w:hint="default"/>
          <w:spacing w:val="1"/>
          <w:w w:val="98"/>
          <w:sz w:val="20"/>
          <w:szCs w:val="20"/>
        </w:rPr>
        <w:t>(2)</w:t>
      </w:r>
      <w:r>
        <w:rPr>
          <w:rFonts w:ascii="宋体" w:hAnsi="宋体" w:cs="宋体" w:eastAsia="宋体" w:hint="default"/>
          <w:w w:val="98"/>
          <w:sz w:val="20"/>
          <w:szCs w:val="20"/>
        </w:rPr>
        <w:t>.</w:t>
      </w:r>
      <w:r>
        <w:rPr>
          <w:rFonts w:ascii="宋体" w:hAnsi="宋体" w:cs="宋体" w:eastAsia="宋体" w:hint="default"/>
          <w:spacing w:val="-83"/>
          <w:sz w:val="20"/>
          <w:szCs w:val="20"/>
        </w:rPr>
        <w:t> </w:t>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6"/>
        <w:ind w:left="978" w:right="0"/>
        <w:jc w:val="left"/>
      </w:pPr>
      <w:r>
        <w:rPr/>
        <w:t>√适用</w:t>
      </w:r>
      <w:r>
        <w:rPr>
          <w:spacing w:val="-1"/>
        </w:rPr>
        <w:t> </w:t>
      </w:r>
      <w:r>
        <w:rPr/>
        <w:t>□不适用</w:t>
      </w:r>
    </w:p>
    <w:p>
      <w:pPr>
        <w:pStyle w:val="BodyText"/>
        <w:tabs>
          <w:tab w:pos="1051" w:val="left" w:leader="none"/>
        </w:tabs>
        <w:spacing w:line="274" w:lineRule="exact"/>
        <w:ind w:left="0" w:right="5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996"/>
        <w:gridCol w:w="1272"/>
        <w:gridCol w:w="704"/>
        <w:gridCol w:w="370"/>
        <w:gridCol w:w="1214"/>
        <w:gridCol w:w="1217"/>
        <w:gridCol w:w="518"/>
        <w:gridCol w:w="610"/>
        <w:gridCol w:w="1184"/>
        <w:gridCol w:w="569"/>
        <w:gridCol w:w="1414"/>
      </w:tblGrid>
      <w:tr>
        <w:trPr>
          <w:trHeight w:val="1106"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0" w:right="276"/>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4" w:right="13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9" w:right="0"/>
              <w:jc w:val="both"/>
              <w:rPr>
                <w:rFonts w:ascii="宋体" w:hAnsi="宋体" w:cs="宋体" w:eastAsia="宋体" w:hint="default"/>
                <w:sz w:val="21"/>
                <w:szCs w:val="21"/>
              </w:rPr>
            </w:pPr>
            <w:r>
              <w:rPr>
                <w:rFonts w:ascii="宋体" w:hAnsi="宋体" w:cs="宋体" w:eastAsia="宋体" w:hint="default"/>
                <w:w w:val="100"/>
                <w:sz w:val="21"/>
                <w:szCs w:val="21"/>
              </w:rPr>
              <w:t>债</w:t>
            </w:r>
          </w:p>
          <w:p>
            <w:pPr>
              <w:pStyle w:val="TableParagraph"/>
              <w:spacing w:line="237" w:lineRule="auto"/>
              <w:ind w:left="69" w:right="72"/>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8" w:right="386"/>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1" w:right="38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 w:right="38"/>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发行</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 w:right="0"/>
              <w:jc w:val="both"/>
              <w:rPr>
                <w:rFonts w:ascii="宋体" w:hAnsi="宋体" w:cs="宋体" w:eastAsia="宋体" w:hint="default"/>
                <w:sz w:val="21"/>
                <w:szCs w:val="21"/>
              </w:rPr>
            </w:pPr>
            <w:r>
              <w:rPr>
                <w:rFonts w:ascii="宋体" w:hAnsi="宋体" w:cs="宋体" w:eastAsia="宋体" w:hint="default"/>
                <w:sz w:val="21"/>
                <w:szCs w:val="21"/>
              </w:rPr>
              <w:t>按面</w:t>
            </w:r>
          </w:p>
          <w:p>
            <w:pPr>
              <w:pStyle w:val="TableParagraph"/>
              <w:spacing w:line="237" w:lineRule="auto"/>
              <w:ind w:left="86" w:right="84"/>
              <w:jc w:val="both"/>
              <w:rPr>
                <w:rFonts w:ascii="宋体" w:hAnsi="宋体" w:cs="宋体" w:eastAsia="宋体" w:hint="default"/>
                <w:sz w:val="21"/>
                <w:szCs w:val="21"/>
              </w:rPr>
            </w:pPr>
            <w:r>
              <w:rPr>
                <w:rFonts w:ascii="宋体" w:hAnsi="宋体" w:cs="宋体" w:eastAsia="宋体" w:hint="default"/>
                <w:sz w:val="21"/>
                <w:szCs w:val="21"/>
              </w:rPr>
              <w:t>值计</w:t>
            </w:r>
            <w:r>
              <w:rPr>
                <w:rFonts w:ascii="宋体" w:hAnsi="宋体" w:cs="宋体" w:eastAsia="宋体" w:hint="default"/>
                <w:spacing w:val="-103"/>
                <w:sz w:val="21"/>
                <w:szCs w:val="21"/>
              </w:rPr>
              <w:t> </w:t>
            </w:r>
            <w:r>
              <w:rPr>
                <w:rFonts w:ascii="宋体" w:hAnsi="宋体" w:cs="宋体" w:eastAsia="宋体" w:hint="default"/>
                <w:sz w:val="21"/>
                <w:szCs w:val="21"/>
              </w:rPr>
              <w:t>提利</w:t>
            </w:r>
            <w:r>
              <w:rPr>
                <w:rFonts w:ascii="宋体" w:hAnsi="宋体" w:cs="宋体" w:eastAsia="宋体" w:hint="default"/>
                <w:spacing w:val="-103"/>
                <w:sz w:val="21"/>
                <w:szCs w:val="21"/>
              </w:rPr>
              <w:t> </w:t>
            </w:r>
            <w:r>
              <w:rPr>
                <w:rFonts w:ascii="宋体" w:hAnsi="宋体" w:cs="宋体" w:eastAsia="宋体" w:hint="default"/>
                <w:sz w:val="21"/>
                <w:szCs w:val="21"/>
              </w:rPr>
              <w:t>息</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6"/>
              <w:jc w:val="right"/>
              <w:rPr>
                <w:rFonts w:ascii="宋体" w:hAnsi="宋体" w:cs="宋体" w:eastAsia="宋体" w:hint="default"/>
                <w:sz w:val="21"/>
                <w:szCs w:val="21"/>
              </w:rPr>
            </w:pPr>
            <w:r>
              <w:rPr>
                <w:rFonts w:ascii="宋体" w:hAnsi="宋体" w:cs="宋体" w:eastAsia="宋体" w:hint="default"/>
                <w:spacing w:val="-1"/>
                <w:sz w:val="21"/>
                <w:szCs w:val="21"/>
              </w:rPr>
              <w:t>溢折价摊销</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4" w:right="6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偿还</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9" w:right="485"/>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763"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5"/>
                <w:sz w:val="18"/>
                <w:szCs w:val="18"/>
              </w:rPr>
              <w:t> </w:t>
            </w:r>
            <w:r>
              <w:rPr>
                <w:rFonts w:ascii="宋体" w:hAnsi="宋体" w:cs="宋体" w:eastAsia="宋体" w:hint="default"/>
                <w:sz w:val="18"/>
                <w:szCs w:val="18"/>
              </w:rPr>
              <w:t>年第一</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期中期债券</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0" w:right="0"/>
              <w:jc w:val="center"/>
              <w:rPr>
                <w:rFonts w:ascii="Arial" w:hAnsi="Arial" w:cs="Arial" w:eastAsia="Arial" w:hint="default"/>
                <w:sz w:val="20"/>
                <w:szCs w:val="20"/>
              </w:rPr>
            </w:pPr>
            <w:r>
              <w:rPr>
                <w:rFonts w:ascii="Arial"/>
                <w:sz w:val="20"/>
              </w:rPr>
              <w:t>500,000,000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93" w:right="0"/>
              <w:jc w:val="center"/>
              <w:rPr>
                <w:rFonts w:ascii="Arial" w:hAnsi="Arial" w:cs="Arial" w:eastAsia="Arial" w:hint="default"/>
                <w:sz w:val="20"/>
                <w:szCs w:val="20"/>
              </w:rPr>
            </w:pPr>
            <w:r>
              <w:rPr>
                <w:rFonts w:ascii="Arial"/>
                <w:sz w:val="20"/>
              </w:rPr>
              <w:t>2013</w:t>
            </w:r>
          </w:p>
          <w:p>
            <w:pPr>
              <w:pStyle w:val="TableParagraph"/>
              <w:spacing w:line="253" w:lineRule="exact"/>
              <w:ind w:left="25" w:right="0"/>
              <w:jc w:val="center"/>
              <w:rPr>
                <w:rFonts w:ascii="黑体" w:hAnsi="黑体" w:cs="黑体" w:eastAsia="黑体" w:hint="default"/>
                <w:sz w:val="20"/>
                <w:szCs w:val="20"/>
              </w:rPr>
            </w:pPr>
            <w:r>
              <w:rPr>
                <w:rFonts w:ascii="黑体" w:hAnsi="黑体" w:cs="黑体" w:eastAsia="黑体" w:hint="default"/>
                <w:sz w:val="20"/>
                <w:szCs w:val="20"/>
              </w:rPr>
              <w:t>年</w:t>
            </w:r>
            <w:r>
              <w:rPr>
                <w:rFonts w:ascii="黑体" w:hAnsi="黑体" w:cs="黑体" w:eastAsia="黑体" w:hint="default"/>
                <w:spacing w:val="-52"/>
                <w:sz w:val="20"/>
                <w:szCs w:val="20"/>
              </w:rPr>
              <w:t> </w:t>
            </w:r>
            <w:r>
              <w:rPr>
                <w:rFonts w:ascii="Arial" w:hAnsi="Arial" w:cs="Arial" w:eastAsia="Arial" w:hint="default"/>
                <w:sz w:val="20"/>
                <w:szCs w:val="20"/>
              </w:rPr>
              <w:t>3</w:t>
            </w:r>
            <w:r>
              <w:rPr>
                <w:rFonts w:ascii="Arial" w:hAnsi="Arial" w:cs="Arial" w:eastAsia="Arial" w:hint="default"/>
                <w:spacing w:val="-8"/>
                <w:sz w:val="20"/>
                <w:szCs w:val="20"/>
              </w:rPr>
              <w:t> </w:t>
            </w:r>
            <w:r>
              <w:rPr>
                <w:rFonts w:ascii="黑体" w:hAnsi="黑体" w:cs="黑体" w:eastAsia="黑体" w:hint="default"/>
                <w:sz w:val="20"/>
                <w:szCs w:val="20"/>
              </w:rPr>
              <w:t>月</w:t>
            </w:r>
          </w:p>
          <w:p>
            <w:pPr>
              <w:pStyle w:val="TableParagraph"/>
              <w:spacing w:line="268" w:lineRule="exact"/>
              <w:ind w:left="165" w:right="0"/>
              <w:jc w:val="center"/>
              <w:rPr>
                <w:rFonts w:ascii="黑体" w:hAnsi="黑体" w:cs="黑体" w:eastAsia="黑体" w:hint="default"/>
                <w:sz w:val="20"/>
                <w:szCs w:val="20"/>
              </w:rPr>
            </w:pPr>
            <w:r>
              <w:rPr>
                <w:rFonts w:ascii="Arial" w:hAnsi="Arial" w:cs="Arial" w:eastAsia="Arial" w:hint="default"/>
                <w:sz w:val="20"/>
                <w:szCs w:val="20"/>
              </w:rPr>
              <w:t>19</w:t>
            </w:r>
            <w:r>
              <w:rPr>
                <w:rFonts w:ascii="Arial" w:hAnsi="Arial" w:cs="Arial" w:eastAsia="Arial" w:hint="default"/>
                <w:spacing w:val="-9"/>
                <w:sz w:val="20"/>
                <w:szCs w:val="20"/>
              </w:rPr>
              <w:t> </w:t>
            </w:r>
            <w:r>
              <w:rPr>
                <w:rFonts w:ascii="黑体" w:hAnsi="黑体" w:cs="黑体" w:eastAsia="黑体" w:hint="default"/>
                <w:sz w:val="20"/>
                <w:szCs w:val="20"/>
              </w:rPr>
              <w:t>日</w:t>
            </w:r>
          </w:p>
        </w:tc>
        <w:tc>
          <w:tcPr>
            <w:tcW w:w="3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w w:val="100"/>
                <w:sz w:val="21"/>
              </w:rPr>
              <w:t>3</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22"/>
              <w:jc w:val="right"/>
              <w:rPr>
                <w:rFonts w:ascii="Arial" w:hAnsi="Arial" w:cs="Arial" w:eastAsia="Arial" w:hint="default"/>
                <w:sz w:val="20"/>
                <w:szCs w:val="20"/>
              </w:rPr>
            </w:pPr>
            <w:r>
              <w:rPr>
                <w:rFonts w:ascii="Arial"/>
                <w:spacing w:val="-1"/>
                <w:sz w:val="20"/>
              </w:rPr>
              <w:t>495,500,000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498,082,310</w:t>
            </w:r>
          </w:p>
        </w:tc>
        <w:tc>
          <w:tcPr>
            <w:tcW w:w="518"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1,566,674</w:t>
            </w:r>
          </w:p>
        </w:tc>
        <w:tc>
          <w:tcPr>
            <w:tcW w:w="569"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499,648,984</w:t>
            </w:r>
          </w:p>
        </w:tc>
      </w:tr>
      <w:tr>
        <w:trPr>
          <w:trHeight w:val="286" w:hRule="exact"/>
        </w:trPr>
        <w:tc>
          <w:tcPr>
            <w:tcW w:w="996"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704" w:type="dxa"/>
            <w:tcBorders>
              <w:top w:val="single" w:sz="6" w:space="0" w:color="000000"/>
              <w:left w:val="single" w:sz="6" w:space="0" w:color="000000"/>
              <w:bottom w:val="single" w:sz="6" w:space="0" w:color="000000"/>
              <w:right w:val="single" w:sz="6" w:space="0" w:color="000000"/>
            </w:tcBorders>
          </w:tcPr>
          <w:p>
            <w:pPr/>
          </w:p>
        </w:tc>
        <w:tc>
          <w:tcPr>
            <w:tcW w:w="370"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518"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8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c>
          <w:tcPr>
            <w:tcW w:w="3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495,500,000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sz w:val="21"/>
              </w:rPr>
              <w:t>498,082,310</w:t>
            </w:r>
          </w:p>
        </w:tc>
        <w:tc>
          <w:tcPr>
            <w:tcW w:w="518"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1,566,674</w:t>
            </w:r>
          </w:p>
        </w:tc>
        <w:tc>
          <w:tcPr>
            <w:tcW w:w="569"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499,648,984</w:t>
            </w:r>
          </w:p>
        </w:tc>
      </w:tr>
    </w:tbl>
    <w:p>
      <w:pPr>
        <w:spacing w:line="240" w:lineRule="auto" w:before="2"/>
        <w:rPr>
          <w:rFonts w:ascii="宋体" w:hAnsi="宋体" w:cs="宋体" w:eastAsia="宋体" w:hint="default"/>
          <w:sz w:val="20"/>
          <w:szCs w:val="20"/>
        </w:rPr>
      </w:pPr>
    </w:p>
    <w:p>
      <w:pPr>
        <w:pStyle w:val="Heading2"/>
        <w:spacing w:line="240" w:lineRule="auto"/>
        <w:ind w:left="978" w:right="0"/>
        <w:jc w:val="left"/>
        <w:rPr>
          <w:b w:val="0"/>
          <w:bCs w:val="0"/>
        </w:rPr>
      </w:pPr>
      <w:r>
        <w:rPr>
          <w:rFonts w:ascii="宋体" w:hAnsi="宋体" w:cs="宋体" w:eastAsia="宋体" w:hint="default"/>
          <w:sz w:val="20"/>
          <w:szCs w:val="20"/>
        </w:rPr>
        <w:t>(3).</w:t>
      </w:r>
      <w:r>
        <w:rPr>
          <w:rFonts w:ascii="宋体" w:hAnsi="宋体" w:cs="宋体" w:eastAsia="宋体" w:hint="default"/>
          <w:spacing w:val="-84"/>
          <w:sz w:val="20"/>
          <w:szCs w:val="20"/>
        </w:rPr>
        <w:t> </w:t>
      </w:r>
      <w:r>
        <w:rPr/>
        <w:t>可转换公司债券的转股条件、转股时间说明：</w:t>
      </w:r>
      <w:r>
        <w:rPr>
          <w:b w:val="0"/>
          <w:bCs w:val="0"/>
        </w:rPr>
      </w:r>
    </w:p>
    <w:p>
      <w:pPr>
        <w:spacing w:line="240" w:lineRule="auto" w:before="3"/>
        <w:rPr>
          <w:rFonts w:ascii="宋体" w:hAnsi="宋体" w:cs="宋体" w:eastAsia="宋体" w:hint="default"/>
          <w:b/>
          <w:bCs/>
          <w:sz w:val="25"/>
          <w:szCs w:val="25"/>
        </w:rPr>
      </w:pPr>
    </w:p>
    <w:p>
      <w:pPr>
        <w:spacing w:line="20" w:lineRule="exact"/>
        <w:ind w:left="9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5"/>
          <w:szCs w:val="25"/>
        </w:rPr>
      </w:pPr>
    </w:p>
    <w:p>
      <w:pPr>
        <w:spacing w:before="36"/>
        <w:ind w:left="978" w:right="0" w:firstLine="0"/>
        <w:jc w:val="left"/>
        <w:rPr>
          <w:rFonts w:ascii="宋体" w:hAnsi="宋体" w:cs="宋体" w:eastAsia="宋体" w:hint="default"/>
          <w:sz w:val="21"/>
          <w:szCs w:val="21"/>
        </w:rPr>
      </w:pPr>
      <w:r>
        <w:rPr>
          <w:rFonts w:ascii="宋体" w:hAnsi="宋体" w:cs="宋体" w:eastAsia="宋体" w:hint="default"/>
          <w:b/>
          <w:bCs/>
          <w:sz w:val="20"/>
          <w:szCs w:val="20"/>
        </w:rPr>
        <w:t>(4).</w:t>
      </w:r>
      <w:r>
        <w:rPr>
          <w:rFonts w:ascii="宋体" w:hAnsi="宋体" w:cs="宋体" w:eastAsia="宋体" w:hint="default"/>
          <w:b/>
          <w:bCs/>
          <w:spacing w:val="-85"/>
          <w:sz w:val="20"/>
          <w:szCs w:val="20"/>
        </w:rPr>
        <w:t> </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pStyle w:val="BodyText"/>
        <w:spacing w:line="528" w:lineRule="auto" w:before="58"/>
        <w:ind w:left="978" w:right="7754"/>
        <w:jc w:val="left"/>
      </w:pPr>
      <w:r>
        <w:rPr/>
        <w:t>□适用</w:t>
      </w:r>
      <w:r>
        <w:rPr>
          <w:spacing w:val="-1"/>
        </w:rPr>
        <w:t> </w:t>
      </w:r>
      <w:r>
        <w:rPr/>
        <w:t>√不适用</w:t>
      </w:r>
      <w:r>
        <w:rPr>
          <w:w w:val="100"/>
        </w:rPr>
        <w:t> </w:t>
      </w:r>
      <w:r>
        <w:rPr/>
        <w:t>其他说明：</w:t>
      </w:r>
    </w:p>
    <w:p>
      <w:pPr>
        <w:spacing w:line="240" w:lineRule="auto" w:before="13"/>
        <w:rPr>
          <w:rFonts w:ascii="宋体" w:hAnsi="宋体" w:cs="宋体" w:eastAsia="宋体" w:hint="default"/>
          <w:sz w:val="5"/>
          <w:szCs w:val="5"/>
        </w:rPr>
      </w:pPr>
    </w:p>
    <w:p>
      <w:pPr>
        <w:spacing w:line="20" w:lineRule="exact"/>
        <w:ind w:left="9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left="978" w:right="0"/>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BodyText"/>
        <w:spacing w:line="240" w:lineRule="auto" w:before="58"/>
        <w:ind w:left="97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40" w:lineRule="auto" w:before="0"/>
        <w:ind w:left="978" w:right="0"/>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8"/>
        <w:ind w:left="97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left="978" w:right="0"/>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58"/>
        <w:ind w:left="97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40" w:lineRule="auto" w:before="0"/>
        <w:ind w:left="978" w:right="0"/>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6"/>
        <w:ind w:left="978" w:right="0"/>
        <w:jc w:val="left"/>
      </w:pPr>
      <w:r>
        <w:rPr/>
        <w:t>□适用</w:t>
      </w:r>
      <w:r>
        <w:rPr>
          <w:spacing w:val="-1"/>
        </w:rPr>
        <w:t> </w:t>
      </w:r>
      <w:r>
        <w:rPr/>
        <w:t>√不适用</w:t>
      </w:r>
    </w:p>
    <w:p>
      <w:pPr>
        <w:spacing w:after="0" w:line="240" w:lineRule="auto"/>
        <w:jc w:val="left"/>
        <w:sectPr>
          <w:type w:val="continuous"/>
          <w:pgSz w:w="11910" w:h="16840"/>
          <w:pgMar w:top="1120" w:bottom="1520" w:left="82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6" w:footer="1335" w:top="1120" w:bottom="1520" w:left="1100" w:right="580"/>
        </w:sectPr>
      </w:pPr>
    </w:p>
    <w:p>
      <w:pPr>
        <w:spacing w:line="240" w:lineRule="auto" w:before="1"/>
        <w:rPr>
          <w:rFonts w:ascii="宋体" w:hAnsi="宋体" w:cs="宋体" w:eastAsia="宋体" w:hint="default"/>
          <w:sz w:val="14"/>
          <w:szCs w:val="14"/>
        </w:rPr>
      </w:pPr>
    </w:p>
    <w:p>
      <w:pPr>
        <w:pStyle w:val="Heading2"/>
        <w:spacing w:line="240" w:lineRule="auto" w:before="0"/>
        <w:ind w:left="698" w:right="-18"/>
        <w:jc w:val="left"/>
        <w:rPr>
          <w:b w:val="0"/>
          <w:bCs w:val="0"/>
        </w:rPr>
      </w:pPr>
      <w:r>
        <w:rPr>
          <w:rFonts w:ascii="宋体" w:hAnsi="宋体" w:cs="宋体" w:eastAsia="宋体" w:hint="default"/>
        </w:rPr>
        <w:t>51</w:t>
      </w:r>
      <w:r>
        <w:rPr/>
        <w:t>、</w:t>
      </w:r>
      <w:r>
        <w:rPr>
          <w:spacing w:val="-25"/>
        </w:rPr>
        <w:t> </w:t>
      </w:r>
      <w:r>
        <w:rPr/>
        <w:t>递延收益</w:t>
      </w:r>
      <w:r>
        <w:rPr>
          <w:b w:val="0"/>
          <w:bCs w:val="0"/>
        </w:rPr>
      </w:r>
    </w:p>
    <w:p>
      <w:pPr>
        <w:pStyle w:val="BodyText"/>
        <w:spacing w:line="240" w:lineRule="auto" w:before="58"/>
        <w:ind w:left="6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tabs>
          <w:tab w:pos="1697" w:val="left" w:leader="none"/>
        </w:tabs>
        <w:spacing w:before="0"/>
        <w:ind w:left="698"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20" w:bottom="1520" w:left="1100" w:right="580"/>
          <w:cols w:num="2" w:equalWidth="0">
            <w:col w:w="2275" w:space="4558"/>
            <w:col w:w="3397"/>
          </w:cols>
        </w:sectPr>
      </w:pPr>
    </w:p>
    <w:p>
      <w:pPr>
        <w:spacing w:line="240" w:lineRule="auto" w:before="3"/>
        <w:rPr>
          <w:rFonts w:ascii="宋体" w:hAnsi="宋体" w:cs="宋体" w:eastAsia="宋体" w:hint="default"/>
          <w:sz w:val="2"/>
          <w:szCs w:val="2"/>
        </w:rPr>
      </w:pPr>
    </w:p>
    <w:tbl>
      <w:tblPr>
        <w:tblW w:w="0" w:type="auto"/>
        <w:jc w:val="left"/>
        <w:tblInd w:w="659"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5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30"/>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9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87,210,697</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23,805,220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62,070,720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48,945,197</w:t>
            </w: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减：一年内到期</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的递延收益</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-77,204,060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-48,055,758</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-42,148,302</w:t>
            </w: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10,006,637</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10,805,220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14,014,962</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6,796,895</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3"/>
        <w:rPr>
          <w:rFonts w:ascii="宋体" w:hAnsi="宋体" w:cs="宋体" w:eastAsia="宋体" w:hint="default"/>
          <w:sz w:val="19"/>
          <w:szCs w:val="19"/>
        </w:rPr>
      </w:pPr>
    </w:p>
    <w:p>
      <w:pPr>
        <w:pStyle w:val="BodyText"/>
        <w:spacing w:line="240" w:lineRule="auto" w:before="36"/>
        <w:ind w:left="698" w:right="0"/>
        <w:jc w:val="left"/>
      </w:pPr>
      <w:r>
        <w:rPr/>
        <w:t>涉及政府补助的项目：</w:t>
      </w:r>
    </w:p>
    <w:p>
      <w:pPr>
        <w:pStyle w:val="BodyText"/>
        <w:tabs>
          <w:tab w:pos="1051" w:val="left" w:leader="none"/>
        </w:tabs>
        <w:spacing w:line="240" w:lineRule="auto" w:before="58"/>
        <w:ind w:left="0" w:right="690"/>
        <w:jc w:val="right"/>
      </w:pPr>
      <w:r>
        <w:rPr>
          <w:spacing w:val="-1"/>
        </w:rPr>
        <w:t>单位：元</w:t>
        <w:tab/>
      </w:r>
      <w:r>
        <w:rPr>
          <w:spacing w:val="-2"/>
        </w:rPr>
        <w:t>币种：人民币</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278"/>
        <w:gridCol w:w="1215"/>
        <w:gridCol w:w="1310"/>
        <w:gridCol w:w="1421"/>
        <w:gridCol w:w="1205"/>
        <w:gridCol w:w="1112"/>
        <w:gridCol w:w="1459"/>
      </w:tblGrid>
      <w:tr>
        <w:trPr>
          <w:trHeight w:val="55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3"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助金额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收益相关</w:t>
            </w:r>
          </w:p>
        </w:tc>
      </w:tr>
      <w:tr>
        <w:trPr>
          <w:trHeight w:val="557"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统一移动软件平台研发</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与产业化</w:t>
            </w:r>
          </w:p>
        </w:tc>
        <w:tc>
          <w:tcPr>
            <w:tcW w:w="1215"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12,000,000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第三批省战略性新兴产</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业发展专项资金</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支撑新型应用模式的专</w:t>
            </w:r>
          </w:p>
          <w:p>
            <w:pPr>
              <w:pStyle w:val="TableParagraph"/>
              <w:spacing w:line="240" w:lineRule="auto"/>
              <w:ind w:left="24" w:right="139"/>
              <w:jc w:val="left"/>
              <w:rPr>
                <w:rFonts w:ascii="宋体" w:hAnsi="宋体" w:cs="宋体" w:eastAsia="宋体" w:hint="default"/>
                <w:sz w:val="21"/>
                <w:szCs w:val="21"/>
              </w:rPr>
            </w:pPr>
            <w:r>
              <w:rPr>
                <w:rFonts w:ascii="宋体" w:hAnsi="宋体" w:cs="宋体" w:eastAsia="宋体" w:hint="default"/>
                <w:spacing w:val="-2"/>
                <w:sz w:val="21"/>
                <w:szCs w:val="21"/>
              </w:rPr>
              <w:t>有云解决方案研发及推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广</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支撑行业大数据应用的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软件平台研发与产业化</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11,540,000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6,924,000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4,616,000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基于安全可靠基础软硬</w:t>
            </w:r>
          </w:p>
          <w:p>
            <w:pPr>
              <w:pStyle w:val="TableParagraph"/>
              <w:spacing w:line="272" w:lineRule="exact" w:before="26"/>
              <w:ind w:left="24" w:right="139"/>
              <w:jc w:val="left"/>
              <w:rPr>
                <w:rFonts w:ascii="宋体" w:hAnsi="宋体" w:cs="宋体" w:eastAsia="宋体" w:hint="default"/>
                <w:sz w:val="21"/>
                <w:szCs w:val="21"/>
              </w:rPr>
            </w:pPr>
            <w:r>
              <w:rPr>
                <w:rFonts w:ascii="宋体" w:hAnsi="宋体" w:cs="宋体" w:eastAsia="宋体" w:hint="default"/>
                <w:spacing w:val="-2"/>
                <w:sz w:val="21"/>
                <w:szCs w:val="21"/>
              </w:rPr>
              <w:t>件的事务处理应用研究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与示范工程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21,686,400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17,349,120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4,337,280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企业云平台关键技术北</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京市工程实验室</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4,668,600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1,555,700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3,112,900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广东省现代信息服务业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发展专项资金</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互联网工程机械服务平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台项目</w:t>
            </w:r>
          </w:p>
        </w:tc>
        <w:tc>
          <w:tcPr>
            <w:tcW w:w="1215"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1,592,000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1,592,000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9"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面向制造企业供应链管</w:t>
            </w:r>
          </w:p>
          <w:p>
            <w:pPr>
              <w:pStyle w:val="TableParagraph"/>
              <w:spacing w:line="272" w:lineRule="exact" w:before="27"/>
              <w:ind w:left="24" w:right="139"/>
              <w:jc w:val="left"/>
              <w:rPr>
                <w:rFonts w:ascii="宋体" w:hAnsi="宋体" w:cs="宋体" w:eastAsia="宋体" w:hint="default"/>
                <w:sz w:val="21"/>
                <w:szCs w:val="21"/>
              </w:rPr>
            </w:pPr>
            <w:r>
              <w:rPr>
                <w:rFonts w:ascii="宋体" w:hAnsi="宋体" w:cs="宋体" w:eastAsia="宋体" w:hint="default"/>
                <w:spacing w:val="-2"/>
                <w:sz w:val="21"/>
                <w:szCs w:val="21"/>
              </w:rPr>
              <w:t>理的第三方电子商务平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台研发及应用示范</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3,750,000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1,250,000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汽车行业大数据智能分</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析应用示范</w:t>
            </w:r>
          </w:p>
        </w:tc>
        <w:tc>
          <w:tcPr>
            <w:tcW w:w="1215"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1,200,000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面向大型行业应用的共</w:t>
            </w:r>
          </w:p>
          <w:p>
            <w:pPr>
              <w:pStyle w:val="TableParagraph"/>
              <w:spacing w:line="272" w:lineRule="exact" w:before="27"/>
              <w:ind w:left="24" w:right="139"/>
              <w:jc w:val="left"/>
              <w:rPr>
                <w:rFonts w:ascii="宋体" w:hAnsi="宋体" w:cs="宋体" w:eastAsia="宋体" w:hint="default"/>
                <w:sz w:val="21"/>
                <w:szCs w:val="21"/>
              </w:rPr>
            </w:pPr>
            <w:r>
              <w:rPr>
                <w:rFonts w:ascii="宋体" w:hAnsi="宋体" w:cs="宋体" w:eastAsia="宋体" w:hint="default"/>
                <w:spacing w:val="-2"/>
                <w:sz w:val="21"/>
                <w:szCs w:val="21"/>
              </w:rPr>
              <w:t>性云计算基础软件平台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研制与应用</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11,400,000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企业内部风险管理控制</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信息系统研发及产业化</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协同医疗卫生服务支撑</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关键技术研究</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2,267,500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2,267,500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3,648,197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1,013,220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1,821,300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-3,100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2,837,017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90"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87,210,697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23,805,220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62,067,620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-3,100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48,945,197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520" w:left="110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538" w:right="0"/>
        <w:jc w:val="left"/>
      </w:pPr>
      <w:r>
        <w:rPr/>
        <w:t>其他说明：</w:t>
      </w:r>
    </w:p>
    <w:p>
      <w:pPr>
        <w:spacing w:line="240" w:lineRule="auto" w:before="3"/>
        <w:rPr>
          <w:rFonts w:ascii="宋体" w:hAnsi="宋体" w:cs="宋体" w:eastAsia="宋体" w:hint="default"/>
          <w:sz w:val="25"/>
          <w:szCs w:val="25"/>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left="538" w:right="0"/>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tabs>
          <w:tab w:pos="1051" w:val="left" w:leader="none"/>
        </w:tabs>
        <w:spacing w:line="240" w:lineRule="auto" w:before="58"/>
        <w:ind w:left="0" w:right="3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257"/>
        <w:gridCol w:w="2897"/>
        <w:gridCol w:w="2895"/>
      </w:tblGrid>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538" w:right="0"/>
        <w:jc w:val="left"/>
      </w:pPr>
      <w:r>
        <w:rPr/>
        <w:t>其他说明：</w:t>
      </w:r>
    </w:p>
    <w:p>
      <w:pPr>
        <w:spacing w:line="240" w:lineRule="auto" w:before="6"/>
        <w:rPr>
          <w:rFonts w:ascii="宋体" w:hAnsi="宋体" w:cs="宋体" w:eastAsia="宋体" w:hint="default"/>
          <w:sz w:val="25"/>
          <w:szCs w:val="25"/>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left="538" w:right="0"/>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tabs>
          <w:tab w:pos="1051" w:val="left" w:leader="none"/>
        </w:tabs>
        <w:spacing w:line="240" w:lineRule="auto" w:before="56"/>
        <w:ind w:left="0" w:right="3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746"/>
        <w:gridCol w:w="1579"/>
        <w:gridCol w:w="1268"/>
        <w:gridCol w:w="425"/>
        <w:gridCol w:w="1373"/>
        <w:gridCol w:w="1159"/>
        <w:gridCol w:w="1373"/>
        <w:gridCol w:w="1579"/>
      </w:tblGrid>
      <w:tr>
        <w:trPr>
          <w:trHeight w:val="283" w:hRule="exact"/>
        </w:trPr>
        <w:tc>
          <w:tcPr>
            <w:tcW w:w="746" w:type="dxa"/>
            <w:vMerge w:val="restart"/>
            <w:tcBorders>
              <w:top w:val="single" w:sz="4" w:space="0" w:color="000000"/>
              <w:left w:val="single" w:sz="4" w:space="0" w:color="000000"/>
              <w:right w:val="single" w:sz="4" w:space="0" w:color="000000"/>
            </w:tcBorders>
          </w:tcPr>
          <w:p>
            <w:pP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5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90"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746"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418"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79" w:type="dxa"/>
            <w:vMerge/>
            <w:tcBorders>
              <w:left w:val="single" w:sz="4" w:space="0" w:color="000000"/>
              <w:bottom w:val="single" w:sz="4" w:space="0" w:color="000000"/>
              <w:right w:val="single" w:sz="4" w:space="0" w:color="000000"/>
            </w:tcBorders>
          </w:tcPr>
          <w:p>
            <w:pPr/>
          </w:p>
        </w:tc>
      </w:tr>
      <w:tr>
        <w:trPr>
          <w:trHeight w:val="557" w:hRule="exact"/>
        </w:trPr>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1,171,419,007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53,484,602</w:t>
            </w:r>
          </w:p>
        </w:tc>
        <w:tc>
          <w:tcPr>
            <w:tcW w:w="42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234,283,801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5,500,910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293,269,313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1,464,688,320</w:t>
            </w:r>
          </w:p>
        </w:tc>
      </w:tr>
    </w:tbl>
    <w:p>
      <w:pPr>
        <w:pStyle w:val="BodyText"/>
        <w:spacing w:line="295" w:lineRule="auto" w:before="26"/>
        <w:ind w:left="538" w:right="0"/>
        <w:jc w:val="left"/>
      </w:pPr>
      <w:r>
        <w:rPr/>
        <w:t>其他说明：</w:t>
      </w:r>
      <w:r>
        <w:rPr>
          <w:spacing w:val="-102"/>
        </w:rPr>
        <w:t> </w:t>
      </w:r>
      <w:r>
        <w:rPr>
          <w:spacing w:val="-102"/>
        </w:rPr>
      </w:r>
      <w:r>
        <w:rPr>
          <w:spacing w:val="-2"/>
        </w:rPr>
        <w:t>据</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9</w:t>
      </w:r>
      <w:r>
        <w:rPr>
          <w:spacing w:val="-2"/>
        </w:rPr>
        <w:t>日召开的</w:t>
      </w:r>
      <w:r>
        <w:rPr>
          <w:rFonts w:ascii="宋体" w:hAnsi="宋体" w:cs="宋体" w:eastAsia="宋体" w:hint="default"/>
          <w:spacing w:val="-2"/>
        </w:rPr>
        <w:t>2014</w:t>
      </w:r>
      <w:r>
        <w:rPr>
          <w:spacing w:val="-2"/>
        </w:rPr>
        <w:t>年年度股东大会审议通过的《</w:t>
      </w:r>
      <w:r>
        <w:rPr>
          <w:rFonts w:ascii="宋体" w:hAnsi="宋体" w:cs="宋体" w:eastAsia="宋体" w:hint="default"/>
          <w:spacing w:val="-2"/>
        </w:rPr>
        <w:t>2014</w:t>
      </w:r>
      <w:r>
        <w:rPr>
          <w:spacing w:val="-2"/>
        </w:rPr>
        <w:t>年度利润分配方案及资本公积金转</w:t>
      </w:r>
      <w:r>
        <w:rPr>
          <w:spacing w:val="-21"/>
        </w:rPr>
        <w:t> </w:t>
      </w:r>
      <w:r>
        <w:rPr>
          <w:spacing w:val="-21"/>
        </w:rPr>
      </w:r>
      <w:r>
        <w:rPr>
          <w:spacing w:val="-3"/>
        </w:rPr>
        <w:t>增股本方案》，公司以</w:t>
      </w:r>
      <w:r>
        <w:rPr>
          <w:rFonts w:ascii="宋体" w:hAnsi="宋体" w:cs="宋体" w:eastAsia="宋体" w:hint="default"/>
          <w:spacing w:val="-3"/>
        </w:rPr>
        <w:t>2014</w:t>
      </w:r>
      <w:r>
        <w:rPr>
          <w:spacing w:val="-3"/>
        </w:rPr>
        <w:t>年末总股本</w:t>
      </w:r>
      <w:r>
        <w:rPr>
          <w:rFonts w:ascii="宋体" w:hAnsi="宋体" w:cs="宋体" w:eastAsia="宋体" w:hint="default"/>
          <w:spacing w:val="-3"/>
        </w:rPr>
        <w:t>1,171,419,007</w:t>
      </w:r>
      <w:r>
        <w:rPr>
          <w:spacing w:val="-3"/>
        </w:rPr>
        <w:t>股为基数，向全体股东每</w:t>
      </w:r>
      <w:r>
        <w:rPr>
          <w:rFonts w:ascii="宋体" w:hAnsi="宋体" w:cs="宋体" w:eastAsia="宋体" w:hint="default"/>
          <w:spacing w:val="-3"/>
        </w:rPr>
        <w:t>10</w:t>
      </w:r>
      <w:r>
        <w:rPr>
          <w:spacing w:val="-3"/>
        </w:rPr>
        <w:t>股转增</w:t>
      </w:r>
      <w:r>
        <w:rPr>
          <w:rFonts w:ascii="宋体" w:hAnsi="宋体" w:cs="宋体" w:eastAsia="宋体" w:hint="default"/>
          <w:spacing w:val="-3"/>
        </w:rPr>
        <w:t>2</w:t>
      </w:r>
      <w:r>
        <w:rPr>
          <w:spacing w:val="-3"/>
        </w:rPr>
        <w:t>股</w:t>
      </w:r>
      <w:r>
        <w:rPr>
          <w:rFonts w:ascii="宋体" w:hAnsi="宋体" w:cs="宋体" w:eastAsia="宋体" w:hint="default"/>
          <w:spacing w:val="-3"/>
        </w:rPr>
        <w:t>,</w:t>
      </w:r>
      <w:r>
        <w:rPr>
          <w:spacing w:val="-3"/>
        </w:rPr>
        <w:t>共计</w:t>
      </w:r>
      <w:r>
        <w:rPr>
          <w:spacing w:val="-30"/>
        </w:rPr>
        <w:t> </w:t>
      </w:r>
      <w:r>
        <w:rPr>
          <w:spacing w:val="-3"/>
        </w:rPr>
        <w:t>转增</w:t>
      </w:r>
      <w:r>
        <w:rPr>
          <w:rFonts w:ascii="宋体" w:hAnsi="宋体" w:cs="宋体" w:eastAsia="宋体" w:hint="default"/>
          <w:spacing w:val="-3"/>
        </w:rPr>
        <w:t>234,283,801</w:t>
      </w:r>
      <w:r>
        <w:rPr>
          <w:spacing w:val="-3"/>
        </w:rPr>
        <w:t>股；根据</w:t>
      </w:r>
      <w:r>
        <w:rPr>
          <w:rFonts w:ascii="宋体" w:hAnsi="宋体" w:cs="宋体" w:eastAsia="宋体" w:hint="default"/>
          <w:spacing w:val="-3"/>
        </w:rPr>
        <w:t>2015</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8</w:t>
      </w:r>
      <w:r>
        <w:rPr>
          <w:spacing w:val="-3"/>
        </w:rPr>
        <w:t>日中国证监会签发的证监许可</w:t>
      </w:r>
      <w:r>
        <w:rPr>
          <w:rFonts w:ascii="宋体" w:hAnsi="宋体" w:cs="宋体" w:eastAsia="宋体" w:hint="default"/>
          <w:spacing w:val="-3"/>
        </w:rPr>
        <w:t>[2015]1172</w:t>
      </w:r>
      <w:r>
        <w:rPr>
          <w:spacing w:val="-3"/>
        </w:rPr>
        <w:t>号文，公司获准向</w:t>
      </w:r>
      <w:r>
        <w:rPr>
          <w:spacing w:val="-15"/>
        </w:rPr>
        <w:t> </w:t>
      </w:r>
      <w:r>
        <w:rPr>
          <w:spacing w:val="-15"/>
        </w:rPr>
      </w:r>
      <w:r>
        <w:rPr>
          <w:spacing w:val="-2"/>
        </w:rPr>
        <w:t>社会非公开发行不超过</w:t>
      </w:r>
      <w:r>
        <w:rPr>
          <w:rFonts w:ascii="宋体" w:hAnsi="宋体" w:cs="宋体" w:eastAsia="宋体" w:hint="default"/>
          <w:spacing w:val="-2"/>
        </w:rPr>
        <w:t>110,220,440</w:t>
      </w:r>
      <w:r>
        <w:rPr>
          <w:spacing w:val="-2"/>
        </w:rPr>
        <w:t>股新股。公司实际发行股票</w:t>
      </w:r>
      <w:r>
        <w:rPr>
          <w:rFonts w:ascii="宋体" w:hAnsi="宋体" w:cs="宋体" w:eastAsia="宋体" w:hint="default"/>
          <w:spacing w:val="-2"/>
        </w:rPr>
        <w:t>53,484,602</w:t>
      </w:r>
      <w:r>
        <w:rPr>
          <w:spacing w:val="-2"/>
        </w:rPr>
        <w:t>股，每股面值人民币</w:t>
      </w:r>
      <w:r>
        <w:rPr>
          <w:rFonts w:ascii="宋体" w:hAnsi="宋体" w:cs="宋体" w:eastAsia="宋体" w:hint="default"/>
          <w:spacing w:val="-2"/>
        </w:rPr>
        <w:t>1</w:t>
      </w:r>
      <w:r>
        <w:rPr>
          <w:rFonts w:ascii="宋体" w:hAnsi="宋体" w:cs="宋体" w:eastAsia="宋体" w:hint="default"/>
          <w:spacing w:val="-8"/>
        </w:rPr>
        <w:t> </w:t>
      </w:r>
      <w:r>
        <w:rPr>
          <w:spacing w:val="-2"/>
        </w:rPr>
        <w:t>元，每股发行价格为人民币</w:t>
      </w:r>
      <w:r>
        <w:rPr>
          <w:rFonts w:ascii="宋体" w:hAnsi="宋体" w:cs="宋体" w:eastAsia="宋体" w:hint="default"/>
          <w:spacing w:val="-2"/>
        </w:rPr>
        <w:t>30.85</w:t>
      </w:r>
      <w:r>
        <w:rPr>
          <w:spacing w:val="-2"/>
        </w:rPr>
        <w:t>元。公司共计募集资金人民币</w:t>
      </w:r>
      <w:r>
        <w:rPr>
          <w:rFonts w:ascii="宋体" w:hAnsi="宋体" w:cs="宋体" w:eastAsia="宋体" w:hint="default"/>
          <w:spacing w:val="-2"/>
        </w:rPr>
        <w:t>1,649,999,972</w:t>
      </w:r>
      <w:r>
        <w:rPr>
          <w:spacing w:val="-2"/>
        </w:rPr>
        <w:t>元，扣除发行费用</w:t>
      </w:r>
      <w:r>
        <w:rPr>
          <w:spacing w:val="-14"/>
        </w:rPr>
        <w:t> </w:t>
      </w:r>
      <w:r>
        <w:rPr>
          <w:spacing w:val="-14"/>
        </w:rPr>
      </w:r>
      <w:r>
        <w:rPr>
          <w:spacing w:val="-3"/>
        </w:rPr>
        <w:t>人民币</w:t>
      </w:r>
      <w:r>
        <w:rPr>
          <w:rFonts w:ascii="宋体" w:hAnsi="宋体" w:cs="宋体" w:eastAsia="宋体" w:hint="default"/>
          <w:spacing w:val="-3"/>
        </w:rPr>
        <w:t>33,850,000</w:t>
      </w:r>
      <w:r>
        <w:rPr>
          <w:spacing w:val="-3"/>
        </w:rPr>
        <w:t>元，公司实际募集资金净额为人民币</w:t>
      </w:r>
      <w:r>
        <w:rPr>
          <w:rFonts w:ascii="宋体" w:hAnsi="宋体" w:cs="宋体" w:eastAsia="宋体" w:hint="default"/>
          <w:spacing w:val="-3"/>
        </w:rPr>
        <w:t>1,616,149,972</w:t>
      </w:r>
      <w:r>
        <w:rPr>
          <w:spacing w:val="-3"/>
        </w:rPr>
        <w:t>元，其中，计入股本人民币</w:t>
      </w:r>
      <w:r>
        <w:rPr>
          <w:spacing w:val="-22"/>
        </w:rPr>
        <w:t> </w:t>
      </w:r>
      <w:r>
        <w:rPr>
          <w:spacing w:val="-22"/>
        </w:rPr>
      </w:r>
      <w:r>
        <w:rPr>
          <w:rFonts w:ascii="宋体" w:hAnsi="宋体" w:cs="宋体" w:eastAsia="宋体" w:hint="default"/>
          <w:spacing w:val="-3"/>
        </w:rPr>
        <w:t>53,484,602</w:t>
      </w:r>
      <w:r>
        <w:rPr>
          <w:spacing w:val="-3"/>
        </w:rPr>
        <w:t>元，计入资本公积（股本溢价）人民币</w:t>
      </w:r>
      <w:r>
        <w:rPr>
          <w:rFonts w:ascii="宋体" w:hAnsi="宋体" w:cs="宋体" w:eastAsia="宋体" w:hint="default"/>
          <w:spacing w:val="-3"/>
        </w:rPr>
        <w:t>1,562,665,370</w:t>
      </w:r>
      <w:r>
        <w:rPr>
          <w:spacing w:val="-3"/>
        </w:rPr>
        <w:t>元。上述事项所导致的股本变动</w:t>
      </w:r>
      <w:r>
        <w:rPr>
          <w:spacing w:val="-17"/>
        </w:rPr>
        <w:t> </w:t>
      </w:r>
      <w:r>
        <w:rPr>
          <w:spacing w:val="-17"/>
        </w:rPr>
      </w:r>
      <w:r>
        <w:rPr>
          <w:spacing w:val="-5"/>
        </w:rPr>
        <w:t>已经中喜会计师事务所（特殊普通合伙）进行验证，并出具了中喜验字</w:t>
      </w:r>
      <w:r>
        <w:rPr>
          <w:rFonts w:ascii="宋体" w:hAnsi="宋体" w:cs="宋体" w:eastAsia="宋体" w:hint="default"/>
          <w:spacing w:val="-5"/>
        </w:rPr>
        <w:t>(2015)</w:t>
      </w:r>
      <w:r>
        <w:rPr>
          <w:spacing w:val="-5"/>
        </w:rPr>
        <w:t>第</w:t>
      </w:r>
      <w:r>
        <w:rPr>
          <w:rFonts w:ascii="宋体" w:hAnsi="宋体" w:cs="宋体" w:eastAsia="宋体" w:hint="default"/>
          <w:spacing w:val="-5"/>
        </w:rPr>
        <w:t>0365</w:t>
      </w:r>
      <w:r>
        <w:rPr>
          <w:spacing w:val="-5"/>
        </w:rPr>
        <w:t>号验资报告。</w:t>
      </w:r>
      <w:r>
        <w:rPr>
          <w:spacing w:val="-43"/>
        </w:rPr>
        <w:t> </w:t>
      </w:r>
      <w:r>
        <w:rPr>
          <w:spacing w:val="-43"/>
        </w:rPr>
      </w:r>
      <w:r>
        <w:rPr>
          <w:spacing w:val="-2"/>
        </w:rPr>
        <w:t>根据公司</w:t>
      </w: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12</w:t>
      </w:r>
      <w:r>
        <w:rPr>
          <w:spacing w:val="-2"/>
        </w:rPr>
        <w:t>日第六届董事会</w:t>
      </w:r>
      <w:r>
        <w:rPr>
          <w:rFonts w:ascii="宋体" w:hAnsi="宋体" w:cs="宋体" w:eastAsia="宋体" w:hint="default"/>
          <w:spacing w:val="-2"/>
        </w:rPr>
        <w:t>2015</w:t>
      </w:r>
      <w:r>
        <w:rPr>
          <w:spacing w:val="-2"/>
        </w:rPr>
        <w:t>年第二十六次会议通过的《公司关于股权激励计划限</w:t>
      </w:r>
      <w:r>
        <w:rPr>
          <w:spacing w:val="-16"/>
        </w:rPr>
        <w:t> </w:t>
      </w:r>
      <w:r>
        <w:rPr>
          <w:spacing w:val="-16"/>
        </w:rPr>
      </w:r>
      <w:r>
        <w:rPr>
          <w:spacing w:val="-3"/>
        </w:rPr>
        <w:t>制性股票符合解锁条件的议案》，公司</w:t>
      </w:r>
      <w:r>
        <w:rPr>
          <w:rFonts w:ascii="宋体" w:hAnsi="宋体" w:cs="宋体" w:eastAsia="宋体" w:hint="default"/>
          <w:spacing w:val="-3"/>
        </w:rPr>
        <w:t>2015</w:t>
      </w:r>
      <w:r>
        <w:rPr>
          <w:spacing w:val="-3"/>
        </w:rPr>
        <w:t>年解锁限制性股票</w:t>
      </w:r>
      <w:r>
        <w:rPr>
          <w:rFonts w:ascii="宋体" w:hAnsi="宋体" w:cs="宋体" w:eastAsia="宋体" w:hint="default"/>
          <w:spacing w:val="-3"/>
        </w:rPr>
        <w:t>4,088,418</w:t>
      </w:r>
      <w:r>
        <w:rPr>
          <w:spacing w:val="-3"/>
        </w:rPr>
        <w:t>股，实际行权的期权股数</w:t>
      </w:r>
      <w:r>
        <w:rPr>
          <w:spacing w:val="-35"/>
        </w:rPr>
        <w:t> </w:t>
      </w:r>
      <w:r>
        <w:rPr>
          <w:spacing w:val="-35"/>
        </w:rPr>
      </w:r>
      <w:r>
        <w:rPr/>
        <w:t>为</w:t>
      </w:r>
      <w:r>
        <w:rPr>
          <w:rFonts w:ascii="宋体" w:hAnsi="宋体" w:cs="宋体" w:eastAsia="宋体" w:hint="default"/>
        </w:rPr>
        <w:t>5,500,910</w:t>
      </w:r>
      <w:r>
        <w:rPr/>
        <w:t>股。</w:t>
      </w:r>
    </w:p>
    <w:p>
      <w:pPr>
        <w:spacing w:line="240" w:lineRule="auto" w:before="5"/>
        <w:rPr>
          <w:rFonts w:ascii="宋体" w:hAnsi="宋体" w:cs="宋体" w:eastAsia="宋体" w:hint="default"/>
          <w:sz w:val="27"/>
          <w:szCs w:val="27"/>
        </w:rPr>
      </w:pPr>
    </w:p>
    <w:p>
      <w:pPr>
        <w:pStyle w:val="BodyText"/>
        <w:spacing w:line="297" w:lineRule="auto"/>
        <w:ind w:left="538" w:right="0"/>
        <w:jc w:val="left"/>
      </w:pPr>
      <w:r>
        <w:rPr>
          <w:spacing w:val="-3"/>
        </w:rPr>
        <w:t>经上述股本变动后，截至</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日，本公司共发行股份</w:t>
      </w:r>
      <w:r>
        <w:rPr>
          <w:rFonts w:ascii="宋体" w:hAnsi="宋体" w:cs="宋体" w:eastAsia="宋体" w:hint="default"/>
          <w:spacing w:val="-3"/>
        </w:rPr>
        <w:t>1,464,668,320</w:t>
      </w:r>
      <w:r>
        <w:rPr>
          <w:spacing w:val="-3"/>
        </w:rPr>
        <w:t>股，注册资本为人民</w:t>
      </w:r>
      <w:r>
        <w:rPr>
          <w:spacing w:val="-26"/>
        </w:rPr>
        <w:t> </w:t>
      </w:r>
      <w:r>
        <w:rPr>
          <w:spacing w:val="-26"/>
        </w:rPr>
      </w:r>
      <w:r>
        <w:rPr/>
        <w:t>币</w:t>
      </w:r>
      <w:r>
        <w:rPr>
          <w:rFonts w:ascii="宋体" w:hAnsi="宋体" w:cs="宋体" w:eastAsia="宋体" w:hint="default"/>
        </w:rPr>
        <w:t>1,464,668,320</w:t>
      </w:r>
      <w:r>
        <w:rPr/>
        <w:t>元，每股价值人民币</w:t>
      </w:r>
      <w:r>
        <w:rPr>
          <w:rFonts w:ascii="宋体" w:hAnsi="宋体" w:cs="宋体" w:eastAsia="宋体" w:hint="default"/>
        </w:rPr>
        <w:t>1</w:t>
      </w:r>
      <w:r>
        <w:rPr/>
        <w:t>元。</w:t>
      </w:r>
    </w:p>
    <w:p>
      <w:pPr>
        <w:spacing w:line="240" w:lineRule="auto" w:before="9"/>
        <w:rPr>
          <w:rFonts w:ascii="宋体" w:hAnsi="宋体" w:cs="宋体" w:eastAsia="宋体" w:hint="default"/>
          <w:sz w:val="26"/>
          <w:szCs w:val="26"/>
        </w:rPr>
      </w:pPr>
    </w:p>
    <w:p>
      <w:pPr>
        <w:pStyle w:val="Heading2"/>
        <w:spacing w:line="240" w:lineRule="auto" w:before="0"/>
        <w:ind w:left="538" w:right="0"/>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BodyText"/>
        <w:spacing w:line="240" w:lineRule="auto" w:before="58"/>
        <w:ind w:left="5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ind w:left="538" w:right="0"/>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tabs>
          <w:tab w:pos="1051" w:val="left" w:leader="none"/>
        </w:tabs>
        <w:spacing w:line="240" w:lineRule="auto" w:before="56"/>
        <w:ind w:left="0" w:right="3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499"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1" w:lineRule="exact"/>
        <w:jc w:val="left"/>
        <w:rPr>
          <w:rFonts w:ascii="宋体" w:hAnsi="宋体" w:cs="宋体" w:eastAsia="宋体" w:hint="default"/>
          <w:sz w:val="21"/>
          <w:szCs w:val="21"/>
        </w:rPr>
        <w:sectPr>
          <w:pgSz w:w="11910" w:h="16840"/>
          <w:pgMar w:header="926" w:footer="1335" w:top="1120" w:bottom="1520" w:left="126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79"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562"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价）（注</w:t>
            </w:r>
            <w:r>
              <w:rPr>
                <w:rFonts w:ascii="宋体" w:hAnsi="宋体" w:cs="宋体" w:eastAsia="宋体" w:hint="default"/>
                <w:sz w:val="21"/>
                <w:szCs w:val="21"/>
              </w:rPr>
              <w:t>1</w:t>
            </w:r>
            <w:r>
              <w:rPr>
                <w:rFonts w:ascii="宋体" w:hAnsi="宋体" w:cs="宋体" w:eastAsia="宋体" w:hint="default"/>
                <w:sz w:val="21"/>
                <w:szCs w:val="21"/>
              </w:rPr>
              <w:t>）</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608,998,665</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1,633,394,219</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234,283,801</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2,008,109,083</w:t>
            </w:r>
          </w:p>
        </w:tc>
      </w:tr>
      <w:tr>
        <w:trPr>
          <w:trHeight w:val="286"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19,458,206</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29,632</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19,487,838</w:t>
            </w:r>
          </w:p>
        </w:tc>
      </w:tr>
      <w:tr>
        <w:trPr>
          <w:trHeight w:val="562"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股权激励成本</w:t>
            </w:r>
            <w:r>
              <w:rPr>
                <w:rFonts w:ascii="宋体" w:hAnsi="宋体" w:cs="宋体" w:eastAsia="宋体" w:hint="default"/>
                <w:sz w:val="21"/>
                <w:szCs w:val="21"/>
              </w:rPr>
              <w:t>(</w:t>
            </w:r>
            <w:r>
              <w:rPr>
                <w:rFonts w:ascii="宋体" w:hAnsi="宋体" w:cs="宋体" w:eastAsia="宋体" w:hint="default"/>
                <w:sz w:val="21"/>
                <w:szCs w:val="21"/>
              </w:rPr>
              <w:t>注</w:t>
            </w:r>
          </w:p>
          <w:p>
            <w:pPr>
              <w:pStyle w:val="TableParagraph"/>
              <w:spacing w:line="273" w:lineRule="exact"/>
              <w:ind w:left="24" w:right="0"/>
              <w:jc w:val="left"/>
              <w:rPr>
                <w:rFonts w:ascii="宋体" w:hAnsi="宋体" w:cs="宋体" w:eastAsia="宋体" w:hint="default"/>
                <w:sz w:val="21"/>
                <w:szCs w:val="21"/>
              </w:rPr>
            </w:pPr>
            <w:r>
              <w:rPr>
                <w:rFonts w:ascii="宋体"/>
                <w:sz w:val="21"/>
              </w:rPr>
              <w:t>2)</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123,425,069</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116,944,179</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9,511,446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230,857,802</w:t>
            </w:r>
          </w:p>
        </w:tc>
      </w:tr>
      <w:tr>
        <w:trPr>
          <w:trHeight w:val="559"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新股申购冻结资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金利息</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20,148,153</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20,148,153</w:t>
            </w:r>
          </w:p>
        </w:tc>
      </w:tr>
      <w:tr>
        <w:trPr>
          <w:trHeight w:val="286"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关联交易差价</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17,969,348</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17,969,348</w:t>
            </w:r>
          </w:p>
        </w:tc>
      </w:tr>
      <w:tr>
        <w:trPr>
          <w:trHeight w:val="562"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转让</w:t>
            </w:r>
            <w:r>
              <w:rPr>
                <w:rFonts w:ascii="宋体" w:hAnsi="宋体" w:cs="宋体" w:eastAsia="宋体" w:hint="default"/>
                <w:sz w:val="21"/>
                <w:szCs w:val="21"/>
              </w:rPr>
              <w:t>/</w:t>
            </w:r>
            <w:r>
              <w:rPr>
                <w:rFonts w:ascii="宋体" w:hAnsi="宋体" w:cs="宋体" w:eastAsia="宋体" w:hint="default"/>
                <w:sz w:val="21"/>
                <w:szCs w:val="21"/>
              </w:rPr>
              <w:t>受让少数股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东股权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3)</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-45,007,646</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41,901,608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41,049,146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-44,155,184</w:t>
            </w: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744,991,795</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1,792,269,638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284,844,393</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2,252,417,040</w:t>
            </w:r>
          </w:p>
        </w:tc>
      </w:tr>
    </w:tbl>
    <w:p>
      <w:pPr>
        <w:spacing w:line="240" w:lineRule="auto" w:before="5"/>
        <w:rPr>
          <w:rFonts w:ascii="宋体" w:hAnsi="宋体" w:cs="宋体" w:eastAsia="宋体" w:hint="default"/>
          <w:sz w:val="15"/>
          <w:szCs w:val="15"/>
        </w:rPr>
      </w:pPr>
    </w:p>
    <w:p>
      <w:pPr>
        <w:pStyle w:val="BodyText"/>
        <w:spacing w:line="273" w:lineRule="exact" w:before="36"/>
        <w:ind w:left="818" w:right="0"/>
        <w:jc w:val="left"/>
      </w:pPr>
      <w:r>
        <w:rPr/>
        <w:t>其他说明，包括本期增减变动情况、变动原因说明：</w:t>
      </w:r>
    </w:p>
    <w:p>
      <w:pPr>
        <w:pStyle w:val="BodyText"/>
        <w:spacing w:line="297" w:lineRule="auto"/>
        <w:ind w:left="2250" w:right="150" w:hanging="720"/>
        <w:jc w:val="both"/>
      </w:pPr>
      <w:r>
        <w:rPr/>
        <w:t>注</w:t>
      </w:r>
      <w:r>
        <w:rPr>
          <w:rFonts w:ascii="宋体" w:hAnsi="宋体" w:cs="宋体" w:eastAsia="宋体" w:hint="default"/>
        </w:rPr>
        <w:t>1</w:t>
      </w:r>
      <w:r>
        <w:rPr/>
        <w:t>．</w:t>
      </w:r>
      <w:r>
        <w:rPr>
          <w:spacing w:val="43"/>
        </w:rPr>
        <w:t> </w:t>
      </w:r>
      <w:r>
        <w:rPr>
          <w:spacing w:val="2"/>
        </w:rPr>
        <w:t>本年股本溢价增加主要是由于公司</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月通过非公开发行募集资金中股本溢</w:t>
      </w:r>
      <w:r>
        <w:rPr>
          <w:spacing w:val="-98"/>
        </w:rPr>
        <w:t> </w:t>
      </w:r>
      <w:r>
        <w:rPr>
          <w:spacing w:val="-98"/>
        </w:rPr>
      </w:r>
      <w:r>
        <w:rPr/>
        <w:t>价、股票期权行权增加股本溢价、公司之子公司新道科技、用友政务及用友汽车</w:t>
      </w:r>
      <w:r>
        <w:rPr>
          <w:w w:val="100"/>
        </w:rPr>
        <w:t> </w:t>
      </w:r>
      <w:r>
        <w:rPr/>
        <w:t>少数股东增资增加股本溢价所致。本年股本溢价减少是由于公司根据</w:t>
      </w:r>
      <w:r>
        <w:rPr>
          <w:rFonts w:ascii="宋体" w:hAnsi="宋体" w:cs="宋体" w:eastAsia="宋体" w:hint="default"/>
        </w:rPr>
        <w:t>2014</w:t>
      </w:r>
      <w:r>
        <w:rPr/>
        <w:t>年度利</w:t>
      </w:r>
      <w:r>
        <w:rPr>
          <w:w w:val="100"/>
        </w:rPr>
        <w:t> </w:t>
      </w:r>
      <w:r>
        <w:rPr/>
        <w:t>润分配方案将资本公积转增股本以及回购股份所致。</w:t>
      </w:r>
    </w:p>
    <w:p>
      <w:pPr>
        <w:pStyle w:val="BodyText"/>
        <w:spacing w:line="240" w:lineRule="auto" w:before="15"/>
        <w:ind w:left="1530" w:right="0"/>
        <w:jc w:val="left"/>
      </w:pPr>
      <w:r>
        <w:rPr/>
        <w:t>注</w:t>
      </w:r>
      <w:r>
        <w:rPr>
          <w:rFonts w:ascii="宋体" w:hAnsi="宋体" w:cs="宋体" w:eastAsia="宋体" w:hint="default"/>
        </w:rPr>
        <w:t>2</w:t>
      </w:r>
      <w:r>
        <w:rPr/>
        <w:t>．</w:t>
      </w:r>
      <w:r>
        <w:rPr>
          <w:spacing w:val="90"/>
        </w:rPr>
        <w:t> </w:t>
      </w:r>
      <w:r>
        <w:rPr/>
        <w:t>参见十三、股份支付。</w:t>
      </w:r>
    </w:p>
    <w:p>
      <w:pPr>
        <w:pStyle w:val="BodyText"/>
        <w:spacing w:line="297" w:lineRule="auto" w:before="68"/>
        <w:ind w:left="2250" w:right="196" w:hanging="720"/>
        <w:jc w:val="both"/>
      </w:pPr>
      <w:r>
        <w:rPr/>
        <w:t>注</w:t>
      </w:r>
      <w:r>
        <w:rPr>
          <w:rFonts w:ascii="宋体" w:hAnsi="宋体" w:cs="宋体" w:eastAsia="宋体" w:hint="default"/>
        </w:rPr>
        <w:t>3</w:t>
      </w:r>
      <w:r>
        <w:rPr/>
        <w:t>．</w:t>
      </w:r>
      <w:r>
        <w:rPr>
          <w:spacing w:val="87"/>
        </w:rPr>
        <w:t> </w:t>
      </w:r>
      <w:r>
        <w:rPr/>
        <w:t>本年增加主要由于公司将部分少数股权转让给公司的高管所致，本年减少主要由</w:t>
      </w:r>
      <w:r>
        <w:rPr>
          <w:w w:val="100"/>
        </w:rPr>
        <w:t> </w:t>
      </w:r>
      <w:r>
        <w:rPr/>
        <w:t>于公司收购公司之子公司畅捷通之子公司畅捷支付的少数股权所致。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926" w:footer="1335" w:top="1120" w:bottom="1520" w:left="980" w:right="1120"/>
        </w:sectPr>
      </w:pPr>
    </w:p>
    <w:p>
      <w:pPr>
        <w:pStyle w:val="Heading2"/>
        <w:spacing w:line="240" w:lineRule="auto"/>
        <w:ind w:left="818" w:right="-18"/>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58"/>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29"/>
          <w:szCs w:val="29"/>
        </w:rPr>
      </w:pPr>
    </w:p>
    <w:p>
      <w:pPr>
        <w:tabs>
          <w:tab w:pos="1817" w:val="left" w:leader="none"/>
        </w:tabs>
        <w:spacing w:before="0"/>
        <w:ind w:left="818"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20" w:bottom="1520" w:left="980" w:right="1120"/>
          <w:cols w:num="2" w:equalWidth="0">
            <w:col w:w="2395" w:space="4237"/>
            <w:col w:w="3178"/>
          </w:cols>
        </w:sectPr>
      </w:pPr>
    </w:p>
    <w:p>
      <w:pPr>
        <w:spacing w:line="240" w:lineRule="auto" w:before="6"/>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1682"/>
        <w:gridCol w:w="1774"/>
        <w:gridCol w:w="1805"/>
        <w:gridCol w:w="1814"/>
        <w:gridCol w:w="1820"/>
      </w:tblGrid>
      <w:tr>
        <w:trPr>
          <w:trHeight w:val="28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19"/>
              <w:jc w:val="right"/>
              <w:rPr>
                <w:rFonts w:ascii="宋体" w:hAnsi="宋体" w:cs="宋体" w:eastAsia="宋体" w:hint="default"/>
                <w:sz w:val="21"/>
                <w:szCs w:val="21"/>
              </w:rPr>
            </w:pPr>
            <w:r>
              <w:rPr>
                <w:rFonts w:ascii="宋体" w:hAnsi="宋体" w:cs="宋体" w:eastAsia="宋体" w:hint="default"/>
                <w:sz w:val="21"/>
                <w:szCs w:val="21"/>
              </w:rPr>
              <w:t>项目</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47,702,458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219,324,274</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25,066,757</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241,959,975</w:t>
            </w:r>
          </w:p>
        </w:tc>
      </w:tr>
      <w:tr>
        <w:trPr>
          <w:trHeight w:val="288" w:hRule="exact"/>
        </w:trPr>
        <w:tc>
          <w:tcPr>
            <w:tcW w:w="1682" w:type="dxa"/>
            <w:tcBorders>
              <w:top w:val="single" w:sz="6" w:space="0" w:color="000000"/>
              <w:left w:val="single" w:sz="6" w:space="0" w:color="000000"/>
              <w:bottom w:val="single" w:sz="6" w:space="0" w:color="000000"/>
              <w:right w:val="single" w:sz="6" w:space="0" w:color="000000"/>
            </w:tcBorders>
          </w:tcPr>
          <w:p>
            <w:pPr/>
          </w:p>
        </w:tc>
        <w:tc>
          <w:tcPr>
            <w:tcW w:w="177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19"/>
              <w:jc w:val="right"/>
              <w:rPr>
                <w:rFonts w:ascii="宋体" w:hAnsi="宋体" w:cs="宋体" w:eastAsia="宋体" w:hint="default"/>
                <w:sz w:val="21"/>
                <w:szCs w:val="21"/>
              </w:rPr>
            </w:pPr>
            <w:r>
              <w:rPr>
                <w:rFonts w:ascii="宋体" w:hAnsi="宋体" w:cs="宋体" w:eastAsia="宋体" w:hint="default"/>
                <w:sz w:val="21"/>
                <w:szCs w:val="21"/>
              </w:rPr>
              <w:t>合计</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47,702,458</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219,324,274</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25,066,757</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241,959,975</w:t>
            </w:r>
          </w:p>
        </w:tc>
      </w:tr>
    </w:tbl>
    <w:p>
      <w:pPr>
        <w:pStyle w:val="BodyText"/>
        <w:spacing w:line="239" w:lineRule="exact"/>
        <w:ind w:left="818" w:right="0"/>
        <w:jc w:val="both"/>
      </w:pPr>
      <w:r>
        <w:rPr/>
        <w:t>其他说明，包括本期增减变动情况、变动原因说明：</w:t>
      </w:r>
    </w:p>
    <w:p>
      <w:pPr>
        <w:pStyle w:val="BodyText"/>
        <w:spacing w:line="273" w:lineRule="exact"/>
        <w:ind w:left="818" w:right="0"/>
        <w:jc w:val="both"/>
      </w:pPr>
      <w:r>
        <w:rPr>
          <w:w w:val="100"/>
        </w:rPr>
        <w:t>公</w:t>
      </w:r>
      <w:r>
        <w:rPr>
          <w:spacing w:val="-3"/>
          <w:w w:val="100"/>
        </w:rPr>
        <w:t>司</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3</w:t>
      </w:r>
      <w:r>
        <w:rPr>
          <w:rFonts w:ascii="宋体" w:hAnsi="宋体" w:cs="宋体" w:eastAsia="宋体" w:hint="default"/>
          <w:spacing w:val="-53"/>
        </w:rPr>
        <w:t> </w:t>
      </w:r>
      <w:r>
        <w:rPr>
          <w:spacing w:val="-3"/>
          <w:w w:val="100"/>
        </w:rPr>
        <w:t>年</w:t>
      </w:r>
      <w:r>
        <w:rPr>
          <w:w w:val="100"/>
        </w:rPr>
        <w:t>以</w:t>
      </w:r>
      <w:r>
        <w:rPr>
          <w:spacing w:val="-3"/>
          <w:w w:val="100"/>
        </w:rPr>
        <w:t>人</w:t>
      </w:r>
      <w:r>
        <w:rPr>
          <w:w w:val="100"/>
        </w:rPr>
        <w:t>民币</w:t>
      </w:r>
      <w:r>
        <w:rPr>
          <w:spacing w:val="-55"/>
        </w:rPr>
        <w:t> </w:t>
      </w:r>
      <w:r>
        <w:rPr>
          <w:rFonts w:ascii="宋体" w:hAnsi="宋体" w:cs="宋体" w:eastAsia="宋体" w:hint="default"/>
          <w:spacing w:val="-3"/>
          <w:w w:val="100"/>
        </w:rPr>
        <w:t>6</w:t>
      </w:r>
      <w:r>
        <w:rPr>
          <w:rFonts w:ascii="宋体" w:hAnsi="宋体" w:cs="宋体" w:eastAsia="宋体" w:hint="default"/>
          <w:w w:val="100"/>
        </w:rPr>
        <w:t>.76</w:t>
      </w:r>
      <w:r>
        <w:rPr>
          <w:rFonts w:ascii="宋体" w:hAnsi="宋体" w:cs="宋体" w:eastAsia="宋体" w:hint="default"/>
          <w:spacing w:val="-53"/>
        </w:rPr>
        <w:t> </w:t>
      </w:r>
      <w:r>
        <w:rPr>
          <w:spacing w:val="-3"/>
          <w:w w:val="100"/>
        </w:rPr>
        <w:t>元</w:t>
      </w:r>
      <w:r>
        <w:rPr>
          <w:w w:val="100"/>
        </w:rPr>
        <w:t>的</w:t>
      </w:r>
      <w:r>
        <w:rPr>
          <w:spacing w:val="-3"/>
          <w:w w:val="100"/>
        </w:rPr>
        <w:t>授</w:t>
      </w:r>
      <w:r>
        <w:rPr>
          <w:w w:val="100"/>
        </w:rPr>
        <w:t>予</w:t>
      </w:r>
      <w:r>
        <w:rPr>
          <w:spacing w:val="-3"/>
          <w:w w:val="100"/>
        </w:rPr>
        <w:t>价</w:t>
      </w:r>
      <w:r>
        <w:rPr>
          <w:w w:val="100"/>
        </w:rPr>
        <w:t>格</w:t>
      </w:r>
      <w:r>
        <w:rPr>
          <w:spacing w:val="-3"/>
          <w:w w:val="100"/>
        </w:rPr>
        <w:t>首</w:t>
      </w:r>
      <w:r>
        <w:rPr>
          <w:w w:val="100"/>
        </w:rPr>
        <w:t>次</w:t>
      </w:r>
      <w:r>
        <w:rPr>
          <w:spacing w:val="-3"/>
          <w:w w:val="100"/>
        </w:rPr>
        <w:t>授</w:t>
      </w:r>
      <w:r>
        <w:rPr>
          <w:w w:val="100"/>
        </w:rPr>
        <w:t>予限</w:t>
      </w:r>
      <w:r>
        <w:rPr>
          <w:spacing w:val="-3"/>
          <w:w w:val="100"/>
        </w:rPr>
        <w:t>制</w:t>
      </w:r>
      <w:r>
        <w:rPr>
          <w:w w:val="100"/>
        </w:rPr>
        <w:t>性</w:t>
      </w:r>
      <w:r>
        <w:rPr>
          <w:spacing w:val="-3"/>
          <w:w w:val="100"/>
        </w:rPr>
        <w:t>股</w:t>
      </w:r>
      <w:r>
        <w:rPr>
          <w:w w:val="100"/>
        </w:rPr>
        <w:t>票</w:t>
      </w:r>
      <w:r>
        <w:rPr>
          <w:spacing w:val="-53"/>
        </w:rPr>
        <w:t> </w:t>
      </w:r>
      <w:r>
        <w:rPr>
          <w:rFonts w:ascii="宋体" w:hAnsi="宋体" w:cs="宋体" w:eastAsia="宋体" w:hint="default"/>
          <w:spacing w:val="-3"/>
          <w:w w:val="100"/>
        </w:rPr>
        <w:t>1</w:t>
      </w:r>
      <w:r>
        <w:rPr>
          <w:rFonts w:ascii="宋体" w:hAnsi="宋体" w:cs="宋体" w:eastAsia="宋体" w:hint="default"/>
          <w:w w:val="100"/>
        </w:rPr>
        <w:t>1,9</w:t>
      </w:r>
      <w:r>
        <w:rPr>
          <w:rFonts w:ascii="宋体" w:hAnsi="宋体" w:cs="宋体" w:eastAsia="宋体" w:hint="default"/>
          <w:spacing w:val="-3"/>
          <w:w w:val="100"/>
        </w:rPr>
        <w:t>2</w:t>
      </w:r>
      <w:r>
        <w:rPr>
          <w:rFonts w:ascii="宋体" w:hAnsi="宋体" w:cs="宋体" w:eastAsia="宋体" w:hint="default"/>
          <w:w w:val="100"/>
        </w:rPr>
        <w:t>8,3</w:t>
      </w:r>
      <w:r>
        <w:rPr>
          <w:rFonts w:ascii="宋体" w:hAnsi="宋体" w:cs="宋体" w:eastAsia="宋体" w:hint="default"/>
          <w:spacing w:val="-3"/>
          <w:w w:val="100"/>
        </w:rPr>
        <w:t>9</w:t>
      </w:r>
      <w:r>
        <w:rPr>
          <w:rFonts w:ascii="宋体" w:hAnsi="宋体" w:cs="宋体" w:eastAsia="宋体" w:hint="default"/>
          <w:w w:val="100"/>
        </w:rPr>
        <w:t>5</w:t>
      </w:r>
      <w:r>
        <w:rPr>
          <w:rFonts w:ascii="宋体" w:hAnsi="宋体" w:cs="宋体" w:eastAsia="宋体" w:hint="default"/>
          <w:spacing w:val="-55"/>
        </w:rPr>
        <w:t> </w:t>
      </w:r>
      <w:r>
        <w:rPr>
          <w:w w:val="100"/>
        </w:rPr>
        <w:t>股</w:t>
      </w:r>
      <w:r>
        <w:rPr>
          <w:spacing w:val="-94"/>
          <w:w w:val="100"/>
        </w:rPr>
        <w:t>，</w:t>
      </w:r>
      <w:r>
        <w:rPr>
          <w:w w:val="100"/>
        </w:rPr>
        <w:t>确</w:t>
      </w:r>
      <w:r>
        <w:rPr>
          <w:spacing w:val="-3"/>
          <w:w w:val="100"/>
        </w:rPr>
        <w:t>认</w:t>
      </w:r>
      <w:r>
        <w:rPr>
          <w:w w:val="100"/>
        </w:rPr>
        <w:t>库</w:t>
      </w:r>
      <w:r>
        <w:rPr>
          <w:spacing w:val="-3"/>
          <w:w w:val="100"/>
        </w:rPr>
        <w:t>存</w:t>
      </w:r>
      <w:r>
        <w:rPr>
          <w:w w:val="100"/>
        </w:rPr>
        <w:t>股</w:t>
      </w:r>
      <w:r>
        <w:rPr>
          <w:spacing w:val="-3"/>
          <w:w w:val="100"/>
        </w:rPr>
        <w:t>回</w:t>
      </w:r>
      <w:r>
        <w:rPr>
          <w:w w:val="100"/>
        </w:rPr>
        <w:t>购</w:t>
      </w:r>
    </w:p>
    <w:p>
      <w:pPr>
        <w:pStyle w:val="BodyText"/>
        <w:spacing w:line="240" w:lineRule="auto" w:before="66"/>
        <w:ind w:left="818" w:right="0"/>
        <w:jc w:val="both"/>
      </w:pPr>
      <w:r>
        <w:rPr/>
        <w:t>义务人民币</w:t>
      </w:r>
      <w:r>
        <w:rPr>
          <w:spacing w:val="-54"/>
        </w:rPr>
        <w:t> </w:t>
      </w:r>
      <w:r>
        <w:rPr>
          <w:rFonts w:ascii="宋体" w:hAnsi="宋体" w:cs="宋体" w:eastAsia="宋体" w:hint="default"/>
        </w:rPr>
        <w:t>80,635,950</w:t>
      </w:r>
      <w:r>
        <w:rPr>
          <w:rFonts w:ascii="宋体" w:hAnsi="宋体" w:cs="宋体" w:eastAsia="宋体" w:hint="default"/>
          <w:spacing w:val="-56"/>
        </w:rPr>
        <w:t> </w:t>
      </w:r>
      <w:r>
        <w:rPr/>
        <w:t>元。公司于</w:t>
      </w:r>
      <w:r>
        <w:rPr>
          <w:spacing w:val="-54"/>
        </w:rPr>
        <w:t> </w:t>
      </w:r>
      <w:r>
        <w:rPr>
          <w:rFonts w:ascii="宋体" w:hAnsi="宋体" w:cs="宋体" w:eastAsia="宋体" w:hint="default"/>
        </w:rPr>
        <w:t>2014</w:t>
      </w:r>
      <w:r>
        <w:rPr>
          <w:rFonts w:ascii="宋体" w:hAnsi="宋体" w:cs="宋体" w:eastAsia="宋体" w:hint="default"/>
          <w:spacing w:val="-56"/>
        </w:rPr>
        <w:t> </w:t>
      </w:r>
      <w:r>
        <w:rPr/>
        <w:t>年以人民币</w:t>
      </w:r>
      <w:r>
        <w:rPr>
          <w:spacing w:val="-53"/>
        </w:rPr>
        <w:t> </w:t>
      </w:r>
      <w:r>
        <w:rPr>
          <w:rFonts w:ascii="宋体" w:hAnsi="宋体" w:cs="宋体" w:eastAsia="宋体" w:hint="default"/>
        </w:rPr>
        <w:t>10.51</w:t>
      </w:r>
      <w:r>
        <w:rPr>
          <w:rFonts w:ascii="宋体" w:hAnsi="宋体" w:cs="宋体" w:eastAsia="宋体" w:hint="default"/>
          <w:spacing w:val="-54"/>
        </w:rPr>
        <w:t> </w:t>
      </w:r>
      <w:r>
        <w:rPr/>
        <w:t>元的价格预留授予</w:t>
      </w:r>
      <w:r>
        <w:rPr>
          <w:spacing w:val="-53"/>
        </w:rPr>
        <w:t> </w:t>
      </w:r>
      <w:r>
        <w:rPr>
          <w:rFonts w:ascii="宋体" w:hAnsi="宋体" w:cs="宋体" w:eastAsia="宋体" w:hint="default"/>
        </w:rPr>
        <w:t>1,631,533</w:t>
      </w:r>
      <w:r>
        <w:rPr>
          <w:rFonts w:ascii="宋体" w:hAnsi="宋体" w:cs="宋体" w:eastAsia="宋体" w:hint="default"/>
          <w:spacing w:val="-54"/>
        </w:rPr>
        <w:t> </w:t>
      </w:r>
      <w:r>
        <w:rPr/>
        <w:t>股，确</w:t>
      </w:r>
    </w:p>
    <w:p>
      <w:pPr>
        <w:pStyle w:val="BodyText"/>
        <w:spacing w:line="297" w:lineRule="auto" w:before="66"/>
        <w:ind w:left="818" w:right="160"/>
        <w:jc w:val="both"/>
      </w:pPr>
      <w:r>
        <w:rPr/>
        <w:t>认库存股回购义务人民币</w:t>
      </w:r>
      <w:r>
        <w:rPr>
          <w:spacing w:val="-57"/>
        </w:rPr>
        <w:t> </w:t>
      </w:r>
      <w:r>
        <w:rPr>
          <w:rFonts w:ascii="宋体" w:hAnsi="宋体" w:cs="宋体" w:eastAsia="宋体" w:hint="default"/>
        </w:rPr>
        <w:t>17,147,412</w:t>
      </w:r>
      <w:r>
        <w:rPr>
          <w:rFonts w:ascii="宋体" w:hAnsi="宋体" w:cs="宋体" w:eastAsia="宋体" w:hint="default"/>
          <w:spacing w:val="-55"/>
        </w:rPr>
        <w:t> </w:t>
      </w:r>
      <w:r>
        <w:rPr/>
        <w:t>元。</w:t>
      </w:r>
      <w:r>
        <w:rPr>
          <w:rFonts w:ascii="宋体" w:hAnsi="宋体" w:cs="宋体" w:eastAsia="宋体" w:hint="default"/>
        </w:rPr>
        <w:t>2014</w:t>
      </w:r>
      <w:r>
        <w:rPr>
          <w:rFonts w:ascii="宋体" w:hAnsi="宋体" w:cs="宋体" w:eastAsia="宋体" w:hint="default"/>
          <w:spacing w:val="-55"/>
        </w:rPr>
        <w:t> </w:t>
      </w:r>
      <w:r>
        <w:rPr/>
        <w:t>年公司回购并注销</w:t>
      </w:r>
      <w:r>
        <w:rPr>
          <w:spacing w:val="-55"/>
        </w:rPr>
        <w:t> </w:t>
      </w:r>
      <w:r>
        <w:rPr>
          <w:rFonts w:ascii="宋体" w:hAnsi="宋体" w:cs="宋体" w:eastAsia="宋体" w:hint="default"/>
        </w:rPr>
        <w:t>754,142</w:t>
      </w:r>
      <w:r>
        <w:rPr>
          <w:rFonts w:ascii="宋体" w:hAnsi="宋体" w:cs="宋体" w:eastAsia="宋体" w:hint="default"/>
          <w:spacing w:val="-55"/>
        </w:rPr>
        <w:t> </w:t>
      </w:r>
      <w:r>
        <w:rPr/>
        <w:t>股作废限制性股票，</w:t>
      </w:r>
      <w:r>
        <w:rPr>
          <w:w w:val="100"/>
        </w:rPr>
        <w:t> </w:t>
      </w:r>
      <w:r>
        <w:rPr/>
        <w:t>回购金额为人民币</w:t>
      </w:r>
      <w:r>
        <w:rPr>
          <w:spacing w:val="-55"/>
        </w:rPr>
        <w:t> </w:t>
      </w:r>
      <w:r>
        <w:rPr>
          <w:rFonts w:ascii="宋体" w:hAnsi="宋体" w:cs="宋体" w:eastAsia="宋体" w:hint="default"/>
        </w:rPr>
        <w:t>4,248,335</w:t>
      </w:r>
      <w:r>
        <w:rPr>
          <w:rFonts w:ascii="宋体" w:hAnsi="宋体" w:cs="宋体" w:eastAsia="宋体" w:hint="default"/>
          <w:spacing w:val="-54"/>
        </w:rPr>
        <w:t> </w:t>
      </w:r>
      <w:r>
        <w:rPr/>
        <w:t>元。</w:t>
      </w:r>
      <w:r>
        <w:rPr>
          <w:rFonts w:ascii="宋体" w:hAnsi="宋体" w:cs="宋体" w:eastAsia="宋体" w:hint="default"/>
        </w:rPr>
        <w:t>2014</w:t>
      </w:r>
      <w:r>
        <w:rPr>
          <w:rFonts w:ascii="宋体" w:hAnsi="宋体" w:cs="宋体" w:eastAsia="宋体" w:hint="default"/>
          <w:spacing w:val="-55"/>
        </w:rPr>
        <w:t> </w:t>
      </w:r>
      <w:r>
        <w:rPr/>
        <w:t>年解锁了首次授予限制性股票的</w:t>
      </w:r>
      <w:r>
        <w:rPr>
          <w:spacing w:val="-55"/>
        </w:rPr>
        <w:t> </w:t>
      </w:r>
      <w:r>
        <w:rPr>
          <w:rFonts w:ascii="宋体" w:hAnsi="宋体" w:cs="宋体" w:eastAsia="宋体" w:hint="default"/>
        </w:rPr>
        <w:t>60%</w:t>
      </w:r>
      <w:r>
        <w:rPr/>
        <w:t>，冲回库存股人民币</w:t>
      </w:r>
      <w:r>
        <w:rPr>
          <w:w w:val="100"/>
        </w:rPr>
        <w:t> </w:t>
      </w:r>
      <w:r>
        <w:rPr>
          <w:rFonts w:ascii="宋体" w:hAnsi="宋体" w:cs="宋体" w:eastAsia="宋体" w:hint="default"/>
        </w:rPr>
        <w:t>45,832,569</w:t>
      </w:r>
      <w:r>
        <w:rPr>
          <w:rFonts w:ascii="宋体" w:hAnsi="宋体" w:cs="宋体" w:eastAsia="宋体" w:hint="default"/>
          <w:spacing w:val="-56"/>
        </w:rPr>
        <w:t> </w:t>
      </w:r>
      <w:r>
        <w:rPr/>
        <w:t>元。</w:t>
      </w:r>
      <w:r>
        <w:rPr>
          <w:rFonts w:ascii="宋体" w:hAnsi="宋体" w:cs="宋体" w:eastAsia="宋体" w:hint="default"/>
        </w:rPr>
        <w:t>2015</w:t>
      </w:r>
      <w:r>
        <w:rPr>
          <w:rFonts w:ascii="宋体" w:hAnsi="宋体" w:cs="宋体" w:eastAsia="宋体" w:hint="default"/>
          <w:spacing w:val="-56"/>
        </w:rPr>
        <w:t> </w:t>
      </w:r>
      <w:r>
        <w:rPr/>
        <w:t>年解锁首次授予限制性股票的</w:t>
      </w:r>
      <w:r>
        <w:rPr>
          <w:spacing w:val="-58"/>
        </w:rPr>
        <w:t> </w:t>
      </w:r>
      <w:r>
        <w:rPr>
          <w:rFonts w:ascii="宋体" w:hAnsi="宋体" w:cs="宋体" w:eastAsia="宋体" w:hint="default"/>
        </w:rPr>
        <w:t>20%</w:t>
      </w:r>
      <w:r>
        <w:rPr/>
        <w:t>，预留授予限制性股票的</w:t>
      </w:r>
      <w:r>
        <w:rPr>
          <w:spacing w:val="-56"/>
        </w:rPr>
        <w:t> </w:t>
      </w:r>
      <w:r>
        <w:rPr>
          <w:rFonts w:ascii="宋体" w:hAnsi="宋体" w:cs="宋体" w:eastAsia="宋体" w:hint="default"/>
        </w:rPr>
        <w:t>60%</w:t>
      </w:r>
      <w:r>
        <w:rPr/>
        <w:t>，分别冲回</w:t>
      </w:r>
      <w:r>
        <w:rPr>
          <w:w w:val="100"/>
        </w:rPr>
        <w:t> </w:t>
      </w:r>
      <w:r>
        <w:rPr/>
        <w:t>库存股人民币</w:t>
      </w:r>
      <w:r>
        <w:rPr>
          <w:spacing w:val="-55"/>
        </w:rPr>
        <w:t> </w:t>
      </w:r>
      <w:r>
        <w:rPr>
          <w:rFonts w:ascii="宋体" w:hAnsi="宋体" w:cs="宋体" w:eastAsia="宋体" w:hint="default"/>
        </w:rPr>
        <w:t>14,957,721</w:t>
      </w:r>
      <w:r>
        <w:rPr>
          <w:rFonts w:ascii="宋体" w:hAnsi="宋体" w:cs="宋体" w:eastAsia="宋体" w:hint="default"/>
          <w:spacing w:val="-57"/>
        </w:rPr>
        <w:t> </w:t>
      </w:r>
      <w:r>
        <w:rPr/>
        <w:t>元和人民币</w:t>
      </w:r>
      <w:r>
        <w:rPr>
          <w:spacing w:val="-55"/>
        </w:rPr>
        <w:t> </w:t>
      </w:r>
      <w:r>
        <w:rPr>
          <w:rFonts w:ascii="宋体" w:hAnsi="宋体" w:cs="宋体" w:eastAsia="宋体" w:hint="default"/>
        </w:rPr>
        <w:t>10,109,036</w:t>
      </w:r>
      <w:r>
        <w:rPr>
          <w:rFonts w:ascii="宋体" w:hAnsi="宋体" w:cs="宋体" w:eastAsia="宋体" w:hint="default"/>
          <w:spacing w:val="-57"/>
        </w:rPr>
        <w:t> </w:t>
      </w:r>
      <w:r>
        <w:rPr/>
        <w:t>元。本公司之子公司畅捷通建立了员工信托受</w:t>
      </w:r>
    </w:p>
    <w:p>
      <w:pPr>
        <w:pStyle w:val="BodyText"/>
        <w:spacing w:line="240" w:lineRule="auto" w:before="15"/>
        <w:ind w:left="818" w:right="0"/>
        <w:jc w:val="both"/>
        <w:rPr>
          <w:rFonts w:ascii="宋体" w:hAnsi="宋体" w:cs="宋体" w:eastAsia="宋体" w:hint="default"/>
        </w:rPr>
      </w:pPr>
      <w:r>
        <w:rPr>
          <w:spacing w:val="-4"/>
        </w:rPr>
        <w:t>益权计划，并通过内资股股东购买</w:t>
      </w:r>
      <w:r>
        <w:rPr>
          <w:spacing w:val="-50"/>
        </w:rPr>
        <w:t> </w:t>
      </w:r>
      <w:r>
        <w:rPr>
          <w:rFonts w:ascii="宋体" w:hAnsi="宋体" w:cs="宋体" w:eastAsia="宋体" w:hint="default"/>
        </w:rPr>
        <w:t>6,500,000</w:t>
      </w:r>
      <w:r>
        <w:rPr>
          <w:rFonts w:ascii="宋体" w:hAnsi="宋体" w:cs="宋体" w:eastAsia="宋体" w:hint="default"/>
          <w:spacing w:val="-52"/>
        </w:rPr>
        <w:t> </w:t>
      </w:r>
      <w:r>
        <w:rPr/>
        <w:t>股内资股及于二级市场购买畅捷通</w:t>
      </w:r>
      <w:r>
        <w:rPr>
          <w:spacing w:val="-49"/>
        </w:rPr>
        <w:t> </w:t>
      </w:r>
      <w:r>
        <w:rPr>
          <w:rFonts w:ascii="宋体" w:hAnsi="宋体" w:cs="宋体" w:eastAsia="宋体" w:hint="default"/>
        </w:rPr>
        <w:t>10,990,000</w:t>
      </w:r>
      <w:r>
        <w:rPr>
          <w:rFonts w:ascii="宋体" w:hAnsi="宋体" w:cs="宋体" w:eastAsia="宋体" w:hint="default"/>
          <w:spacing w:val="-50"/>
        </w:rPr>
        <w:t> </w:t>
      </w:r>
      <w:r>
        <w:rPr/>
        <w:t>股</w:t>
      </w:r>
      <w:r>
        <w:rPr>
          <w:spacing w:val="-52"/>
        </w:rPr>
        <w:t> </w:t>
      </w:r>
      <w:r>
        <w:rPr>
          <w:rFonts w:ascii="宋体" w:hAnsi="宋体" w:cs="宋体" w:eastAsia="宋体" w:hint="default"/>
        </w:rPr>
        <w:t>H</w:t>
      </w:r>
    </w:p>
    <w:p>
      <w:pPr>
        <w:pStyle w:val="BodyText"/>
        <w:spacing w:line="240" w:lineRule="auto" w:before="66"/>
        <w:ind w:left="818" w:right="0"/>
        <w:jc w:val="both"/>
      </w:pPr>
      <w:r>
        <w:rPr/>
        <w:t>股，购买股份总价为人民币</w:t>
      </w:r>
      <w:r>
        <w:rPr>
          <w:spacing w:val="-54"/>
        </w:rPr>
        <w:t> </w:t>
      </w:r>
      <w:r>
        <w:rPr>
          <w:rFonts w:ascii="宋体" w:hAnsi="宋体" w:cs="宋体" w:eastAsia="宋体" w:hint="default"/>
        </w:rPr>
        <w:t>310,135,760</w:t>
      </w:r>
      <w:r>
        <w:rPr>
          <w:rFonts w:ascii="宋体" w:hAnsi="宋体" w:cs="宋体" w:eastAsia="宋体" w:hint="default"/>
          <w:spacing w:val="-56"/>
        </w:rPr>
        <w:t> </w:t>
      </w:r>
      <w:r>
        <w:rPr/>
        <w:t>元，其中少数股东分占人民币</w:t>
      </w:r>
      <w:r>
        <w:rPr>
          <w:spacing w:val="-54"/>
        </w:rPr>
        <w:t> </w:t>
      </w:r>
      <w:r>
        <w:rPr>
          <w:rFonts w:ascii="宋体" w:hAnsi="宋体" w:cs="宋体" w:eastAsia="宋体" w:hint="default"/>
        </w:rPr>
        <w:t>90,811,486</w:t>
      </w:r>
      <w:r>
        <w:rPr>
          <w:rFonts w:ascii="宋体" w:hAnsi="宋体" w:cs="宋体" w:eastAsia="宋体" w:hint="default"/>
          <w:spacing w:val="-53"/>
        </w:rPr>
        <w:t> </w:t>
      </w:r>
      <w:r>
        <w:rPr>
          <w:spacing w:val="-3"/>
        </w:rPr>
        <w:t>元。</w:t>
      </w:r>
      <w:r>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520" w:left="980" w:right="1120"/>
        </w:sectPr>
      </w:pPr>
    </w:p>
    <w:p>
      <w:pPr>
        <w:pStyle w:val="Heading2"/>
        <w:spacing w:line="240" w:lineRule="auto"/>
        <w:ind w:left="818" w:right="-18"/>
        <w:jc w:val="left"/>
        <w:rPr>
          <w:b w:val="0"/>
          <w:bCs w:val="0"/>
        </w:rPr>
      </w:pPr>
      <w:r>
        <w:rPr>
          <w:rFonts w:ascii="宋体" w:hAnsi="宋体" w:cs="宋体" w:eastAsia="宋体" w:hint="default"/>
        </w:rPr>
        <w:t>57</w:t>
      </w:r>
      <w:r>
        <w:rPr/>
        <w:t>、</w:t>
      </w:r>
      <w:r>
        <w:rPr>
          <w:spacing w:val="-24"/>
        </w:rPr>
        <w:t> </w:t>
      </w:r>
      <w:r>
        <w:rPr/>
        <w:t>其他综合收益</w:t>
      </w:r>
      <w:r>
        <w:rPr>
          <w:b w:val="0"/>
          <w:bCs w:val="0"/>
        </w:rPr>
      </w:r>
    </w:p>
    <w:p>
      <w:pPr>
        <w:pStyle w:val="BodyText"/>
        <w:spacing w:line="240" w:lineRule="auto" w:before="56"/>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520" w:left="980" w:right="1120"/>
          <w:cols w:num="2" w:equalWidth="0">
            <w:col w:w="2590" w:space="3932"/>
            <w:col w:w="3288"/>
          </w:cols>
        </w:sectPr>
      </w:pP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235"/>
        <w:gridCol w:w="1057"/>
        <w:gridCol w:w="1162"/>
        <w:gridCol w:w="1131"/>
        <w:gridCol w:w="953"/>
        <w:gridCol w:w="1056"/>
        <w:gridCol w:w="1013"/>
        <w:gridCol w:w="950"/>
      </w:tblGrid>
      <w:tr>
        <w:trPr>
          <w:trHeight w:val="283"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057" w:type="dxa"/>
            <w:vMerge w:val="restart"/>
            <w:tcBorders>
              <w:top w:val="single" w:sz="4" w:space="0" w:color="000000"/>
              <w:left w:val="single" w:sz="4" w:space="0" w:color="000000"/>
              <w:right w:val="single" w:sz="4" w:space="0" w:color="000000"/>
            </w:tcBorders>
          </w:tcPr>
          <w:p>
            <w:pPr>
              <w:pStyle w:val="TableParagraph"/>
              <w:spacing w:line="272" w:lineRule="exact"/>
              <w:ind w:left="312" w:right="31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3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950" w:type="dxa"/>
            <w:vMerge w:val="restart"/>
            <w:tcBorders>
              <w:top w:val="single" w:sz="4" w:space="0" w:color="000000"/>
              <w:left w:val="single" w:sz="4" w:space="0" w:color="000000"/>
              <w:right w:val="single" w:sz="4" w:space="0" w:color="000000"/>
            </w:tcBorders>
          </w:tcPr>
          <w:p>
            <w:pPr>
              <w:pStyle w:val="TableParagraph"/>
              <w:spacing w:line="272" w:lineRule="exact"/>
              <w:ind w:left="259" w:right="25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283" w:hRule="exact"/>
        </w:trPr>
        <w:tc>
          <w:tcPr>
            <w:tcW w:w="2235" w:type="dxa"/>
            <w:vMerge/>
            <w:tcBorders>
              <w:left w:val="single" w:sz="4" w:space="0" w:color="000000"/>
              <w:bottom w:val="single" w:sz="4" w:space="0" w:color="000000"/>
              <w:right w:val="single" w:sz="4" w:space="0" w:color="000000"/>
            </w:tcBorders>
          </w:tcPr>
          <w:p>
            <w:pPr/>
          </w:p>
        </w:tc>
        <w:tc>
          <w:tcPr>
            <w:tcW w:w="1057"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本期所得</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减：前期</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106"/>
                <w:w w:val="100"/>
                <w:sz w:val="21"/>
                <w:szCs w:val="21"/>
              </w:rPr>
              <w:t>：</w:t>
            </w:r>
            <w:r>
              <w:rPr>
                <w:rFonts w:ascii="宋体" w:hAnsi="宋体" w:cs="宋体" w:eastAsia="宋体" w:hint="default"/>
                <w:w w:val="100"/>
                <w:sz w:val="21"/>
                <w:szCs w:val="21"/>
              </w:rPr>
              <w:t>所得</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税后归属</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税后归</w:t>
            </w:r>
          </w:p>
        </w:tc>
        <w:tc>
          <w:tcPr>
            <w:tcW w:w="950"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520" w:left="9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235"/>
        <w:gridCol w:w="1057"/>
        <w:gridCol w:w="1162"/>
        <w:gridCol w:w="1131"/>
        <w:gridCol w:w="953"/>
        <w:gridCol w:w="1056"/>
        <w:gridCol w:w="1013"/>
        <w:gridCol w:w="950"/>
      </w:tblGrid>
      <w:tr>
        <w:trPr>
          <w:trHeight w:val="1100" w:hRule="exact"/>
        </w:trPr>
        <w:tc>
          <w:tcPr>
            <w:tcW w:w="2235"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税前发生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计入其他</w:t>
            </w:r>
          </w:p>
          <w:p>
            <w:pPr>
              <w:pStyle w:val="TableParagraph"/>
              <w:spacing w:line="237" w:lineRule="auto"/>
              <w:ind w:left="136" w:right="139"/>
              <w:jc w:val="center"/>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当期转入</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5" w:right="0"/>
              <w:jc w:val="left"/>
              <w:rPr>
                <w:rFonts w:ascii="宋体" w:hAnsi="宋体" w:cs="宋体" w:eastAsia="宋体" w:hint="default"/>
                <w:sz w:val="21"/>
                <w:szCs w:val="21"/>
              </w:rPr>
            </w:pPr>
            <w:r>
              <w:rPr>
                <w:rFonts w:ascii="宋体" w:hAnsi="宋体" w:cs="宋体" w:eastAsia="宋体" w:hint="default"/>
                <w:sz w:val="21"/>
                <w:szCs w:val="21"/>
              </w:rPr>
              <w:t>税费用</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于母公司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4" w:right="0"/>
              <w:jc w:val="left"/>
              <w:rPr>
                <w:rFonts w:ascii="宋体" w:hAnsi="宋体" w:cs="宋体" w:eastAsia="宋体" w:hint="default"/>
                <w:sz w:val="21"/>
                <w:szCs w:val="21"/>
              </w:rPr>
            </w:pPr>
            <w:r>
              <w:rPr>
                <w:rFonts w:ascii="宋体" w:hAnsi="宋体" w:cs="宋体" w:eastAsia="宋体" w:hint="default"/>
                <w:sz w:val="21"/>
                <w:szCs w:val="21"/>
              </w:rPr>
              <w:t>属于少</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数股东</w:t>
            </w: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一、以后不能重分类进</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损益的其他综合收益</w:t>
            </w:r>
          </w:p>
        </w:tc>
        <w:tc>
          <w:tcPr>
            <w:tcW w:w="10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85"/>
                <w:w w:val="100"/>
                <w:sz w:val="21"/>
                <w:szCs w:val="21"/>
              </w:rPr>
              <w:t>：</w:t>
            </w:r>
            <w:r>
              <w:rPr>
                <w:rFonts w:ascii="宋体" w:hAnsi="宋体" w:cs="宋体" w:eastAsia="宋体" w:hint="default"/>
                <w:w w:val="100"/>
                <w:sz w:val="21"/>
                <w:szCs w:val="21"/>
              </w:rPr>
              <w:t>重</w:t>
            </w:r>
            <w:r>
              <w:rPr>
                <w:rFonts w:ascii="宋体" w:hAnsi="宋体" w:cs="宋体" w:eastAsia="宋体" w:hint="default"/>
                <w:spacing w:val="-3"/>
                <w:w w:val="100"/>
                <w:sz w:val="21"/>
                <w:szCs w:val="21"/>
              </w:rPr>
              <w:t>新</w:t>
            </w:r>
            <w:r>
              <w:rPr>
                <w:rFonts w:ascii="宋体" w:hAnsi="宋体" w:cs="宋体" w:eastAsia="宋体" w:hint="default"/>
                <w:w w:val="100"/>
                <w:sz w:val="21"/>
                <w:szCs w:val="21"/>
              </w:rPr>
              <w:t>计</w:t>
            </w:r>
            <w:r>
              <w:rPr>
                <w:rFonts w:ascii="宋体" w:hAnsi="宋体" w:cs="宋体" w:eastAsia="宋体" w:hint="default"/>
                <w:spacing w:val="-3"/>
                <w:w w:val="100"/>
                <w:sz w:val="21"/>
                <w:szCs w:val="21"/>
              </w:rPr>
              <w:t>算</w:t>
            </w:r>
            <w:r>
              <w:rPr>
                <w:rFonts w:ascii="宋体" w:hAnsi="宋体" w:cs="宋体" w:eastAsia="宋体" w:hint="default"/>
                <w:w w:val="100"/>
                <w:sz w:val="21"/>
                <w:szCs w:val="21"/>
              </w:rPr>
              <w:t>设</w:t>
            </w:r>
            <w:r>
              <w:rPr>
                <w:rFonts w:ascii="宋体" w:hAnsi="宋体" w:cs="宋体" w:eastAsia="宋体" w:hint="default"/>
                <w:spacing w:val="-3"/>
                <w:w w:val="100"/>
                <w:sz w:val="21"/>
                <w:szCs w:val="21"/>
              </w:rPr>
              <w:t>定</w:t>
            </w:r>
            <w:r>
              <w:rPr>
                <w:rFonts w:ascii="宋体" w:hAnsi="宋体" w:cs="宋体" w:eastAsia="宋体" w:hint="default"/>
                <w:w w:val="100"/>
                <w:sz w:val="21"/>
                <w:szCs w:val="21"/>
              </w:rPr>
              <w:t>受</w:t>
            </w:r>
          </w:p>
          <w:p>
            <w:pPr>
              <w:pStyle w:val="TableParagraph"/>
              <w:spacing w:line="240" w:lineRule="auto"/>
              <w:ind w:left="100" w:right="228"/>
              <w:jc w:val="left"/>
              <w:rPr>
                <w:rFonts w:ascii="宋体" w:hAnsi="宋体" w:cs="宋体" w:eastAsia="宋体" w:hint="default"/>
                <w:sz w:val="21"/>
                <w:szCs w:val="21"/>
              </w:rPr>
            </w:pPr>
            <w:r>
              <w:rPr>
                <w:rFonts w:ascii="宋体" w:hAnsi="宋体" w:cs="宋体" w:eastAsia="宋体" w:hint="default"/>
                <w:sz w:val="21"/>
                <w:szCs w:val="21"/>
              </w:rPr>
              <w:t>益计划净负债和净资</w:t>
            </w:r>
            <w:r>
              <w:rPr>
                <w:rFonts w:ascii="宋体" w:hAnsi="宋体" w:cs="宋体" w:eastAsia="宋体" w:hint="default"/>
                <w:w w:val="100"/>
                <w:sz w:val="21"/>
                <w:szCs w:val="21"/>
              </w:rPr>
              <w:t> </w:t>
            </w:r>
            <w:r>
              <w:rPr>
                <w:rFonts w:ascii="宋体" w:hAnsi="宋体" w:cs="宋体" w:eastAsia="宋体" w:hint="default"/>
                <w:sz w:val="21"/>
                <w:szCs w:val="21"/>
              </w:rPr>
              <w:t>产的变动</w:t>
            </w:r>
          </w:p>
        </w:tc>
        <w:tc>
          <w:tcPr>
            <w:tcW w:w="10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firstLine="211"/>
              <w:jc w:val="left"/>
              <w:rPr>
                <w:rFonts w:ascii="宋体" w:hAnsi="宋体" w:cs="宋体" w:eastAsia="宋体" w:hint="default"/>
                <w:sz w:val="21"/>
                <w:szCs w:val="21"/>
              </w:rPr>
            </w:pPr>
            <w:r>
              <w:rPr>
                <w:rFonts w:ascii="宋体" w:hAnsi="宋体" w:cs="宋体" w:eastAsia="宋体" w:hint="default"/>
                <w:sz w:val="21"/>
                <w:szCs w:val="21"/>
              </w:rPr>
              <w:t>权益法下在被投资</w:t>
            </w:r>
          </w:p>
          <w:p>
            <w:pPr>
              <w:pStyle w:val="TableParagraph"/>
              <w:spacing w:line="237" w:lineRule="auto" w:before="2"/>
              <w:ind w:left="100" w:right="228"/>
              <w:jc w:val="both"/>
              <w:rPr>
                <w:rFonts w:ascii="宋体" w:hAnsi="宋体" w:cs="宋体" w:eastAsia="宋体" w:hint="default"/>
                <w:sz w:val="21"/>
                <w:szCs w:val="21"/>
              </w:rPr>
            </w:pPr>
            <w:r>
              <w:rPr>
                <w:rFonts w:ascii="宋体" w:hAnsi="宋体" w:cs="宋体" w:eastAsia="宋体" w:hint="default"/>
                <w:sz w:val="21"/>
                <w:szCs w:val="21"/>
              </w:rPr>
              <w:t>单位不能重分类进损</w:t>
            </w:r>
            <w:r>
              <w:rPr>
                <w:rFonts w:ascii="宋体" w:hAnsi="宋体" w:cs="宋体" w:eastAsia="宋体" w:hint="default"/>
                <w:w w:val="100"/>
                <w:sz w:val="21"/>
                <w:szCs w:val="21"/>
              </w:rPr>
              <w:t> </w:t>
            </w:r>
            <w:r>
              <w:rPr>
                <w:rFonts w:ascii="宋体" w:hAnsi="宋体" w:cs="宋体" w:eastAsia="宋体" w:hint="default"/>
                <w:sz w:val="21"/>
                <w:szCs w:val="21"/>
              </w:rPr>
              <w:t>益的其他综合收益中</w:t>
            </w:r>
            <w:r>
              <w:rPr>
                <w:rFonts w:ascii="宋体" w:hAnsi="宋体" w:cs="宋体" w:eastAsia="宋体" w:hint="default"/>
                <w:w w:val="100"/>
                <w:sz w:val="21"/>
                <w:szCs w:val="21"/>
              </w:rPr>
              <w:t> </w:t>
            </w:r>
            <w:r>
              <w:rPr>
                <w:rFonts w:ascii="宋体" w:hAnsi="宋体" w:cs="宋体" w:eastAsia="宋体" w:hint="default"/>
                <w:sz w:val="21"/>
                <w:szCs w:val="21"/>
              </w:rPr>
              <w:t>享有的份额</w:t>
            </w:r>
          </w:p>
        </w:tc>
        <w:tc>
          <w:tcPr>
            <w:tcW w:w="10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二、以后将重分类进损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益的其他综合收益</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-957,408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1,677,744</w:t>
            </w:r>
          </w:p>
        </w:tc>
        <w:tc>
          <w:tcPr>
            <w:tcW w:w="11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720,336</w:t>
            </w:r>
          </w:p>
        </w:tc>
      </w:tr>
      <w:tr>
        <w:trPr>
          <w:trHeight w:val="1099"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85"/>
                <w:w w:val="100"/>
                <w:sz w:val="21"/>
                <w:szCs w:val="21"/>
              </w:rPr>
              <w:t>：</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法</w:t>
            </w:r>
            <w:r>
              <w:rPr>
                <w:rFonts w:ascii="宋体" w:hAnsi="宋体" w:cs="宋体" w:eastAsia="宋体" w:hint="default"/>
                <w:spacing w:val="-3"/>
                <w:w w:val="100"/>
                <w:sz w:val="21"/>
                <w:szCs w:val="21"/>
              </w:rPr>
              <w:t>下</w:t>
            </w:r>
            <w:r>
              <w:rPr>
                <w:rFonts w:ascii="宋体" w:hAnsi="宋体" w:cs="宋体" w:eastAsia="宋体" w:hint="default"/>
                <w:w w:val="100"/>
                <w:sz w:val="21"/>
                <w:szCs w:val="21"/>
              </w:rPr>
              <w:t>在</w:t>
            </w:r>
            <w:r>
              <w:rPr>
                <w:rFonts w:ascii="宋体" w:hAnsi="宋体" w:cs="宋体" w:eastAsia="宋体" w:hint="default"/>
                <w:spacing w:val="-3"/>
                <w:w w:val="100"/>
                <w:sz w:val="21"/>
                <w:szCs w:val="21"/>
              </w:rPr>
              <w:t>被</w:t>
            </w:r>
            <w:r>
              <w:rPr>
                <w:rFonts w:ascii="宋体" w:hAnsi="宋体" w:cs="宋体" w:eastAsia="宋体" w:hint="default"/>
                <w:w w:val="100"/>
                <w:sz w:val="21"/>
                <w:szCs w:val="21"/>
              </w:rPr>
              <w:t>投</w:t>
            </w:r>
          </w:p>
          <w:p>
            <w:pPr>
              <w:pStyle w:val="TableParagraph"/>
              <w:spacing w:line="237" w:lineRule="auto"/>
              <w:ind w:left="100" w:right="228"/>
              <w:jc w:val="both"/>
              <w:rPr>
                <w:rFonts w:ascii="宋体" w:hAnsi="宋体" w:cs="宋体" w:eastAsia="宋体" w:hint="default"/>
                <w:sz w:val="21"/>
                <w:szCs w:val="21"/>
              </w:rPr>
            </w:pPr>
            <w:r>
              <w:rPr>
                <w:rFonts w:ascii="宋体" w:hAnsi="宋体" w:cs="宋体" w:eastAsia="宋体" w:hint="default"/>
                <w:sz w:val="21"/>
                <w:szCs w:val="21"/>
              </w:rPr>
              <w:t>资单位以后将重分类</w:t>
            </w:r>
            <w:r>
              <w:rPr>
                <w:rFonts w:ascii="宋体" w:hAnsi="宋体" w:cs="宋体" w:eastAsia="宋体" w:hint="default"/>
                <w:w w:val="100"/>
                <w:sz w:val="21"/>
                <w:szCs w:val="21"/>
              </w:rPr>
              <w:t> </w:t>
            </w:r>
            <w:r>
              <w:rPr>
                <w:rFonts w:ascii="宋体" w:hAnsi="宋体" w:cs="宋体" w:eastAsia="宋体" w:hint="default"/>
                <w:sz w:val="21"/>
                <w:szCs w:val="21"/>
              </w:rPr>
              <w:t>进损益的其他综合收</w:t>
            </w:r>
            <w:r>
              <w:rPr>
                <w:rFonts w:ascii="宋体" w:hAnsi="宋体" w:cs="宋体" w:eastAsia="宋体" w:hint="default"/>
                <w:w w:val="100"/>
                <w:sz w:val="21"/>
                <w:szCs w:val="21"/>
              </w:rPr>
              <w:t> </w:t>
            </w:r>
            <w:r>
              <w:rPr>
                <w:rFonts w:ascii="宋体" w:hAnsi="宋体" w:cs="宋体" w:eastAsia="宋体" w:hint="default"/>
                <w:sz w:val="21"/>
                <w:szCs w:val="21"/>
              </w:rPr>
              <w:t>益中享有的份额</w:t>
            </w:r>
          </w:p>
        </w:tc>
        <w:tc>
          <w:tcPr>
            <w:tcW w:w="10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10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firstLine="211"/>
              <w:jc w:val="left"/>
              <w:rPr>
                <w:rFonts w:ascii="宋体" w:hAnsi="宋体" w:cs="宋体" w:eastAsia="宋体" w:hint="default"/>
                <w:sz w:val="21"/>
                <w:szCs w:val="21"/>
              </w:rPr>
            </w:pPr>
            <w:r>
              <w:rPr>
                <w:rFonts w:ascii="宋体" w:hAnsi="宋体" w:cs="宋体" w:eastAsia="宋体" w:hint="default"/>
                <w:sz w:val="21"/>
                <w:szCs w:val="21"/>
              </w:rPr>
              <w:t>持有至到期投资重</w:t>
            </w:r>
          </w:p>
          <w:p>
            <w:pPr>
              <w:pStyle w:val="TableParagraph"/>
              <w:spacing w:line="272" w:lineRule="exact" w:before="27"/>
              <w:ind w:left="100" w:right="228"/>
              <w:jc w:val="left"/>
              <w:rPr>
                <w:rFonts w:ascii="宋体" w:hAnsi="宋体" w:cs="宋体" w:eastAsia="宋体" w:hint="default"/>
                <w:sz w:val="21"/>
                <w:szCs w:val="21"/>
              </w:rPr>
            </w:pPr>
            <w:r>
              <w:rPr>
                <w:rFonts w:ascii="宋体" w:hAnsi="宋体" w:cs="宋体" w:eastAsia="宋体" w:hint="default"/>
                <w:sz w:val="21"/>
                <w:szCs w:val="21"/>
              </w:rPr>
              <w:t>分类为可供出售金融</w:t>
            </w:r>
            <w:r>
              <w:rPr>
                <w:rFonts w:ascii="宋体" w:hAnsi="宋体" w:cs="宋体" w:eastAsia="宋体" w:hint="default"/>
                <w:w w:val="100"/>
                <w:sz w:val="21"/>
                <w:szCs w:val="21"/>
              </w:rPr>
              <w:t> </w:t>
            </w:r>
            <w:r>
              <w:rPr>
                <w:rFonts w:ascii="宋体" w:hAnsi="宋体" w:cs="宋体" w:eastAsia="宋体" w:hint="default"/>
                <w:sz w:val="21"/>
                <w:szCs w:val="21"/>
              </w:rPr>
              <w:t>资产损益</w:t>
            </w:r>
          </w:p>
        </w:tc>
        <w:tc>
          <w:tcPr>
            <w:tcW w:w="10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95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现金流量套期损益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的有效部分</w:t>
            </w:r>
          </w:p>
        </w:tc>
        <w:tc>
          <w:tcPr>
            <w:tcW w:w="10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外币财务报表折算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-957,408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1,677,744</w:t>
            </w:r>
          </w:p>
        </w:tc>
        <w:tc>
          <w:tcPr>
            <w:tcW w:w="11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720,336</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-957,408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1,677,744</w:t>
            </w:r>
          </w:p>
        </w:tc>
        <w:tc>
          <w:tcPr>
            <w:tcW w:w="11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720,336</w:t>
            </w:r>
          </w:p>
        </w:tc>
      </w:tr>
    </w:tbl>
    <w:p>
      <w:pPr>
        <w:pStyle w:val="BodyText"/>
        <w:spacing w:line="240" w:lineRule="auto" w:before="26"/>
        <w:ind w:left="818"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0"/>
        <w:ind w:left="818" w:right="0"/>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6"/>
        <w:ind w:left="8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2"/>
        <w:spacing w:line="240" w:lineRule="auto"/>
        <w:ind w:left="818" w:right="0"/>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25" w:right="0"/>
              <w:jc w:val="left"/>
              <w:rPr>
                <w:rFonts w:ascii="宋体" w:hAnsi="宋体" w:cs="宋体" w:eastAsia="宋体" w:hint="default"/>
                <w:sz w:val="21"/>
                <w:szCs w:val="21"/>
              </w:rPr>
            </w:pPr>
            <w:r>
              <w:rPr>
                <w:rFonts w:ascii="宋体"/>
                <w:sz w:val="21"/>
              </w:rPr>
              <w:t>423,964,290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29,152,443</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35" w:right="0"/>
              <w:jc w:val="left"/>
              <w:rPr>
                <w:rFonts w:ascii="宋体" w:hAnsi="宋体" w:cs="宋体" w:eastAsia="宋体" w:hint="default"/>
                <w:sz w:val="21"/>
                <w:szCs w:val="21"/>
              </w:rPr>
            </w:pPr>
            <w:r>
              <w:rPr>
                <w:rFonts w:ascii="宋体"/>
                <w:sz w:val="21"/>
              </w:rPr>
              <w:t>453,116,733</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sz w:val="21"/>
              </w:rPr>
              <w:t>167,680,142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14,576,223</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5" w:right="0"/>
              <w:jc w:val="left"/>
              <w:rPr>
                <w:rFonts w:ascii="宋体" w:hAnsi="宋体" w:cs="宋体" w:eastAsia="宋体" w:hint="default"/>
                <w:sz w:val="21"/>
                <w:szCs w:val="21"/>
              </w:rPr>
            </w:pPr>
            <w:r>
              <w:rPr>
                <w:rFonts w:ascii="宋体"/>
                <w:sz w:val="21"/>
              </w:rPr>
              <w:t>182,256,365</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67"/>
          <w:pgSz w:w="11910" w:h="16840"/>
          <w:pgMar w:header="926" w:footer="1335" w:top="1120" w:bottom="1520" w:left="9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sz w:val="21"/>
              </w:rPr>
              <w:t>591,644,432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sz w:val="21"/>
              </w:rPr>
              <w:t>43,728,666</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5" w:right="0"/>
              <w:jc w:val="left"/>
              <w:rPr>
                <w:rFonts w:ascii="宋体" w:hAnsi="宋体" w:cs="宋体" w:eastAsia="宋体" w:hint="default"/>
                <w:sz w:val="21"/>
                <w:szCs w:val="21"/>
              </w:rPr>
            </w:pPr>
            <w:r>
              <w:rPr>
                <w:rFonts w:ascii="宋体"/>
                <w:sz w:val="21"/>
              </w:rPr>
              <w:t>635,373,098</w:t>
            </w:r>
          </w:p>
        </w:tc>
      </w:tr>
    </w:tbl>
    <w:p>
      <w:pPr>
        <w:pStyle w:val="BodyText"/>
        <w:spacing w:line="292" w:lineRule="auto" w:before="26"/>
        <w:ind w:left="158" w:right="0"/>
        <w:jc w:val="left"/>
      </w:pPr>
      <w:r>
        <w:rPr/>
        <w:t>盈余公积说明，包括本期增减变动情况、变动原因说明：</w:t>
      </w:r>
      <w:r>
        <w:rPr>
          <w:w w:val="100"/>
        </w:rPr>
        <w:t> </w:t>
      </w:r>
      <w:r>
        <w:rPr>
          <w:spacing w:val="-4"/>
        </w:rPr>
        <w:t>根据公司法、本公司章程的规定，本公司按净利润的</w:t>
      </w:r>
      <w:r>
        <w:rPr>
          <w:rFonts w:ascii="宋体" w:hAnsi="宋体" w:cs="宋体" w:eastAsia="宋体" w:hint="default"/>
          <w:spacing w:val="-4"/>
        </w:rPr>
        <w:t>10%</w:t>
      </w:r>
      <w:r>
        <w:rPr>
          <w:spacing w:val="-4"/>
        </w:rPr>
        <w:t>提取法定盈余公积金。法定盈余公积累计</w:t>
      </w:r>
      <w:r>
        <w:rPr>
          <w:spacing w:val="-31"/>
        </w:rPr>
        <w:t> </w:t>
      </w:r>
      <w:r>
        <w:rPr>
          <w:spacing w:val="-31"/>
        </w:rPr>
      </w:r>
      <w:r>
        <w:rPr/>
        <w:t>额为本公司注册资本</w:t>
      </w:r>
      <w:r>
        <w:rPr>
          <w:rFonts w:ascii="宋体" w:hAnsi="宋体" w:cs="宋体" w:eastAsia="宋体" w:hint="default"/>
        </w:rPr>
        <w:t>50%</w:t>
      </w:r>
      <w:r>
        <w:rPr/>
        <w:t>以上的，可不再提取。</w:t>
      </w:r>
    </w:p>
    <w:p>
      <w:pPr>
        <w:spacing w:line="240" w:lineRule="auto" w:before="7"/>
        <w:rPr>
          <w:rFonts w:ascii="宋体" w:hAnsi="宋体" w:cs="宋体" w:eastAsia="宋体" w:hint="default"/>
          <w:sz w:val="27"/>
          <w:szCs w:val="27"/>
        </w:rPr>
      </w:pPr>
    </w:p>
    <w:p>
      <w:pPr>
        <w:pStyle w:val="BodyText"/>
        <w:spacing w:line="297" w:lineRule="auto"/>
        <w:ind w:left="158" w:right="230"/>
        <w:jc w:val="both"/>
      </w:pPr>
      <w:r>
        <w:rPr>
          <w:spacing w:val="-2"/>
        </w:rPr>
        <w:t>本公司在提取法定盈余公积后，可提取任意盈余公积。任意盈余公积的提取由董事会提议，并经</w:t>
      </w:r>
      <w:r>
        <w:rPr>
          <w:spacing w:val="-25"/>
        </w:rPr>
        <w:t> </w:t>
      </w:r>
      <w:r>
        <w:rPr>
          <w:spacing w:val="-25"/>
        </w:rPr>
      </w:r>
      <w:r>
        <w:rPr>
          <w:spacing w:val="-4"/>
        </w:rPr>
        <w:t>股东大会批准。经批准，任意盈余公积可用于弥补以前年度亏损或增加股本。经</w:t>
      </w:r>
      <w:r>
        <w:rPr>
          <w:rFonts w:ascii="宋体" w:hAnsi="宋体" w:cs="宋体" w:eastAsia="宋体" w:hint="default"/>
          <w:spacing w:val="-4"/>
        </w:rPr>
        <w:t>2015</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18</w:t>
      </w:r>
      <w:r>
        <w:rPr>
          <w:spacing w:val="-4"/>
        </w:rPr>
        <w:t>日董</w:t>
      </w:r>
      <w:r>
        <w:rPr>
          <w:spacing w:val="-25"/>
        </w:rPr>
        <w:t> </w:t>
      </w:r>
      <w:r>
        <w:rPr/>
        <w:t>事会提议，本公司按</w:t>
      </w:r>
      <w:r>
        <w:rPr>
          <w:rFonts w:ascii="宋体" w:hAnsi="宋体" w:cs="宋体" w:eastAsia="宋体" w:hint="default"/>
        </w:rPr>
        <w:t>2015</w:t>
      </w:r>
      <w:r>
        <w:rPr/>
        <w:t>年净利润</w:t>
      </w:r>
      <w:r>
        <w:rPr>
          <w:rFonts w:ascii="宋体" w:hAnsi="宋体" w:cs="宋体" w:eastAsia="宋体" w:hint="default"/>
        </w:rPr>
        <w:t>5%</w:t>
      </w:r>
      <w:r>
        <w:rPr/>
        <w:t>计提任意盈余公积。</w:t>
      </w:r>
    </w:p>
    <w:p>
      <w:pPr>
        <w:spacing w:line="240" w:lineRule="auto" w:before="10"/>
        <w:rPr>
          <w:rFonts w:ascii="宋体" w:hAnsi="宋体" w:cs="宋体" w:eastAsia="宋体" w:hint="default"/>
          <w:sz w:val="23"/>
          <w:szCs w:val="23"/>
        </w:rPr>
      </w:pPr>
    </w:p>
    <w:p>
      <w:pPr>
        <w:pStyle w:val="Heading2"/>
        <w:spacing w:line="240" w:lineRule="auto"/>
        <w:ind w:left="158" w:right="0"/>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2777"/>
        <w:gridCol w:w="2689"/>
      </w:tblGrid>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1,479,061,538</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1,288,918,332</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4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1,479,061,538</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1,288,918,332</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9"/>
              <w:jc w:val="right"/>
              <w:rPr>
                <w:rFonts w:ascii="宋体" w:hAnsi="宋体" w:cs="宋体" w:eastAsia="宋体" w:hint="default"/>
                <w:sz w:val="20"/>
                <w:szCs w:val="20"/>
              </w:rPr>
            </w:pPr>
            <w:r>
              <w:rPr>
                <w:rFonts w:ascii="宋体"/>
                <w:w w:val="95"/>
                <w:sz w:val="20"/>
              </w:rPr>
              <w:t>323,745,309</w:t>
            </w:r>
            <w:r>
              <w:rPr>
                <w:rFonts w:ascii="宋体"/>
                <w:sz w:val="20"/>
              </w:rPr>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9"/>
              <w:jc w:val="right"/>
              <w:rPr>
                <w:rFonts w:ascii="宋体" w:hAnsi="宋体" w:cs="宋体" w:eastAsia="宋体" w:hint="default"/>
                <w:sz w:val="20"/>
                <w:szCs w:val="20"/>
              </w:rPr>
            </w:pPr>
            <w:r>
              <w:rPr>
                <w:rFonts w:ascii="宋体"/>
                <w:w w:val="95"/>
                <w:sz w:val="20"/>
              </w:rPr>
              <w:t>550,250,599</w:t>
            </w:r>
            <w:r>
              <w:rPr>
                <w:rFonts w:ascii="宋体"/>
                <w:sz w:val="20"/>
              </w:rPr>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29,152,443</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45,836,669</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14,576,223</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22,918,334</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已派发之现金股利（注</w:t>
            </w:r>
            <w:r>
              <w:rPr>
                <w:rFonts w:ascii="宋体" w:hAnsi="宋体" w:cs="宋体" w:eastAsia="宋体" w:hint="default"/>
                <w:sz w:val="21"/>
                <w:szCs w:val="21"/>
              </w:rPr>
              <w:t>1</w:t>
            </w:r>
            <w:r>
              <w:rPr>
                <w:rFonts w:ascii="宋体" w:hAnsi="宋体" w:cs="宋体" w:eastAsia="宋体" w:hint="default"/>
                <w:sz w:val="21"/>
                <w:szCs w:val="21"/>
              </w:rPr>
              <w:t>）</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351,425,702</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291,352,390</w:t>
            </w: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1,407,652,479</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1,479,061,538</w:t>
            </w:r>
          </w:p>
        </w:tc>
      </w:tr>
    </w:tbl>
    <w:p>
      <w:pPr>
        <w:pStyle w:val="BodyText"/>
        <w:tabs>
          <w:tab w:pos="8086" w:val="left" w:leader="none"/>
        </w:tabs>
        <w:spacing w:line="290" w:lineRule="auto" w:before="26"/>
        <w:ind w:left="158" w:right="660"/>
        <w:jc w:val="left"/>
      </w:pPr>
      <w:r>
        <w:rPr/>
        <w:t>调整期初未分配利润明细：</w:t>
      </w:r>
      <w:r>
        <w:rPr>
          <w:w w:val="100"/>
        </w:rPr>
        <w:t> </w:t>
      </w:r>
      <w:r>
        <w:rPr>
          <w:rFonts w:ascii="宋体" w:hAnsi="宋体" w:cs="宋体" w:eastAsia="宋体" w:hint="default"/>
          <w:spacing w:val="-2"/>
        </w:rPr>
        <w:t>1</w:t>
      </w:r>
      <w:r>
        <w:rPr>
          <w:spacing w:val="-2"/>
        </w:rPr>
        <w:t>、由于《企业会计准则》及其相关新规定进行追溯调整，影响期初未分配利润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spacing w:val="-2"/>
        </w:rPr>
      </w:r>
      <w:r>
        <w:rPr/>
        <w:t>元。</w:t>
      </w:r>
    </w:p>
    <w:p>
      <w:pPr>
        <w:pStyle w:val="BodyText"/>
        <w:tabs>
          <w:tab w:pos="4932" w:val="left" w:leader="none"/>
        </w:tabs>
        <w:spacing w:line="226" w:lineRule="exact"/>
        <w:ind w:left="158" w:right="0"/>
        <w:jc w:val="left"/>
      </w:pPr>
      <w:r>
        <w:rPr>
          <w:rFonts w:ascii="宋体" w:hAnsi="宋体" w:cs="宋体" w:eastAsia="宋体" w:hint="default"/>
          <w:spacing w:val="-2"/>
        </w:rPr>
        <w:t>2</w:t>
      </w:r>
      <w:r>
        <w:rPr>
          <w:spacing w:val="-2"/>
        </w:rPr>
        <w:t>、由于会计政策变更，影响期初未分配利润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spacing w:val="-2"/>
        </w:rPr>
      </w:r>
      <w:r>
        <w:rPr/>
        <w:t>元。</w:t>
      </w:r>
    </w:p>
    <w:p>
      <w:pPr>
        <w:pStyle w:val="BodyText"/>
        <w:tabs>
          <w:tab w:pos="5354" w:val="left" w:leader="none"/>
        </w:tabs>
        <w:spacing w:line="273" w:lineRule="exact"/>
        <w:ind w:left="158" w:right="0"/>
        <w:jc w:val="left"/>
      </w:pPr>
      <w:r>
        <w:rPr>
          <w:rFonts w:ascii="宋体" w:hAnsi="宋体" w:cs="宋体" w:eastAsia="宋体" w:hint="default"/>
          <w:spacing w:val="-2"/>
        </w:rPr>
        <w:t>3</w:t>
      </w:r>
      <w:r>
        <w:rPr>
          <w:spacing w:val="-2"/>
        </w:rPr>
        <w:t>、由于重大会计差错更正，影响期初未分配利润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spacing w:val="-2"/>
        </w:rPr>
      </w:r>
      <w:r>
        <w:rPr/>
        <w:t>元。</w:t>
      </w:r>
    </w:p>
    <w:p>
      <w:pPr>
        <w:pStyle w:val="BodyText"/>
        <w:tabs>
          <w:tab w:pos="6403" w:val="left" w:leader="none"/>
        </w:tabs>
        <w:spacing w:line="273" w:lineRule="exact"/>
        <w:ind w:left="158" w:right="0"/>
        <w:jc w:val="left"/>
      </w:pPr>
      <w:r>
        <w:rPr>
          <w:rFonts w:ascii="宋体" w:hAnsi="宋体" w:cs="宋体" w:eastAsia="宋体" w:hint="default"/>
          <w:spacing w:val="-2"/>
        </w:rPr>
        <w:t>4</w:t>
      </w:r>
      <w:r>
        <w:rPr>
          <w:spacing w:val="-2"/>
        </w:rPr>
        <w:t>、由于同一控制导致的合并范围变更，影响期初未分配利润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spacing w:val="-2"/>
        </w:rPr>
      </w:r>
      <w:r>
        <w:rPr>
          <w:spacing w:val="-3"/>
        </w:rPr>
        <w:t>元。</w:t>
      </w:r>
      <w:r>
        <w:rPr/>
      </w:r>
    </w:p>
    <w:p>
      <w:pPr>
        <w:pStyle w:val="BodyText"/>
        <w:tabs>
          <w:tab w:pos="4303" w:val="left" w:leader="none"/>
        </w:tabs>
        <w:spacing w:line="274" w:lineRule="exact"/>
        <w:ind w:left="158" w:right="0"/>
        <w:jc w:val="left"/>
      </w:pPr>
      <w:r>
        <w:rPr>
          <w:rFonts w:ascii="宋体" w:hAnsi="宋体" w:cs="宋体" w:eastAsia="宋体" w:hint="default"/>
          <w:spacing w:val="-2"/>
        </w:rPr>
        <w:t>5</w:t>
      </w:r>
      <w:r>
        <w:rPr>
          <w:spacing w:val="-2"/>
        </w:rPr>
        <w:t>、其他调整合计影响期初未分配利润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spacing w:val="-2"/>
        </w:rPr>
      </w:r>
      <w:r>
        <w:rPr/>
        <w:t>元。</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9"/>
          <w:szCs w:val="19"/>
        </w:rPr>
      </w:pPr>
    </w:p>
    <w:p>
      <w:pPr>
        <w:pStyle w:val="BodyText"/>
        <w:spacing w:line="240" w:lineRule="auto"/>
        <w:ind w:left="158" w:right="0"/>
        <w:jc w:val="left"/>
      </w:pPr>
      <w:r>
        <w:rPr/>
        <w:t>注</w:t>
      </w:r>
      <w:r>
        <w:rPr>
          <w:spacing w:val="-54"/>
        </w:rPr>
        <w:t> </w:t>
      </w:r>
      <w:r>
        <w:rPr>
          <w:rFonts w:ascii="宋体" w:hAnsi="宋体" w:cs="宋体" w:eastAsia="宋体" w:hint="default"/>
        </w:rPr>
        <w:t>1</w:t>
      </w:r>
      <w:r>
        <w:rPr/>
        <w:t>：根据本公司于</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9</w:t>
      </w:r>
      <w:r>
        <w:rPr>
          <w:rFonts w:ascii="宋体" w:hAnsi="宋体" w:cs="宋体" w:eastAsia="宋体" w:hint="default"/>
          <w:spacing w:val="-54"/>
        </w:rPr>
        <w:t> </w:t>
      </w:r>
      <w:r>
        <w:rPr/>
        <w:t>日召开</w:t>
      </w:r>
      <w:r>
        <w:rPr>
          <w:spacing w:val="-54"/>
        </w:rPr>
        <w:t> </w:t>
      </w:r>
      <w:r>
        <w:rPr>
          <w:rFonts w:ascii="宋体" w:hAnsi="宋体" w:cs="宋体" w:eastAsia="宋体" w:hint="default"/>
        </w:rPr>
        <w:t>2014</w:t>
      </w:r>
      <w:r>
        <w:rPr>
          <w:rFonts w:ascii="宋体" w:hAnsi="宋体" w:cs="宋体" w:eastAsia="宋体" w:hint="default"/>
          <w:spacing w:val="-54"/>
        </w:rPr>
        <w:t> </w:t>
      </w:r>
      <w:r>
        <w:rPr/>
        <w:t>年年度股东大会，审议通过了公司《</w:t>
      </w:r>
      <w:r>
        <w:rPr>
          <w:rFonts w:ascii="宋体" w:hAnsi="宋体" w:cs="宋体" w:eastAsia="宋体" w:hint="default"/>
        </w:rPr>
        <w:t>2014</w:t>
      </w:r>
      <w:r>
        <w:rPr>
          <w:rFonts w:ascii="宋体" w:hAnsi="宋体" w:cs="宋体" w:eastAsia="宋体" w:hint="default"/>
          <w:spacing w:val="-54"/>
        </w:rPr>
        <w:t> </w:t>
      </w:r>
      <w:r>
        <w:rPr/>
        <w:t>年度利</w:t>
      </w:r>
    </w:p>
    <w:p>
      <w:pPr>
        <w:pStyle w:val="BodyText"/>
        <w:spacing w:line="240" w:lineRule="auto" w:before="66"/>
        <w:ind w:left="158" w:right="0"/>
        <w:jc w:val="left"/>
      </w:pPr>
      <w:r>
        <w:rPr/>
        <w:t>润分配议案》，公司以</w:t>
      </w:r>
      <w:r>
        <w:rPr>
          <w:spacing w:val="-54"/>
        </w:rPr>
        <w:t> </w:t>
      </w:r>
      <w:r>
        <w:rPr>
          <w:rFonts w:ascii="宋体" w:hAnsi="宋体" w:cs="宋体" w:eastAsia="宋体" w:hint="default"/>
        </w:rPr>
        <w:t>2014</w:t>
      </w:r>
      <w:r>
        <w:rPr>
          <w:rFonts w:ascii="宋体" w:hAnsi="宋体" w:cs="宋体" w:eastAsia="宋体" w:hint="default"/>
          <w:spacing w:val="-55"/>
        </w:rPr>
        <w:t> </w:t>
      </w:r>
      <w:r>
        <w:rPr/>
        <w:t>年末总股本</w:t>
      </w:r>
      <w:r>
        <w:rPr>
          <w:spacing w:val="-55"/>
        </w:rPr>
        <w:t> </w:t>
      </w:r>
      <w:r>
        <w:rPr>
          <w:rFonts w:ascii="宋体" w:hAnsi="宋体" w:cs="宋体" w:eastAsia="宋体" w:hint="default"/>
        </w:rPr>
        <w:t>1,171,419,007</w:t>
      </w:r>
      <w:r>
        <w:rPr>
          <w:rFonts w:ascii="宋体" w:hAnsi="宋体" w:cs="宋体" w:eastAsia="宋体" w:hint="default"/>
          <w:spacing w:val="-55"/>
        </w:rPr>
        <w:t> </w:t>
      </w:r>
      <w:r>
        <w:rPr/>
        <w:t>股为基数，向全体股东每</w:t>
      </w:r>
      <w:r>
        <w:rPr>
          <w:spacing w:val="-54"/>
        </w:rPr>
        <w:t> </w:t>
      </w:r>
      <w:r>
        <w:rPr>
          <w:rFonts w:ascii="宋体" w:hAnsi="宋体" w:cs="宋体" w:eastAsia="宋体" w:hint="default"/>
        </w:rPr>
        <w:t>10</w:t>
      </w:r>
      <w:r>
        <w:rPr>
          <w:rFonts w:ascii="宋体" w:hAnsi="宋体" w:cs="宋体" w:eastAsia="宋体" w:hint="default"/>
          <w:spacing w:val="-55"/>
        </w:rPr>
        <w:t> </w:t>
      </w:r>
      <w:r>
        <w:rPr/>
        <w:t>股派发现金</w:t>
      </w:r>
    </w:p>
    <w:p>
      <w:pPr>
        <w:pStyle w:val="BodyText"/>
        <w:spacing w:line="240" w:lineRule="auto" w:before="66"/>
        <w:ind w:left="158" w:right="0"/>
        <w:jc w:val="left"/>
      </w:pPr>
      <w:r>
        <w:rPr/>
        <w:t>股利</w:t>
      </w:r>
      <w:r>
        <w:rPr>
          <w:spacing w:val="-53"/>
        </w:rPr>
        <w:t> </w:t>
      </w:r>
      <w:r>
        <w:rPr>
          <w:rFonts w:ascii="宋体" w:hAnsi="宋体" w:cs="宋体" w:eastAsia="宋体" w:hint="default"/>
        </w:rPr>
        <w:t>3</w:t>
      </w:r>
      <w:r>
        <w:rPr>
          <w:rFonts w:ascii="宋体" w:hAnsi="宋体" w:cs="宋体" w:eastAsia="宋体" w:hint="default"/>
          <w:spacing w:val="-55"/>
        </w:rPr>
        <w:t> </w:t>
      </w:r>
      <w:r>
        <w:rPr/>
        <w:t>元</w:t>
      </w:r>
      <w:r>
        <w:rPr>
          <w:rFonts w:ascii="宋体" w:hAnsi="宋体" w:cs="宋体" w:eastAsia="宋体" w:hint="default"/>
        </w:rPr>
        <w:t>(</w:t>
      </w:r>
      <w:r>
        <w:rPr/>
        <w:t>含税</w:t>
      </w:r>
      <w:r>
        <w:rPr>
          <w:rFonts w:ascii="宋体" w:hAnsi="宋体" w:cs="宋体" w:eastAsia="宋体" w:hint="default"/>
        </w:rPr>
        <w:t>)</w:t>
      </w:r>
      <w:r>
        <w:rPr/>
        <w:t>，分派股利总额为人民币</w:t>
      </w:r>
      <w:r>
        <w:rPr>
          <w:spacing w:val="-52"/>
        </w:rPr>
        <w:t> </w:t>
      </w:r>
      <w:r>
        <w:rPr>
          <w:rFonts w:ascii="宋体" w:hAnsi="宋体" w:cs="宋体" w:eastAsia="宋体" w:hint="default"/>
        </w:rPr>
        <w:t>351,425,702</w:t>
      </w:r>
      <w:r>
        <w:rPr>
          <w:rFonts w:ascii="宋体" w:hAnsi="宋体" w:cs="宋体" w:eastAsia="宋体" w:hint="default"/>
          <w:spacing w:val="-53"/>
        </w:rPr>
        <w:t> </w:t>
      </w:r>
      <w:r>
        <w:rPr>
          <w:spacing w:val="-3"/>
        </w:rPr>
        <w:t>元。</w:t>
      </w:r>
      <w:r>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2"/>
        <w:spacing w:line="240" w:lineRule="auto"/>
        <w:ind w:left="158" w:right="0"/>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1"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bl>
    <w:p>
      <w:pPr>
        <w:spacing w:after="0" w:line="243" w:lineRule="exact"/>
        <w:jc w:val="center"/>
        <w:rPr>
          <w:rFonts w:ascii="宋体" w:hAnsi="宋体" w:cs="宋体" w:eastAsia="宋体" w:hint="default"/>
          <w:sz w:val="21"/>
          <w:szCs w:val="21"/>
        </w:rPr>
        <w:sectPr>
          <w:pgSz w:w="11910" w:h="16840"/>
          <w:pgMar w:header="926" w:footer="1335" w:top="1120" w:bottom="1520" w:left="16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2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4,338,502,932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1,417,143,853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4,287,338,678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1,409,328,577</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112,769,087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13,805,415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86,903,279</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11,363,922</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4,451,272,019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1,430,949,268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4,374,241,957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1,420,692,499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2"/>
        <w:spacing w:line="240" w:lineRule="auto"/>
        <w:ind w:right="2465"/>
        <w:jc w:val="left"/>
        <w:rPr>
          <w:b w:val="0"/>
          <w:bCs w:val="0"/>
        </w:rPr>
      </w:pPr>
      <w:r>
        <w:rPr>
          <w:rFonts w:ascii="宋体" w:hAnsi="宋体" w:cs="宋体" w:eastAsia="宋体" w:hint="default"/>
        </w:rPr>
        <w:t>62</w:t>
      </w:r>
      <w:r>
        <w:rPr/>
        <w:t>、</w:t>
      </w:r>
      <w:r>
        <w:rPr>
          <w:spacing w:val="-24"/>
        </w:rPr>
        <w:t> </w:t>
      </w:r>
      <w:r>
        <w:rPr/>
        <w:t>营业税金及附加</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22,070,290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7,018,695</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25,459,753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26,962,726</w:t>
            </w:r>
          </w:p>
        </w:tc>
      </w:tr>
      <w:tr>
        <w:trPr>
          <w:trHeight w:val="28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23,455,713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20,512,888</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2,299,057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2,048,967</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73,284,813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56,543,276</w:t>
            </w:r>
          </w:p>
        </w:tc>
      </w:tr>
    </w:tbl>
    <w:p>
      <w:pPr>
        <w:spacing w:line="240" w:lineRule="auto" w:before="2"/>
        <w:rPr>
          <w:rFonts w:ascii="宋体" w:hAnsi="宋体" w:cs="宋体" w:eastAsia="宋体" w:hint="default"/>
          <w:sz w:val="20"/>
          <w:szCs w:val="20"/>
        </w:rPr>
      </w:pPr>
    </w:p>
    <w:p>
      <w:pPr>
        <w:pStyle w:val="BodyText"/>
        <w:spacing w:line="240" w:lineRule="auto" w:before="36"/>
        <w:ind w:left="218" w:right="2465"/>
        <w:jc w:val="left"/>
      </w:pPr>
      <w:r>
        <w:rPr/>
        <w:t>其他说明：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63</w:t>
      </w:r>
      <w:r>
        <w:rPr/>
        <w:t>、</w:t>
      </w:r>
      <w:r>
        <w:rPr>
          <w:spacing w:val="-25"/>
        </w:rPr>
        <w:t> </w:t>
      </w:r>
      <w:r>
        <w:rPr/>
        <w:t>销售费用</w:t>
      </w:r>
      <w:r>
        <w:rPr>
          <w:b w:val="0"/>
          <w:bCs w:val="0"/>
        </w:rPr>
      </w:r>
    </w:p>
    <w:p>
      <w:pPr>
        <w:tabs>
          <w:tab w:pos="998" w:val="left" w:leader="none"/>
        </w:tabs>
        <w:spacing w:before="61"/>
        <w:ind w:left="0" w:right="235" w:firstLine="0"/>
        <w:jc w:val="right"/>
        <w:rPr>
          <w:rFonts w:ascii="宋体" w:hAnsi="宋体" w:cs="宋体" w:eastAsia="宋体" w:hint="default"/>
          <w:sz w:val="20"/>
          <w:szCs w:val="20"/>
        </w:rPr>
      </w:pPr>
      <w:r>
        <w:rPr>
          <w:rFonts w:ascii="宋体" w:hAnsi="宋体" w:cs="宋体" w:eastAsia="宋体" w:hint="default"/>
          <w:w w:val="95"/>
          <w:sz w:val="20"/>
          <w:szCs w:val="20"/>
        </w:rPr>
        <w:t>单位：元</w:t>
        <w:tab/>
        <w:t>币种：人民币</w:t>
      </w:r>
      <w:r>
        <w:rPr>
          <w:rFonts w:ascii="宋体" w:hAnsi="宋体" w:cs="宋体" w:eastAsia="宋体" w:hint="default"/>
          <w:sz w:val="20"/>
          <w:szCs w:val="20"/>
        </w:rPr>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职工薪酬及福利</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764,957,457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718,621,267</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139,456,607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106,142,648</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85,288,231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85,802,135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90,001,039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99,401,388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41,387,539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35,419,244</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30,935,616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23,046,157</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9,573,202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4,928,538</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租赁费及物业管理费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9,278,650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6,005,546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14,422,435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13,239,725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1,185,300,776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1,092,606,648</w:t>
            </w:r>
          </w:p>
        </w:tc>
      </w:tr>
    </w:tbl>
    <w:p>
      <w:pPr>
        <w:spacing w:line="240" w:lineRule="auto" w:before="13"/>
        <w:rPr>
          <w:rFonts w:ascii="宋体" w:hAnsi="宋体" w:cs="宋体" w:eastAsia="宋体" w:hint="default"/>
          <w:sz w:val="19"/>
          <w:szCs w:val="19"/>
        </w:rPr>
      </w:pPr>
    </w:p>
    <w:p>
      <w:pPr>
        <w:pStyle w:val="BodyText"/>
        <w:spacing w:line="240" w:lineRule="auto" w:before="36"/>
        <w:ind w:left="218" w:right="2465"/>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sz w:val="21"/>
                <w:szCs w:val="21"/>
              </w:rPr>
              <w:t>职工薪酬及福利</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1,255,021,244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952,996,101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15,693,834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14,347,667</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27,115,269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26,576,741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62,765,751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61,050,440</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77,736,398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87,482,874</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41,411,394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34,460,965</w:t>
            </w:r>
          </w:p>
        </w:tc>
      </w:tr>
    </w:tbl>
    <w:p>
      <w:pPr>
        <w:spacing w:after="0" w:line="241" w:lineRule="exact"/>
        <w:jc w:val="right"/>
        <w:rPr>
          <w:rFonts w:ascii="宋体" w:hAnsi="宋体" w:cs="宋体" w:eastAsia="宋体" w:hint="default"/>
          <w:sz w:val="21"/>
          <w:szCs w:val="21"/>
        </w:rPr>
        <w:sectPr>
          <w:pgSz w:w="11910" w:h="16840"/>
          <w:pgMar w:header="926" w:footer="1335" w:top="1120" w:bottom="152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08"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119,864,849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79,216,819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租赁费及物业管理费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91,010,438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70,106,616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32,641,246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31,151,100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1,723,260,423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1,357,389,323</w:t>
            </w:r>
          </w:p>
        </w:tc>
      </w:tr>
    </w:tbl>
    <w:p>
      <w:pPr>
        <w:spacing w:line="240" w:lineRule="auto" w:before="7"/>
        <w:rPr>
          <w:rFonts w:ascii="宋体" w:hAnsi="宋体" w:cs="宋体" w:eastAsia="宋体" w:hint="default"/>
          <w:sz w:val="15"/>
          <w:szCs w:val="15"/>
        </w:rPr>
      </w:pPr>
    </w:p>
    <w:p>
      <w:pPr>
        <w:pStyle w:val="BodyText"/>
        <w:spacing w:line="240" w:lineRule="auto" w:before="36"/>
        <w:ind w:left="218"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121,772,341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127,969,877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-29,334,997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-21,451,541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减：利息资本化金额</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-23,072,633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-25,475,759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14,833,954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1,464,380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8,501,542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1,620,552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92,700,207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84,127,509</w:t>
            </w:r>
          </w:p>
        </w:tc>
      </w:tr>
    </w:tbl>
    <w:p>
      <w:pPr>
        <w:spacing w:line="240" w:lineRule="auto" w:before="5"/>
        <w:rPr>
          <w:rFonts w:ascii="宋体" w:hAnsi="宋体" w:cs="宋体" w:eastAsia="宋体" w:hint="default"/>
          <w:sz w:val="15"/>
          <w:szCs w:val="15"/>
        </w:rPr>
      </w:pPr>
    </w:p>
    <w:p>
      <w:pPr>
        <w:pStyle w:val="BodyText"/>
        <w:spacing w:line="240" w:lineRule="auto" w:before="36"/>
        <w:ind w:left="218" w:right="5362"/>
        <w:jc w:val="left"/>
      </w:pPr>
      <w:r>
        <w:rPr/>
        <w:t>其他说明：</w:t>
      </w:r>
      <w:r>
        <w:rPr>
          <w:spacing w:val="-102"/>
        </w:rPr>
        <w:t> </w:t>
      </w:r>
      <w:r>
        <w:rPr>
          <w:spacing w:val="-102"/>
        </w:rPr>
      </w:r>
      <w:r>
        <w:rPr>
          <w:spacing w:val="-2"/>
        </w:rPr>
        <w:t>借款费用资本化金额已计入在建工程。</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26" w:footer="1335" w:top="1120" w:bottom="1520" w:left="1580" w:right="1040"/>
        </w:sectPr>
      </w:pPr>
    </w:p>
    <w:p>
      <w:pPr>
        <w:pStyle w:val="Heading2"/>
        <w:spacing w:line="240" w:lineRule="auto"/>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98,015,995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90,074,801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112,015,995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90,074,801</w:t>
            </w:r>
          </w:p>
        </w:tc>
      </w:tr>
    </w:tbl>
    <w:p>
      <w:pPr>
        <w:spacing w:line="240" w:lineRule="auto" w:before="2"/>
        <w:rPr>
          <w:rFonts w:ascii="宋体" w:hAnsi="宋体" w:cs="宋体" w:eastAsia="宋体" w:hint="default"/>
          <w:sz w:val="20"/>
          <w:szCs w:val="20"/>
        </w:rPr>
      </w:pPr>
    </w:p>
    <w:p>
      <w:pPr>
        <w:pStyle w:val="BodyText"/>
        <w:spacing w:line="240" w:lineRule="auto" w:before="36"/>
        <w:ind w:left="218" w:right="2465"/>
        <w:jc w:val="left"/>
      </w:pPr>
      <w:r>
        <w:rPr/>
        <w:t>其他说明：</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520" w:left="1580" w:right="1040"/>
        </w:sectPr>
      </w:pPr>
    </w:p>
    <w:p>
      <w:pPr>
        <w:pStyle w:val="Heading2"/>
        <w:spacing w:line="240" w:lineRule="auto"/>
        <w:ind w:right="-18"/>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9"/>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2412" w:space="4110"/>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05" w:type="dxa"/>
        <w:tblLayout w:type="fixed"/>
        <w:tblCellMar>
          <w:top w:w="0" w:type="dxa"/>
          <w:left w:w="0" w:type="dxa"/>
          <w:bottom w:w="0" w:type="dxa"/>
          <w:right w:w="0" w:type="dxa"/>
        </w:tblCellMar>
        <w:tblLook w:val="01E0"/>
      </w:tblPr>
      <w:tblGrid>
        <w:gridCol w:w="3399"/>
        <w:gridCol w:w="2825"/>
        <w:gridCol w:w="2825"/>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24"/>
              <w:jc w:val="right"/>
              <w:rPr>
                <w:rFonts w:ascii="宋体" w:hAnsi="宋体" w:cs="宋体" w:eastAsia="宋体" w:hint="default"/>
                <w:sz w:val="21"/>
                <w:szCs w:val="21"/>
              </w:rPr>
            </w:pPr>
            <w:r>
              <w:rPr>
                <w:rFonts w:ascii="宋体" w:hAnsi="宋体" w:cs="宋体" w:eastAsia="宋体" w:hint="default"/>
                <w:spacing w:val="-2"/>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-1,705,998</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-1,705,998</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38"/>
              <w:jc w:val="right"/>
              <w:rPr>
                <w:rFonts w:ascii="宋体" w:hAnsi="宋体" w:cs="宋体" w:eastAsia="宋体" w:hint="default"/>
                <w:sz w:val="21"/>
                <w:szCs w:val="21"/>
              </w:rPr>
            </w:pPr>
            <w:r>
              <w:rPr>
                <w:rFonts w:ascii="宋体" w:hAnsi="宋体" w:cs="宋体" w:eastAsia="宋体" w:hint="default"/>
                <w:spacing w:val="-2"/>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-1,705,998</w:t>
            </w:r>
          </w:p>
        </w:tc>
        <w:tc>
          <w:tcPr>
            <w:tcW w:w="28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818" w:right="0"/>
        <w:jc w:val="left"/>
      </w:pPr>
      <w:r>
        <w:rPr/>
        <w:t>其他说明：</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926" w:footer="1335" w:top="1120" w:bottom="1520" w:left="980" w:right="1040"/>
        </w:sectPr>
      </w:pPr>
    </w:p>
    <w:p>
      <w:pPr>
        <w:pStyle w:val="Heading2"/>
        <w:spacing w:line="240" w:lineRule="auto"/>
        <w:ind w:left="818"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6"/>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t>币种：人民币</w:t>
      </w:r>
    </w:p>
    <w:p>
      <w:pPr>
        <w:spacing w:after="0" w:line="240" w:lineRule="auto"/>
        <w:jc w:val="left"/>
        <w:sectPr>
          <w:type w:val="continuous"/>
          <w:pgSz w:w="11910" w:h="16840"/>
          <w:pgMar w:top="1120" w:bottom="1520" w:left="980" w:right="1040"/>
          <w:cols w:num="2" w:equalWidth="0">
            <w:col w:w="2395" w:space="4126"/>
            <w:col w:w="3369"/>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-2,492,157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10,487,338</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139,049,539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471,791</w:t>
            </w: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1,561,433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965,413</w:t>
            </w: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6,022,870</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26,064,653</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16,468,067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7,487,786</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180,651,535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25,435,198</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36"/>
        <w:ind w:left="818" w:right="0"/>
        <w:jc w:val="left"/>
      </w:pPr>
      <w:r>
        <w:rPr/>
        <w:t>其他说明：</w:t>
      </w:r>
    </w:p>
    <w:p>
      <w:pPr>
        <w:spacing w:line="240" w:lineRule="auto" w:before="2"/>
        <w:rPr>
          <w:rFonts w:ascii="宋体" w:hAnsi="宋体" w:cs="宋体" w:eastAsia="宋体" w:hint="default"/>
          <w:sz w:val="26"/>
          <w:szCs w:val="26"/>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pStyle w:val="Heading2"/>
        <w:spacing w:line="240" w:lineRule="auto" w:before="39"/>
        <w:ind w:left="818" w:right="0"/>
        <w:jc w:val="left"/>
        <w:rPr>
          <w:b w:val="0"/>
          <w:bCs w:val="0"/>
        </w:rPr>
      </w:pPr>
      <w:r>
        <w:rPr>
          <w:rFonts w:ascii="宋体" w:hAnsi="宋体" w:cs="宋体" w:eastAsia="宋体" w:hint="default"/>
        </w:rPr>
        <w:t>69</w:t>
      </w:r>
      <w:r>
        <w:rPr/>
        <w:t>、</w:t>
      </w:r>
      <w:r>
        <w:rPr>
          <w:spacing w:val="-25"/>
        </w:rPr>
        <w:t> </w:t>
      </w:r>
      <w:r>
        <w:rPr/>
        <w:t>营业外收入</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715"/>
        <w:gridCol w:w="2307"/>
        <w:gridCol w:w="2314"/>
        <w:gridCol w:w="2314"/>
      </w:tblGrid>
      <w:tr>
        <w:trPr>
          <w:trHeight w:val="555"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283"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8" w:right="0"/>
              <w:jc w:val="left"/>
              <w:rPr>
                <w:rFonts w:ascii="宋体" w:hAnsi="宋体" w:cs="宋体" w:eastAsia="宋体" w:hint="default"/>
                <w:sz w:val="21"/>
                <w:szCs w:val="21"/>
              </w:rPr>
            </w:pPr>
            <w:r>
              <w:rPr>
                <w:rFonts w:ascii="宋体"/>
                <w:sz w:val="21"/>
              </w:rPr>
              <w:t>1,204,668</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6" w:right="0"/>
              <w:jc w:val="left"/>
              <w:rPr>
                <w:rFonts w:ascii="宋体" w:hAnsi="宋体" w:cs="宋体" w:eastAsia="宋体" w:hint="default"/>
                <w:sz w:val="21"/>
                <w:szCs w:val="21"/>
              </w:rPr>
            </w:pPr>
            <w:r>
              <w:rPr>
                <w:rFonts w:ascii="宋体"/>
                <w:sz w:val="21"/>
              </w:rPr>
              <w:t>652,596</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5" w:right="0"/>
              <w:jc w:val="left"/>
              <w:rPr>
                <w:rFonts w:ascii="宋体" w:hAnsi="宋体" w:cs="宋体" w:eastAsia="宋体" w:hint="default"/>
                <w:sz w:val="21"/>
                <w:szCs w:val="21"/>
              </w:rPr>
            </w:pPr>
            <w:r>
              <w:rPr>
                <w:rFonts w:ascii="宋体"/>
                <w:sz w:val="21"/>
              </w:rPr>
              <w:t>1,204,668</w:t>
            </w:r>
          </w:p>
        </w:tc>
      </w:tr>
    </w:tbl>
    <w:p>
      <w:pPr>
        <w:spacing w:after="0" w:line="241" w:lineRule="exact"/>
        <w:jc w:val="left"/>
        <w:rPr>
          <w:rFonts w:ascii="宋体" w:hAnsi="宋体" w:cs="宋体" w:eastAsia="宋体" w:hint="default"/>
          <w:sz w:val="21"/>
          <w:szCs w:val="21"/>
        </w:rPr>
        <w:sectPr>
          <w:type w:val="continuous"/>
          <w:pgSz w:w="11910" w:h="16840"/>
          <w:pgMar w:top="1120" w:bottom="1520" w:left="9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715"/>
        <w:gridCol w:w="2307"/>
        <w:gridCol w:w="2314"/>
        <w:gridCol w:w="2314"/>
      </w:tblGrid>
      <w:tr>
        <w:trPr>
          <w:trHeight w:val="284"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1,204,668</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652,596</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1,204,668</w:t>
            </w:r>
          </w:p>
        </w:tc>
      </w:tr>
      <w:tr>
        <w:trPr>
          <w:trHeight w:val="283"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
        </w:tc>
        <w:tc>
          <w:tcPr>
            <w:tcW w:w="231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86,846,260</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59,218,478</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86,846,260</w:t>
            </w:r>
          </w:p>
        </w:tc>
      </w:tr>
      <w:tr>
        <w:trPr>
          <w:trHeight w:val="283"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增值税退税返还</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252,385,664</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257,801,039</w:t>
            </w:r>
          </w:p>
        </w:tc>
        <w:tc>
          <w:tcPr>
            <w:tcW w:w="23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罚款净收入</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23,187</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33,938</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23,187</w:t>
            </w:r>
          </w:p>
        </w:tc>
      </w:tr>
      <w:tr>
        <w:trPr>
          <w:trHeight w:val="281"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14,893,419</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2,514,316</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14,893,419</w:t>
            </w:r>
          </w:p>
        </w:tc>
      </w:tr>
      <w:tr>
        <w:trPr>
          <w:trHeight w:val="283"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355,353,198</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320,220,367</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102,967,534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926" w:footer="1335" w:top="1120" w:bottom="1520" w:left="980" w:right="500"/>
        </w:sectPr>
      </w:pPr>
    </w:p>
    <w:p>
      <w:pPr>
        <w:pStyle w:val="BodyText"/>
        <w:spacing w:line="273" w:lineRule="exact" w:before="36"/>
        <w:ind w:left="818" w:right="0"/>
        <w:jc w:val="left"/>
      </w:pPr>
      <w:r>
        <w:rPr>
          <w:spacing w:val="-2"/>
        </w:rPr>
        <w:t>计入当期损益的政府补助</w:t>
      </w:r>
    </w:p>
    <w:p>
      <w:pPr>
        <w:pStyle w:val="BodyText"/>
        <w:spacing w:line="273" w:lineRule="exact"/>
        <w:ind w:left="8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520" w:left="980" w:right="500"/>
          <w:cols w:num="2" w:equalWidth="0">
            <w:col w:w="3132" w:space="3392"/>
            <w:col w:w="3906"/>
          </w:cols>
        </w:sectPr>
      </w:pPr>
    </w:p>
    <w:p>
      <w:pPr>
        <w:spacing w:line="240" w:lineRule="auto" w:before="4"/>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3291"/>
        <w:gridCol w:w="2278"/>
        <w:gridCol w:w="2278"/>
        <w:gridCol w:w="2278"/>
      </w:tblGrid>
      <w:tr>
        <w:trPr>
          <w:trHeight w:val="566"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1"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1"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8"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基于安全可靠基础软硬件的事务处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理应用研究与示范工程</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17,349,120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面向大型行业应用的共性云计算基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础软件平台研制与应用</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11,400,000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统一移动软件平台研发与产业化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支撑行业大数据应用的软件平台研</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发与产业化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6,924,000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面向医疗卫生行业的大数据平台与</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服务创新</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6,400,000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地方财政补贴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5,652,000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6,944,000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面向制造企业的大数据商业分析平</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台研发与产业化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支撑新型应用模式的专有云解决方</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案研发及推广</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企业内部风险管理控制信息系统研</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发及产业化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面向制造企业供应链管理的第三方</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电子商务平台研发及应用示范</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3,750,000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协同医疗卫生服务支撑关键技术研</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究</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2,267,500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企业云平台关键技术北京市工程实</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验室</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1,555,700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9,851,400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中国云二期</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1,477,300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厦门市鼓励企业加大研发投入奖励</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高新企业奖励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870,000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5,226,599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上海市企业技术中心能力建设项目</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344,000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小巨人奖励资金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海淀区支持核心区自主创新和产业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发展专项资金项目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53,000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基于云计算的面向小微企业的商务</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left"/>
        <w:rPr>
          <w:rFonts w:ascii="宋体" w:hAnsi="宋体" w:cs="宋体" w:eastAsia="宋体" w:hint="default"/>
          <w:sz w:val="21"/>
          <w:szCs w:val="21"/>
        </w:rPr>
        <w:sectPr>
          <w:type w:val="continuous"/>
          <w:pgSz w:w="11910" w:h="16840"/>
          <w:pgMar w:top="1120" w:bottom="1520" w:left="980" w:right="5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3291"/>
        <w:gridCol w:w="2278"/>
        <w:gridCol w:w="2278"/>
        <w:gridCol w:w="2278"/>
      </w:tblGrid>
      <w:tr>
        <w:trPr>
          <w:trHeight w:val="28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管理服务项目</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面向居民健康管理的移动平台</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7,800,000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基于企业内部控制基本规范的</w:t>
            </w:r>
            <w:r>
              <w:rPr>
                <w:rFonts w:ascii="宋体" w:hAnsi="宋体" w:cs="宋体" w:eastAsia="宋体" w:hint="default"/>
                <w:spacing w:val="-65"/>
                <w:sz w:val="21"/>
                <w:szCs w:val="21"/>
              </w:rPr>
              <w:t> </w:t>
            </w:r>
            <w:r>
              <w:rPr>
                <w:rFonts w:ascii="宋体" w:hAnsi="宋体" w:cs="宋体" w:eastAsia="宋体" w:hint="default"/>
                <w:sz w:val="21"/>
                <w:szCs w:val="21"/>
              </w:rPr>
              <w:t>IT</w:t>
            </w:r>
            <w:r>
              <w:rPr>
                <w:rFonts w:ascii="宋体" w:hAnsi="宋体" w:cs="宋体" w:eastAsia="宋体" w:hint="default"/>
                <w:spacing w:val="-66"/>
                <w:sz w:val="21"/>
                <w:szCs w:val="21"/>
              </w:rPr>
              <w:t> </w:t>
            </w:r>
            <w:r>
              <w:rPr>
                <w:rFonts w:ascii="宋体" w:hAnsi="宋体" w:cs="宋体" w:eastAsia="宋体" w:hint="default"/>
                <w:sz w:val="21"/>
                <w:szCs w:val="21"/>
              </w:rPr>
              <w:t>治</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理管理系统研发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面向中小企业的电子商务服务试点</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4,800,000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面向中小企业的</w:t>
            </w:r>
            <w:r>
              <w:rPr>
                <w:rFonts w:ascii="宋体" w:hAnsi="宋体" w:cs="宋体" w:eastAsia="宋体" w:hint="default"/>
                <w:spacing w:val="-52"/>
                <w:sz w:val="21"/>
                <w:szCs w:val="21"/>
              </w:rPr>
              <w:t> </w:t>
            </w:r>
            <w:r>
              <w:rPr>
                <w:rFonts w:ascii="宋体" w:hAnsi="宋体" w:cs="宋体" w:eastAsia="宋体" w:hint="default"/>
                <w:sz w:val="21"/>
                <w:szCs w:val="21"/>
              </w:rPr>
              <w:t>CPS</w:t>
            </w:r>
            <w:r>
              <w:rPr>
                <w:rFonts w:ascii="宋体" w:hAnsi="宋体" w:cs="宋体" w:eastAsia="宋体" w:hint="default"/>
                <w:spacing w:val="-54"/>
                <w:sz w:val="21"/>
                <w:szCs w:val="21"/>
              </w:rPr>
              <w:t> </w:t>
            </w:r>
            <w:r>
              <w:rPr>
                <w:rFonts w:ascii="宋体" w:hAnsi="宋体" w:cs="宋体" w:eastAsia="宋体" w:hint="default"/>
                <w:sz w:val="21"/>
                <w:szCs w:val="21"/>
              </w:rPr>
              <w:t>公共服务平台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2,200,000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企业移动平台应用服务创新与产业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生态链建设</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企业研发投入专项补贴</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产业发展专项资金重大项目补贴</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680,000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5,503,640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4,016,479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86,846,260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59,218,478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36"/>
        <w:ind w:left="758" w:right="0"/>
        <w:jc w:val="left"/>
      </w:pPr>
      <w:r>
        <w:rPr/>
        <w:t>其他说明：</w:t>
      </w:r>
    </w:p>
    <w:p>
      <w:pPr>
        <w:spacing w:line="240" w:lineRule="auto" w:before="2"/>
        <w:rPr>
          <w:rFonts w:ascii="宋体" w:hAnsi="宋体" w:cs="宋体" w:eastAsia="宋体" w:hint="default"/>
          <w:sz w:val="26"/>
          <w:szCs w:val="26"/>
        </w:rPr>
      </w:pPr>
    </w:p>
    <w:p>
      <w:pPr>
        <w:spacing w:line="20" w:lineRule="exact"/>
        <w:ind w:left="7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left="758" w:right="0"/>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tabs>
          <w:tab w:pos="1051" w:val="left" w:leader="none"/>
        </w:tabs>
        <w:spacing w:line="240" w:lineRule="auto" w:before="56"/>
        <w:ind w:left="0" w:right="77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645" w:type="dxa"/>
        <w:tblLayout w:type="fixed"/>
        <w:tblCellMar>
          <w:top w:w="0" w:type="dxa"/>
          <w:left w:w="0" w:type="dxa"/>
          <w:bottom w:w="0" w:type="dxa"/>
          <w:right w:w="0" w:type="dxa"/>
        </w:tblCellMar>
        <w:tblLook w:val="01E0"/>
      </w:tblPr>
      <w:tblGrid>
        <w:gridCol w:w="2028"/>
        <w:gridCol w:w="2377"/>
        <w:gridCol w:w="2328"/>
        <w:gridCol w:w="2317"/>
      </w:tblGrid>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744,431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707,685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744,431</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744,431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707,685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744,431</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2,039,360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1,162,870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2,039,360</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254,040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276,688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254,040</w:t>
            </w:r>
          </w:p>
        </w:tc>
      </w:tr>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2,631,568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4,493,077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2,631,568</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5,669,399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6,640,320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5,669,399</w:t>
            </w:r>
          </w:p>
        </w:tc>
      </w:tr>
    </w:tbl>
    <w:p>
      <w:pPr>
        <w:pStyle w:val="BodyText"/>
        <w:spacing w:line="240" w:lineRule="auto" w:before="26"/>
        <w:ind w:left="758" w:right="0"/>
        <w:jc w:val="left"/>
      </w:pPr>
      <w:r>
        <w:rPr/>
        <w:t>其他说明：</w:t>
      </w:r>
    </w:p>
    <w:p>
      <w:pPr>
        <w:spacing w:line="240" w:lineRule="auto" w:before="3"/>
        <w:rPr>
          <w:rFonts w:ascii="宋体" w:hAnsi="宋体" w:cs="宋体" w:eastAsia="宋体" w:hint="default"/>
          <w:sz w:val="25"/>
          <w:szCs w:val="25"/>
        </w:rPr>
      </w:pPr>
    </w:p>
    <w:p>
      <w:pPr>
        <w:spacing w:line="20" w:lineRule="exact"/>
        <w:ind w:left="7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8"/>
          <w:pgSz w:w="11910" w:h="16840"/>
          <w:pgMar w:header="926" w:footer="1335" w:top="1120" w:bottom="1520" w:left="1040" w:right="500"/>
        </w:sectPr>
      </w:pPr>
    </w:p>
    <w:p>
      <w:pPr>
        <w:pStyle w:val="Heading2"/>
        <w:spacing w:line="290" w:lineRule="auto"/>
        <w:ind w:left="758"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809" w:val="left" w:leader="none"/>
        </w:tabs>
        <w:spacing w:line="240" w:lineRule="auto" w:before="177"/>
        <w:ind w:left="758" w:right="0"/>
        <w:jc w:val="left"/>
      </w:pPr>
      <w:r>
        <w:rPr>
          <w:spacing w:val="-1"/>
        </w:rPr>
        <w:t>单位：元</w:t>
        <w:tab/>
      </w:r>
      <w:r>
        <w:rPr>
          <w:spacing w:val="-2"/>
        </w:rPr>
        <w:t>币种：人民币</w:t>
      </w:r>
    </w:p>
    <w:p>
      <w:pPr>
        <w:spacing w:after="0" w:line="240" w:lineRule="auto"/>
        <w:jc w:val="left"/>
        <w:sectPr>
          <w:type w:val="continuous"/>
          <w:pgSz w:w="11910" w:h="16840"/>
          <w:pgMar w:top="1120" w:bottom="1520" w:left="1040" w:right="500"/>
          <w:cols w:num="2" w:equalWidth="0">
            <w:col w:w="2451" w:space="4071"/>
            <w:col w:w="3848"/>
          </w:cols>
        </w:sectPr>
      </w:pPr>
    </w:p>
    <w:p>
      <w:pPr>
        <w:spacing w:line="240" w:lineRule="auto" w:before="7"/>
        <w:rPr>
          <w:rFonts w:ascii="宋体" w:hAnsi="宋体" w:cs="宋体" w:eastAsia="宋体" w:hint="default"/>
          <w:sz w:val="2"/>
          <w:szCs w:val="2"/>
        </w:rPr>
      </w:pPr>
    </w:p>
    <w:tbl>
      <w:tblPr>
        <w:tblW w:w="0" w:type="auto"/>
        <w:jc w:val="left"/>
        <w:tblInd w:w="719" w:type="dxa"/>
        <w:tblLayout w:type="fixed"/>
        <w:tblCellMar>
          <w:top w:w="0" w:type="dxa"/>
          <w:left w:w="0" w:type="dxa"/>
          <w:bottom w:w="0" w:type="dxa"/>
          <w:right w:w="0" w:type="dxa"/>
        </w:tblCellMar>
        <w:tblLook w:val="01E0"/>
      </w:tblPr>
      <w:tblGrid>
        <w:gridCol w:w="3159"/>
        <w:gridCol w:w="2876"/>
        <w:gridCol w:w="2861"/>
      </w:tblGrid>
      <w:tr>
        <w:trPr>
          <w:trHeight w:val="293"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14,531,345</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42,441,390</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4,866,039</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-173,637</w:t>
            </w:r>
          </w:p>
        </w:tc>
      </w:tr>
      <w:tr>
        <w:trPr>
          <w:trHeight w:val="286" w:hRule="exact"/>
        </w:trPr>
        <w:tc>
          <w:tcPr>
            <w:tcW w:w="3159" w:type="dxa"/>
            <w:tcBorders>
              <w:top w:val="single" w:sz="6" w:space="0" w:color="000000"/>
              <w:left w:val="single" w:sz="6" w:space="0" w:color="000000"/>
              <w:bottom w:val="single" w:sz="6" w:space="0" w:color="000000"/>
              <w:right w:val="single" w:sz="6" w:space="0" w:color="000000"/>
            </w:tcBorders>
          </w:tcPr>
          <w:p>
            <w:pPr/>
          </w:p>
        </w:tc>
        <w:tc>
          <w:tcPr>
            <w:tcW w:w="2876"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
        </w:tc>
        <w:tc>
          <w:tcPr>
            <w:tcW w:w="2876"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520" w:left="1040" w:right="5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159"/>
        <w:gridCol w:w="2876"/>
        <w:gridCol w:w="2861"/>
      </w:tblGrid>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675" w:right="0"/>
              <w:jc w:val="left"/>
              <w:rPr>
                <w:rFonts w:ascii="宋体" w:hAnsi="宋体" w:cs="宋体" w:eastAsia="宋体" w:hint="default"/>
                <w:sz w:val="21"/>
                <w:szCs w:val="21"/>
              </w:rPr>
            </w:pPr>
            <w:r>
              <w:rPr>
                <w:rFonts w:ascii="宋体"/>
                <w:sz w:val="21"/>
              </w:rPr>
              <w:t>19,397,384</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766" w:right="0"/>
              <w:jc w:val="left"/>
              <w:rPr>
                <w:rFonts w:ascii="宋体" w:hAnsi="宋体" w:cs="宋体" w:eastAsia="宋体" w:hint="default"/>
                <w:sz w:val="21"/>
                <w:szCs w:val="21"/>
              </w:rPr>
            </w:pPr>
            <w:r>
              <w:rPr>
                <w:rFonts w:ascii="宋体"/>
                <w:sz w:val="21"/>
              </w:rPr>
              <w:t>42,267,753</w:t>
            </w:r>
          </w:p>
        </w:tc>
      </w:tr>
    </w:tbl>
    <w:p>
      <w:pPr>
        <w:spacing w:line="240" w:lineRule="auto" w:before="2"/>
        <w:rPr>
          <w:rFonts w:ascii="宋体" w:hAnsi="宋体" w:cs="宋体" w:eastAsia="宋体" w:hint="default"/>
          <w:sz w:val="20"/>
          <w:szCs w:val="20"/>
        </w:rPr>
      </w:pPr>
    </w:p>
    <w:p>
      <w:pPr>
        <w:pStyle w:val="Heading2"/>
        <w:spacing w:line="240" w:lineRule="auto"/>
        <w:ind w:left="158" w:right="0"/>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tabs>
          <w:tab w:pos="1051" w:val="left" w:leader="none"/>
        </w:tabs>
        <w:spacing w:line="240" w:lineRule="auto" w:before="56"/>
        <w:ind w:left="0" w:right="31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301"/>
        <w:gridCol w:w="4592"/>
      </w:tblGrid>
      <w:tr>
        <w:trPr>
          <w:trHeight w:val="281"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362,389,873</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54,358,481</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-24,624,826</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-52,168,132</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5)</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54,531,228</w:t>
            </w:r>
          </w:p>
        </w:tc>
      </w:tr>
      <w:tr>
        <w:trPr>
          <w:trHeight w:val="560"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6)</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-4,563,584</w:t>
            </w: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归属于联营企业的损益的影响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-4,060,885</w:t>
            </w:r>
          </w:p>
        </w:tc>
      </w:tr>
      <w:tr>
        <w:trPr>
          <w:trHeight w:val="288" w:hRule="exact"/>
        </w:trPr>
        <w:tc>
          <w:tcPr>
            <w:tcW w:w="4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当年研发费</w:t>
            </w:r>
            <w:r>
              <w:rPr>
                <w:rFonts w:ascii="宋体" w:hAnsi="宋体" w:cs="宋体" w:eastAsia="宋体" w:hint="default"/>
                <w:spacing w:val="-52"/>
                <w:sz w:val="21"/>
                <w:szCs w:val="21"/>
              </w:rPr>
              <w:t> </w:t>
            </w:r>
            <w:r>
              <w:rPr>
                <w:rFonts w:ascii="宋体" w:hAnsi="宋体" w:cs="宋体" w:eastAsia="宋体" w:hint="default"/>
                <w:sz w:val="21"/>
                <w:szCs w:val="21"/>
              </w:rPr>
              <w:t>50%</w:t>
            </w:r>
            <w:r>
              <w:rPr>
                <w:rFonts w:ascii="宋体" w:hAnsi="宋体" w:cs="宋体" w:eastAsia="宋体" w:hint="default"/>
                <w:sz w:val="21"/>
                <w:szCs w:val="21"/>
              </w:rPr>
              <w:t>加计扣除的影响</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4)</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-35,257,838</w:t>
            </w:r>
          </w:p>
        </w:tc>
      </w:tr>
      <w:tr>
        <w:trPr>
          <w:trHeight w:val="286" w:hRule="exact"/>
        </w:trPr>
        <w:tc>
          <w:tcPr>
            <w:tcW w:w="4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未确认的税务亏损的影响</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24,346,599</w:t>
            </w:r>
          </w:p>
        </w:tc>
      </w:tr>
      <w:tr>
        <w:trPr>
          <w:trHeight w:val="288" w:hRule="exact"/>
        </w:trPr>
        <w:tc>
          <w:tcPr>
            <w:tcW w:w="4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汇算清缴差异</w:t>
            </w:r>
          </w:p>
        </w:tc>
        <w:tc>
          <w:tcPr>
            <w:tcW w:w="45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6,836,341</w:t>
            </w:r>
          </w:p>
        </w:tc>
      </w:tr>
      <w:tr>
        <w:trPr>
          <w:trHeight w:val="288"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19,397,384</w:t>
            </w:r>
          </w:p>
        </w:tc>
      </w:tr>
    </w:tbl>
    <w:p>
      <w:pPr>
        <w:spacing w:line="240" w:lineRule="auto" w:before="2"/>
        <w:rPr>
          <w:rFonts w:ascii="宋体" w:hAnsi="宋体" w:cs="宋体" w:eastAsia="宋体" w:hint="default"/>
          <w:sz w:val="20"/>
          <w:szCs w:val="20"/>
        </w:rPr>
      </w:pPr>
    </w:p>
    <w:p>
      <w:pPr>
        <w:pStyle w:val="BodyText"/>
        <w:spacing w:line="240" w:lineRule="auto" w:before="36"/>
        <w:ind w:left="158" w:right="7801"/>
        <w:jc w:val="left"/>
      </w:pPr>
      <w:r>
        <w:rPr/>
        <w:t>其他说明：</w:t>
      </w:r>
    </w:p>
    <w:p>
      <w:pPr>
        <w:pStyle w:val="BodyText"/>
        <w:spacing w:line="297" w:lineRule="auto" w:before="54"/>
        <w:ind w:left="1434" w:right="0" w:hanging="569"/>
        <w:jc w:val="left"/>
      </w:pPr>
      <w:r>
        <w:rPr/>
        <w:t>注</w:t>
      </w:r>
      <w:r>
        <w:rPr>
          <w:rFonts w:ascii="宋体" w:hAnsi="宋体" w:cs="宋体" w:eastAsia="宋体" w:hint="default"/>
        </w:rPr>
        <w:t>1</w:t>
      </w:r>
      <w:r>
        <w:rPr/>
        <w:t>．本集团所得税按在中国境内取得的估计应纳税所得额及适用税率计提。源于其他地</w:t>
      </w:r>
      <w:r>
        <w:rPr>
          <w:spacing w:val="-68"/>
        </w:rPr>
        <w:t> </w:t>
      </w:r>
      <w:r>
        <w:rPr>
          <w:spacing w:val="-68"/>
        </w:rPr>
      </w:r>
      <w:r>
        <w:rPr>
          <w:spacing w:val="-2"/>
        </w:rPr>
        <w:t>区应纳税所得的税项根据本集团经营所在国家的现行法律、解释公告和惯例，按照</w:t>
      </w:r>
      <w:r>
        <w:rPr>
          <w:w w:val="100"/>
        </w:rPr>
        <w:t> </w:t>
      </w:r>
      <w:r>
        <w:rPr/>
        <w:t>适用税率计算。</w:t>
      </w:r>
      <w:r>
        <w:rPr>
          <w:w w:val="100"/>
        </w:rPr>
        <w:t> </w:t>
      </w:r>
      <w:r>
        <w:rPr/>
        <w:t>根据科技部、财政部和国家税务总局发布的《高新技术企业认定管理办法》</w:t>
      </w:r>
      <w:r>
        <w:rPr>
          <w:rFonts w:ascii="宋体" w:hAnsi="宋体" w:cs="宋体" w:eastAsia="宋体" w:hint="default"/>
        </w:rPr>
        <w:t>(</w:t>
      </w:r>
      <w:r>
        <w:rPr/>
        <w:t>国科</w:t>
      </w:r>
      <w:r>
        <w:rPr>
          <w:spacing w:val="2"/>
          <w:w w:val="100"/>
        </w:rPr>
        <w:t> </w:t>
      </w:r>
      <w:r>
        <w:rPr/>
        <w:t>发火</w:t>
      </w:r>
      <w:r>
        <w:rPr>
          <w:rFonts w:ascii="宋体" w:hAnsi="宋体" w:cs="宋体" w:eastAsia="宋体" w:hint="default"/>
        </w:rPr>
        <w:t>[2008]172</w:t>
      </w:r>
      <w:r>
        <w:rPr/>
        <w:t>号</w:t>
      </w:r>
      <w:r>
        <w:rPr>
          <w:rFonts w:ascii="宋体" w:hAnsi="宋体" w:cs="宋体" w:eastAsia="宋体" w:hint="default"/>
        </w:rPr>
        <w:t>)</w:t>
      </w:r>
      <w:r>
        <w:rPr/>
        <w:t>，满足条件的企业可被认定为高新技术企业，获得</w:t>
      </w:r>
      <w:r>
        <w:rPr>
          <w:rFonts w:ascii="宋体" w:hAnsi="宋体" w:cs="宋体" w:eastAsia="宋体" w:hint="default"/>
        </w:rPr>
        <w:t>15%</w:t>
      </w:r>
      <w:r>
        <w:rPr/>
        <w:t>的优惠税</w:t>
      </w:r>
      <w:r>
        <w:rPr>
          <w:w w:val="100"/>
        </w:rPr>
        <w:t> </w:t>
      </w:r>
      <w:r>
        <w:rPr/>
        <w:t>率。公司于</w:t>
      </w:r>
      <w:r>
        <w:rPr>
          <w:rFonts w:ascii="宋体" w:hAnsi="宋体" w:cs="宋体" w:eastAsia="宋体" w:hint="default"/>
        </w:rPr>
        <w:t>2014</w:t>
      </w:r>
      <w:r>
        <w:rPr/>
        <w:t>年获得有效期为三年的高新技术企业认证，</w:t>
      </w:r>
      <w:r>
        <w:rPr>
          <w:rFonts w:ascii="宋体" w:hAnsi="宋体" w:cs="宋体" w:eastAsia="宋体" w:hint="default"/>
        </w:rPr>
        <w:t>2015</w:t>
      </w:r>
      <w:r>
        <w:rPr/>
        <w:t>年享受</w:t>
      </w:r>
      <w:r>
        <w:rPr>
          <w:rFonts w:ascii="宋体" w:hAnsi="宋体" w:cs="宋体" w:eastAsia="宋体" w:hint="default"/>
        </w:rPr>
        <w:t>15%</w:t>
      </w:r>
      <w:r>
        <w:rPr/>
        <w:t>的优惠</w:t>
      </w:r>
      <w:r>
        <w:rPr>
          <w:w w:val="100"/>
        </w:rPr>
        <w:t> </w:t>
      </w:r>
      <w:r>
        <w:rPr/>
        <w:t>税率。</w:t>
      </w:r>
    </w:p>
    <w:p>
      <w:pPr>
        <w:pStyle w:val="BodyText"/>
        <w:spacing w:line="297" w:lineRule="auto" w:before="15"/>
        <w:ind w:left="1418" w:right="0" w:hanging="552"/>
        <w:jc w:val="left"/>
      </w:pPr>
      <w:r>
        <w:rPr/>
        <w:t>注</w:t>
      </w:r>
      <w:r>
        <w:rPr>
          <w:rFonts w:ascii="宋体" w:hAnsi="宋体" w:cs="宋体" w:eastAsia="宋体" w:hint="default"/>
        </w:rPr>
        <w:t>2</w:t>
      </w:r>
      <w:r>
        <w:rPr/>
        <w:t>． </w:t>
      </w:r>
      <w:r>
        <w:rPr>
          <w:spacing w:val="-7"/>
        </w:rPr>
        <w:t>根据《中华人民共和国企业所得税法》和国税发</w:t>
      </w:r>
      <w:r>
        <w:rPr>
          <w:rFonts w:ascii="宋体" w:hAnsi="宋体" w:cs="宋体" w:eastAsia="宋体" w:hint="default"/>
          <w:spacing w:val="-7"/>
        </w:rPr>
        <w:t>2008[28]</w:t>
      </w:r>
      <w:r>
        <w:rPr>
          <w:spacing w:val="-7"/>
        </w:rPr>
        <w:t>号文的要求，本公司于</w:t>
      </w:r>
      <w:r>
        <w:rPr>
          <w:rFonts w:ascii="宋体" w:hAnsi="宋体" w:cs="宋体" w:eastAsia="宋体" w:hint="default"/>
          <w:spacing w:val="-7"/>
        </w:rPr>
        <w:t>2015</w:t>
      </w:r>
      <w:r>
        <w:rPr>
          <w:rFonts w:ascii="宋体" w:hAnsi="宋体" w:cs="宋体" w:eastAsia="宋体" w:hint="default"/>
          <w:spacing w:val="-90"/>
        </w:rPr>
        <w:t> </w:t>
      </w:r>
      <w:r>
        <w:rPr>
          <w:rFonts w:ascii="宋体" w:hAnsi="宋体" w:cs="宋体" w:eastAsia="宋体" w:hint="default"/>
          <w:spacing w:val="-90"/>
        </w:rPr>
      </w:r>
      <w:r>
        <w:rPr>
          <w:spacing w:val="-2"/>
        </w:rPr>
        <w:t>年对所有的分支机构合并缴纳企业所得税。即按合并季度报表的应纳税所得额乘以</w:t>
      </w:r>
      <w:r>
        <w:rPr>
          <w:w w:val="100"/>
        </w:rPr>
        <w:t> </w:t>
      </w:r>
      <w:r>
        <w:rPr>
          <w:rFonts w:ascii="宋体" w:hAnsi="宋体" w:cs="宋体" w:eastAsia="宋体" w:hint="default"/>
        </w:rPr>
        <w:t>15%</w:t>
      </w:r>
      <w:r>
        <w:rPr/>
        <w:t>的企业所得税税率，预缴本年度应纳所得税额。待年度汇算清缴时，以年度合</w:t>
      </w:r>
      <w:r>
        <w:rPr>
          <w:w w:val="100"/>
        </w:rPr>
        <w:t> </w:t>
      </w:r>
      <w:r>
        <w:rPr>
          <w:spacing w:val="-2"/>
        </w:rPr>
        <w:t>并税前利润计算的应纳税所得额为基础，按照税务机构备案的比例在总分支机构之</w:t>
      </w:r>
      <w:r>
        <w:rPr>
          <w:w w:val="100"/>
        </w:rPr>
        <w:t> </w:t>
      </w:r>
      <w:r>
        <w:rPr>
          <w:spacing w:val="-2"/>
        </w:rPr>
        <w:t>间进行分配，然后总分支机构以分配到的应纳税所得额乘以各自适用的税率计算得</w:t>
      </w:r>
      <w:r>
        <w:rPr>
          <w:w w:val="100"/>
        </w:rPr>
        <w:t> </w:t>
      </w:r>
      <w:r>
        <w:rPr/>
        <w:t>到实际应纳所得税费用，根据其与预缴的所得税额之差额进行补缴或退税。</w:t>
      </w:r>
      <w:r>
        <w:rPr>
          <w:w w:val="100"/>
        </w:rPr>
        <w:t> </w:t>
      </w:r>
      <w:r>
        <w:rPr>
          <w:spacing w:val="-4"/>
          <w:w w:val="100"/>
        </w:rPr>
        <w:t>根据国家税务总局于</w:t>
      </w:r>
      <w:r>
        <w:rPr>
          <w:rFonts w:ascii="宋体" w:hAnsi="宋体" w:cs="宋体" w:eastAsia="宋体" w:hint="default"/>
          <w:spacing w:val="-4"/>
          <w:w w:val="100"/>
        </w:rPr>
        <w:t>2009</w:t>
      </w:r>
      <w:r>
        <w:rPr>
          <w:spacing w:val="-4"/>
          <w:w w:val="100"/>
        </w:rPr>
        <w:t>年</w:t>
      </w:r>
      <w:r>
        <w:rPr>
          <w:rFonts w:ascii="宋体" w:hAnsi="宋体" w:cs="宋体" w:eastAsia="宋体" w:hint="default"/>
          <w:spacing w:val="-4"/>
          <w:w w:val="100"/>
        </w:rPr>
        <w:t>4</w:t>
      </w:r>
      <w:r>
        <w:rPr>
          <w:spacing w:val="-4"/>
          <w:w w:val="100"/>
        </w:rPr>
        <w:t>月</w:t>
      </w:r>
      <w:r>
        <w:rPr>
          <w:rFonts w:ascii="宋体" w:hAnsi="宋体" w:cs="宋体" w:eastAsia="宋体" w:hint="default"/>
          <w:spacing w:val="-4"/>
          <w:w w:val="100"/>
        </w:rPr>
        <w:t>29</w:t>
      </w:r>
      <w:r>
        <w:rPr>
          <w:spacing w:val="-4"/>
          <w:w w:val="100"/>
        </w:rPr>
        <w:t>日颁布的《国家税务总局关于跨地区经营汇总纳税</w:t>
      </w:r>
      <w:r>
        <w:rPr>
          <w:w w:val="100"/>
        </w:rPr>
        <w:t> </w:t>
      </w:r>
      <w:r>
        <w:rPr/>
        <w:t>企业所得税征收管理若干问题的通知》</w:t>
      </w:r>
      <w:r>
        <w:rPr>
          <w:rFonts w:ascii="宋体" w:hAnsi="宋体" w:cs="宋体" w:eastAsia="宋体" w:hint="default"/>
        </w:rPr>
        <w:t>(</w:t>
      </w:r>
      <w:r>
        <w:rPr/>
        <w:t>国税函</w:t>
      </w:r>
      <w:r>
        <w:rPr>
          <w:rFonts w:ascii="宋体" w:hAnsi="宋体" w:cs="宋体" w:eastAsia="宋体" w:hint="default"/>
        </w:rPr>
        <w:t>[2009]221</w:t>
      </w:r>
      <w:r>
        <w:rPr/>
        <w:t>号</w:t>
      </w:r>
      <w:r>
        <w:rPr>
          <w:rFonts w:ascii="宋体" w:hAnsi="宋体" w:cs="宋体" w:eastAsia="宋体" w:hint="default"/>
        </w:rPr>
        <w:t>)</w:t>
      </w:r>
      <w:r>
        <w:rPr/>
        <w:t>文件的要求，本公司</w:t>
      </w:r>
    </w:p>
    <w:p>
      <w:pPr>
        <w:pStyle w:val="BodyText"/>
        <w:spacing w:line="297" w:lineRule="auto" w:before="15"/>
        <w:ind w:left="1434" w:right="0"/>
        <w:jc w:val="left"/>
      </w:pPr>
      <w:r>
        <w:rPr>
          <w:spacing w:val="-2"/>
        </w:rPr>
        <w:t>属于跨地区经营汇总纳税企业，应按照企业适用统一的税率计算并缴纳企业所得税。</w:t>
      </w:r>
      <w:r>
        <w:rPr>
          <w:spacing w:val="-44"/>
        </w:rPr>
        <w:t> </w:t>
      </w:r>
      <w:r>
        <w:rPr>
          <w:spacing w:val="-44"/>
        </w:rPr>
      </w:r>
      <w:r>
        <w:rPr/>
        <w:t>本公司于</w:t>
      </w:r>
      <w:r>
        <w:rPr>
          <w:rFonts w:ascii="宋体" w:hAnsi="宋体" w:cs="宋体" w:eastAsia="宋体" w:hint="default"/>
        </w:rPr>
        <w:t>2015</w:t>
      </w:r>
      <w:r>
        <w:rPr/>
        <w:t>年度计算企业所得税时已经按照总机构统一的税率即</w:t>
      </w:r>
      <w:r>
        <w:rPr>
          <w:rFonts w:ascii="宋体" w:hAnsi="宋体" w:cs="宋体" w:eastAsia="宋体" w:hint="default"/>
        </w:rPr>
        <w:t>15%</w:t>
      </w:r>
      <w:r>
        <w:rPr/>
        <w:t>计算并交纳</w:t>
      </w:r>
      <w:r>
        <w:rPr>
          <w:spacing w:val="-7"/>
        </w:rPr>
        <w:t> </w:t>
      </w:r>
      <w:r>
        <w:rPr>
          <w:spacing w:val="-7"/>
        </w:rPr>
      </w:r>
      <w:r>
        <w:rPr/>
        <w:t>企业所得税，因此于</w:t>
      </w:r>
      <w:r>
        <w:rPr>
          <w:rFonts w:ascii="宋体" w:hAnsi="宋体" w:cs="宋体" w:eastAsia="宋体" w:hint="default"/>
        </w:rPr>
        <w:t>2015</w:t>
      </w:r>
      <w:r>
        <w:rPr/>
        <w:t>年度，除适用不同税率的子公司外，本公司无分公司适用</w:t>
      </w:r>
      <w:r>
        <w:rPr>
          <w:w w:val="100"/>
        </w:rPr>
        <w:t> </w:t>
      </w:r>
      <w:r>
        <w:rPr/>
        <w:t>不同税率的影响。适用不同税率的子公司参见附注六。</w:t>
      </w:r>
    </w:p>
    <w:p>
      <w:pPr>
        <w:pStyle w:val="BodyText"/>
        <w:spacing w:line="297" w:lineRule="auto" w:before="16"/>
        <w:ind w:left="1590" w:right="0" w:hanging="605"/>
        <w:jc w:val="left"/>
      </w:pPr>
      <w:r>
        <w:rPr/>
        <w:t>注</w:t>
      </w:r>
      <w:r>
        <w:rPr>
          <w:rFonts w:ascii="宋体" w:hAnsi="宋体" w:cs="宋体" w:eastAsia="宋体" w:hint="default"/>
        </w:rPr>
        <w:t>3</w:t>
      </w:r>
      <w:r>
        <w:rPr/>
        <w:t>． </w:t>
      </w:r>
      <w:r>
        <w:rPr>
          <w:spacing w:val="2"/>
        </w:rPr>
        <w:t>主要为增值税退税、政府补助和收到国内企业的分红无需纳税。参见附注六、</w:t>
      </w:r>
      <w:r>
        <w:rPr>
          <w:rFonts w:ascii="宋体" w:hAnsi="宋体" w:cs="宋体" w:eastAsia="宋体" w:hint="default"/>
          <w:spacing w:val="2"/>
        </w:rPr>
        <w:t>1</w:t>
      </w:r>
      <w:r>
        <w:rPr>
          <w:rFonts w:ascii="宋体" w:hAnsi="宋体" w:cs="宋体" w:eastAsia="宋体" w:hint="default"/>
          <w:spacing w:val="-57"/>
        </w:rPr>
        <w:t> </w:t>
      </w:r>
      <w:r>
        <w:rPr/>
        <w:t>及附注七、</w:t>
      </w:r>
      <w:r>
        <w:rPr>
          <w:rFonts w:ascii="宋体" w:hAnsi="宋体" w:cs="宋体" w:eastAsia="宋体" w:hint="default"/>
        </w:rPr>
        <w:t>69</w:t>
      </w:r>
      <w:r>
        <w:rPr/>
        <w:t>。</w:t>
      </w:r>
    </w:p>
    <w:p>
      <w:pPr>
        <w:spacing w:after="0" w:line="297" w:lineRule="auto"/>
        <w:jc w:val="left"/>
        <w:sectPr>
          <w:pgSz w:w="11910" w:h="16840"/>
          <w:pgMar w:header="926" w:footer="1335" w:top="1120" w:bottom="1520" w:left="164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97" w:lineRule="auto" w:before="179"/>
        <w:ind w:left="1730" w:right="147" w:hanging="720"/>
        <w:jc w:val="both"/>
      </w:pPr>
      <w:r>
        <w:rPr>
          <w:w w:val="100"/>
        </w:rPr>
        <w:t>注</w:t>
      </w:r>
      <w:r>
        <w:rPr>
          <w:rFonts w:ascii="宋体" w:hAnsi="宋体" w:cs="宋体" w:eastAsia="宋体" w:hint="default"/>
          <w:w w:val="100"/>
        </w:rPr>
        <w:t>4</w:t>
      </w:r>
      <w:r>
        <w:rPr>
          <w:w w:val="100"/>
        </w:rPr>
        <w:t>．</w:t>
      </w:r>
      <w:r>
        <w:rPr>
          <w:spacing w:val="92"/>
          <w:w w:val="100"/>
        </w:rPr>
        <w:t> </w:t>
      </w:r>
      <w:r>
        <w:rPr>
          <w:spacing w:val="-7"/>
          <w:w w:val="100"/>
        </w:rPr>
        <w:t>根据《财政部国家税务总局关于促进企业技术进步有关财务税收问题的通知》</w:t>
      </w:r>
      <w:r>
        <w:rPr>
          <w:rFonts w:ascii="宋体" w:hAnsi="宋体" w:cs="宋体" w:eastAsia="宋体" w:hint="default"/>
          <w:spacing w:val="-7"/>
          <w:w w:val="100"/>
        </w:rPr>
        <w:t>(</w:t>
      </w:r>
      <w:r>
        <w:rPr>
          <w:spacing w:val="-7"/>
          <w:w w:val="100"/>
        </w:rPr>
        <w:t>财</w:t>
      </w:r>
      <w:r>
        <w:rPr>
          <w:w w:val="100"/>
        </w:rPr>
        <w:t> </w:t>
      </w:r>
      <w:r>
        <w:rPr>
          <w:spacing w:val="-1"/>
        </w:rPr>
        <w:t>工字</w:t>
      </w:r>
      <w:r>
        <w:rPr>
          <w:rFonts w:ascii="宋体" w:hAnsi="宋体" w:cs="宋体" w:eastAsia="宋体" w:hint="default"/>
          <w:spacing w:val="-1"/>
        </w:rPr>
        <w:t>[1996]41</w:t>
      </w:r>
      <w:r>
        <w:rPr>
          <w:spacing w:val="-1"/>
        </w:rPr>
        <w:t>号</w:t>
      </w:r>
      <w:r>
        <w:rPr>
          <w:rFonts w:ascii="宋体" w:hAnsi="宋体" w:cs="宋体" w:eastAsia="宋体" w:hint="default"/>
          <w:spacing w:val="-1"/>
        </w:rPr>
        <w:t>)</w:t>
      </w:r>
      <w:r>
        <w:rPr>
          <w:spacing w:val="-1"/>
        </w:rPr>
        <w:t>和《国家税务局关于促进企业技术进步有关税收问题的补充通</w:t>
      </w:r>
      <w:r>
        <w:rPr>
          <w:w w:val="100"/>
        </w:rPr>
        <w:t> </w:t>
      </w:r>
      <w:r>
        <w:rPr>
          <w:spacing w:val="-1"/>
        </w:rPr>
        <w:t>知》</w:t>
      </w:r>
      <w:r>
        <w:rPr>
          <w:rFonts w:ascii="宋体" w:hAnsi="宋体" w:cs="宋体" w:eastAsia="宋体" w:hint="default"/>
          <w:spacing w:val="-1"/>
        </w:rPr>
        <w:t>(</w:t>
      </w:r>
      <w:r>
        <w:rPr>
          <w:spacing w:val="-1"/>
        </w:rPr>
        <w:t>国税发</w:t>
      </w:r>
      <w:r>
        <w:rPr>
          <w:rFonts w:ascii="宋体" w:hAnsi="宋体" w:cs="宋体" w:eastAsia="宋体" w:hint="default"/>
          <w:spacing w:val="-1"/>
        </w:rPr>
        <w:t>[1996]152</w:t>
      </w:r>
      <w:r>
        <w:rPr>
          <w:spacing w:val="-1"/>
        </w:rPr>
        <w:t>号</w:t>
      </w:r>
      <w:r>
        <w:rPr>
          <w:rFonts w:ascii="宋体" w:hAnsi="宋体" w:cs="宋体" w:eastAsia="宋体" w:hint="default"/>
          <w:spacing w:val="-1"/>
        </w:rPr>
        <w:t>)</w:t>
      </w:r>
      <w:r>
        <w:rPr>
          <w:spacing w:val="-1"/>
        </w:rPr>
        <w:t>规定，盈利企业研究开发新产品、新技术、新工艺所</w:t>
      </w:r>
      <w:r>
        <w:rPr>
          <w:w w:val="100"/>
        </w:rPr>
        <w:t> </w:t>
      </w:r>
      <w:r>
        <w:rPr>
          <w:spacing w:val="-4"/>
        </w:rPr>
        <w:t>发生的各项费用，比上年实际发生额增长达到</w:t>
      </w:r>
      <w:r>
        <w:rPr>
          <w:rFonts w:ascii="宋体" w:hAnsi="宋体" w:cs="宋体" w:eastAsia="宋体" w:hint="default"/>
          <w:spacing w:val="-4"/>
        </w:rPr>
        <w:t>10%</w:t>
      </w:r>
      <w:r>
        <w:rPr>
          <w:spacing w:val="-4"/>
        </w:rPr>
        <w:t>以上</w:t>
      </w:r>
      <w:r>
        <w:rPr>
          <w:rFonts w:ascii="宋体" w:hAnsi="宋体" w:cs="宋体" w:eastAsia="宋体" w:hint="default"/>
          <w:spacing w:val="-4"/>
        </w:rPr>
        <w:t>(</w:t>
      </w:r>
      <w:r>
        <w:rPr>
          <w:spacing w:val="-4"/>
        </w:rPr>
        <w:t>含</w:t>
      </w:r>
      <w:r>
        <w:rPr>
          <w:rFonts w:ascii="宋体" w:hAnsi="宋体" w:cs="宋体" w:eastAsia="宋体" w:hint="default"/>
          <w:spacing w:val="-4"/>
        </w:rPr>
        <w:t>10%)</w:t>
      </w:r>
      <w:r>
        <w:rPr>
          <w:spacing w:val="-4"/>
        </w:rPr>
        <w:t>，其当年实际发生</w:t>
      </w:r>
      <w:r>
        <w:rPr>
          <w:w w:val="100"/>
        </w:rPr>
        <w:t> </w:t>
      </w:r>
      <w:r>
        <w:rPr>
          <w:spacing w:val="-4"/>
        </w:rPr>
        <w:t>的费用除按规定据实列支外，年终经由主管税务机关审核批准后，可再按其实际</w:t>
      </w:r>
      <w:r>
        <w:rPr>
          <w:w w:val="100"/>
        </w:rPr>
        <w:t> </w:t>
      </w:r>
      <w:r>
        <w:rPr>
          <w:spacing w:val="-1"/>
        </w:rPr>
        <w:t>发生额的</w:t>
      </w:r>
      <w:r>
        <w:rPr>
          <w:rFonts w:ascii="宋体" w:hAnsi="宋体" w:cs="宋体" w:eastAsia="宋体" w:hint="default"/>
          <w:spacing w:val="-1"/>
        </w:rPr>
        <w:t>50%</w:t>
      </w:r>
      <w:r>
        <w:rPr>
          <w:spacing w:val="-1"/>
        </w:rPr>
        <w:t>，直接抵扣当年应纳税所得额</w:t>
      </w:r>
      <w:r>
        <w:rPr>
          <w:rFonts w:ascii="宋体" w:hAnsi="宋体" w:cs="宋体" w:eastAsia="宋体" w:hint="default"/>
          <w:spacing w:val="-1"/>
        </w:rPr>
        <w:t>(</w:t>
      </w:r>
      <w:r>
        <w:rPr>
          <w:spacing w:val="-1"/>
        </w:rPr>
        <w:t>以下简称“加计扣除”)。本公司已</w:t>
      </w:r>
      <w:r>
        <w:rPr>
          <w:w w:val="100"/>
        </w:rPr>
        <w:t> </w:t>
      </w:r>
      <w:r>
        <w:rPr>
          <w:spacing w:val="2"/>
        </w:rPr>
        <w:t>于以前年度获得主管税务机关批准就本公司的研究及开发费用在税前按实际发</w:t>
      </w:r>
      <w:r>
        <w:rPr>
          <w:spacing w:val="2"/>
          <w:w w:val="100"/>
        </w:rPr>
        <w:t> </w:t>
      </w:r>
      <w:r>
        <w:rPr>
          <w:spacing w:val="-1"/>
        </w:rPr>
        <w:t>生额的</w:t>
      </w:r>
      <w:r>
        <w:rPr>
          <w:rFonts w:ascii="宋体" w:hAnsi="宋体" w:cs="宋体" w:eastAsia="宋体" w:hint="default"/>
          <w:spacing w:val="-1"/>
        </w:rPr>
        <w:t>50%</w:t>
      </w:r>
      <w:r>
        <w:rPr>
          <w:spacing w:val="-1"/>
        </w:rPr>
        <w:t>加计扣除。本公司预计</w:t>
      </w:r>
      <w:r>
        <w:rPr>
          <w:rFonts w:ascii="宋体" w:hAnsi="宋体" w:cs="宋体" w:eastAsia="宋体" w:hint="default"/>
          <w:spacing w:val="-1"/>
        </w:rPr>
        <w:t>2015</w:t>
      </w:r>
      <w:r>
        <w:rPr>
          <w:spacing w:val="-1"/>
        </w:rPr>
        <w:t>年度的加计扣除仍可获得其主管税务机关</w:t>
      </w:r>
      <w:r>
        <w:rPr>
          <w:w w:val="100"/>
        </w:rPr>
        <w:t> </w:t>
      </w:r>
      <w:r>
        <w:rPr/>
        <w:t>的批准，故本年度仍扣除与研究开发费用的</w:t>
      </w:r>
      <w:r>
        <w:rPr>
          <w:rFonts w:ascii="宋体" w:hAnsi="宋体" w:cs="宋体" w:eastAsia="宋体" w:hint="default"/>
        </w:rPr>
        <w:t>50%</w:t>
      </w:r>
      <w:r>
        <w:rPr/>
        <w:t>有关的所得税。</w:t>
      </w:r>
    </w:p>
    <w:p>
      <w:pPr>
        <w:pStyle w:val="BodyText"/>
        <w:spacing w:line="297" w:lineRule="auto" w:before="16"/>
        <w:ind w:left="1730" w:right="149" w:hanging="720"/>
        <w:jc w:val="both"/>
      </w:pPr>
      <w:r>
        <w:rPr/>
        <w:t>注</w:t>
      </w:r>
      <w:r>
        <w:rPr>
          <w:rFonts w:ascii="宋体" w:hAnsi="宋体" w:cs="宋体" w:eastAsia="宋体" w:hint="default"/>
        </w:rPr>
        <w:t>5</w:t>
      </w:r>
      <w:r>
        <w:rPr/>
        <w:t>．</w:t>
      </w:r>
      <w:r>
        <w:rPr>
          <w:spacing w:val="23"/>
        </w:rPr>
        <w:t> </w:t>
      </w:r>
      <w:r>
        <w:rPr>
          <w:spacing w:val="2"/>
        </w:rPr>
        <w:t>主要为超出按税法规定的可在税前列支标准的业务招待费、折旧及坏账准备对</w:t>
      </w:r>
      <w:r>
        <w:rPr>
          <w:spacing w:val="-101"/>
        </w:rPr>
        <w:t> </w:t>
      </w:r>
      <w:r>
        <w:rPr>
          <w:spacing w:val="-101"/>
        </w:rPr>
      </w:r>
      <w:r>
        <w:rPr/>
        <w:t>所得税费用的影响。</w:t>
      </w:r>
    </w:p>
    <w:p>
      <w:pPr>
        <w:pStyle w:val="BodyText"/>
        <w:spacing w:line="297" w:lineRule="auto" w:before="15"/>
        <w:ind w:left="1730" w:right="150" w:hanging="720"/>
        <w:jc w:val="both"/>
      </w:pPr>
      <w:r>
        <w:rPr/>
        <w:t>注</w:t>
      </w:r>
      <w:r>
        <w:rPr>
          <w:rFonts w:ascii="宋体" w:hAnsi="宋体" w:cs="宋体" w:eastAsia="宋体" w:hint="default"/>
        </w:rPr>
        <w:t>6</w:t>
      </w:r>
      <w:r>
        <w:rPr/>
        <w:t>．</w:t>
      </w:r>
      <w:r>
        <w:rPr>
          <w:spacing w:val="54"/>
        </w:rPr>
        <w:t> </w:t>
      </w:r>
      <w:r>
        <w:rPr>
          <w:spacing w:val="-5"/>
        </w:rPr>
        <w:t>根据《中华人民共和国企业所得税法》企业纳税年度发生的亏损，准予向以后年</w:t>
      </w:r>
      <w:r>
        <w:rPr>
          <w:spacing w:val="-98"/>
        </w:rPr>
        <w:t> </w:t>
      </w:r>
      <w:r>
        <w:rPr>
          <w:spacing w:val="-98"/>
        </w:rPr>
      </w:r>
      <w:r>
        <w:rPr>
          <w:spacing w:val="-5"/>
        </w:rPr>
        <w:t>度结转，用以后年度的所得弥补，但结转年限最长不得超过五年。本集团分子公</w:t>
      </w:r>
      <w:r>
        <w:rPr>
          <w:w w:val="100"/>
        </w:rPr>
        <w:t> </w:t>
      </w:r>
      <w:r>
        <w:rPr/>
        <w:t>司存在以前年度的亏损但未确认递延所得税资产，故对本年所得税产生影响。</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290" w:lineRule="auto" w:before="0"/>
        <w:ind w:left="158" w:right="7199"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1"/>
          <w:szCs w:val="21"/>
        </w:rPr>
        <w:t>详见附注七、五</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926" w:footer="1335" w:top="1120" w:bottom="1520" w:left="1640" w:right="1120"/>
        </w:sectPr>
      </w:pPr>
    </w:p>
    <w:p>
      <w:pPr>
        <w:pStyle w:val="Heading2"/>
        <w:spacing w:line="240" w:lineRule="auto"/>
        <w:ind w:left="158"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2"/>
        <w:tabs>
          <w:tab w:pos="858" w:val="left" w:leader="none"/>
        </w:tabs>
        <w:spacing w:line="240" w:lineRule="auto" w:before="58"/>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7"/>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520" w:left="1640" w:right="1120"/>
          <w:cols w:num="2" w:equalWidth="0">
            <w:col w:w="4234" w:space="2288"/>
            <w:col w:w="26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80"/>
        <w:gridCol w:w="2768"/>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政府补贴款</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48,583,860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78,576,892</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其他营业收入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112,769,087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86,903,279</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已实现的与经营相关的汇兑损益</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7,357,919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7,130,909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2,548,254</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175,841,775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168,028,425</w:t>
            </w:r>
          </w:p>
        </w:tc>
      </w:tr>
    </w:tbl>
    <w:p>
      <w:pPr>
        <w:spacing w:line="240" w:lineRule="auto" w:before="12"/>
        <w:rPr>
          <w:rFonts w:ascii="宋体" w:hAnsi="宋体" w:cs="宋体" w:eastAsia="宋体" w:hint="default"/>
          <w:sz w:val="19"/>
          <w:szCs w:val="19"/>
        </w:rPr>
      </w:pPr>
    </w:p>
    <w:p>
      <w:pPr>
        <w:pStyle w:val="BodyText"/>
        <w:spacing w:line="240" w:lineRule="auto" w:before="36"/>
        <w:ind w:left="158" w:right="145"/>
        <w:jc w:val="left"/>
      </w:pPr>
      <w:r>
        <w:rPr/>
        <w:t>收到的其他与经营活动有关的现金说明：</w:t>
      </w:r>
    </w:p>
    <w:p>
      <w:pPr>
        <w:spacing w:line="240" w:lineRule="auto" w:before="4"/>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before="36"/>
        <w:ind w:left="158" w:right="145" w:firstLine="0"/>
        <w:jc w:val="left"/>
        <w:rPr>
          <w:rFonts w:ascii="宋体" w:hAnsi="宋体" w:cs="宋体" w:eastAsia="宋体" w:hint="default"/>
          <w:sz w:val="21"/>
          <w:szCs w:val="21"/>
        </w:rPr>
      </w:pPr>
      <w:r>
        <w:rPr>
          <w:rFonts w:ascii="宋体" w:hAnsi="宋体" w:cs="宋体" w:eastAsia="宋体" w:hint="default"/>
          <w:b/>
          <w:bCs/>
          <w:sz w:val="20"/>
          <w:szCs w:val="20"/>
        </w:rPr>
        <w:t>(2).</w:t>
      </w:r>
      <w:r>
        <w:rPr>
          <w:rFonts w:ascii="宋体" w:hAnsi="宋体" w:cs="宋体" w:eastAsia="宋体" w:hint="default"/>
          <w:b/>
          <w:bCs/>
          <w:spacing w:val="-85"/>
          <w:sz w:val="20"/>
          <w:szCs w:val="20"/>
        </w:rPr>
        <w:t> </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60"/>
        <w:gridCol w:w="2787"/>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152,766,790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160,451,828</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155,150,441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120,490,315</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租赁费及物业管理费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100,289,088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76,112,162</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112,403,500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112,378,876</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119,123,937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122,902,118</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67,672,190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119,621,537</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707,405,946</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711,956,836</w:t>
            </w:r>
          </w:p>
        </w:tc>
      </w:tr>
    </w:tbl>
    <w:p>
      <w:pPr>
        <w:spacing w:after="0" w:line="243" w:lineRule="exact"/>
        <w:jc w:val="right"/>
        <w:rPr>
          <w:rFonts w:ascii="宋体" w:hAnsi="宋体" w:cs="宋体" w:eastAsia="宋体" w:hint="default"/>
          <w:sz w:val="21"/>
          <w:szCs w:val="21"/>
        </w:rPr>
        <w:sectPr>
          <w:type w:val="continuous"/>
          <w:pgSz w:w="11910" w:h="16840"/>
          <w:pgMar w:top="1120" w:bottom="1520" w:left="164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218" w:right="2465"/>
        <w:jc w:val="left"/>
      </w:pPr>
      <w:r>
        <w:rPr/>
        <w:t>支付的其他与经营活动有关的现金说明：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7"/>
          <w:szCs w:val="27"/>
        </w:rPr>
      </w:pPr>
    </w:p>
    <w:p>
      <w:pPr>
        <w:spacing w:before="36"/>
        <w:ind w:left="218" w:right="2465" w:firstLine="0"/>
        <w:jc w:val="left"/>
        <w:rPr>
          <w:rFonts w:ascii="宋体" w:hAnsi="宋体" w:cs="宋体" w:eastAsia="宋体" w:hint="default"/>
          <w:sz w:val="21"/>
          <w:szCs w:val="21"/>
        </w:rPr>
      </w:pPr>
      <w:r>
        <w:rPr>
          <w:rFonts w:ascii="宋体" w:hAnsi="宋体" w:cs="宋体" w:eastAsia="宋体" w:hint="default"/>
          <w:b/>
          <w:bCs/>
          <w:sz w:val="20"/>
          <w:szCs w:val="20"/>
        </w:rPr>
        <w:t>(3).</w:t>
      </w:r>
      <w:r>
        <w:rPr>
          <w:rFonts w:ascii="宋体" w:hAnsi="宋体" w:cs="宋体" w:eastAsia="宋体" w:hint="default"/>
          <w:b/>
          <w:bCs/>
          <w:spacing w:val="-85"/>
          <w:sz w:val="20"/>
          <w:szCs w:val="20"/>
        </w:rPr>
        <w:t> </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pStyle w:val="BodyText"/>
        <w:tabs>
          <w:tab w:pos="1051" w:val="left" w:leader="none"/>
        </w:tabs>
        <w:spacing w:line="240" w:lineRule="auto" w:before="56"/>
        <w:ind w:left="0" w:right="230"/>
        <w:jc w:val="right"/>
      </w:pPr>
      <w:r>
        <w:rPr>
          <w:spacing w:val="-1"/>
        </w:rPr>
        <w:t>单位：元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16,468,067</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7,487,786</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存款利息收入</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28,327,210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19,856,330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44,795,277</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27,344,116</w:t>
            </w:r>
          </w:p>
        </w:tc>
      </w:tr>
    </w:tbl>
    <w:p>
      <w:pPr>
        <w:pStyle w:val="BodyText"/>
        <w:spacing w:line="240" w:lineRule="auto" w:before="26"/>
        <w:ind w:left="218" w:right="2465"/>
        <w:jc w:val="left"/>
      </w:pPr>
      <w:r>
        <w:rPr/>
        <w:t>收到的其他与投资活动有关的现金说明：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before="36"/>
        <w:ind w:left="218" w:right="2465" w:firstLine="0"/>
        <w:jc w:val="left"/>
        <w:rPr>
          <w:rFonts w:ascii="宋体" w:hAnsi="宋体" w:cs="宋体" w:eastAsia="宋体" w:hint="default"/>
          <w:sz w:val="21"/>
          <w:szCs w:val="21"/>
        </w:rPr>
      </w:pPr>
      <w:r>
        <w:rPr>
          <w:rFonts w:ascii="宋体" w:hAnsi="宋体" w:cs="宋体" w:eastAsia="宋体" w:hint="default"/>
          <w:b/>
          <w:bCs/>
          <w:sz w:val="20"/>
          <w:szCs w:val="20"/>
        </w:rPr>
        <w:t>(4).</w:t>
      </w:r>
      <w:r>
        <w:rPr>
          <w:rFonts w:ascii="宋体" w:hAnsi="宋体" w:cs="宋体" w:eastAsia="宋体" w:hint="default"/>
          <w:b/>
          <w:bCs/>
          <w:spacing w:val="-86"/>
          <w:sz w:val="20"/>
          <w:szCs w:val="20"/>
        </w:rPr>
        <w:t> </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left="218" w:right="2465"/>
        <w:jc w:val="left"/>
      </w:pPr>
      <w:r>
        <w:rPr/>
        <w:t>支付的其他与投资活动有关的现金说明：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2"/>
        <w:tabs>
          <w:tab w:pos="1057" w:val="left" w:leader="none"/>
        </w:tabs>
        <w:spacing w:line="240" w:lineRule="auto"/>
        <w:ind w:right="2465"/>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left="218" w:right="2465"/>
        <w:jc w:val="left"/>
      </w:pPr>
      <w:r>
        <w:rPr/>
        <w:t>收到的其他与筹资活动有关的现金说明：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2"/>
        <w:tabs>
          <w:tab w:pos="1057" w:val="left" w:leader="none"/>
        </w:tabs>
        <w:spacing w:line="240" w:lineRule="auto"/>
        <w:ind w:right="2465"/>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51" w:val="left" w:leader="none"/>
        </w:tabs>
        <w:spacing w:line="240" w:lineRule="auto" w:before="59"/>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股票回购</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312,039,560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4,248,335</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与筹资相关的汇兑损失</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2,000,070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314,039,630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4,248,335</w:t>
            </w:r>
          </w:p>
        </w:tc>
      </w:tr>
    </w:tbl>
    <w:p>
      <w:pPr>
        <w:pStyle w:val="BodyText"/>
        <w:spacing w:line="240" w:lineRule="auto" w:before="26"/>
        <w:ind w:left="218" w:right="2465"/>
        <w:jc w:val="left"/>
      </w:pPr>
      <w:r>
        <w:rPr/>
        <w:t>支付的其他与筹资活动有关的现金说明：</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926" w:footer="1335" w:top="1120" w:bottom="1520" w:left="1580" w:right="1040"/>
        </w:sectPr>
      </w:pPr>
    </w:p>
    <w:p>
      <w:pPr>
        <w:pStyle w:val="Heading2"/>
        <w:spacing w:line="290" w:lineRule="auto"/>
        <w:ind w:right="-18"/>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5"/>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2623" w:space="3898"/>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52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342,992,489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569,555,393</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112,015,995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90,074,801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83,636,096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71,257,966</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50,727,145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29,578,968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14,134,788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12,849,304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-460,237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55,089</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1,705,998</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91,556,585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82,506,957</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-180,651,535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-25,435,198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-3,844,422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298,021</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8,710,461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-471,658</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-102,448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-371,684</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-240,481,098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-264,625,851</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107,263,645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169,898,501</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162,511,996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69,131,600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549,715,458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804,302,209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3,836,031,027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2,929,397,594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2,929,397,594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2,076,851,106</w:t>
            </w: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906,633,433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852,546,488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9"/>
          <w:pgSz w:w="11910" w:h="16840"/>
          <w:pgMar w:header="926" w:footer="1335" w:top="1120" w:bottom="1520" w:left="1580" w:right="1040"/>
        </w:sectPr>
      </w:pPr>
    </w:p>
    <w:p>
      <w:pPr>
        <w:spacing w:before="36"/>
        <w:ind w:left="218" w:right="-18" w:firstLine="0"/>
        <w:jc w:val="left"/>
        <w:rPr>
          <w:rFonts w:ascii="宋体" w:hAnsi="宋体" w:cs="宋体" w:eastAsia="宋体" w:hint="default"/>
          <w:sz w:val="21"/>
          <w:szCs w:val="21"/>
        </w:rPr>
      </w:pPr>
      <w:r>
        <w:rPr>
          <w:rFonts w:ascii="宋体" w:hAnsi="宋体" w:cs="宋体" w:eastAsia="宋体" w:hint="default"/>
          <w:b/>
          <w:bCs/>
          <w:sz w:val="20"/>
          <w:szCs w:val="20"/>
        </w:rPr>
        <w:t>(2)</w:t>
      </w:r>
      <w:r>
        <w:rPr>
          <w:rFonts w:ascii="宋体" w:hAnsi="宋体" w:cs="宋体" w:eastAsia="宋体" w:hint="default"/>
          <w:b/>
          <w:bCs/>
          <w:spacing w:val="20"/>
          <w:sz w:val="20"/>
          <w:szCs w:val="20"/>
        </w:rPr>
        <w:t> </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3807" w:space="271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286"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100,000,000</w:t>
            </w: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26,617,036</w:t>
            </w: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bl>
    <w:p>
      <w:pPr>
        <w:spacing w:after="0"/>
        <w:sectPr>
          <w:type w:val="continuous"/>
          <w:pgSz w:w="11910" w:h="16840"/>
          <w:pgMar w:top="1120" w:bottom="152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17"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left="1966" w:right="0"/>
              <w:jc w:val="left"/>
              <w:rPr>
                <w:rFonts w:ascii="宋体" w:hAnsi="宋体" w:cs="宋体" w:eastAsia="宋体" w:hint="default"/>
                <w:sz w:val="21"/>
                <w:szCs w:val="21"/>
              </w:rPr>
            </w:pPr>
            <w:r>
              <w:rPr>
                <w:rFonts w:ascii="宋体"/>
                <w:sz w:val="21"/>
              </w:rPr>
              <w:t>73,382,964</w:t>
            </w:r>
          </w:p>
        </w:tc>
      </w:tr>
    </w:tbl>
    <w:p>
      <w:pPr>
        <w:pStyle w:val="BodyText"/>
        <w:spacing w:line="241" w:lineRule="exact"/>
        <w:ind w:left="218" w:right="2465"/>
        <w:jc w:val="left"/>
        <w:rPr>
          <w:rFonts w:ascii="宋体" w:hAnsi="宋体" w:cs="宋体" w:eastAsia="宋体" w:hint="default"/>
        </w:rPr>
      </w:pPr>
      <w:r>
        <w:rPr/>
        <w:t>其他说明</w:t>
      </w:r>
      <w:r>
        <w:rPr>
          <w:rFonts w:ascii="宋体" w:hAnsi="宋体" w:cs="宋体" w:eastAsia="宋体" w:hint="default"/>
        </w:rPr>
        <w:t>:</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6" w:footer="1335" w:top="1120" w:bottom="1520" w:left="1580" w:right="1040"/>
        </w:sectPr>
      </w:pPr>
    </w:p>
    <w:p>
      <w:pPr>
        <w:spacing w:before="36"/>
        <w:ind w:left="218" w:right="-18" w:firstLine="0"/>
        <w:jc w:val="left"/>
        <w:rPr>
          <w:rFonts w:ascii="宋体" w:hAnsi="宋体" w:cs="宋体" w:eastAsia="宋体" w:hint="default"/>
          <w:sz w:val="21"/>
          <w:szCs w:val="21"/>
        </w:rPr>
      </w:pPr>
      <w:r>
        <w:rPr>
          <w:rFonts w:ascii="宋体" w:hAnsi="宋体" w:cs="宋体" w:eastAsia="宋体" w:hint="default"/>
          <w:b/>
          <w:bCs/>
          <w:sz w:val="20"/>
          <w:szCs w:val="20"/>
        </w:rPr>
        <w:t>(3)</w:t>
      </w:r>
      <w:r>
        <w:rPr>
          <w:rFonts w:ascii="宋体" w:hAnsi="宋体" w:cs="宋体" w:eastAsia="宋体" w:hint="default"/>
          <w:b/>
          <w:bCs/>
          <w:spacing w:val="20"/>
          <w:sz w:val="20"/>
          <w:szCs w:val="20"/>
        </w:rPr>
        <w:t> </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3807" w:space="271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289"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6,700,000</w:t>
            </w:r>
          </w:p>
        </w:tc>
      </w:tr>
      <w:tr>
        <w:trPr>
          <w:trHeight w:val="286"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198,506</w:t>
            </w:r>
          </w:p>
        </w:tc>
      </w:tr>
      <w:tr>
        <w:trPr>
          <w:trHeight w:val="286"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05" w:type="dxa"/>
            <w:tcBorders>
              <w:top w:val="single" w:sz="6" w:space="0" w:color="000000"/>
              <w:left w:val="single" w:sz="4" w:space="0" w:color="000000"/>
              <w:bottom w:val="single" w:sz="6" w:space="0" w:color="000000"/>
              <w:right w:val="single" w:sz="6" w:space="0" w:color="000000"/>
            </w:tcBorders>
          </w:tcPr>
          <w:p>
            <w:pPr/>
          </w:p>
        </w:tc>
        <w:tc>
          <w:tcPr>
            <w:tcW w:w="314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05"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6,501,494</w:t>
            </w:r>
          </w:p>
        </w:tc>
      </w:tr>
    </w:tbl>
    <w:p>
      <w:pPr>
        <w:pStyle w:val="BodyText"/>
        <w:spacing w:line="241" w:lineRule="exact"/>
        <w:ind w:left="218" w:right="2465"/>
        <w:jc w:val="left"/>
        <w:rPr>
          <w:rFonts w:ascii="宋体" w:hAnsi="宋体" w:cs="宋体" w:eastAsia="宋体" w:hint="default"/>
        </w:rPr>
      </w:pPr>
      <w:r>
        <w:rPr/>
        <w:t>其他说明</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before="37"/>
        <w:ind w:left="218" w:right="2465" w:firstLine="0"/>
        <w:jc w:val="left"/>
        <w:rPr>
          <w:rFonts w:ascii="宋体" w:hAnsi="宋体" w:cs="宋体" w:eastAsia="宋体" w:hint="default"/>
          <w:sz w:val="21"/>
          <w:szCs w:val="21"/>
        </w:rPr>
      </w:pPr>
      <w:r>
        <w:rPr>
          <w:rFonts w:ascii="宋体" w:hAnsi="宋体" w:cs="宋体" w:eastAsia="宋体" w:hint="default"/>
          <w:b/>
          <w:bCs/>
          <w:sz w:val="20"/>
          <w:szCs w:val="20"/>
        </w:rPr>
        <w:t>(4)</w:t>
      </w:r>
      <w:r>
        <w:rPr>
          <w:rFonts w:ascii="宋体" w:hAnsi="宋体" w:cs="宋体" w:eastAsia="宋体" w:hint="default"/>
          <w:b/>
          <w:bCs/>
          <w:spacing w:val="21"/>
          <w:sz w:val="20"/>
          <w:szCs w:val="20"/>
        </w:rPr>
        <w:t> </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3,836,031,027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2,929,397,594</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5,923,898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3,851,131</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3,830,107,129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2,925,546,463</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3,836,031,027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2,929,397,594</w:t>
            </w:r>
          </w:p>
        </w:tc>
      </w:tr>
      <w:tr>
        <w:trPr>
          <w:trHeight w:val="557"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218" w:right="2465"/>
        <w:jc w:val="left"/>
      </w:pPr>
      <w:r>
        <w:rPr/>
        <w:t>其他说明：</w:t>
      </w:r>
    </w:p>
    <w:p>
      <w:pPr>
        <w:spacing w:line="240" w:lineRule="auto" w:before="4"/>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520" w:left="1580" w:right="1040"/>
        </w:sectPr>
      </w:pPr>
    </w:p>
    <w:p>
      <w:pPr>
        <w:spacing w:line="240" w:lineRule="auto" w:before="1"/>
        <w:rPr>
          <w:rFonts w:ascii="宋体" w:hAnsi="宋体" w:cs="宋体" w:eastAsia="宋体" w:hint="default"/>
          <w:sz w:val="25"/>
          <w:szCs w:val="25"/>
        </w:rPr>
      </w:pPr>
    </w:p>
    <w:p>
      <w:pPr>
        <w:spacing w:line="290" w:lineRule="auto" w:before="36"/>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spacing w:line="240" w:lineRule="auto" w:before="4"/>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6" w:footer="1335" w:top="1120" w:bottom="1520" w:left="1580" w:right="1040"/>
        </w:sectPr>
      </w:pPr>
    </w:p>
    <w:p>
      <w:pPr>
        <w:pStyle w:val="Heading2"/>
        <w:spacing w:line="240" w:lineRule="auto"/>
        <w:ind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29"/>
          <w:szCs w:val="29"/>
        </w:rPr>
      </w:pPr>
    </w:p>
    <w:p>
      <w:pPr>
        <w:tabs>
          <w:tab w:pos="1216" w:val="left" w:leader="none"/>
        </w:tabs>
        <w:spacing w:before="0"/>
        <w:ind w:left="218"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20" w:bottom="1520" w:left="1580" w:right="1040"/>
          <w:cols w:num="2" w:equalWidth="0">
            <w:col w:w="3675" w:space="2957"/>
            <w:col w:w="2658"/>
          </w:cols>
        </w:sectPr>
      </w:pPr>
    </w:p>
    <w:p>
      <w:pPr>
        <w:spacing w:line="240" w:lineRule="auto" w:before="3"/>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7"/>
        <w:gridCol w:w="3046"/>
        <w:gridCol w:w="2693"/>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43,016,974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hAnsi="宋体" w:cs="宋体" w:eastAsia="宋体" w:hint="default"/>
                <w:spacing w:val="-1"/>
                <w:sz w:val="21"/>
                <w:szCs w:val="21"/>
              </w:rPr>
              <w:t>履约保证金</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7"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117,138,964</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hAnsi="宋体" w:cs="宋体" w:eastAsia="宋体" w:hint="default"/>
                <w:spacing w:val="-2"/>
                <w:sz w:val="21"/>
                <w:szCs w:val="21"/>
              </w:rPr>
              <w:t>取得银行借款抵押</w:t>
            </w:r>
          </w:p>
        </w:tc>
      </w:tr>
      <w:tr>
        <w:trPr>
          <w:trHeight w:val="288"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399,698,237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取得银行借款抵押</w:t>
            </w:r>
          </w:p>
        </w:tc>
      </w:tr>
      <w:tr>
        <w:trPr>
          <w:trHeight w:val="288" w:hRule="exact"/>
        </w:trPr>
        <w:tc>
          <w:tcPr>
            <w:tcW w:w="3157" w:type="dxa"/>
            <w:tcBorders>
              <w:top w:val="single" w:sz="6" w:space="0" w:color="000000"/>
              <w:left w:val="single" w:sz="6" w:space="0" w:color="000000"/>
              <w:bottom w:val="single" w:sz="4" w:space="0" w:color="000000"/>
              <w:right w:val="single" w:sz="6" w:space="0" w:color="000000"/>
            </w:tcBorders>
          </w:tcPr>
          <w:p>
            <w:pPr/>
          </w:p>
        </w:tc>
        <w:tc>
          <w:tcPr>
            <w:tcW w:w="3046"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559,854,175</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pStyle w:val="BodyText"/>
        <w:spacing w:line="240" w:lineRule="auto" w:before="26"/>
        <w:ind w:left="218" w:right="2465"/>
        <w:jc w:val="left"/>
      </w:pPr>
      <w:r>
        <w:rPr/>
        <w:t>其他说明：</w:t>
      </w:r>
    </w:p>
    <w:p>
      <w:pPr>
        <w:spacing w:line="240" w:lineRule="auto" w:before="11"/>
        <w:rPr>
          <w:rFonts w:ascii="宋体" w:hAnsi="宋体" w:cs="宋体" w:eastAsia="宋体" w:hint="default"/>
          <w:sz w:val="25"/>
          <w:szCs w:val="25"/>
        </w:rPr>
      </w:pPr>
    </w:p>
    <w:p>
      <w:pPr>
        <w:spacing w:line="20" w:lineRule="exact"/>
        <w:ind w:left="939"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520" w:left="1580" w:right="1040"/>
        </w:sectPr>
      </w:pPr>
    </w:p>
    <w:p>
      <w:pPr>
        <w:pStyle w:val="Heading2"/>
        <w:spacing w:line="240" w:lineRule="auto"/>
        <w:ind w:right="-20"/>
        <w:jc w:val="left"/>
        <w:rPr>
          <w:b w:val="0"/>
          <w:bCs w:val="0"/>
        </w:rPr>
      </w:pPr>
      <w:r>
        <w:rPr>
          <w:rFonts w:ascii="宋体" w:hAnsi="宋体" w:cs="宋体" w:eastAsia="宋体" w:hint="default"/>
        </w:rPr>
        <w:t>77</w:t>
      </w:r>
      <w:r>
        <w:rPr/>
        <w:t>、</w:t>
      </w:r>
      <w:r>
        <w:rPr>
          <w:spacing w:val="-24"/>
        </w:rPr>
        <w:t> </w:t>
      </w:r>
      <w:r>
        <w:rPr/>
        <w:t>外币货币性项目</w:t>
      </w:r>
      <w:r>
        <w:rPr>
          <w:b w:val="0"/>
          <w:bCs w:val="0"/>
        </w:rPr>
      </w:r>
    </w:p>
    <w:p>
      <w:pPr>
        <w:pStyle w:val="BodyText"/>
        <w:spacing w:line="240" w:lineRule="auto" w:before="56"/>
        <w:ind w:left="218" w:right="-20"/>
        <w:jc w:val="left"/>
      </w:pPr>
      <w:r>
        <w:rPr/>
        <w:t>√适用</w:t>
      </w:r>
      <w:r>
        <w:rPr>
          <w:spacing w:val="-1"/>
        </w:rPr>
        <w:t> </w:t>
      </w:r>
      <w:r>
        <w:rPr/>
        <w:t>□不适用</w:t>
      </w:r>
    </w:p>
    <w:p>
      <w:pPr>
        <w:spacing w:before="58"/>
        <w:ind w:left="218" w:right="-2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3"/>
          <w:sz w:val="20"/>
          <w:szCs w:val="20"/>
        </w:rPr>
        <w:t> </w:t>
      </w:r>
      <w:r>
        <w:rPr>
          <w:rFonts w:ascii="宋体" w:hAnsi="宋体" w:cs="宋体" w:eastAsia="宋体" w:hint="default"/>
          <w:b/>
          <w:bCs/>
          <w:sz w:val="21"/>
          <w:szCs w:val="21"/>
        </w:rPr>
        <w:t>外币货币性项目</w:t>
      </w:r>
      <w:r>
        <w:rPr>
          <w:rFonts w:ascii="宋体" w:hAnsi="宋体" w:cs="宋体" w:eastAsia="宋体" w:hint="default"/>
          <w:sz w:val="20"/>
          <w:szCs w:val="2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0"/>
        <w:ind w:left="218" w:right="0" w:firstLine="0"/>
        <w:jc w:val="left"/>
        <w:rPr>
          <w:rFonts w:ascii="宋体" w:hAnsi="宋体" w:cs="宋体" w:eastAsia="宋体" w:hint="default"/>
          <w:sz w:val="20"/>
          <w:szCs w:val="20"/>
        </w:rPr>
      </w:pPr>
      <w:r>
        <w:rPr>
          <w:rFonts w:ascii="宋体" w:hAnsi="宋体" w:cs="宋体" w:eastAsia="宋体" w:hint="default"/>
          <w:sz w:val="20"/>
          <w:szCs w:val="20"/>
        </w:rPr>
        <w:t>单位：元</w:t>
      </w:r>
    </w:p>
    <w:p>
      <w:pPr>
        <w:spacing w:after="0"/>
        <w:jc w:val="left"/>
        <w:rPr>
          <w:rFonts w:ascii="宋体" w:hAnsi="宋体" w:cs="宋体" w:eastAsia="宋体" w:hint="default"/>
          <w:sz w:val="20"/>
          <w:szCs w:val="20"/>
        </w:rPr>
        <w:sectPr>
          <w:type w:val="continuous"/>
          <w:pgSz w:w="11910" w:h="16840"/>
          <w:pgMar w:top="1120" w:bottom="1520" w:left="1580" w:right="1040"/>
          <w:cols w:num="2" w:equalWidth="0">
            <w:col w:w="2316" w:space="5718"/>
            <w:col w:w="1256"/>
          </w:cols>
        </w:sectPr>
      </w:pPr>
    </w:p>
    <w:p>
      <w:pPr>
        <w:spacing w:line="240" w:lineRule="auto" w:before="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2,854,445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18,535,624</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10,728,997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0.8378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8,988,754</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1,438,497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0.0539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77,535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1,916,911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4.5875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8,793,829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澳门元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9,020,935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0.8133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7,336,726</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马来西亚令吉</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1,147,306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1.514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1,737,021</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33,584,648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0.197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6,616,176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52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2897"/>
        <w:gridCol w:w="2050"/>
        <w:gridCol w:w="2057"/>
        <w:gridCol w:w="2045"/>
      </w:tblGrid>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82" w:right="0"/>
              <w:jc w:val="left"/>
              <w:rPr>
                <w:rFonts w:ascii="宋体" w:hAnsi="宋体" w:cs="宋体" w:eastAsia="宋体" w:hint="default"/>
                <w:sz w:val="21"/>
                <w:szCs w:val="21"/>
              </w:rPr>
            </w:pPr>
            <w:r>
              <w:rPr>
                <w:rFonts w:ascii="宋体"/>
                <w:sz w:val="21"/>
              </w:rPr>
              <w:t>176,737,000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15" w:right="0"/>
              <w:jc w:val="left"/>
              <w:rPr>
                <w:rFonts w:ascii="宋体" w:hAnsi="宋体" w:cs="宋体" w:eastAsia="宋体" w:hint="default"/>
                <w:sz w:val="21"/>
                <w:szCs w:val="21"/>
              </w:rPr>
            </w:pPr>
            <w:r>
              <w:rPr>
                <w:rFonts w:ascii="宋体"/>
                <w:sz w:val="21"/>
              </w:rPr>
              <w:t>7.0952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67" w:right="0"/>
              <w:jc w:val="left"/>
              <w:rPr>
                <w:rFonts w:ascii="宋体" w:hAnsi="宋体" w:cs="宋体" w:eastAsia="宋体" w:hint="default"/>
                <w:sz w:val="21"/>
                <w:szCs w:val="21"/>
              </w:rPr>
            </w:pPr>
            <w:r>
              <w:rPr>
                <w:rFonts w:ascii="宋体"/>
                <w:sz w:val="21"/>
              </w:rPr>
              <w:t>1,253,984,362</w:t>
            </w:r>
          </w:p>
        </w:tc>
      </w:tr>
    </w:tbl>
    <w:p>
      <w:pPr>
        <w:spacing w:line="240" w:lineRule="auto" w:before="2"/>
        <w:rPr>
          <w:rFonts w:ascii="宋体" w:hAnsi="宋体" w:cs="宋体" w:eastAsia="宋体" w:hint="default"/>
          <w:sz w:val="20"/>
          <w:szCs w:val="20"/>
        </w:rPr>
      </w:pPr>
    </w:p>
    <w:p>
      <w:pPr>
        <w:pStyle w:val="BodyText"/>
        <w:spacing w:line="240" w:lineRule="auto" w:before="36"/>
        <w:ind w:left="538" w:right="3915"/>
        <w:jc w:val="left"/>
      </w:pPr>
      <w:r>
        <w:rPr/>
        <w:t>其他说明：</w:t>
      </w:r>
    </w:p>
    <w:p>
      <w:pPr>
        <w:spacing w:line="240" w:lineRule="auto" w:before="3"/>
        <w:rPr>
          <w:rFonts w:ascii="宋体" w:hAnsi="宋体" w:cs="宋体" w:eastAsia="宋体" w:hint="default"/>
          <w:sz w:val="25"/>
          <w:szCs w:val="25"/>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tabs>
          <w:tab w:pos="1238" w:val="left" w:leader="none"/>
        </w:tabs>
        <w:spacing w:line="240" w:lineRule="auto"/>
        <w:ind w:left="95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56"/>
        <w:ind w:left="538" w:right="391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538" w:right="3915"/>
        <w:jc w:val="left"/>
        <w:rPr>
          <w:b w:val="0"/>
          <w:bCs w:val="0"/>
        </w:rPr>
      </w:pPr>
      <w:r>
        <w:rPr>
          <w:rFonts w:ascii="宋体" w:hAnsi="宋体" w:cs="宋体" w:eastAsia="宋体" w:hint="default"/>
        </w:rPr>
        <w:t>78</w:t>
      </w:r>
      <w:r>
        <w:rPr/>
        <w:t>、</w:t>
      </w:r>
      <w:r>
        <w:rPr>
          <w:spacing w:val="-26"/>
        </w:rPr>
        <w:t> </w:t>
      </w:r>
      <w:r>
        <w:rPr/>
        <w:t>套期</w:t>
      </w:r>
      <w:r>
        <w:rPr>
          <w:b w:val="0"/>
          <w:bCs w:val="0"/>
        </w:rPr>
      </w:r>
    </w:p>
    <w:p>
      <w:pPr>
        <w:pStyle w:val="BodyText"/>
        <w:spacing w:line="240" w:lineRule="auto" w:before="58"/>
        <w:ind w:left="538" w:right="391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2"/>
        <w:spacing w:line="240" w:lineRule="auto" w:before="0"/>
        <w:ind w:left="538" w:right="3915"/>
        <w:jc w:val="left"/>
        <w:rPr>
          <w:b w:val="0"/>
          <w:bCs w:val="0"/>
        </w:rPr>
      </w:pPr>
      <w:r>
        <w:rPr>
          <w:rFonts w:ascii="宋体" w:hAnsi="宋体" w:cs="宋体" w:eastAsia="宋体" w:hint="default"/>
        </w:rPr>
        <w:t>79</w:t>
      </w:r>
      <w:r>
        <w:rPr/>
        <w:t>、</w:t>
      </w:r>
      <w:r>
        <w:rPr>
          <w:spacing w:val="-26"/>
        </w:rPr>
        <w:t> </w:t>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926" w:footer="1335" w:top="1120" w:bottom="1520" w:left="1260" w:right="1040"/>
        </w:sectPr>
      </w:pPr>
    </w:p>
    <w:p>
      <w:pPr>
        <w:pStyle w:val="Heading2"/>
        <w:spacing w:line="240" w:lineRule="auto"/>
        <w:ind w:left="538" w:right="-4"/>
        <w:jc w:val="left"/>
        <w:rPr>
          <w:b w:val="0"/>
          <w:bCs w:val="0"/>
        </w:rPr>
      </w:pPr>
      <w:r>
        <w:rPr/>
        <w:t>八、合并范围的变更</w:t>
      </w:r>
      <w:r>
        <w:rPr>
          <w:b w:val="0"/>
          <w:bCs w:val="0"/>
        </w:rPr>
      </w:r>
    </w:p>
    <w:p>
      <w:pPr>
        <w:pStyle w:val="Heading2"/>
        <w:spacing w:line="240" w:lineRule="auto" w:before="58"/>
        <w:ind w:left="538" w:right="-4"/>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538" w:right="-4"/>
        <w:jc w:val="left"/>
      </w:pPr>
      <w:r>
        <w:rPr/>
        <w:t>□适用</w:t>
      </w:r>
      <w:r>
        <w:rPr>
          <w:spacing w:val="-1"/>
        </w:rPr>
        <w:t> </w:t>
      </w:r>
      <w:r>
        <w:rPr/>
        <w:t>□不适用</w:t>
      </w:r>
    </w:p>
    <w:p>
      <w:pPr>
        <w:pStyle w:val="Heading2"/>
        <w:tabs>
          <w:tab w:pos="1195" w:val="left" w:leader="none"/>
        </w:tabs>
        <w:spacing w:line="240" w:lineRule="auto" w:before="58"/>
        <w:ind w:left="538"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56"/>
        <w:ind w:left="53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520" w:left="1260" w:right="1040"/>
          <w:cols w:num="2" w:equalWidth="0">
            <w:col w:w="4359" w:space="2162"/>
            <w:col w:w="3089"/>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06"/>
        <w:gridCol w:w="835"/>
        <w:gridCol w:w="1373"/>
        <w:gridCol w:w="816"/>
        <w:gridCol w:w="833"/>
        <w:gridCol w:w="795"/>
        <w:gridCol w:w="974"/>
        <w:gridCol w:w="1268"/>
        <w:gridCol w:w="1370"/>
      </w:tblGrid>
      <w:tr>
        <w:trPr>
          <w:trHeight w:val="1104" w:hRule="exact"/>
        </w:trPr>
        <w:tc>
          <w:tcPr>
            <w:tcW w:w="11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38" w:right="122" w:hanging="212"/>
              <w:jc w:val="left"/>
              <w:rPr>
                <w:rFonts w:ascii="宋体" w:hAnsi="宋体" w:cs="宋体" w:eastAsia="宋体" w:hint="default"/>
                <w:sz w:val="21"/>
                <w:szCs w:val="21"/>
              </w:rPr>
            </w:pPr>
            <w:r>
              <w:rPr>
                <w:rFonts w:ascii="宋体" w:hAnsi="宋体" w:cs="宋体" w:eastAsia="宋体" w:hint="default"/>
                <w:sz w:val="21"/>
                <w:szCs w:val="21"/>
              </w:rPr>
              <w:t>被购买方</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99" w:right="197"/>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时点</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71" w:right="152" w:hanging="421"/>
              <w:jc w:val="left"/>
              <w:rPr>
                <w:rFonts w:ascii="宋体" w:hAnsi="宋体" w:cs="宋体" w:eastAsia="宋体" w:hint="default"/>
                <w:sz w:val="21"/>
                <w:szCs w:val="21"/>
              </w:rPr>
            </w:pPr>
            <w:r>
              <w:rPr>
                <w:rFonts w:ascii="宋体" w:hAnsi="宋体" w:cs="宋体" w:eastAsia="宋体" w:hint="default"/>
                <w:sz w:val="21"/>
                <w:szCs w:val="21"/>
              </w:rPr>
              <w:t>股权取得成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股权</w:t>
            </w:r>
          </w:p>
          <w:p>
            <w:pPr>
              <w:pStyle w:val="TableParagraph"/>
              <w:spacing w:line="272" w:lineRule="exact" w:before="27"/>
              <w:ind w:left="189" w:right="187"/>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49" w:lineRule="exact"/>
              <w:ind w:left="13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99" w:right="194"/>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83" w:right="175" w:hanging="104"/>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63" w:right="161"/>
              <w:jc w:val="both"/>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spacing w:val="-102"/>
                <w:sz w:val="21"/>
                <w:szCs w:val="21"/>
              </w:rPr>
              <w:t> </w:t>
            </w:r>
            <w:r>
              <w:rPr>
                <w:rFonts w:ascii="宋体" w:hAnsi="宋体" w:cs="宋体" w:eastAsia="宋体" w:hint="default"/>
                <w:sz w:val="21"/>
                <w:szCs w:val="21"/>
              </w:rPr>
              <w:t>的确定</w:t>
            </w:r>
            <w:r>
              <w:rPr>
                <w:rFonts w:ascii="宋体" w:hAnsi="宋体" w:cs="宋体" w:eastAsia="宋体" w:hint="default"/>
                <w:spacing w:val="-102"/>
                <w:sz w:val="21"/>
                <w:szCs w:val="21"/>
              </w:rPr>
              <w:t> </w:t>
            </w:r>
            <w:r>
              <w:rPr>
                <w:rFonts w:ascii="宋体" w:hAnsi="宋体" w:cs="宋体" w:eastAsia="宋体" w:hint="default"/>
                <w:sz w:val="21"/>
                <w:szCs w:val="21"/>
              </w:rPr>
              <w:t>依据</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96"/>
              <w:jc w:val="center"/>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w w:val="100"/>
                <w:sz w:val="21"/>
                <w:szCs w:val="21"/>
              </w:rPr>
              <w:t> </w:t>
            </w:r>
            <w:r>
              <w:rPr>
                <w:rFonts w:ascii="宋体" w:hAnsi="宋体" w:cs="宋体" w:eastAsia="宋体" w:hint="default"/>
                <w:sz w:val="21"/>
                <w:szCs w:val="21"/>
              </w:rPr>
              <w:t>末被购买方</w:t>
            </w:r>
            <w:r>
              <w:rPr>
                <w:rFonts w:ascii="宋体" w:hAnsi="宋体" w:cs="宋体" w:eastAsia="宋体" w:hint="default"/>
                <w:w w:val="100"/>
                <w:sz w:val="21"/>
                <w:szCs w:val="21"/>
              </w:rPr>
              <w:t> </w:t>
            </w:r>
            <w:r>
              <w:rPr>
                <w:rFonts w:ascii="宋体" w:hAnsi="宋体" w:cs="宋体" w:eastAsia="宋体" w:hint="default"/>
                <w:sz w:val="21"/>
                <w:szCs w:val="21"/>
              </w:rPr>
              <w:t>的收入</w:t>
            </w:r>
          </w:p>
        </w:tc>
        <w:tc>
          <w:tcPr>
            <w:tcW w:w="1370" w:type="dxa"/>
            <w:tcBorders>
              <w:top w:val="single" w:sz="6" w:space="0" w:color="000000"/>
              <w:left w:val="single" w:sz="6" w:space="0" w:color="000000"/>
              <w:bottom w:val="single" w:sz="6" w:space="0" w:color="000000"/>
              <w:right w:val="single" w:sz="4" w:space="0" w:color="000000"/>
            </w:tcBorders>
          </w:tcPr>
          <w:p>
            <w:pPr>
              <w:pStyle w:val="TableParagraph"/>
              <w:spacing w:line="237" w:lineRule="auto" w:before="105"/>
              <w:ind w:left="148" w:right="153"/>
              <w:jc w:val="both"/>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末被购买方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w:t>
            </w:r>
          </w:p>
        </w:tc>
      </w:tr>
      <w:tr>
        <w:trPr>
          <w:trHeight w:val="833" w:hRule="exact"/>
        </w:trPr>
        <w:tc>
          <w:tcPr>
            <w:tcW w:w="110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秉钧网络</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125,000,000</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sz w:val="21"/>
              </w:rPr>
              <w:t>62.5%</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2015</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7</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制权</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26,440,593</w:t>
            </w:r>
          </w:p>
        </w:tc>
        <w:tc>
          <w:tcPr>
            <w:tcW w:w="137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sz w:val="21"/>
              </w:rPr>
              <w:t>-17,097,645</w:t>
            </w:r>
          </w:p>
        </w:tc>
      </w:tr>
      <w:tr>
        <w:trPr>
          <w:trHeight w:val="307" w:hRule="exact"/>
        </w:trPr>
        <w:tc>
          <w:tcPr>
            <w:tcW w:w="1106" w:type="dxa"/>
            <w:tcBorders>
              <w:top w:val="single" w:sz="6" w:space="0" w:color="000000"/>
              <w:left w:val="single" w:sz="4" w:space="0" w:color="000000"/>
              <w:bottom w:val="single" w:sz="4" w:space="0" w:color="000000"/>
              <w:right w:val="single" w:sz="6" w:space="0" w:color="000000"/>
            </w:tcBorders>
          </w:tcPr>
          <w:p>
            <w:pPr/>
          </w:p>
        </w:tc>
        <w:tc>
          <w:tcPr>
            <w:tcW w:w="835" w:type="dxa"/>
            <w:tcBorders>
              <w:top w:val="single" w:sz="6" w:space="0" w:color="000000"/>
              <w:left w:val="single" w:sz="6" w:space="0" w:color="000000"/>
              <w:bottom w:val="single" w:sz="4" w:space="0" w:color="000000"/>
              <w:right w:val="single" w:sz="6" w:space="0" w:color="000000"/>
            </w:tcBorders>
          </w:tcPr>
          <w:p>
            <w:pPr/>
          </w:p>
        </w:tc>
        <w:tc>
          <w:tcPr>
            <w:tcW w:w="1373" w:type="dxa"/>
            <w:tcBorders>
              <w:top w:val="single" w:sz="6" w:space="0" w:color="000000"/>
              <w:left w:val="single" w:sz="6" w:space="0" w:color="000000"/>
              <w:bottom w:val="single" w:sz="4" w:space="0" w:color="000000"/>
              <w:right w:val="single" w:sz="6" w:space="0" w:color="000000"/>
            </w:tcBorders>
          </w:tcPr>
          <w:p>
            <w:pPr/>
          </w:p>
        </w:tc>
        <w:tc>
          <w:tcPr>
            <w:tcW w:w="816" w:type="dxa"/>
            <w:tcBorders>
              <w:top w:val="single" w:sz="6" w:space="0" w:color="000000"/>
              <w:left w:val="single" w:sz="6" w:space="0" w:color="000000"/>
              <w:bottom w:val="single" w:sz="4" w:space="0" w:color="000000"/>
              <w:right w:val="single" w:sz="6" w:space="0" w:color="000000"/>
            </w:tcBorders>
          </w:tcPr>
          <w:p>
            <w:pPr/>
          </w:p>
        </w:tc>
        <w:tc>
          <w:tcPr>
            <w:tcW w:w="833" w:type="dxa"/>
            <w:tcBorders>
              <w:top w:val="single" w:sz="6" w:space="0" w:color="000000"/>
              <w:left w:val="single" w:sz="6" w:space="0" w:color="000000"/>
              <w:bottom w:val="single" w:sz="4" w:space="0" w:color="000000"/>
              <w:right w:val="single" w:sz="6" w:space="0" w:color="000000"/>
            </w:tcBorders>
          </w:tcPr>
          <w:p>
            <w:pPr/>
          </w:p>
        </w:tc>
        <w:tc>
          <w:tcPr>
            <w:tcW w:w="795" w:type="dxa"/>
            <w:tcBorders>
              <w:top w:val="single" w:sz="6" w:space="0" w:color="000000"/>
              <w:left w:val="single" w:sz="6" w:space="0" w:color="000000"/>
              <w:bottom w:val="single" w:sz="4" w:space="0" w:color="000000"/>
              <w:right w:val="single" w:sz="6" w:space="0" w:color="000000"/>
            </w:tcBorders>
          </w:tcPr>
          <w:p>
            <w:pPr/>
          </w:p>
        </w:tc>
        <w:tc>
          <w:tcPr>
            <w:tcW w:w="974" w:type="dxa"/>
            <w:tcBorders>
              <w:top w:val="single" w:sz="6" w:space="0" w:color="000000"/>
              <w:left w:val="single" w:sz="6" w:space="0" w:color="000000"/>
              <w:bottom w:val="single" w:sz="4" w:space="0" w:color="000000"/>
              <w:right w:val="single" w:sz="6" w:space="0" w:color="000000"/>
            </w:tcBorders>
          </w:tcPr>
          <w:p>
            <w:pPr/>
          </w:p>
        </w:tc>
        <w:tc>
          <w:tcPr>
            <w:tcW w:w="1268" w:type="dxa"/>
            <w:tcBorders>
              <w:top w:val="single" w:sz="6" w:space="0" w:color="000000"/>
              <w:left w:val="single" w:sz="6" w:space="0" w:color="000000"/>
              <w:bottom w:val="single" w:sz="4" w:space="0" w:color="000000"/>
              <w:right w:val="single" w:sz="6" w:space="0" w:color="000000"/>
            </w:tcBorders>
          </w:tcPr>
          <w:p>
            <w:pPr/>
          </w:p>
        </w:tc>
        <w:tc>
          <w:tcPr>
            <w:tcW w:w="1370"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auto" w:before="26"/>
        <w:ind w:left="538" w:right="3915"/>
        <w:jc w:val="left"/>
      </w:pPr>
      <w:r>
        <w:rPr/>
        <w:t>其他说明：</w:t>
      </w:r>
    </w:p>
    <w:p>
      <w:pPr>
        <w:pStyle w:val="BodyText"/>
        <w:spacing w:line="297" w:lineRule="auto" w:before="54"/>
        <w:ind w:left="1250" w:right="228"/>
        <w:jc w:val="both"/>
      </w:pPr>
      <w:r>
        <w:rPr>
          <w:spacing w:val="-1"/>
        </w:rPr>
        <w:t>公司于</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24</w:t>
      </w:r>
      <w:r>
        <w:rPr>
          <w:spacing w:val="-1"/>
        </w:rPr>
        <w:t>日召开公司第六届董事会第</w:t>
      </w:r>
      <w:r>
        <w:rPr>
          <w:rFonts w:ascii="宋体" w:hAnsi="宋体" w:cs="宋体" w:eastAsia="宋体" w:hint="default"/>
          <w:spacing w:val="-1"/>
        </w:rPr>
        <w:t>16</w:t>
      </w:r>
      <w:r>
        <w:rPr>
          <w:spacing w:val="-1"/>
        </w:rPr>
        <w:t>次会议，审议通过了《公司关于收购秉</w:t>
      </w:r>
      <w:r>
        <w:rPr>
          <w:spacing w:val="-25"/>
        </w:rPr>
        <w:t> </w:t>
      </w:r>
      <w:r>
        <w:rPr>
          <w:spacing w:val="-25"/>
        </w:rPr>
      </w:r>
      <w:r>
        <w:rPr>
          <w:spacing w:val="-5"/>
        </w:rPr>
        <w:t>钧网络部分股权议案》，并于</w:t>
      </w:r>
      <w:r>
        <w:rPr>
          <w:rFonts w:ascii="宋体" w:hAnsi="宋体" w:cs="宋体" w:eastAsia="宋体" w:hint="default"/>
          <w:spacing w:val="-5"/>
        </w:rPr>
        <w:t>2015</w:t>
      </w:r>
      <w:r>
        <w:rPr>
          <w:spacing w:val="-5"/>
        </w:rPr>
        <w:t>年以对价人民币</w:t>
      </w:r>
      <w:r>
        <w:rPr>
          <w:rFonts w:ascii="宋体" w:hAnsi="宋体" w:cs="宋体" w:eastAsia="宋体" w:hint="default"/>
          <w:spacing w:val="-5"/>
        </w:rPr>
        <w:t>125,000,000</w:t>
      </w:r>
      <w:r>
        <w:rPr>
          <w:spacing w:val="-5"/>
        </w:rPr>
        <w:t>元（其中人民币</w:t>
      </w:r>
      <w:r>
        <w:rPr>
          <w:rFonts w:ascii="宋体" w:hAnsi="宋体" w:cs="宋体" w:eastAsia="宋体" w:hint="default"/>
          <w:spacing w:val="-5"/>
        </w:rPr>
        <w:t>25,000,000</w:t>
      </w:r>
      <w:r>
        <w:rPr>
          <w:rFonts w:ascii="宋体" w:hAnsi="宋体" w:cs="宋体" w:eastAsia="宋体" w:hint="default"/>
          <w:spacing w:val="-30"/>
        </w:rPr>
        <w:t> </w:t>
      </w:r>
      <w:r>
        <w:rPr>
          <w:rFonts w:ascii="宋体" w:hAnsi="宋体" w:cs="宋体" w:eastAsia="宋体" w:hint="default"/>
          <w:spacing w:val="-30"/>
        </w:rPr>
      </w:r>
      <w:r>
        <w:rPr>
          <w:spacing w:val="-1"/>
        </w:rPr>
        <w:t>元尚未支付）取得秉钧网络</w:t>
      </w:r>
      <w:r>
        <w:rPr>
          <w:rFonts w:ascii="宋体" w:hAnsi="宋体" w:cs="宋体" w:eastAsia="宋体" w:hint="default"/>
          <w:spacing w:val="-1"/>
        </w:rPr>
        <w:t>62.5%</w:t>
      </w:r>
      <w:r>
        <w:rPr>
          <w:spacing w:val="-1"/>
        </w:rPr>
        <w:t>股权，其评估确定公允价值为人民币</w:t>
      </w:r>
      <w:r>
        <w:rPr>
          <w:rFonts w:ascii="宋体" w:hAnsi="宋体" w:cs="宋体" w:eastAsia="宋体" w:hint="default"/>
          <w:spacing w:val="-1"/>
        </w:rPr>
        <w:t>18,487,756</w:t>
      </w:r>
      <w:r>
        <w:rPr>
          <w:spacing w:val="-1"/>
        </w:rPr>
        <w:t>元。秉</w:t>
      </w:r>
      <w:r>
        <w:rPr>
          <w:spacing w:val="-26"/>
        </w:rPr>
        <w:t> </w:t>
      </w:r>
      <w:r>
        <w:rPr>
          <w:spacing w:val="-4"/>
        </w:rPr>
        <w:t>钧网络公司主要为客户提供基于微信公众号为主的</w:t>
      </w:r>
      <w:r>
        <w:rPr>
          <w:rFonts w:ascii="宋体" w:hAnsi="宋体" w:cs="宋体" w:eastAsia="宋体" w:hint="default"/>
          <w:spacing w:val="-4"/>
        </w:rPr>
        <w:t>saas</w:t>
      </w:r>
      <w:r>
        <w:rPr>
          <w:spacing w:val="-4"/>
        </w:rPr>
        <w:t>营销系统、自媒体广告交易平台以</w:t>
      </w:r>
      <w:r>
        <w:rPr>
          <w:spacing w:val="-18"/>
        </w:rPr>
        <w:t> </w:t>
      </w:r>
      <w:r>
        <w:rPr>
          <w:spacing w:val="-18"/>
        </w:rPr>
      </w:r>
      <w:r>
        <w:rPr/>
        <w:t>及营销硬件等其他服务。购买日为</w:t>
      </w:r>
      <w:r>
        <w:rPr>
          <w:rFonts w:ascii="宋体" w:hAnsi="宋体" w:cs="宋体" w:eastAsia="宋体" w:hint="default"/>
        </w:rPr>
        <w:t>7</w:t>
      </w:r>
      <w:r>
        <w:rPr/>
        <w:t>月</w:t>
      </w:r>
      <w:r>
        <w:rPr>
          <w:rFonts w:ascii="宋体" w:hAnsi="宋体" w:cs="宋体" w:eastAsia="宋体" w:hint="default"/>
        </w:rPr>
        <w:t>6</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520" w:left="1260" w:right="1040"/>
        </w:sectPr>
      </w:pPr>
    </w:p>
    <w:p>
      <w:pPr>
        <w:pStyle w:val="Heading2"/>
        <w:tabs>
          <w:tab w:pos="1195" w:val="left" w:leader="none"/>
        </w:tabs>
        <w:spacing w:line="240" w:lineRule="auto"/>
        <w:ind w:left="538"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6"/>
        <w:ind w:left="5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520" w:left="1260" w:right="1040"/>
          <w:cols w:num="2" w:equalWidth="0">
            <w:col w:w="2675" w:space="3847"/>
            <w:col w:w="3088"/>
          </w:cols>
        </w:sectPr>
      </w:pP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4604"/>
        <w:gridCol w:w="4446"/>
      </w:tblGrid>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125,000,000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446" w:type="dxa"/>
            <w:tcBorders>
              <w:top w:val="single" w:sz="6" w:space="0" w:color="000000"/>
              <w:left w:val="single" w:sz="6" w:space="0" w:color="000000"/>
              <w:bottom w:val="single" w:sz="6" w:space="0" w:color="000000"/>
              <w:right w:val="single" w:sz="4" w:space="0" w:color="000000"/>
            </w:tcBorders>
          </w:tcPr>
          <w:p>
            <w:pPr/>
          </w:p>
        </w:tc>
      </w:tr>
    </w:tbl>
    <w:p>
      <w:pPr>
        <w:spacing w:after="0"/>
        <w:sectPr>
          <w:type w:val="continuous"/>
          <w:pgSz w:w="11910" w:h="16840"/>
          <w:pgMar w:top="1120" w:bottom="1520" w:left="12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125,000,000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11,554,848</w:t>
            </w:r>
          </w:p>
        </w:tc>
      </w:tr>
      <w:tr>
        <w:trPr>
          <w:trHeight w:val="557"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113,445,152</w:t>
            </w:r>
          </w:p>
        </w:tc>
      </w:tr>
    </w:tbl>
    <w:p>
      <w:pPr>
        <w:spacing w:line="240" w:lineRule="auto" w:before="5"/>
        <w:rPr>
          <w:rFonts w:ascii="宋体" w:hAnsi="宋体" w:cs="宋体" w:eastAsia="宋体" w:hint="default"/>
          <w:sz w:val="15"/>
          <w:szCs w:val="15"/>
        </w:rPr>
      </w:pPr>
    </w:p>
    <w:p>
      <w:pPr>
        <w:pStyle w:val="BodyText"/>
        <w:spacing w:line="240" w:lineRule="auto" w:before="36"/>
        <w:ind w:left="218" w:right="2465"/>
        <w:jc w:val="left"/>
      </w:pPr>
      <w:r>
        <w:rPr/>
        <w:t>合并成本公允价值的确定方法、或有对价及其变动的说明：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left="218" w:right="2465"/>
        <w:jc w:val="left"/>
      </w:pPr>
      <w:r>
        <w:rPr/>
        <w:t>大额商誉形成的主要原因：</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BodyText"/>
        <w:spacing w:line="240" w:lineRule="auto" w:before="36"/>
        <w:ind w:left="218" w:right="2465"/>
        <w:jc w:val="left"/>
      </w:pPr>
      <w:r>
        <w:rPr/>
        <w:t>其他说明：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926" w:footer="1335" w:top="1120" w:bottom="1520" w:left="1580" w:right="1040"/>
        </w:sectPr>
      </w:pPr>
    </w:p>
    <w:p>
      <w:pPr>
        <w:tabs>
          <w:tab w:pos="875" w:val="left" w:leader="none"/>
        </w:tabs>
        <w:spacing w:before="36"/>
        <w:ind w:left="218" w:right="-2" w:firstLine="0"/>
        <w:jc w:val="left"/>
        <w:rPr>
          <w:rFonts w:ascii="宋体" w:hAnsi="宋体" w:cs="宋体" w:eastAsia="宋体" w:hint="default"/>
          <w:sz w:val="21"/>
          <w:szCs w:val="21"/>
        </w:rPr>
      </w:pPr>
      <w:r>
        <w:rPr>
          <w:rFonts w:ascii="宋体" w:hAnsi="宋体" w:cs="宋体" w:eastAsia="宋体" w:hint="default"/>
          <w:b/>
          <w:bCs/>
          <w:w w:val="95"/>
          <w:sz w:val="20"/>
          <w:szCs w:val="20"/>
        </w:rPr>
        <w:t>(3).</w:t>
        <w:tab/>
      </w:r>
      <w:r>
        <w:rPr>
          <w:rFonts w:ascii="宋体" w:hAnsi="宋体" w:cs="宋体" w:eastAsia="宋体" w:hint="default"/>
          <w:b/>
          <w:bCs/>
          <w:spacing w:val="-1"/>
          <w:sz w:val="21"/>
          <w:szCs w:val="21"/>
        </w:rPr>
        <w:t>被购买方于购买日可辨认资产、负债</w:t>
      </w:r>
      <w:r>
        <w:rPr>
          <w:rFonts w:ascii="宋体" w:hAnsi="宋体" w:cs="宋体" w:eastAsia="宋体" w:hint="default"/>
          <w:spacing w:val="-1"/>
          <w:sz w:val="21"/>
          <w:szCs w:val="21"/>
        </w:rPr>
      </w:r>
    </w:p>
    <w:p>
      <w:pPr>
        <w:pStyle w:val="BodyText"/>
        <w:spacing w:line="240" w:lineRule="auto" w:before="56"/>
        <w:ind w:left="21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29"/>
          <w:szCs w:val="29"/>
        </w:rPr>
      </w:pPr>
    </w:p>
    <w:p>
      <w:pPr>
        <w:tabs>
          <w:tab w:pos="1216" w:val="left" w:leader="none"/>
        </w:tabs>
        <w:spacing w:before="0"/>
        <w:ind w:left="218"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20" w:bottom="1520" w:left="1580" w:right="1040"/>
          <w:cols w:num="2" w:equalWidth="0">
            <w:col w:w="4251" w:space="2381"/>
            <w:col w:w="2658"/>
          </w:cols>
        </w:sectPr>
      </w:pPr>
    </w:p>
    <w:p>
      <w:pPr>
        <w:spacing w:line="240" w:lineRule="auto" w:before="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81"/>
        <w:gridCol w:w="3795"/>
        <w:gridCol w:w="3773"/>
      </w:tblGrid>
      <w:tr>
        <w:trPr>
          <w:trHeight w:val="286" w:hRule="exact"/>
        </w:trPr>
        <w:tc>
          <w:tcPr>
            <w:tcW w:w="1481" w:type="dxa"/>
            <w:vMerge w:val="restart"/>
            <w:tcBorders>
              <w:top w:val="single" w:sz="6" w:space="0" w:color="000000"/>
              <w:left w:val="single" w:sz="4" w:space="0" w:color="000000"/>
              <w:right w:val="single" w:sz="6" w:space="0" w:color="000000"/>
            </w:tcBorders>
          </w:tcPr>
          <w:p>
            <w:pPr/>
          </w:p>
        </w:tc>
        <w:tc>
          <w:tcPr>
            <w:tcW w:w="7569" w:type="dxa"/>
            <w:gridSpan w:val="2"/>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秉钧网络</w:t>
            </w:r>
          </w:p>
        </w:tc>
      </w:tr>
      <w:tr>
        <w:trPr>
          <w:trHeight w:val="293" w:hRule="exact"/>
        </w:trPr>
        <w:tc>
          <w:tcPr>
            <w:tcW w:w="1481" w:type="dxa"/>
            <w:vMerge/>
            <w:tcBorders>
              <w:left w:val="single" w:sz="4" w:space="0" w:color="000000"/>
              <w:bottom w:val="single" w:sz="6" w:space="0" w:color="000000"/>
              <w:right w:val="single" w:sz="6" w:space="0" w:color="000000"/>
            </w:tcBorders>
          </w:tcPr>
          <w:p>
            <w:pP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152"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142"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6"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53,052,672</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32,921,549</w:t>
            </w: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25,816,868</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25,816,868</w:t>
            </w: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1,109,114</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1,109,114</w:t>
            </w: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1,314,641</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1,246,157</w:t>
            </w:r>
          </w:p>
        </w:tc>
      </w:tr>
      <w:tr>
        <w:trPr>
          <w:trHeight w:val="286"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w:t>
            </w:r>
          </w:p>
        </w:tc>
      </w:tr>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2,701,154</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2,701,154</w:t>
            </w:r>
          </w:p>
        </w:tc>
      </w:tr>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104,465</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104,465</w:t>
            </w:r>
          </w:p>
        </w:tc>
      </w:tr>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
        </w:tc>
        <w:tc>
          <w:tcPr>
            <w:tcW w:w="3795" w:type="dxa"/>
            <w:tcBorders>
              <w:top w:val="single" w:sz="6" w:space="0" w:color="000000"/>
              <w:left w:val="single" w:sz="6" w:space="0" w:color="000000"/>
              <w:bottom w:val="single" w:sz="6" w:space="0" w:color="000000"/>
              <w:right w:val="single" w:sz="6" w:space="0" w:color="000000"/>
            </w:tcBorders>
          </w:tcPr>
          <w:p>
            <w:pPr/>
          </w:p>
        </w:tc>
        <w:tc>
          <w:tcPr>
            <w:tcW w:w="37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456,430</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393,791</w:t>
            </w: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20,000,000</w:t>
            </w:r>
          </w:p>
        </w:tc>
        <w:tc>
          <w:tcPr>
            <w:tcW w:w="37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1,050,000</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1,050,000</w:t>
            </w:r>
          </w:p>
        </w:tc>
      </w:tr>
      <w:tr>
        <w:trPr>
          <w:trHeight w:val="286"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34,564,916</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29,532,135</w:t>
            </w: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95" w:type="dxa"/>
            <w:tcBorders>
              <w:top w:val="single" w:sz="6" w:space="0" w:color="000000"/>
              <w:left w:val="single" w:sz="6" w:space="0" w:color="000000"/>
              <w:bottom w:val="single" w:sz="6" w:space="0" w:color="000000"/>
              <w:right w:val="single" w:sz="6" w:space="0" w:color="000000"/>
            </w:tcBorders>
          </w:tcPr>
          <w:p>
            <w:pPr/>
          </w:p>
        </w:tc>
        <w:tc>
          <w:tcPr>
            <w:tcW w:w="3773"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w:t>
            </w:r>
          </w:p>
        </w:tc>
      </w:tr>
      <w:tr>
        <w:trPr>
          <w:trHeight w:val="55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5,032,781</w:t>
            </w:r>
          </w:p>
        </w:tc>
        <w:tc>
          <w:tcPr>
            <w:tcW w:w="37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9,581,334</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9,581,334</w:t>
            </w:r>
          </w:p>
        </w:tc>
      </w:tr>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1,162,257</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1,162,257</w:t>
            </w:r>
          </w:p>
        </w:tc>
      </w:tr>
      <w:tr>
        <w:trPr>
          <w:trHeight w:val="286"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18,288,544</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18,288,544</w:t>
            </w:r>
          </w:p>
        </w:tc>
      </w:tr>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
        </w:tc>
        <w:tc>
          <w:tcPr>
            <w:tcW w:w="3795" w:type="dxa"/>
            <w:tcBorders>
              <w:top w:val="single" w:sz="6" w:space="0" w:color="000000"/>
              <w:left w:val="single" w:sz="6" w:space="0" w:color="000000"/>
              <w:bottom w:val="single" w:sz="6" w:space="0" w:color="000000"/>
              <w:right w:val="single" w:sz="6" w:space="0" w:color="000000"/>
            </w:tcBorders>
          </w:tcPr>
          <w:p>
            <w:pPr/>
          </w:p>
        </w:tc>
        <w:tc>
          <w:tcPr>
            <w:tcW w:w="37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18,487,756</w:t>
            </w:r>
          </w:p>
        </w:tc>
        <w:tc>
          <w:tcPr>
            <w:tcW w:w="37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3,389,414</w:t>
            </w:r>
          </w:p>
        </w:tc>
      </w:tr>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tc>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6,932,908</w:t>
            </w:r>
          </w:p>
        </w:tc>
        <w:tc>
          <w:tcPr>
            <w:tcW w:w="377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52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81"/>
        <w:gridCol w:w="3795"/>
        <w:gridCol w:w="3773"/>
      </w:tblGrid>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3795" w:type="dxa"/>
            <w:tcBorders>
              <w:top w:val="single" w:sz="6" w:space="0" w:color="000000"/>
              <w:left w:val="single" w:sz="6" w:space="0" w:color="000000"/>
              <w:bottom w:val="single" w:sz="6" w:space="0" w:color="000000"/>
              <w:right w:val="single" w:sz="6" w:space="0" w:color="000000"/>
            </w:tcBorders>
          </w:tcPr>
          <w:p>
            <w:pPr/>
          </w:p>
        </w:tc>
        <w:tc>
          <w:tcPr>
            <w:tcW w:w="377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48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9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11,554,848</w:t>
            </w:r>
          </w:p>
        </w:tc>
        <w:tc>
          <w:tcPr>
            <w:tcW w:w="3773"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18" w:right="2465"/>
        <w:jc w:val="left"/>
      </w:pPr>
      <w:r>
        <w:rPr/>
        <w:t>可辨认资产、负债公允价值的确定方法：</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pStyle w:val="BodyText"/>
        <w:spacing w:line="240" w:lineRule="auto" w:before="37"/>
        <w:ind w:left="218" w:right="2465"/>
        <w:jc w:val="left"/>
      </w:pPr>
      <w:r>
        <w:rPr/>
        <w:t>企业合并中承担的被购买方的或有负债：</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pStyle w:val="BodyText"/>
        <w:spacing w:line="240" w:lineRule="auto" w:before="37"/>
        <w:ind w:left="218" w:right="2465"/>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tabs>
          <w:tab w:pos="875" w:val="left" w:leader="none"/>
        </w:tabs>
        <w:spacing w:line="290" w:lineRule="auto" w:before="36"/>
        <w:ind w:left="218" w:right="234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9" w:lineRule="exact"/>
        <w:ind w:left="218" w:right="2465"/>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35"/>
        <w:gridCol w:w="1453"/>
        <w:gridCol w:w="1464"/>
        <w:gridCol w:w="1464"/>
        <w:gridCol w:w="1760"/>
        <w:gridCol w:w="1774"/>
      </w:tblGrid>
      <w:tr>
        <w:trPr>
          <w:trHeight w:val="1649" w:hRule="exact"/>
        </w:trPr>
        <w:tc>
          <w:tcPr>
            <w:tcW w:w="11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52" w:right="137" w:hanging="212"/>
              <w:jc w:val="left"/>
              <w:rPr>
                <w:rFonts w:ascii="宋体" w:hAnsi="宋体" w:cs="宋体" w:eastAsia="宋体" w:hint="default"/>
                <w:sz w:val="21"/>
                <w:szCs w:val="21"/>
              </w:rPr>
            </w:pPr>
            <w:r>
              <w:rPr>
                <w:rFonts w:ascii="宋体" w:hAnsi="宋体" w:cs="宋体" w:eastAsia="宋体" w:hint="default"/>
                <w:sz w:val="21"/>
                <w:szCs w:val="21"/>
              </w:rPr>
              <w:t>被购买方</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91" w:right="190"/>
              <w:jc w:val="both"/>
              <w:rPr>
                <w:rFonts w:ascii="宋体" w:hAnsi="宋体" w:cs="宋体" w:eastAsia="宋体" w:hint="default"/>
                <w:sz w:val="21"/>
                <w:szCs w:val="21"/>
              </w:rPr>
            </w:pPr>
            <w:r>
              <w:rPr>
                <w:rFonts w:ascii="宋体" w:hAnsi="宋体" w:cs="宋体" w:eastAsia="宋体" w:hint="default"/>
                <w:sz w:val="21"/>
                <w:szCs w:val="21"/>
              </w:rPr>
              <w:t>购买日之前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原持有股权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在购买日的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账面价值</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96" w:right="197"/>
              <w:jc w:val="both"/>
              <w:rPr>
                <w:rFonts w:ascii="宋体" w:hAnsi="宋体" w:cs="宋体" w:eastAsia="宋体" w:hint="default"/>
                <w:sz w:val="21"/>
                <w:szCs w:val="21"/>
              </w:rPr>
            </w:pPr>
            <w:r>
              <w:rPr>
                <w:rFonts w:ascii="宋体" w:hAnsi="宋体" w:cs="宋体" w:eastAsia="宋体" w:hint="default"/>
                <w:sz w:val="21"/>
                <w:szCs w:val="21"/>
              </w:rPr>
              <w:t>购买日之前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原持有股权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在购买日的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公允价值</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购买日之前</w:t>
            </w:r>
          </w:p>
          <w:p>
            <w:pPr>
              <w:pStyle w:val="TableParagraph"/>
              <w:spacing w:line="237" w:lineRule="auto"/>
              <w:ind w:left="196" w:right="197"/>
              <w:jc w:val="center"/>
              <w:rPr>
                <w:rFonts w:ascii="宋体" w:hAnsi="宋体" w:cs="宋体" w:eastAsia="宋体" w:hint="default"/>
                <w:sz w:val="21"/>
                <w:szCs w:val="21"/>
              </w:rPr>
            </w:pPr>
            <w:r>
              <w:rPr>
                <w:rFonts w:ascii="宋体" w:hAnsi="宋体" w:cs="宋体" w:eastAsia="宋体" w:hint="default"/>
                <w:sz w:val="21"/>
                <w:szCs w:val="21"/>
              </w:rPr>
              <w:t>原持有股权</w:t>
            </w:r>
            <w:r>
              <w:rPr>
                <w:rFonts w:ascii="宋体" w:hAnsi="宋体" w:cs="宋体" w:eastAsia="宋体" w:hint="default"/>
                <w:w w:val="100"/>
                <w:sz w:val="21"/>
                <w:szCs w:val="21"/>
              </w:rPr>
              <w:t> </w:t>
            </w: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产生的利得</w:t>
            </w:r>
            <w:r>
              <w:rPr>
                <w:rFonts w:ascii="宋体" w:hAnsi="宋体" w:cs="宋体" w:eastAsia="宋体" w:hint="default"/>
                <w:w w:val="100"/>
                <w:sz w:val="21"/>
                <w:szCs w:val="21"/>
              </w:rPr>
              <w:t> </w:t>
            </w:r>
            <w:r>
              <w:rPr>
                <w:rFonts w:ascii="宋体" w:hAnsi="宋体" w:cs="宋体" w:eastAsia="宋体" w:hint="default"/>
                <w:sz w:val="21"/>
                <w:szCs w:val="21"/>
              </w:rPr>
              <w:t>或损失</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34" w:right="135"/>
              <w:jc w:val="center"/>
              <w:rPr>
                <w:rFonts w:ascii="宋体" w:hAnsi="宋体" w:cs="宋体" w:eastAsia="宋体" w:hint="default"/>
                <w:sz w:val="21"/>
                <w:szCs w:val="21"/>
              </w:rPr>
            </w:pPr>
            <w:r>
              <w:rPr>
                <w:rFonts w:ascii="宋体" w:hAnsi="宋体" w:cs="宋体" w:eastAsia="宋体" w:hint="default"/>
                <w:sz w:val="21"/>
                <w:szCs w:val="21"/>
              </w:rPr>
              <w:t>购买日之前原持</w:t>
            </w:r>
            <w:r>
              <w:rPr>
                <w:rFonts w:ascii="宋体" w:hAnsi="宋体" w:cs="宋体" w:eastAsia="宋体" w:hint="default"/>
                <w:w w:val="100"/>
                <w:sz w:val="21"/>
                <w:szCs w:val="21"/>
              </w:rPr>
              <w:t> </w:t>
            </w:r>
            <w:r>
              <w:rPr>
                <w:rFonts w:ascii="宋体" w:hAnsi="宋体" w:cs="宋体" w:eastAsia="宋体" w:hint="default"/>
                <w:sz w:val="21"/>
                <w:szCs w:val="21"/>
              </w:rPr>
              <w:t>有股权在购买日</w:t>
            </w:r>
            <w:r>
              <w:rPr>
                <w:rFonts w:ascii="宋体" w:hAnsi="宋体" w:cs="宋体" w:eastAsia="宋体" w:hint="default"/>
                <w:w w:val="100"/>
                <w:sz w:val="21"/>
                <w:szCs w:val="21"/>
              </w:rPr>
              <w:t> </w:t>
            </w:r>
            <w:r>
              <w:rPr>
                <w:rFonts w:ascii="宋体" w:hAnsi="宋体" w:cs="宋体" w:eastAsia="宋体" w:hint="default"/>
                <w:sz w:val="21"/>
                <w:szCs w:val="21"/>
              </w:rPr>
              <w:t>的公允价值的确</w:t>
            </w:r>
            <w:r>
              <w:rPr>
                <w:rFonts w:ascii="宋体" w:hAnsi="宋体" w:cs="宋体" w:eastAsia="宋体" w:hint="default"/>
                <w:w w:val="100"/>
                <w:sz w:val="21"/>
                <w:szCs w:val="21"/>
              </w:rPr>
              <w:t> </w:t>
            </w:r>
            <w:r>
              <w:rPr>
                <w:rFonts w:ascii="宋体" w:hAnsi="宋体" w:cs="宋体" w:eastAsia="宋体" w:hint="default"/>
                <w:sz w:val="21"/>
                <w:szCs w:val="21"/>
              </w:rPr>
              <w:t>定方法及主要假</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43" w:right="139"/>
              <w:jc w:val="center"/>
              <w:rPr>
                <w:rFonts w:ascii="宋体" w:hAnsi="宋体" w:cs="宋体" w:eastAsia="宋体" w:hint="default"/>
                <w:sz w:val="21"/>
                <w:szCs w:val="21"/>
              </w:rPr>
            </w:pPr>
            <w:r>
              <w:rPr>
                <w:rFonts w:ascii="宋体" w:hAnsi="宋体" w:cs="宋体" w:eastAsia="宋体" w:hint="default"/>
                <w:sz w:val="21"/>
                <w:szCs w:val="21"/>
              </w:rPr>
              <w:t>购买日之前与原</w:t>
            </w:r>
            <w:r>
              <w:rPr>
                <w:rFonts w:ascii="宋体" w:hAnsi="宋体" w:cs="宋体" w:eastAsia="宋体" w:hint="default"/>
                <w:w w:val="100"/>
                <w:sz w:val="21"/>
                <w:szCs w:val="21"/>
              </w:rPr>
              <w:t> </w:t>
            </w:r>
            <w:r>
              <w:rPr>
                <w:rFonts w:ascii="宋体" w:hAnsi="宋体" w:cs="宋体" w:eastAsia="宋体" w:hint="default"/>
                <w:sz w:val="21"/>
                <w:szCs w:val="21"/>
              </w:rPr>
              <w:t>持有股权相关的</w:t>
            </w:r>
            <w:r>
              <w:rPr>
                <w:rFonts w:ascii="宋体" w:hAnsi="宋体" w:cs="宋体" w:eastAsia="宋体" w:hint="default"/>
                <w:w w:val="100"/>
                <w:sz w:val="21"/>
                <w:szCs w:val="21"/>
              </w:rPr>
              <w:t> </w:t>
            </w:r>
            <w:r>
              <w:rPr>
                <w:rFonts w:ascii="宋体" w:hAnsi="宋体" w:cs="宋体" w:eastAsia="宋体" w:hint="default"/>
                <w:sz w:val="21"/>
                <w:szCs w:val="21"/>
              </w:rPr>
              <w:t>其他综合收益转</w:t>
            </w:r>
            <w:r>
              <w:rPr>
                <w:rFonts w:ascii="宋体" w:hAnsi="宋体" w:cs="宋体" w:eastAsia="宋体" w:hint="default"/>
                <w:w w:val="100"/>
                <w:sz w:val="21"/>
                <w:szCs w:val="21"/>
              </w:rPr>
              <w:t> </w:t>
            </w:r>
            <w:r>
              <w:rPr>
                <w:rFonts w:ascii="宋体" w:hAnsi="宋体" w:cs="宋体" w:eastAsia="宋体" w:hint="default"/>
                <w:sz w:val="21"/>
                <w:szCs w:val="21"/>
              </w:rPr>
              <w:t>入投资收益的金</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317" w:hRule="exact"/>
        </w:trPr>
        <w:tc>
          <w:tcPr>
            <w:tcW w:w="1135" w:type="dxa"/>
            <w:tcBorders>
              <w:top w:val="single" w:sz="6" w:space="0" w:color="000000"/>
              <w:left w:val="single" w:sz="4" w:space="0" w:color="000000"/>
              <w:bottom w:val="single" w:sz="6" w:space="0" w:color="000000"/>
              <w:right w:val="single" w:sz="6" w:space="0" w:color="000000"/>
            </w:tcBorders>
          </w:tcPr>
          <w:p>
            <w:pPr/>
          </w:p>
        </w:tc>
        <w:tc>
          <w:tcPr>
            <w:tcW w:w="1453"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0" w:type="dxa"/>
            <w:tcBorders>
              <w:top w:val="single" w:sz="6" w:space="0" w:color="000000"/>
              <w:left w:val="single" w:sz="6" w:space="0" w:color="000000"/>
              <w:bottom w:val="single" w:sz="6" w:space="0" w:color="000000"/>
              <w:right w:val="single" w:sz="6" w:space="0" w:color="000000"/>
            </w:tcBorders>
          </w:tcPr>
          <w:p>
            <w:pPr/>
          </w:p>
        </w:tc>
        <w:tc>
          <w:tcPr>
            <w:tcW w:w="1774" w:type="dxa"/>
            <w:tcBorders>
              <w:top w:val="single" w:sz="6" w:space="0" w:color="000000"/>
              <w:left w:val="single" w:sz="6" w:space="0" w:color="000000"/>
              <w:bottom w:val="single" w:sz="6" w:space="0" w:color="000000"/>
              <w:right w:val="single" w:sz="6" w:space="0" w:color="000000"/>
            </w:tcBorders>
          </w:tcPr>
          <w:p>
            <w:pPr/>
          </w:p>
        </w:tc>
      </w:tr>
      <w:tr>
        <w:trPr>
          <w:trHeight w:val="312" w:hRule="exact"/>
        </w:trPr>
        <w:tc>
          <w:tcPr>
            <w:tcW w:w="1135" w:type="dxa"/>
            <w:tcBorders>
              <w:top w:val="single" w:sz="6" w:space="0" w:color="000000"/>
              <w:left w:val="single" w:sz="4" w:space="0" w:color="000000"/>
              <w:bottom w:val="single" w:sz="4" w:space="0" w:color="000000"/>
              <w:right w:val="single" w:sz="6" w:space="0" w:color="000000"/>
            </w:tcBorders>
          </w:tcPr>
          <w:p>
            <w:pPr/>
          </w:p>
        </w:tc>
        <w:tc>
          <w:tcPr>
            <w:tcW w:w="1453" w:type="dxa"/>
            <w:tcBorders>
              <w:top w:val="single" w:sz="6" w:space="0" w:color="000000"/>
              <w:left w:val="single" w:sz="6" w:space="0" w:color="000000"/>
              <w:bottom w:val="single" w:sz="4" w:space="0" w:color="000000"/>
              <w:right w:val="single" w:sz="6" w:space="0" w:color="000000"/>
            </w:tcBorders>
          </w:tcPr>
          <w:p>
            <w:pPr/>
          </w:p>
        </w:tc>
        <w:tc>
          <w:tcPr>
            <w:tcW w:w="1464" w:type="dxa"/>
            <w:tcBorders>
              <w:top w:val="single" w:sz="6" w:space="0" w:color="000000"/>
              <w:left w:val="single" w:sz="6" w:space="0" w:color="000000"/>
              <w:bottom w:val="single" w:sz="4" w:space="0" w:color="000000"/>
              <w:right w:val="single" w:sz="6" w:space="0" w:color="000000"/>
            </w:tcBorders>
          </w:tcPr>
          <w:p>
            <w:pPr/>
          </w:p>
        </w:tc>
        <w:tc>
          <w:tcPr>
            <w:tcW w:w="1464" w:type="dxa"/>
            <w:tcBorders>
              <w:top w:val="single" w:sz="6" w:space="0" w:color="000000"/>
              <w:left w:val="single" w:sz="6" w:space="0" w:color="000000"/>
              <w:bottom w:val="single" w:sz="4" w:space="0" w:color="000000"/>
              <w:right w:val="single" w:sz="6" w:space="0" w:color="000000"/>
            </w:tcBorders>
          </w:tcPr>
          <w:p>
            <w:pPr/>
          </w:p>
        </w:tc>
        <w:tc>
          <w:tcPr>
            <w:tcW w:w="1760" w:type="dxa"/>
            <w:tcBorders>
              <w:top w:val="single" w:sz="6" w:space="0" w:color="000000"/>
              <w:left w:val="single" w:sz="6" w:space="0" w:color="000000"/>
              <w:bottom w:val="single" w:sz="4" w:space="0" w:color="000000"/>
              <w:right w:val="single" w:sz="6" w:space="0" w:color="000000"/>
            </w:tcBorders>
          </w:tcPr>
          <w:p>
            <w:pPr/>
          </w:p>
        </w:tc>
        <w:tc>
          <w:tcPr>
            <w:tcW w:w="1774"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auto" w:before="26"/>
        <w:ind w:left="218" w:right="2465"/>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875" w:val="left" w:leader="none"/>
        </w:tabs>
        <w:spacing w:line="272" w:lineRule="exact" w:before="168"/>
        <w:ind w:right="231"/>
        <w:jc w:val="left"/>
        <w:rPr>
          <w:b w:val="0"/>
          <w:bCs w:val="0"/>
        </w:rPr>
      </w:pPr>
      <w:r>
        <w:rPr>
          <w:rFonts w:ascii="宋体" w:hAnsi="宋体" w:cs="宋体" w:eastAsia="宋体" w:hint="default"/>
          <w:w w:val="95"/>
        </w:rPr>
        <w:t>(5).</w:t>
        <w:tab/>
      </w:r>
      <w:r>
        <w:rPr>
          <w:spacing w:val="-2"/>
        </w:rPr>
        <w:t>购买日或合并当期期末无法合理确定合并对价或被购买方可辨认资产、负债公允价值的相</w:t>
      </w:r>
      <w:r>
        <w:rPr>
          <w:spacing w:val="-76"/>
        </w:rPr>
        <w:t> </w:t>
      </w:r>
      <w:r>
        <w:rPr>
          <w:spacing w:val="-76"/>
        </w:rPr>
      </w:r>
      <w:r>
        <w:rPr/>
        <w:t>关说明</w:t>
      </w:r>
      <w:r>
        <w:rPr>
          <w:b w:val="0"/>
          <w:bCs w:val="0"/>
        </w:rPr>
      </w:r>
    </w:p>
    <w:p>
      <w:pPr>
        <w:spacing w:line="240" w:lineRule="auto" w:before="7"/>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tabs>
          <w:tab w:pos="875" w:val="left" w:leader="none"/>
        </w:tabs>
        <w:spacing w:line="240" w:lineRule="auto"/>
        <w:ind w:right="2465"/>
        <w:jc w:val="left"/>
        <w:rPr>
          <w:b w:val="0"/>
          <w:bCs w:val="0"/>
        </w:rPr>
      </w:pPr>
      <w:r>
        <w:rPr>
          <w:rFonts w:ascii="宋体" w:hAnsi="宋体" w:cs="宋体" w:eastAsia="宋体" w:hint="default"/>
          <w:w w:val="95"/>
        </w:rPr>
        <w:t>(6).</w:t>
        <w:tab/>
      </w:r>
      <w:r>
        <w:rPr/>
        <w:t>其他说明：</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pStyle w:val="Heading2"/>
        <w:spacing w:line="240" w:lineRule="auto" w:before="39"/>
        <w:ind w:right="2465"/>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7"/>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right="2465"/>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left="218" w:right="2465"/>
        <w:jc w:val="left"/>
      </w:pPr>
      <w:r>
        <w:rPr/>
        <w:t>□适用</w:t>
      </w:r>
      <w:r>
        <w:rPr>
          <w:spacing w:val="-1"/>
        </w:rPr>
        <w:t> </w:t>
      </w:r>
      <w:r>
        <w:rPr/>
        <w:t>√不适用</w:t>
      </w:r>
    </w:p>
    <w:p>
      <w:pPr>
        <w:spacing w:after="0" w:line="240" w:lineRule="auto"/>
        <w:jc w:val="left"/>
        <w:sectPr>
          <w:pgSz w:w="11910" w:h="16840"/>
          <w:pgMar w:header="926" w:footer="1335" w:top="1120" w:bottom="152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0"/>
          <w:footerReference w:type="default" r:id="rId71"/>
          <w:pgSz w:w="16840" w:h="11910" w:orient="landscape"/>
          <w:pgMar w:header="926" w:footer="1336" w:top="1120" w:bottom="1520" w:left="1120" w:right="1300"/>
          <w:pgNumType w:start="90"/>
        </w:sectPr>
      </w:pPr>
    </w:p>
    <w:p>
      <w:pPr>
        <w:spacing w:line="240" w:lineRule="auto" w:before="4"/>
        <w:rPr>
          <w:rFonts w:ascii="宋体" w:hAnsi="宋体" w:cs="宋体" w:eastAsia="宋体" w:hint="default"/>
          <w:sz w:val="14"/>
          <w:szCs w:val="14"/>
        </w:rPr>
      </w:pPr>
    </w:p>
    <w:p>
      <w:pPr>
        <w:spacing w:line="290" w:lineRule="auto" w:before="0"/>
        <w:ind w:left="404" w:right="0" w:firstLine="0"/>
        <w:jc w:val="left"/>
        <w:rPr>
          <w:rFonts w:ascii="宋体" w:hAnsi="宋体" w:cs="宋体" w:eastAsia="宋体" w:hint="default"/>
          <w:sz w:val="21"/>
          <w:szCs w:val="21"/>
        </w:rPr>
      </w:pPr>
      <w:r>
        <w:rPr>
          <w:rFonts w:ascii="宋体" w:hAnsi="宋体" w:cs="宋体" w:eastAsia="宋体" w:hint="default"/>
          <w:b/>
          <w:bCs/>
          <w:sz w:val="20"/>
          <w:szCs w:val="20"/>
        </w:rPr>
        <w:t>4</w:t>
      </w:r>
      <w:r>
        <w:rPr>
          <w:rFonts w:ascii="宋体" w:hAnsi="宋体" w:cs="宋体" w:eastAsia="宋体" w:hint="default"/>
          <w:b/>
          <w:bCs/>
          <w:sz w:val="20"/>
          <w:szCs w:val="20"/>
        </w:rPr>
        <w:t>、</w:t>
      </w:r>
      <w:r>
        <w:rPr>
          <w:rFonts w:ascii="宋体" w:hAnsi="宋体" w:cs="宋体" w:eastAsia="宋体" w:hint="default"/>
          <w:b/>
          <w:bCs/>
          <w:spacing w:val="17"/>
          <w:sz w:val="20"/>
          <w:szCs w:val="20"/>
        </w:rPr>
        <w:t> </w:t>
      </w:r>
      <w:r>
        <w:rPr>
          <w:rFonts w:ascii="宋体" w:hAnsi="宋体" w:cs="宋体" w:eastAsia="宋体" w:hint="default"/>
          <w:b/>
          <w:bCs/>
          <w:sz w:val="21"/>
          <w:szCs w:val="21"/>
        </w:rPr>
        <w:t>处置子公司</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404"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tabs>
          <w:tab w:pos="1349" w:val="left" w:leader="none"/>
        </w:tabs>
        <w:spacing w:line="240" w:lineRule="auto"/>
        <w:ind w:left="40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520" w:left="1120" w:right="1300"/>
          <w:cols w:num="2" w:equalWidth="0">
            <w:col w:w="5239" w:space="6535"/>
            <w:col w:w="2646"/>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984"/>
        <w:gridCol w:w="910"/>
        <w:gridCol w:w="950"/>
        <w:gridCol w:w="968"/>
        <w:gridCol w:w="965"/>
        <w:gridCol w:w="1142"/>
        <w:gridCol w:w="1424"/>
        <w:gridCol w:w="1102"/>
        <w:gridCol w:w="1162"/>
        <w:gridCol w:w="1153"/>
        <w:gridCol w:w="1262"/>
        <w:gridCol w:w="1296"/>
        <w:gridCol w:w="864"/>
      </w:tblGrid>
      <w:tr>
        <w:trPr>
          <w:trHeight w:val="1827"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386" w:right="89" w:hanging="301"/>
              <w:jc w:val="left"/>
              <w:rPr>
                <w:rFonts w:ascii="宋体" w:hAnsi="宋体" w:cs="宋体" w:eastAsia="宋体" w:hint="default"/>
                <w:sz w:val="20"/>
                <w:szCs w:val="20"/>
              </w:rPr>
            </w:pPr>
            <w:r>
              <w:rPr>
                <w:rFonts w:ascii="宋体" w:hAnsi="宋体" w:cs="宋体" w:eastAsia="宋体" w:hint="default"/>
                <w:sz w:val="20"/>
                <w:szCs w:val="20"/>
              </w:rPr>
              <w:t>子公司名</w:t>
            </w:r>
            <w:r>
              <w:rPr>
                <w:rFonts w:ascii="宋体" w:hAnsi="宋体" w:cs="宋体" w:eastAsia="宋体" w:hint="default"/>
                <w:w w:val="99"/>
                <w:sz w:val="20"/>
                <w:szCs w:val="20"/>
              </w:rPr>
              <w:t> </w:t>
            </w:r>
            <w:r>
              <w:rPr>
                <w:rFonts w:ascii="宋体" w:hAnsi="宋体" w:cs="宋体" w:eastAsia="宋体" w:hint="default"/>
                <w:sz w:val="20"/>
                <w:szCs w:val="20"/>
              </w:rPr>
              <w:t>称</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51" w:right="48" w:hanging="200"/>
              <w:jc w:val="left"/>
              <w:rPr>
                <w:rFonts w:ascii="宋体" w:hAnsi="宋体" w:cs="宋体" w:eastAsia="宋体" w:hint="default"/>
                <w:sz w:val="20"/>
                <w:szCs w:val="20"/>
              </w:rPr>
            </w:pPr>
            <w:r>
              <w:rPr>
                <w:rFonts w:ascii="宋体" w:hAnsi="宋体" w:cs="宋体" w:eastAsia="宋体" w:hint="default"/>
                <w:sz w:val="20"/>
                <w:szCs w:val="20"/>
              </w:rPr>
              <w:t>股权处置</w:t>
            </w:r>
            <w:r>
              <w:rPr>
                <w:rFonts w:ascii="宋体" w:hAnsi="宋体" w:cs="宋体" w:eastAsia="宋体" w:hint="default"/>
                <w:w w:val="99"/>
                <w:sz w:val="20"/>
                <w:szCs w:val="20"/>
              </w:rPr>
              <w:t> </w:t>
            </w:r>
            <w:r>
              <w:rPr>
                <w:rFonts w:ascii="宋体" w:hAnsi="宋体" w:cs="宋体" w:eastAsia="宋体" w:hint="default"/>
                <w:sz w:val="20"/>
                <w:szCs w:val="20"/>
              </w:rPr>
              <w:t>价款</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1" w:right="19" w:firstLine="50"/>
              <w:jc w:val="left"/>
              <w:rPr>
                <w:rFonts w:ascii="宋体" w:hAnsi="宋体" w:cs="宋体" w:eastAsia="宋体" w:hint="default"/>
                <w:sz w:val="20"/>
                <w:szCs w:val="20"/>
              </w:rPr>
            </w:pPr>
            <w:r>
              <w:rPr>
                <w:rFonts w:ascii="宋体" w:hAnsi="宋体" w:cs="宋体" w:eastAsia="宋体" w:hint="default"/>
                <w:sz w:val="20"/>
                <w:szCs w:val="20"/>
              </w:rPr>
              <w:t>股权处置</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宋体" w:hAnsi="宋体" w:cs="宋体" w:eastAsia="宋体" w:hint="default"/>
                <w:sz w:val="20"/>
                <w:szCs w:val="20"/>
              </w:rPr>
              <w:t>%</w:t>
            </w:r>
            <w:r>
              <w:rPr>
                <w:rFonts w:ascii="宋体" w:hAnsi="宋体" w:cs="宋体" w:eastAsia="宋体" w:hint="default"/>
                <w:sz w:val="20"/>
                <w:szCs w:val="20"/>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80" w:right="77" w:hanging="200"/>
              <w:jc w:val="left"/>
              <w:rPr>
                <w:rFonts w:ascii="宋体" w:hAnsi="宋体" w:cs="宋体" w:eastAsia="宋体" w:hint="default"/>
                <w:sz w:val="20"/>
                <w:szCs w:val="20"/>
              </w:rPr>
            </w:pPr>
            <w:r>
              <w:rPr>
                <w:rFonts w:ascii="宋体" w:hAnsi="宋体" w:cs="宋体" w:eastAsia="宋体" w:hint="default"/>
                <w:sz w:val="20"/>
                <w:szCs w:val="20"/>
              </w:rPr>
              <w:t>股权处置</w:t>
            </w:r>
            <w:r>
              <w:rPr>
                <w:rFonts w:ascii="宋体" w:hAnsi="宋体" w:cs="宋体" w:eastAsia="宋体" w:hint="default"/>
                <w:w w:val="99"/>
                <w:sz w:val="20"/>
                <w:szCs w:val="20"/>
              </w:rPr>
              <w:t> </w:t>
            </w:r>
            <w:r>
              <w:rPr>
                <w:rFonts w:ascii="宋体" w:hAnsi="宋体" w:cs="宋体" w:eastAsia="宋体" w:hint="default"/>
                <w:sz w:val="20"/>
                <w:szCs w:val="20"/>
              </w:rPr>
              <w:t>方式</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76" w:right="79"/>
              <w:jc w:val="left"/>
              <w:rPr>
                <w:rFonts w:ascii="宋体" w:hAnsi="宋体" w:cs="宋体" w:eastAsia="宋体" w:hint="default"/>
                <w:sz w:val="20"/>
                <w:szCs w:val="20"/>
              </w:rPr>
            </w:pPr>
            <w:r>
              <w:rPr>
                <w:rFonts w:ascii="宋体" w:hAnsi="宋体" w:cs="宋体" w:eastAsia="宋体" w:hint="default"/>
                <w:sz w:val="20"/>
                <w:szCs w:val="20"/>
              </w:rPr>
              <w:t>丧失控制</w:t>
            </w:r>
            <w:r>
              <w:rPr>
                <w:rFonts w:ascii="宋体" w:hAnsi="宋体" w:cs="宋体" w:eastAsia="宋体" w:hint="default"/>
                <w:w w:val="99"/>
                <w:sz w:val="20"/>
                <w:szCs w:val="20"/>
              </w:rPr>
              <w:t> </w:t>
            </w:r>
            <w:r>
              <w:rPr>
                <w:rFonts w:ascii="宋体" w:hAnsi="宋体" w:cs="宋体" w:eastAsia="宋体" w:hint="default"/>
                <w:sz w:val="20"/>
                <w:szCs w:val="20"/>
              </w:rPr>
              <w:t>权的时点</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4" w:right="67"/>
              <w:jc w:val="center"/>
              <w:rPr>
                <w:rFonts w:ascii="宋体" w:hAnsi="宋体" w:cs="宋体" w:eastAsia="宋体" w:hint="default"/>
                <w:sz w:val="20"/>
                <w:szCs w:val="20"/>
              </w:rPr>
            </w:pPr>
            <w:r>
              <w:rPr>
                <w:rFonts w:ascii="宋体" w:hAnsi="宋体" w:cs="宋体" w:eastAsia="宋体" w:hint="default"/>
                <w:sz w:val="20"/>
                <w:szCs w:val="20"/>
              </w:rPr>
              <w:t>丧失控制权</w:t>
            </w:r>
            <w:r>
              <w:rPr>
                <w:rFonts w:ascii="宋体" w:hAnsi="宋体" w:cs="宋体" w:eastAsia="宋体" w:hint="default"/>
                <w:w w:val="99"/>
                <w:sz w:val="20"/>
                <w:szCs w:val="20"/>
              </w:rPr>
              <w:t> </w:t>
            </w:r>
            <w:r>
              <w:rPr>
                <w:rFonts w:ascii="宋体" w:hAnsi="宋体" w:cs="宋体" w:eastAsia="宋体" w:hint="default"/>
                <w:sz w:val="20"/>
                <w:szCs w:val="20"/>
              </w:rPr>
              <w:t>时点的确定</w:t>
            </w:r>
            <w:r>
              <w:rPr>
                <w:rFonts w:ascii="宋体" w:hAnsi="宋体" w:cs="宋体" w:eastAsia="宋体" w:hint="default"/>
                <w:w w:val="99"/>
                <w:sz w:val="20"/>
                <w:szCs w:val="20"/>
              </w:rPr>
              <w:t> </w:t>
            </w:r>
            <w:r>
              <w:rPr>
                <w:rFonts w:ascii="宋体" w:hAnsi="宋体" w:cs="宋体" w:eastAsia="宋体" w:hint="default"/>
                <w:sz w:val="20"/>
                <w:szCs w:val="20"/>
              </w:rPr>
              <w:t>依据</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7" w:lineRule="auto"/>
              <w:ind w:left="7" w:right="8"/>
              <w:jc w:val="both"/>
              <w:rPr>
                <w:rFonts w:ascii="宋体" w:hAnsi="宋体" w:cs="宋体" w:eastAsia="宋体" w:hint="default"/>
                <w:sz w:val="20"/>
                <w:szCs w:val="20"/>
              </w:rPr>
            </w:pPr>
            <w:r>
              <w:rPr>
                <w:rFonts w:ascii="宋体" w:hAnsi="宋体" w:cs="宋体" w:eastAsia="宋体" w:hint="default"/>
                <w:sz w:val="20"/>
                <w:szCs w:val="20"/>
              </w:rPr>
              <w:t>处置价款与处置</w:t>
            </w:r>
            <w:r>
              <w:rPr>
                <w:rFonts w:ascii="宋体" w:hAnsi="宋体" w:cs="宋体" w:eastAsia="宋体" w:hint="default"/>
                <w:w w:val="99"/>
                <w:sz w:val="20"/>
                <w:szCs w:val="20"/>
              </w:rPr>
              <w:t> </w:t>
            </w:r>
            <w:r>
              <w:rPr>
                <w:rFonts w:ascii="宋体" w:hAnsi="宋体" w:cs="宋体" w:eastAsia="宋体" w:hint="default"/>
                <w:sz w:val="20"/>
                <w:szCs w:val="20"/>
              </w:rPr>
              <w:t>投资对应的合并</w:t>
            </w:r>
            <w:r>
              <w:rPr>
                <w:rFonts w:ascii="宋体" w:hAnsi="宋体" w:cs="宋体" w:eastAsia="宋体" w:hint="default"/>
                <w:w w:val="99"/>
                <w:sz w:val="20"/>
                <w:szCs w:val="20"/>
              </w:rPr>
              <w:t> </w:t>
            </w:r>
            <w:r>
              <w:rPr>
                <w:rFonts w:ascii="宋体" w:hAnsi="宋体" w:cs="宋体" w:eastAsia="宋体" w:hint="default"/>
                <w:sz w:val="20"/>
                <w:szCs w:val="20"/>
              </w:rPr>
              <w:t>财务报表层面享</w:t>
            </w:r>
            <w:r>
              <w:rPr>
                <w:rFonts w:ascii="宋体" w:hAnsi="宋体" w:cs="宋体" w:eastAsia="宋体" w:hint="default"/>
                <w:w w:val="99"/>
                <w:sz w:val="20"/>
                <w:szCs w:val="20"/>
              </w:rPr>
              <w:t> </w:t>
            </w:r>
            <w:r>
              <w:rPr>
                <w:rFonts w:ascii="宋体" w:hAnsi="宋体" w:cs="宋体" w:eastAsia="宋体" w:hint="default"/>
                <w:sz w:val="20"/>
                <w:szCs w:val="20"/>
              </w:rPr>
              <w:t>有该子公司净资</w:t>
            </w:r>
            <w:r>
              <w:rPr>
                <w:rFonts w:ascii="宋体" w:hAnsi="宋体" w:cs="宋体" w:eastAsia="宋体" w:hint="default"/>
                <w:w w:val="99"/>
                <w:sz w:val="20"/>
                <w:szCs w:val="20"/>
              </w:rPr>
              <w:t> </w:t>
            </w:r>
            <w:r>
              <w:rPr>
                <w:rFonts w:ascii="宋体" w:hAnsi="宋体" w:cs="宋体" w:eastAsia="宋体" w:hint="default"/>
                <w:sz w:val="20"/>
                <w:szCs w:val="20"/>
              </w:rPr>
              <w:t>产份额的差额</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46"/>
              <w:jc w:val="both"/>
              <w:rPr>
                <w:rFonts w:ascii="宋体" w:hAnsi="宋体" w:cs="宋体" w:eastAsia="宋体" w:hint="default"/>
                <w:sz w:val="20"/>
                <w:szCs w:val="20"/>
              </w:rPr>
            </w:pPr>
            <w:r>
              <w:rPr>
                <w:rFonts w:ascii="宋体" w:hAnsi="宋体" w:cs="宋体" w:eastAsia="宋体" w:hint="default"/>
                <w:sz w:val="20"/>
                <w:szCs w:val="20"/>
              </w:rPr>
              <w:t>丧失控制权</w:t>
            </w:r>
            <w:r>
              <w:rPr>
                <w:rFonts w:ascii="宋体" w:hAnsi="宋体" w:cs="宋体" w:eastAsia="宋体" w:hint="default"/>
                <w:w w:val="99"/>
                <w:sz w:val="20"/>
                <w:szCs w:val="20"/>
              </w:rPr>
              <w:t> </w:t>
            </w:r>
            <w:r>
              <w:rPr>
                <w:rFonts w:ascii="宋体" w:hAnsi="宋体" w:cs="宋体" w:eastAsia="宋体" w:hint="default"/>
                <w:sz w:val="20"/>
                <w:szCs w:val="20"/>
              </w:rPr>
              <w:t>之日剩余股</w:t>
            </w:r>
            <w:r>
              <w:rPr>
                <w:rFonts w:ascii="宋体" w:hAnsi="宋体" w:cs="宋体" w:eastAsia="宋体" w:hint="default"/>
                <w:w w:val="99"/>
                <w:sz w:val="20"/>
                <w:szCs w:val="20"/>
              </w:rPr>
              <w:t> </w:t>
            </w:r>
            <w:r>
              <w:rPr>
                <w:rFonts w:ascii="宋体" w:hAnsi="宋体" w:cs="宋体" w:eastAsia="宋体" w:hint="default"/>
                <w:sz w:val="20"/>
                <w:szCs w:val="20"/>
              </w:rPr>
              <w:t>权的比例</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37" w:lineRule="auto"/>
              <w:ind w:left="74" w:right="77"/>
              <w:jc w:val="center"/>
              <w:rPr>
                <w:rFonts w:ascii="宋体" w:hAnsi="宋体" w:cs="宋体" w:eastAsia="宋体" w:hint="default"/>
                <w:sz w:val="20"/>
                <w:szCs w:val="20"/>
              </w:rPr>
            </w:pPr>
            <w:r>
              <w:rPr>
                <w:rFonts w:ascii="宋体" w:hAnsi="宋体" w:cs="宋体" w:eastAsia="宋体" w:hint="default"/>
                <w:sz w:val="20"/>
                <w:szCs w:val="20"/>
              </w:rPr>
              <w:t>丧失控制权</w:t>
            </w:r>
            <w:r>
              <w:rPr>
                <w:rFonts w:ascii="宋体" w:hAnsi="宋体" w:cs="宋体" w:eastAsia="宋体" w:hint="default"/>
                <w:w w:val="99"/>
                <w:sz w:val="20"/>
                <w:szCs w:val="20"/>
              </w:rPr>
              <w:t> </w:t>
            </w:r>
            <w:r>
              <w:rPr>
                <w:rFonts w:ascii="宋体" w:hAnsi="宋体" w:cs="宋体" w:eastAsia="宋体" w:hint="default"/>
                <w:sz w:val="20"/>
                <w:szCs w:val="20"/>
              </w:rPr>
              <w:t>之日剩余股</w:t>
            </w:r>
            <w:r>
              <w:rPr>
                <w:rFonts w:ascii="宋体" w:hAnsi="宋体" w:cs="宋体" w:eastAsia="宋体" w:hint="default"/>
                <w:w w:val="99"/>
                <w:sz w:val="20"/>
                <w:szCs w:val="20"/>
              </w:rPr>
              <w:t> </w:t>
            </w:r>
            <w:r>
              <w:rPr>
                <w:rFonts w:ascii="宋体" w:hAnsi="宋体" w:cs="宋体" w:eastAsia="宋体" w:hint="default"/>
                <w:sz w:val="20"/>
                <w:szCs w:val="20"/>
              </w:rPr>
              <w:t>权的账面价</w:t>
            </w:r>
            <w:r>
              <w:rPr>
                <w:rFonts w:ascii="宋体" w:hAnsi="宋体" w:cs="宋体" w:eastAsia="宋体" w:hint="default"/>
                <w:w w:val="99"/>
                <w:sz w:val="20"/>
                <w:szCs w:val="20"/>
              </w:rPr>
              <w:t> </w:t>
            </w:r>
            <w:r>
              <w:rPr>
                <w:rFonts w:ascii="宋体" w:hAnsi="宋体" w:cs="宋体" w:eastAsia="宋体" w:hint="default"/>
                <w:sz w:val="20"/>
                <w:szCs w:val="20"/>
              </w:rPr>
              <w:t>值</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37" w:lineRule="auto"/>
              <w:ind w:left="72" w:right="70"/>
              <w:jc w:val="center"/>
              <w:rPr>
                <w:rFonts w:ascii="宋体" w:hAnsi="宋体" w:cs="宋体" w:eastAsia="宋体" w:hint="default"/>
                <w:sz w:val="20"/>
                <w:szCs w:val="20"/>
              </w:rPr>
            </w:pPr>
            <w:r>
              <w:rPr>
                <w:rFonts w:ascii="宋体" w:hAnsi="宋体" w:cs="宋体" w:eastAsia="宋体" w:hint="default"/>
                <w:sz w:val="20"/>
                <w:szCs w:val="20"/>
              </w:rPr>
              <w:t>丧失控制权</w:t>
            </w:r>
            <w:r>
              <w:rPr>
                <w:rFonts w:ascii="宋体" w:hAnsi="宋体" w:cs="宋体" w:eastAsia="宋体" w:hint="default"/>
                <w:w w:val="99"/>
                <w:sz w:val="20"/>
                <w:szCs w:val="20"/>
              </w:rPr>
              <w:t> </w:t>
            </w:r>
            <w:r>
              <w:rPr>
                <w:rFonts w:ascii="宋体" w:hAnsi="宋体" w:cs="宋体" w:eastAsia="宋体" w:hint="default"/>
                <w:sz w:val="20"/>
                <w:szCs w:val="20"/>
              </w:rPr>
              <w:t>之日剩余股</w:t>
            </w:r>
            <w:r>
              <w:rPr>
                <w:rFonts w:ascii="宋体" w:hAnsi="宋体" w:cs="宋体" w:eastAsia="宋体" w:hint="default"/>
                <w:w w:val="99"/>
                <w:sz w:val="20"/>
                <w:szCs w:val="20"/>
              </w:rPr>
              <w:t> </w:t>
            </w:r>
            <w:r>
              <w:rPr>
                <w:rFonts w:ascii="宋体" w:hAnsi="宋体" w:cs="宋体" w:eastAsia="宋体" w:hint="default"/>
                <w:sz w:val="20"/>
                <w:szCs w:val="20"/>
              </w:rPr>
              <w:t>权的公允价</w:t>
            </w:r>
            <w:r>
              <w:rPr>
                <w:rFonts w:ascii="宋体" w:hAnsi="宋体" w:cs="宋体" w:eastAsia="宋体" w:hint="default"/>
                <w:w w:val="99"/>
                <w:sz w:val="20"/>
                <w:szCs w:val="20"/>
              </w:rPr>
              <w:t> </w:t>
            </w:r>
            <w:r>
              <w:rPr>
                <w:rFonts w:ascii="宋体" w:hAnsi="宋体" w:cs="宋体" w:eastAsia="宋体" w:hint="default"/>
                <w:sz w:val="20"/>
                <w:szCs w:val="20"/>
              </w:rPr>
              <w:t>值</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37" w:lineRule="auto"/>
              <w:ind w:left="26" w:right="27"/>
              <w:jc w:val="center"/>
              <w:rPr>
                <w:rFonts w:ascii="宋体" w:hAnsi="宋体" w:cs="宋体" w:eastAsia="宋体" w:hint="default"/>
                <w:sz w:val="20"/>
                <w:szCs w:val="20"/>
              </w:rPr>
            </w:pPr>
            <w:r>
              <w:rPr>
                <w:rFonts w:ascii="宋体" w:hAnsi="宋体" w:cs="宋体" w:eastAsia="宋体" w:hint="default"/>
                <w:sz w:val="20"/>
                <w:szCs w:val="20"/>
              </w:rPr>
              <w:t>按照公允价值</w:t>
            </w:r>
            <w:r>
              <w:rPr>
                <w:rFonts w:ascii="宋体" w:hAnsi="宋体" w:cs="宋体" w:eastAsia="宋体" w:hint="default"/>
                <w:w w:val="99"/>
                <w:sz w:val="20"/>
                <w:szCs w:val="20"/>
              </w:rPr>
              <w:t> </w:t>
            </w:r>
            <w:r>
              <w:rPr>
                <w:rFonts w:ascii="宋体" w:hAnsi="宋体" w:cs="宋体" w:eastAsia="宋体" w:hint="default"/>
                <w:sz w:val="20"/>
                <w:szCs w:val="20"/>
              </w:rPr>
              <w:t>重新计量剩余</w:t>
            </w:r>
            <w:r>
              <w:rPr>
                <w:rFonts w:ascii="宋体" w:hAnsi="宋体" w:cs="宋体" w:eastAsia="宋体" w:hint="default"/>
                <w:w w:val="99"/>
                <w:sz w:val="20"/>
                <w:szCs w:val="20"/>
              </w:rPr>
              <w:t> </w:t>
            </w:r>
            <w:r>
              <w:rPr>
                <w:rFonts w:ascii="宋体" w:hAnsi="宋体" w:cs="宋体" w:eastAsia="宋体" w:hint="default"/>
                <w:sz w:val="20"/>
                <w:szCs w:val="20"/>
              </w:rPr>
              <w:t>股权产生的利</w:t>
            </w:r>
            <w:r>
              <w:rPr>
                <w:rFonts w:ascii="宋体" w:hAnsi="宋体" w:cs="宋体" w:eastAsia="宋体" w:hint="default"/>
                <w:w w:val="99"/>
                <w:sz w:val="20"/>
                <w:szCs w:val="20"/>
              </w:rPr>
              <w:t> </w:t>
            </w:r>
            <w:r>
              <w:rPr>
                <w:rFonts w:ascii="宋体" w:hAnsi="宋体" w:cs="宋体" w:eastAsia="宋体" w:hint="default"/>
                <w:sz w:val="20"/>
                <w:szCs w:val="20"/>
              </w:rPr>
              <w:t>得或损失</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7" w:lineRule="auto"/>
              <w:ind w:left="43" w:right="43"/>
              <w:jc w:val="center"/>
              <w:rPr>
                <w:rFonts w:ascii="宋体" w:hAnsi="宋体" w:cs="宋体" w:eastAsia="宋体" w:hint="default"/>
                <w:sz w:val="20"/>
                <w:szCs w:val="20"/>
              </w:rPr>
            </w:pPr>
            <w:r>
              <w:rPr>
                <w:rFonts w:ascii="宋体" w:hAnsi="宋体" w:cs="宋体" w:eastAsia="宋体" w:hint="default"/>
                <w:sz w:val="20"/>
                <w:szCs w:val="20"/>
              </w:rPr>
              <w:t>丧失控制权之</w:t>
            </w:r>
            <w:r>
              <w:rPr>
                <w:rFonts w:ascii="宋体" w:hAnsi="宋体" w:cs="宋体" w:eastAsia="宋体" w:hint="default"/>
                <w:w w:val="99"/>
                <w:sz w:val="20"/>
                <w:szCs w:val="20"/>
              </w:rPr>
              <w:t> </w:t>
            </w:r>
            <w:r>
              <w:rPr>
                <w:rFonts w:ascii="宋体" w:hAnsi="宋体" w:cs="宋体" w:eastAsia="宋体" w:hint="default"/>
                <w:sz w:val="20"/>
                <w:szCs w:val="20"/>
              </w:rPr>
              <w:t>日剩余股权公</w:t>
            </w:r>
            <w:r>
              <w:rPr>
                <w:rFonts w:ascii="宋体" w:hAnsi="宋体" w:cs="宋体" w:eastAsia="宋体" w:hint="default"/>
                <w:w w:val="99"/>
                <w:sz w:val="20"/>
                <w:szCs w:val="20"/>
              </w:rPr>
              <w:t> </w:t>
            </w:r>
            <w:r>
              <w:rPr>
                <w:rFonts w:ascii="宋体" w:hAnsi="宋体" w:cs="宋体" w:eastAsia="宋体" w:hint="default"/>
                <w:sz w:val="20"/>
                <w:szCs w:val="20"/>
              </w:rPr>
              <w:t>允价值的确定</w:t>
            </w:r>
            <w:r>
              <w:rPr>
                <w:rFonts w:ascii="宋体" w:hAnsi="宋体" w:cs="宋体" w:eastAsia="宋体" w:hint="default"/>
                <w:w w:val="99"/>
                <w:sz w:val="20"/>
                <w:szCs w:val="20"/>
              </w:rPr>
              <w:t> </w:t>
            </w:r>
            <w:r>
              <w:rPr>
                <w:rFonts w:ascii="宋体" w:hAnsi="宋体" w:cs="宋体" w:eastAsia="宋体" w:hint="default"/>
                <w:sz w:val="20"/>
                <w:szCs w:val="20"/>
              </w:rPr>
              <w:t>方法及主要假</w:t>
            </w:r>
            <w:r>
              <w:rPr>
                <w:rFonts w:ascii="宋体" w:hAnsi="宋体" w:cs="宋体" w:eastAsia="宋体" w:hint="default"/>
                <w:w w:val="99"/>
                <w:sz w:val="20"/>
                <w:szCs w:val="20"/>
              </w:rPr>
              <w:t> </w:t>
            </w:r>
            <w:r>
              <w:rPr>
                <w:rFonts w:ascii="宋体" w:hAnsi="宋体" w:cs="宋体" w:eastAsia="宋体" w:hint="default"/>
                <w:sz w:val="20"/>
                <w:szCs w:val="20"/>
              </w:rPr>
              <w:t>设</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both"/>
              <w:rPr>
                <w:rFonts w:ascii="宋体" w:hAnsi="宋体" w:cs="宋体" w:eastAsia="宋体" w:hint="default"/>
                <w:sz w:val="20"/>
                <w:szCs w:val="20"/>
              </w:rPr>
            </w:pPr>
            <w:r>
              <w:rPr>
                <w:rFonts w:ascii="宋体" w:hAnsi="宋体" w:cs="宋体" w:eastAsia="宋体" w:hint="default"/>
                <w:sz w:val="20"/>
                <w:szCs w:val="20"/>
              </w:rPr>
              <w:t>与原子公</w:t>
            </w:r>
          </w:p>
          <w:p>
            <w:pPr>
              <w:pStyle w:val="TableParagraph"/>
              <w:spacing w:line="237" w:lineRule="auto" w:before="1"/>
              <w:ind w:left="26" w:right="29"/>
              <w:jc w:val="both"/>
              <w:rPr>
                <w:rFonts w:ascii="宋体" w:hAnsi="宋体" w:cs="宋体" w:eastAsia="宋体" w:hint="default"/>
                <w:sz w:val="20"/>
                <w:szCs w:val="20"/>
              </w:rPr>
            </w:pPr>
            <w:r>
              <w:rPr>
                <w:rFonts w:ascii="宋体" w:hAnsi="宋体" w:cs="宋体" w:eastAsia="宋体" w:hint="default"/>
                <w:sz w:val="20"/>
                <w:szCs w:val="20"/>
              </w:rPr>
              <w:t>司股权投</w:t>
            </w:r>
            <w:r>
              <w:rPr>
                <w:rFonts w:ascii="宋体" w:hAnsi="宋体" w:cs="宋体" w:eastAsia="宋体" w:hint="default"/>
                <w:w w:val="99"/>
                <w:sz w:val="20"/>
                <w:szCs w:val="20"/>
              </w:rPr>
              <w:t> </w:t>
            </w:r>
            <w:r>
              <w:rPr>
                <w:rFonts w:ascii="宋体" w:hAnsi="宋体" w:cs="宋体" w:eastAsia="宋体" w:hint="default"/>
                <w:sz w:val="20"/>
                <w:szCs w:val="20"/>
              </w:rPr>
              <w:t>资相关的</w:t>
            </w:r>
            <w:r>
              <w:rPr>
                <w:rFonts w:ascii="宋体" w:hAnsi="宋体" w:cs="宋体" w:eastAsia="宋体" w:hint="default"/>
                <w:w w:val="99"/>
                <w:sz w:val="20"/>
                <w:szCs w:val="20"/>
              </w:rPr>
              <w:t> </w:t>
            </w:r>
            <w:r>
              <w:rPr>
                <w:rFonts w:ascii="宋体" w:hAnsi="宋体" w:cs="宋体" w:eastAsia="宋体" w:hint="default"/>
                <w:sz w:val="20"/>
                <w:szCs w:val="20"/>
              </w:rPr>
              <w:t>其他综合</w:t>
            </w:r>
            <w:r>
              <w:rPr>
                <w:rFonts w:ascii="宋体" w:hAnsi="宋体" w:cs="宋体" w:eastAsia="宋体" w:hint="default"/>
                <w:w w:val="99"/>
                <w:sz w:val="20"/>
                <w:szCs w:val="20"/>
              </w:rPr>
              <w:t> </w:t>
            </w:r>
            <w:r>
              <w:rPr>
                <w:rFonts w:ascii="宋体" w:hAnsi="宋体" w:cs="宋体" w:eastAsia="宋体" w:hint="default"/>
                <w:sz w:val="20"/>
                <w:szCs w:val="20"/>
              </w:rPr>
              <w:t>收益转入</w:t>
            </w:r>
            <w:r>
              <w:rPr>
                <w:rFonts w:ascii="宋体" w:hAnsi="宋体" w:cs="宋体" w:eastAsia="宋体" w:hint="default"/>
                <w:w w:val="99"/>
                <w:sz w:val="20"/>
                <w:szCs w:val="20"/>
              </w:rPr>
              <w:t> </w:t>
            </w:r>
            <w:r>
              <w:rPr>
                <w:rFonts w:ascii="宋体" w:hAnsi="宋体" w:cs="宋体" w:eastAsia="宋体" w:hint="default"/>
                <w:sz w:val="20"/>
                <w:szCs w:val="20"/>
              </w:rPr>
              <w:t>投资损益</w:t>
            </w:r>
            <w:r>
              <w:rPr>
                <w:rFonts w:ascii="宋体" w:hAnsi="宋体" w:cs="宋体" w:eastAsia="宋体" w:hint="default"/>
                <w:w w:val="99"/>
                <w:sz w:val="20"/>
                <w:szCs w:val="20"/>
              </w:rPr>
              <w:t> </w:t>
            </w:r>
            <w:r>
              <w:rPr>
                <w:rFonts w:ascii="宋体" w:hAnsi="宋体" w:cs="宋体" w:eastAsia="宋体" w:hint="default"/>
                <w:sz w:val="20"/>
                <w:szCs w:val="20"/>
              </w:rPr>
              <w:t>的金额</w:t>
            </w:r>
          </w:p>
        </w:tc>
      </w:tr>
      <w:tr>
        <w:trPr>
          <w:trHeight w:val="814" w:hRule="exact"/>
        </w:trPr>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3"/>
              <w:jc w:val="left"/>
              <w:rPr>
                <w:rFonts w:ascii="宋体" w:hAnsi="宋体" w:cs="宋体" w:eastAsia="宋体" w:hint="default"/>
                <w:sz w:val="20"/>
                <w:szCs w:val="20"/>
              </w:rPr>
            </w:pPr>
            <w:r>
              <w:rPr>
                <w:rFonts w:ascii="宋体" w:hAnsi="宋体" w:cs="宋体" w:eastAsia="宋体" w:hint="default"/>
                <w:sz w:val="20"/>
                <w:szCs w:val="20"/>
              </w:rPr>
              <w:t>北</w:t>
            </w:r>
            <w:r>
              <w:rPr>
                <w:rFonts w:ascii="宋体" w:hAnsi="宋体" w:cs="宋体" w:eastAsia="宋体" w:hint="default"/>
                <w:spacing w:val="-45"/>
                <w:sz w:val="20"/>
                <w:szCs w:val="20"/>
              </w:rPr>
              <w:t> </w:t>
            </w:r>
            <w:r>
              <w:rPr>
                <w:rFonts w:ascii="宋体" w:hAnsi="宋体" w:cs="宋体" w:eastAsia="宋体" w:hint="default"/>
                <w:sz w:val="20"/>
                <w:szCs w:val="20"/>
              </w:rPr>
              <w:t>京</w:t>
            </w:r>
            <w:r>
              <w:rPr>
                <w:rFonts w:ascii="宋体" w:hAnsi="宋体" w:cs="宋体" w:eastAsia="宋体" w:hint="default"/>
                <w:spacing w:val="-43"/>
                <w:sz w:val="20"/>
                <w:szCs w:val="20"/>
              </w:rPr>
              <w:t> </w:t>
            </w:r>
            <w:r>
              <w:rPr>
                <w:rFonts w:ascii="宋体" w:hAnsi="宋体" w:cs="宋体" w:eastAsia="宋体" w:hint="default"/>
                <w:sz w:val="20"/>
                <w:szCs w:val="20"/>
              </w:rPr>
              <w:t>用</w:t>
            </w:r>
            <w:r>
              <w:rPr>
                <w:rFonts w:ascii="宋体" w:hAnsi="宋体" w:cs="宋体" w:eastAsia="宋体" w:hint="default"/>
                <w:spacing w:val="-45"/>
                <w:sz w:val="20"/>
                <w:szCs w:val="20"/>
              </w:rPr>
              <w:t> </w:t>
            </w:r>
            <w:r>
              <w:rPr>
                <w:rFonts w:ascii="宋体" w:hAnsi="宋体" w:cs="宋体" w:eastAsia="宋体" w:hint="default"/>
                <w:sz w:val="20"/>
                <w:szCs w:val="20"/>
              </w:rPr>
              <w:t>友</w:t>
            </w:r>
          </w:p>
          <w:p>
            <w:pPr>
              <w:pStyle w:val="TableParagraph"/>
              <w:spacing w:line="272" w:lineRule="exact" w:before="26"/>
              <w:ind w:right="-3"/>
              <w:jc w:val="left"/>
              <w:rPr>
                <w:rFonts w:ascii="宋体" w:hAnsi="宋体" w:cs="宋体" w:eastAsia="宋体" w:hint="default"/>
                <w:sz w:val="21"/>
                <w:szCs w:val="21"/>
              </w:rPr>
            </w:pPr>
            <w:r>
              <w:rPr>
                <w:rFonts w:ascii="宋体" w:hAnsi="宋体" w:cs="宋体" w:eastAsia="宋体" w:hint="default"/>
                <w:spacing w:val="26"/>
                <w:sz w:val="20"/>
                <w:szCs w:val="20"/>
              </w:rPr>
              <w:t>教育</w:t>
            </w:r>
            <w:r>
              <w:rPr>
                <w:rFonts w:ascii="宋体" w:hAnsi="宋体" w:cs="宋体" w:eastAsia="宋体" w:hint="default"/>
                <w:spacing w:val="-47"/>
                <w:sz w:val="20"/>
                <w:szCs w:val="20"/>
              </w:rPr>
              <w:t> </w:t>
            </w:r>
            <w:r>
              <w:rPr>
                <w:rFonts w:ascii="宋体" w:hAnsi="宋体" w:cs="宋体" w:eastAsia="宋体" w:hint="default"/>
                <w:sz w:val="21"/>
                <w:szCs w:val="21"/>
              </w:rPr>
              <w:t>投</w:t>
            </w:r>
            <w:r>
              <w:rPr>
                <w:rFonts w:ascii="宋体" w:hAnsi="宋体" w:cs="宋体" w:eastAsia="宋体" w:hint="default"/>
                <w:spacing w:val="-55"/>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3"/>
              <w:jc w:val="left"/>
              <w:rPr>
                <w:rFonts w:ascii="宋体" w:hAnsi="宋体" w:cs="宋体" w:eastAsia="宋体" w:hint="default"/>
                <w:sz w:val="20"/>
                <w:szCs w:val="20"/>
              </w:rPr>
            </w:pPr>
            <w:r>
              <w:rPr>
                <w:rFonts w:ascii="宋体"/>
                <w:sz w:val="20"/>
              </w:rPr>
              <w:t>6,700,000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sz w:val="20"/>
              </w:rPr>
              <w:t>100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转让</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left"/>
              <w:rPr>
                <w:rFonts w:ascii="宋体" w:hAnsi="宋体" w:cs="宋体" w:eastAsia="宋体" w:hint="default"/>
                <w:sz w:val="20"/>
                <w:szCs w:val="20"/>
              </w:rPr>
            </w:pPr>
            <w:r>
              <w:rPr>
                <w:rFonts w:ascii="宋体" w:hAnsi="宋体" w:cs="宋体" w:eastAsia="宋体" w:hint="default"/>
                <w:sz w:val="20"/>
                <w:szCs w:val="20"/>
              </w:rPr>
              <w:t>2015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6</w:t>
            </w:r>
          </w:p>
          <w:p>
            <w:pPr>
              <w:pStyle w:val="TableParagraph"/>
              <w:spacing w:line="260" w:lineRule="exact"/>
              <w:ind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30</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sz w:val="20"/>
                <w:szCs w:val="20"/>
              </w:rPr>
              <w:t>失去控制权</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13" w:right="0"/>
              <w:jc w:val="left"/>
              <w:rPr>
                <w:rFonts w:ascii="宋体" w:hAnsi="宋体" w:cs="宋体" w:eastAsia="宋体" w:hint="default"/>
                <w:sz w:val="20"/>
                <w:szCs w:val="20"/>
              </w:rPr>
            </w:pPr>
            <w:r>
              <w:rPr>
                <w:rFonts w:ascii="宋体"/>
                <w:sz w:val="20"/>
              </w:rPr>
              <w:t>7,853,328</w:t>
            </w:r>
          </w:p>
        </w:tc>
        <w:tc>
          <w:tcPr>
            <w:tcW w:w="11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9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404" w:right="0"/>
        <w:jc w:val="left"/>
      </w:pPr>
      <w:r>
        <w:rPr/>
        <w:t>其他说明：</w:t>
      </w:r>
    </w:p>
    <w:p>
      <w:pPr>
        <w:spacing w:line="240" w:lineRule="auto" w:before="11"/>
        <w:rPr>
          <w:rFonts w:ascii="宋体" w:hAnsi="宋体" w:cs="宋体" w:eastAsia="宋体" w:hint="default"/>
          <w:sz w:val="20"/>
          <w:szCs w:val="20"/>
        </w:rPr>
      </w:pPr>
    </w:p>
    <w:p>
      <w:pPr>
        <w:spacing w:line="20" w:lineRule="exact"/>
        <w:ind w:left="39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59998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BodyText"/>
        <w:spacing w:line="274" w:lineRule="exact" w:before="36"/>
        <w:ind w:left="404" w:right="0"/>
        <w:jc w:val="left"/>
      </w:pPr>
      <w:r>
        <w:rPr/>
        <w:t>是否存在通过多次交易分步处置对子公司投资且在本期丧失控制权的情形</w:t>
      </w:r>
    </w:p>
    <w:p>
      <w:pPr>
        <w:spacing w:line="261" w:lineRule="exact" w:before="0"/>
        <w:ind w:left="404" w:right="0" w:firstLine="0"/>
        <w:jc w:val="left"/>
        <w:rPr>
          <w:rFonts w:ascii="宋体" w:hAnsi="宋体" w:cs="宋体" w:eastAsia="宋体" w:hint="default"/>
          <w:sz w:val="20"/>
          <w:szCs w:val="20"/>
        </w:rPr>
      </w:pPr>
      <w:r>
        <w:rPr>
          <w:rFonts w:ascii="宋体" w:hAnsi="宋体" w:cs="宋体" w:eastAsia="宋体" w:hint="default"/>
          <w:sz w:val="20"/>
          <w:szCs w:val="20"/>
        </w:rPr>
        <w:t>□适用□不适用</w:t>
      </w:r>
    </w:p>
    <w:p>
      <w:pPr>
        <w:spacing w:line="240" w:lineRule="auto" w:before="3"/>
        <w:rPr>
          <w:rFonts w:ascii="宋体" w:hAnsi="宋体" w:cs="宋体" w:eastAsia="宋体" w:hint="default"/>
          <w:sz w:val="17"/>
          <w:szCs w:val="17"/>
        </w:rPr>
      </w:pPr>
    </w:p>
    <w:p>
      <w:pPr>
        <w:pStyle w:val="BodyText"/>
        <w:spacing w:line="240" w:lineRule="auto"/>
        <w:ind w:left="404" w:right="0"/>
        <w:jc w:val="left"/>
      </w:pPr>
      <w:r>
        <w:rPr/>
        <w:t>一揽子交易</w:t>
      </w:r>
    </w:p>
    <w:p>
      <w:pPr>
        <w:spacing w:before="1"/>
        <w:ind w:left="404" w:right="0" w:firstLine="0"/>
        <w:jc w:val="left"/>
        <w:rPr>
          <w:rFonts w:ascii="宋体" w:hAnsi="宋体" w:cs="宋体" w:eastAsia="宋体" w:hint="default"/>
          <w:sz w:val="20"/>
          <w:szCs w:val="20"/>
        </w:rPr>
      </w:pPr>
      <w:r>
        <w:rPr>
          <w:rFonts w:ascii="宋体" w:hAnsi="宋体" w:cs="宋体" w:eastAsia="宋体" w:hint="default"/>
          <w:sz w:val="20"/>
          <w:szCs w:val="20"/>
        </w:rPr>
        <w:t>□适用</w:t>
      </w:r>
      <w:r>
        <w:rPr>
          <w:rFonts w:ascii="宋体" w:hAnsi="宋体" w:cs="宋体" w:eastAsia="宋体" w:hint="default"/>
          <w:spacing w:val="-4"/>
          <w:sz w:val="20"/>
          <w:szCs w:val="20"/>
        </w:rPr>
        <w:t> </w:t>
      </w:r>
      <w:r>
        <w:rPr>
          <w:rFonts w:ascii="宋体" w:hAnsi="宋体" w:cs="宋体" w:eastAsia="宋体" w:hint="default"/>
          <w:sz w:val="20"/>
          <w:szCs w:val="20"/>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74" w:lineRule="exact"/>
        <w:ind w:left="404" w:right="0"/>
        <w:jc w:val="left"/>
      </w:pPr>
      <w:r>
        <w:rPr/>
        <w:t>非一揽子交易</w:t>
      </w:r>
    </w:p>
    <w:p>
      <w:pPr>
        <w:spacing w:line="261" w:lineRule="exact" w:before="0"/>
        <w:ind w:left="404" w:right="0" w:firstLine="0"/>
        <w:jc w:val="left"/>
        <w:rPr>
          <w:rFonts w:ascii="宋体" w:hAnsi="宋体" w:cs="宋体" w:eastAsia="宋体" w:hint="default"/>
          <w:sz w:val="20"/>
          <w:szCs w:val="20"/>
        </w:rPr>
      </w:pPr>
      <w:r>
        <w:rPr>
          <w:rFonts w:ascii="宋体" w:hAnsi="宋体" w:cs="宋体" w:eastAsia="宋体" w:hint="default"/>
          <w:sz w:val="20"/>
          <w:szCs w:val="20"/>
        </w:rPr>
        <w:t>□适用</w:t>
      </w:r>
      <w:r>
        <w:rPr>
          <w:rFonts w:ascii="宋体" w:hAnsi="宋体" w:cs="宋体" w:eastAsia="宋体" w:hint="default"/>
          <w:spacing w:val="-4"/>
          <w:sz w:val="20"/>
          <w:szCs w:val="20"/>
        </w:rPr>
        <w:t> </w:t>
      </w:r>
      <w:r>
        <w:rPr>
          <w:rFonts w:ascii="宋体" w:hAnsi="宋体" w:cs="宋体" w:eastAsia="宋体" w:hint="default"/>
          <w:sz w:val="20"/>
          <w:szCs w:val="20"/>
        </w:rPr>
        <w:t>√不适用</w:t>
      </w:r>
    </w:p>
    <w:p>
      <w:pPr>
        <w:spacing w:line="240" w:lineRule="auto" w:before="2"/>
        <w:rPr>
          <w:rFonts w:ascii="宋体" w:hAnsi="宋体" w:cs="宋体" w:eastAsia="宋体" w:hint="default"/>
          <w:sz w:val="25"/>
          <w:szCs w:val="25"/>
        </w:rPr>
      </w:pPr>
    </w:p>
    <w:p>
      <w:pPr>
        <w:spacing w:before="0"/>
        <w:ind w:left="404" w:right="0" w:firstLine="0"/>
        <w:jc w:val="left"/>
        <w:rPr>
          <w:rFonts w:ascii="宋体" w:hAnsi="宋体" w:cs="宋体" w:eastAsia="宋体" w:hint="default"/>
          <w:sz w:val="21"/>
          <w:szCs w:val="21"/>
        </w:rPr>
      </w:pPr>
      <w:r>
        <w:rPr>
          <w:rFonts w:ascii="宋体" w:hAnsi="宋体" w:cs="宋体" w:eastAsia="宋体" w:hint="default"/>
          <w:b/>
          <w:bCs/>
          <w:sz w:val="20"/>
          <w:szCs w:val="20"/>
        </w:rPr>
        <w:t>5</w:t>
      </w:r>
      <w:r>
        <w:rPr>
          <w:rFonts w:ascii="宋体" w:hAnsi="宋体" w:cs="宋体" w:eastAsia="宋体" w:hint="default"/>
          <w:b/>
          <w:bCs/>
          <w:sz w:val="20"/>
          <w:szCs w:val="20"/>
        </w:rPr>
        <w:t>、</w:t>
      </w:r>
      <w:r>
        <w:rPr>
          <w:rFonts w:ascii="宋体" w:hAnsi="宋体" w:cs="宋体" w:eastAsia="宋体" w:hint="default"/>
          <w:b/>
          <w:bCs/>
          <w:spacing w:val="18"/>
          <w:sz w:val="20"/>
          <w:szCs w:val="20"/>
        </w:rPr>
        <w:t> </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pStyle w:val="BodyText"/>
        <w:spacing w:line="240" w:lineRule="auto" w:before="56"/>
        <w:ind w:left="404" w:right="0"/>
        <w:jc w:val="left"/>
      </w:pPr>
      <w:r>
        <w:rPr>
          <w:rFonts w:ascii="宋体" w:hAnsi="宋体" w:cs="宋体" w:eastAsia="宋体" w:hint="default"/>
          <w:w w:val="100"/>
        </w:rPr>
        <w:t>1</w:t>
      </w:r>
      <w:r>
        <w:rPr>
          <w:w w:val="100"/>
        </w:rPr>
        <w:t>、</w:t>
      </w:r>
      <w:r>
        <w:rPr>
          <w:spacing w:val="-2"/>
        </w:rPr>
        <w:t> </w:t>
      </w:r>
      <w:r>
        <w:rPr>
          <w:w w:val="100"/>
        </w:rPr>
        <w:t>根据</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w w:val="100"/>
        </w:rPr>
        <w:t>年</w:t>
      </w:r>
      <w:r>
        <w:rPr>
          <w:spacing w:val="-50"/>
        </w:rPr>
        <w:t> </w:t>
      </w:r>
      <w:r>
        <w:rPr>
          <w:rFonts w:ascii="宋体" w:hAnsi="宋体" w:cs="宋体" w:eastAsia="宋体" w:hint="default"/>
          <w:w w:val="100"/>
        </w:rPr>
        <w:t>3</w:t>
      </w:r>
      <w:r>
        <w:rPr>
          <w:rFonts w:ascii="宋体" w:hAnsi="宋体" w:cs="宋体" w:eastAsia="宋体" w:hint="default"/>
          <w:spacing w:val="-53"/>
        </w:rPr>
        <w:t> </w:t>
      </w:r>
      <w:r>
        <w:rPr>
          <w:w w:val="100"/>
        </w:rPr>
        <w:t>月</w:t>
      </w:r>
      <w:r>
        <w:rPr>
          <w:spacing w:val="-53"/>
        </w:rPr>
        <w:t> </w:t>
      </w:r>
      <w:r>
        <w:rPr>
          <w:rFonts w:ascii="宋体" w:hAnsi="宋体" w:cs="宋体" w:eastAsia="宋体" w:hint="default"/>
          <w:w w:val="100"/>
        </w:rPr>
        <w:t>20</w:t>
      </w:r>
      <w:r>
        <w:rPr>
          <w:rFonts w:ascii="宋体" w:hAnsi="宋体" w:cs="宋体" w:eastAsia="宋体" w:hint="default"/>
          <w:spacing w:val="-53"/>
        </w:rPr>
        <w:t> </w:t>
      </w:r>
      <w:r>
        <w:rPr>
          <w:w w:val="100"/>
        </w:rPr>
        <w:t>日</w:t>
      </w:r>
      <w:r>
        <w:rPr>
          <w:spacing w:val="-3"/>
          <w:w w:val="100"/>
        </w:rPr>
        <w:t>经</w:t>
      </w:r>
      <w:r>
        <w:rPr>
          <w:w w:val="100"/>
        </w:rPr>
        <w:t>公司</w:t>
      </w:r>
      <w:r>
        <w:rPr>
          <w:spacing w:val="-3"/>
          <w:w w:val="100"/>
        </w:rPr>
        <w:t>第</w:t>
      </w:r>
      <w:r>
        <w:rPr>
          <w:w w:val="100"/>
        </w:rPr>
        <w:t>六</w:t>
      </w:r>
      <w:r>
        <w:rPr>
          <w:spacing w:val="-3"/>
          <w:w w:val="100"/>
        </w:rPr>
        <w:t>届</w:t>
      </w:r>
      <w:r>
        <w:rPr>
          <w:w w:val="100"/>
        </w:rPr>
        <w:t>董</w:t>
      </w:r>
      <w:r>
        <w:rPr>
          <w:spacing w:val="-3"/>
          <w:w w:val="100"/>
        </w:rPr>
        <w:t>事</w:t>
      </w:r>
      <w:r>
        <w:rPr>
          <w:w w:val="100"/>
        </w:rPr>
        <w:t>会</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0"/>
        </w:rPr>
        <w:t> </w:t>
      </w:r>
      <w:r>
        <w:rPr>
          <w:spacing w:val="-3"/>
          <w:w w:val="100"/>
        </w:rPr>
        <w:t>年</w:t>
      </w:r>
      <w:r>
        <w:rPr>
          <w:w w:val="100"/>
        </w:rPr>
        <w:t>第三</w:t>
      </w:r>
      <w:r>
        <w:rPr>
          <w:spacing w:val="-3"/>
          <w:w w:val="100"/>
        </w:rPr>
        <w:t>次</w:t>
      </w:r>
      <w:r>
        <w:rPr>
          <w:w w:val="100"/>
        </w:rPr>
        <w:t>会</w:t>
      </w:r>
      <w:r>
        <w:rPr>
          <w:spacing w:val="-3"/>
          <w:w w:val="100"/>
        </w:rPr>
        <w:t>议</w:t>
      </w:r>
      <w:r>
        <w:rPr>
          <w:w w:val="100"/>
        </w:rPr>
        <w:t>通</w:t>
      </w:r>
      <w:r>
        <w:rPr>
          <w:spacing w:val="-3"/>
          <w:w w:val="100"/>
        </w:rPr>
        <w:t>过</w:t>
      </w:r>
      <w:r>
        <w:rPr>
          <w:w w:val="100"/>
        </w:rPr>
        <w:t>的</w:t>
      </w:r>
      <w:r>
        <w:rPr>
          <w:spacing w:val="-3"/>
          <w:w w:val="100"/>
        </w:rPr>
        <w:t>《</w:t>
      </w:r>
      <w:r>
        <w:rPr>
          <w:w w:val="100"/>
        </w:rPr>
        <w:t>公</w:t>
      </w:r>
      <w:r>
        <w:rPr>
          <w:spacing w:val="-3"/>
          <w:w w:val="100"/>
        </w:rPr>
        <w:t>司</w:t>
      </w:r>
      <w:r>
        <w:rPr>
          <w:w w:val="100"/>
        </w:rPr>
        <w:t>关于</w:t>
      </w:r>
      <w:r>
        <w:rPr>
          <w:spacing w:val="-3"/>
          <w:w w:val="100"/>
        </w:rPr>
        <w:t>投</w:t>
      </w:r>
      <w:r>
        <w:rPr>
          <w:w w:val="100"/>
        </w:rPr>
        <w:t>资</w:t>
      </w:r>
      <w:r>
        <w:rPr>
          <w:spacing w:val="-3"/>
          <w:w w:val="100"/>
        </w:rPr>
        <w:t>设</w:t>
      </w:r>
      <w:r>
        <w:rPr>
          <w:w w:val="100"/>
        </w:rPr>
        <w:t>立</w:t>
      </w:r>
      <w:r>
        <w:rPr>
          <w:spacing w:val="-3"/>
          <w:w w:val="100"/>
        </w:rPr>
        <w:t>用</w:t>
      </w:r>
      <w:r>
        <w:rPr>
          <w:w w:val="100"/>
        </w:rPr>
        <w:t>友</w:t>
      </w:r>
      <w:r>
        <w:rPr>
          <w:spacing w:val="-3"/>
          <w:w w:val="100"/>
        </w:rPr>
        <w:t>能</w:t>
      </w:r>
      <w:r>
        <w:rPr>
          <w:spacing w:val="-1"/>
          <w:w w:val="100"/>
        </w:rPr>
        <w:t>源</w:t>
      </w:r>
      <w:r>
        <w:rPr>
          <w:spacing w:val="-3"/>
          <w:w w:val="100"/>
        </w:rPr>
        <w:t>科</w:t>
      </w:r>
      <w:r>
        <w:rPr>
          <w:w w:val="100"/>
        </w:rPr>
        <w:t>技有</w:t>
      </w:r>
      <w:r>
        <w:rPr>
          <w:spacing w:val="-3"/>
          <w:w w:val="100"/>
        </w:rPr>
        <w:t>限</w:t>
      </w:r>
      <w:r>
        <w:rPr>
          <w:w w:val="100"/>
        </w:rPr>
        <w:t>公</w:t>
      </w:r>
      <w:r>
        <w:rPr>
          <w:spacing w:val="-3"/>
          <w:w w:val="100"/>
        </w:rPr>
        <w:t>司</w:t>
      </w:r>
      <w:r>
        <w:rPr>
          <w:w w:val="100"/>
        </w:rPr>
        <w:t>的</w:t>
      </w:r>
      <w:r>
        <w:rPr>
          <w:spacing w:val="-3"/>
          <w:w w:val="100"/>
        </w:rPr>
        <w:t>议</w:t>
      </w:r>
      <w:r>
        <w:rPr>
          <w:w w:val="100"/>
        </w:rPr>
        <w:t>案</w:t>
      </w:r>
      <w:r>
        <w:rPr>
          <w:spacing w:val="-108"/>
          <w:w w:val="100"/>
        </w:rPr>
        <w:t>》</w:t>
      </w:r>
      <w:r>
        <w:rPr>
          <w:w w:val="100"/>
        </w:rPr>
        <w:t>，</w:t>
      </w:r>
      <w:r>
        <w:rPr>
          <w:spacing w:val="-3"/>
          <w:w w:val="100"/>
        </w:rPr>
        <w:t>公司</w:t>
      </w:r>
      <w:r>
        <w:rPr>
          <w:w w:val="100"/>
        </w:rPr>
        <w:t>决定</w:t>
      </w:r>
      <w:r>
        <w:rPr>
          <w:spacing w:val="-3"/>
          <w:w w:val="100"/>
        </w:rPr>
        <w:t>与</w:t>
      </w:r>
      <w:r>
        <w:rPr>
          <w:w w:val="100"/>
        </w:rPr>
        <w:t>北</w:t>
      </w:r>
      <w:r>
        <w:rPr>
          <w:spacing w:val="-3"/>
          <w:w w:val="100"/>
        </w:rPr>
        <w:t>京中能</w:t>
      </w:r>
      <w:r>
        <w:rPr>
          <w:w w:val="100"/>
        </w:rPr>
        <w:t>合</w:t>
      </w:r>
    </w:p>
    <w:p>
      <w:pPr>
        <w:pStyle w:val="BodyText"/>
        <w:spacing w:line="240" w:lineRule="auto" w:before="66"/>
        <w:ind w:left="404" w:right="0"/>
        <w:jc w:val="left"/>
      </w:pPr>
      <w:r>
        <w:rPr/>
        <w:t>创投资中心（有限合伙）共同发起设立用友能源。用友能源的注册资本为人民币</w:t>
      </w:r>
      <w:r>
        <w:rPr>
          <w:spacing w:val="-53"/>
        </w:rPr>
        <w:t> </w:t>
      </w:r>
      <w:r>
        <w:rPr>
          <w:rFonts w:ascii="宋体" w:hAnsi="宋体" w:cs="宋体" w:eastAsia="宋体" w:hint="default"/>
        </w:rPr>
        <w:t>50,000,000</w:t>
      </w:r>
      <w:r>
        <w:rPr>
          <w:rFonts w:ascii="宋体" w:hAnsi="宋体" w:cs="宋体" w:eastAsia="宋体" w:hint="default"/>
          <w:spacing w:val="-54"/>
        </w:rPr>
        <w:t> </w:t>
      </w:r>
      <w:r>
        <w:rPr/>
        <w:t>元。截止</w:t>
      </w:r>
      <w:r>
        <w:rPr>
          <w:spacing w:val="-51"/>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日，本公司已缴足认缴的注册资</w:t>
      </w:r>
    </w:p>
    <w:p>
      <w:pPr>
        <w:spacing w:after="0" w:line="240" w:lineRule="auto"/>
        <w:jc w:val="left"/>
        <w:sectPr>
          <w:type w:val="continuous"/>
          <w:pgSz w:w="16840" w:h="11910" w:orient="landscape"/>
          <w:pgMar w:top="1120" w:bottom="1520" w:left="1120" w:right="1300"/>
        </w:sectPr>
      </w:pPr>
    </w:p>
    <w:p>
      <w:pPr>
        <w:pStyle w:val="BodyText"/>
        <w:spacing w:line="297" w:lineRule="auto" w:before="117"/>
        <w:ind w:left="144" w:right="0"/>
        <w:jc w:val="left"/>
      </w:pPr>
      <w:r>
        <w:rPr/>
        <w:t>本人民币</w:t>
      </w:r>
      <w:r>
        <w:rPr>
          <w:spacing w:val="-53"/>
        </w:rPr>
        <w:t> </w:t>
      </w:r>
      <w:r>
        <w:rPr>
          <w:rFonts w:ascii="宋体" w:hAnsi="宋体" w:cs="宋体" w:eastAsia="宋体" w:hint="default"/>
        </w:rPr>
        <w:t>40,000,000</w:t>
      </w:r>
      <w:r>
        <w:rPr>
          <w:rFonts w:ascii="宋体" w:hAnsi="宋体" w:cs="宋体" w:eastAsia="宋体" w:hint="default"/>
          <w:spacing w:val="-54"/>
        </w:rPr>
        <w:t> </w:t>
      </w:r>
      <w:r>
        <w:rPr/>
        <w:t>元</w:t>
      </w:r>
      <w:r>
        <w:rPr>
          <w:rFonts w:ascii="宋体" w:hAnsi="宋体" w:cs="宋体" w:eastAsia="宋体" w:hint="default"/>
        </w:rPr>
        <w:t>,</w:t>
      </w:r>
      <w:r>
        <w:rPr/>
        <w:t>其他股东尚未缴纳认缴注册资本，故截至</w:t>
      </w:r>
      <w:r>
        <w:rPr>
          <w:spacing w:val="-54"/>
        </w:rPr>
        <w:t> </w:t>
      </w:r>
      <w:r>
        <w:rPr>
          <w:rFonts w:ascii="宋体" w:hAnsi="宋体" w:cs="宋体" w:eastAsia="宋体" w:hint="default"/>
        </w:rPr>
        <w:t>2015</w:t>
      </w:r>
      <w:r>
        <w:rPr>
          <w:rFonts w:ascii="宋体" w:hAnsi="宋体" w:cs="宋体" w:eastAsia="宋体" w:hint="default"/>
          <w:spacing w:val="-56"/>
        </w:rPr>
        <w:t> </w:t>
      </w:r>
      <w:r>
        <w:rPr/>
        <w:t>年末公司对用友能源的持股比例为</w:t>
      </w:r>
      <w:r>
        <w:rPr>
          <w:spacing w:val="-54"/>
        </w:rPr>
        <w:t> </w:t>
      </w:r>
      <w:r>
        <w:rPr>
          <w:rFonts w:ascii="宋体" w:hAnsi="宋体" w:cs="宋体" w:eastAsia="宋体" w:hint="default"/>
          <w:spacing w:val="-3"/>
        </w:rPr>
        <w:t>100%</w:t>
      </w:r>
      <w:r>
        <w:rPr>
          <w:spacing w:val="-3"/>
        </w:rPr>
        <w:t>。截止</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spacing w:val="-4"/>
        </w:rPr>
        <w:t>日，相关工商登</w:t>
      </w:r>
      <w:r>
        <w:rPr>
          <w:w w:val="100"/>
        </w:rPr>
        <w:t> </w:t>
      </w:r>
      <w:r>
        <w:rPr/>
        <w:t>记已经完成。</w:t>
      </w:r>
    </w:p>
    <w:p>
      <w:pPr>
        <w:pStyle w:val="BodyText"/>
        <w:spacing w:line="240" w:lineRule="auto" w:before="13"/>
        <w:ind w:left="144" w:right="0"/>
        <w:jc w:val="left"/>
      </w:pPr>
      <w:r>
        <w:rPr>
          <w:rFonts w:ascii="宋体" w:hAnsi="宋体" w:cs="宋体" w:eastAsia="宋体" w:hint="default"/>
          <w:w w:val="100"/>
        </w:rPr>
        <w:t>2</w:t>
      </w:r>
      <w:r>
        <w:rPr>
          <w:w w:val="100"/>
        </w:rPr>
        <w:t>、</w:t>
      </w:r>
      <w:r>
        <w:rPr>
          <w:spacing w:val="-2"/>
        </w:rPr>
        <w:t> </w:t>
      </w:r>
      <w:r>
        <w:rPr>
          <w:w w:val="100"/>
        </w:rPr>
        <w:t>根据</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w w:val="100"/>
        </w:rPr>
        <w:t>年</w:t>
      </w:r>
      <w:r>
        <w:rPr>
          <w:spacing w:val="-50"/>
        </w:rPr>
        <w:t> </w:t>
      </w:r>
      <w:r>
        <w:rPr>
          <w:rFonts w:ascii="宋体" w:hAnsi="宋体" w:cs="宋体" w:eastAsia="宋体" w:hint="default"/>
          <w:w w:val="100"/>
        </w:rPr>
        <w:t>3</w:t>
      </w:r>
      <w:r>
        <w:rPr>
          <w:rFonts w:ascii="宋体" w:hAnsi="宋体" w:cs="宋体" w:eastAsia="宋体" w:hint="default"/>
          <w:spacing w:val="-53"/>
        </w:rPr>
        <w:t> </w:t>
      </w:r>
      <w:r>
        <w:rPr>
          <w:w w:val="100"/>
        </w:rPr>
        <w:t>月</w:t>
      </w:r>
      <w:r>
        <w:rPr>
          <w:spacing w:val="-53"/>
        </w:rPr>
        <w:t> </w:t>
      </w:r>
      <w:r>
        <w:rPr>
          <w:rFonts w:ascii="宋体" w:hAnsi="宋体" w:cs="宋体" w:eastAsia="宋体" w:hint="default"/>
          <w:w w:val="100"/>
        </w:rPr>
        <w:t>20</w:t>
      </w:r>
      <w:r>
        <w:rPr>
          <w:rFonts w:ascii="宋体" w:hAnsi="宋体" w:cs="宋体" w:eastAsia="宋体" w:hint="default"/>
          <w:spacing w:val="-53"/>
        </w:rPr>
        <w:t> </w:t>
      </w:r>
      <w:r>
        <w:rPr>
          <w:w w:val="100"/>
        </w:rPr>
        <w:t>日</w:t>
      </w:r>
      <w:r>
        <w:rPr>
          <w:spacing w:val="-3"/>
          <w:w w:val="100"/>
        </w:rPr>
        <w:t>公</w:t>
      </w:r>
      <w:r>
        <w:rPr>
          <w:w w:val="100"/>
        </w:rPr>
        <w:t>司第</w:t>
      </w:r>
      <w:r>
        <w:rPr>
          <w:spacing w:val="-3"/>
          <w:w w:val="100"/>
        </w:rPr>
        <w:t>六</w:t>
      </w:r>
      <w:r>
        <w:rPr>
          <w:w w:val="100"/>
        </w:rPr>
        <w:t>届</w:t>
      </w:r>
      <w:r>
        <w:rPr>
          <w:spacing w:val="-3"/>
          <w:w w:val="100"/>
        </w:rPr>
        <w:t>董事</w:t>
      </w:r>
      <w:r>
        <w:rPr>
          <w:w w:val="100"/>
        </w:rPr>
        <w:t>会</w:t>
      </w:r>
      <w:r>
        <w:rPr>
          <w:spacing w:val="-50"/>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15</w:t>
      </w:r>
      <w:r>
        <w:rPr>
          <w:rFonts w:ascii="宋体" w:hAnsi="宋体" w:cs="宋体" w:eastAsia="宋体" w:hint="default"/>
          <w:spacing w:val="-53"/>
        </w:rPr>
        <w:t> </w:t>
      </w:r>
      <w:r>
        <w:rPr>
          <w:w w:val="100"/>
        </w:rPr>
        <w:t>年</w:t>
      </w:r>
      <w:r>
        <w:rPr>
          <w:spacing w:val="-3"/>
          <w:w w:val="100"/>
        </w:rPr>
        <w:t>第</w:t>
      </w:r>
      <w:r>
        <w:rPr>
          <w:w w:val="100"/>
        </w:rPr>
        <w:t>三次</w:t>
      </w:r>
      <w:r>
        <w:rPr>
          <w:spacing w:val="-3"/>
          <w:w w:val="100"/>
        </w:rPr>
        <w:t>会</w:t>
      </w:r>
      <w:r>
        <w:rPr>
          <w:w w:val="100"/>
        </w:rPr>
        <w:t>议</w:t>
      </w:r>
      <w:r>
        <w:rPr>
          <w:spacing w:val="-3"/>
          <w:w w:val="100"/>
        </w:rPr>
        <w:t>通</w:t>
      </w:r>
      <w:r>
        <w:rPr>
          <w:w w:val="100"/>
        </w:rPr>
        <w:t>过</w:t>
      </w:r>
      <w:r>
        <w:rPr>
          <w:spacing w:val="-3"/>
          <w:w w:val="100"/>
        </w:rPr>
        <w:t>的</w:t>
      </w:r>
      <w:r>
        <w:rPr>
          <w:w w:val="100"/>
        </w:rPr>
        <w:t>《</w:t>
      </w:r>
      <w:r>
        <w:rPr>
          <w:spacing w:val="-3"/>
          <w:w w:val="100"/>
        </w:rPr>
        <w:t>公</w:t>
      </w:r>
      <w:r>
        <w:rPr>
          <w:w w:val="100"/>
        </w:rPr>
        <w:t>司</w:t>
      </w:r>
      <w:r>
        <w:rPr>
          <w:spacing w:val="-3"/>
          <w:w w:val="100"/>
        </w:rPr>
        <w:t>关</w:t>
      </w:r>
      <w:r>
        <w:rPr>
          <w:w w:val="100"/>
        </w:rPr>
        <w:t>于投</w:t>
      </w:r>
      <w:r>
        <w:rPr>
          <w:spacing w:val="-3"/>
          <w:w w:val="100"/>
        </w:rPr>
        <w:t>资</w:t>
      </w:r>
      <w:r>
        <w:rPr>
          <w:w w:val="100"/>
        </w:rPr>
        <w:t>设</w:t>
      </w:r>
      <w:r>
        <w:rPr>
          <w:spacing w:val="-3"/>
          <w:w w:val="100"/>
        </w:rPr>
        <w:t>立</w:t>
      </w:r>
      <w:r>
        <w:rPr>
          <w:w w:val="100"/>
        </w:rPr>
        <w:t>用</w:t>
      </w:r>
      <w:r>
        <w:rPr>
          <w:spacing w:val="-3"/>
          <w:w w:val="100"/>
        </w:rPr>
        <w:t>友</w:t>
      </w:r>
      <w:r>
        <w:rPr>
          <w:w w:val="100"/>
        </w:rPr>
        <w:t>广</w:t>
      </w:r>
      <w:r>
        <w:rPr>
          <w:spacing w:val="-3"/>
          <w:w w:val="100"/>
        </w:rPr>
        <w:t>信</w:t>
      </w:r>
      <w:r>
        <w:rPr>
          <w:w w:val="100"/>
        </w:rPr>
        <w:t>网</w:t>
      </w:r>
      <w:r>
        <w:rPr>
          <w:spacing w:val="-3"/>
          <w:w w:val="100"/>
        </w:rPr>
        <w:t>络</w:t>
      </w:r>
      <w:r>
        <w:rPr>
          <w:w w:val="100"/>
        </w:rPr>
        <w:t>科技</w:t>
      </w:r>
      <w:r>
        <w:rPr>
          <w:spacing w:val="-3"/>
          <w:w w:val="100"/>
        </w:rPr>
        <w:t>有</w:t>
      </w:r>
      <w:r>
        <w:rPr>
          <w:w w:val="100"/>
        </w:rPr>
        <w:t>限</w:t>
      </w:r>
      <w:r>
        <w:rPr>
          <w:spacing w:val="-3"/>
          <w:w w:val="100"/>
        </w:rPr>
        <w:t>公</w:t>
      </w:r>
      <w:r>
        <w:rPr>
          <w:w w:val="100"/>
        </w:rPr>
        <w:t>司</w:t>
      </w:r>
      <w:r>
        <w:rPr>
          <w:spacing w:val="-3"/>
          <w:w w:val="100"/>
        </w:rPr>
        <w:t>的</w:t>
      </w:r>
      <w:r>
        <w:rPr>
          <w:w w:val="100"/>
        </w:rPr>
        <w:t>议</w:t>
      </w:r>
      <w:r>
        <w:rPr>
          <w:spacing w:val="-3"/>
          <w:w w:val="100"/>
        </w:rPr>
        <w:t>案</w:t>
      </w:r>
      <w:r>
        <w:rPr>
          <w:spacing w:val="-106"/>
          <w:w w:val="100"/>
        </w:rPr>
        <w:t>》</w:t>
      </w:r>
      <w:r>
        <w:rPr>
          <w:spacing w:val="-3"/>
          <w:w w:val="100"/>
        </w:rPr>
        <w:t>，公</w:t>
      </w:r>
      <w:r>
        <w:rPr>
          <w:w w:val="100"/>
        </w:rPr>
        <w:t>司与</w:t>
      </w:r>
      <w:r>
        <w:rPr>
          <w:spacing w:val="-3"/>
          <w:w w:val="100"/>
        </w:rPr>
        <w:t>北</w:t>
      </w:r>
      <w:r>
        <w:rPr>
          <w:w w:val="100"/>
        </w:rPr>
        <w:t>京</w:t>
      </w:r>
      <w:r>
        <w:rPr>
          <w:spacing w:val="-3"/>
          <w:w w:val="100"/>
        </w:rPr>
        <w:t>恒易合</w:t>
      </w:r>
      <w:r>
        <w:rPr>
          <w:w w:val="100"/>
        </w:rPr>
        <w:t>信</w:t>
      </w:r>
    </w:p>
    <w:p>
      <w:pPr>
        <w:pStyle w:val="BodyText"/>
        <w:spacing w:line="297" w:lineRule="auto" w:before="66"/>
        <w:ind w:left="144" w:right="0"/>
        <w:jc w:val="left"/>
      </w:pPr>
      <w:r>
        <w:rPr/>
        <w:t>投资中心（有限合伙）共同发起设立用友广信，用友广信的注册资本为人民币</w:t>
      </w:r>
      <w:r>
        <w:rPr>
          <w:spacing w:val="-52"/>
        </w:rPr>
        <w:t> </w:t>
      </w:r>
      <w:r>
        <w:rPr>
          <w:rFonts w:ascii="宋体" w:hAnsi="宋体" w:cs="宋体" w:eastAsia="宋体" w:hint="default"/>
        </w:rPr>
        <w:t>50,000,000</w:t>
      </w:r>
      <w:r>
        <w:rPr>
          <w:rFonts w:ascii="宋体" w:hAnsi="宋体" w:cs="宋体" w:eastAsia="宋体" w:hint="default"/>
          <w:spacing w:val="-53"/>
        </w:rPr>
        <w:t> </w:t>
      </w:r>
      <w:r>
        <w:rPr/>
        <w:t>元。截止</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日，所有注册资本均已到位，公司</w:t>
      </w:r>
      <w:r>
        <w:rPr>
          <w:w w:val="100"/>
        </w:rPr>
        <w:t> </w:t>
      </w:r>
      <w:r>
        <w:rPr/>
        <w:t>对用友广信的持股比例为</w:t>
      </w:r>
      <w:r>
        <w:rPr>
          <w:spacing w:val="-59"/>
        </w:rPr>
        <w:t> </w:t>
      </w:r>
      <w:r>
        <w:rPr>
          <w:rFonts w:ascii="宋体" w:hAnsi="宋体" w:cs="宋体" w:eastAsia="宋体" w:hint="default"/>
        </w:rPr>
        <w:t>80%</w:t>
      </w:r>
      <w:r>
        <w:rPr/>
        <w:t>，相关工商登记已经完成。</w:t>
      </w:r>
    </w:p>
    <w:p>
      <w:pPr>
        <w:pStyle w:val="BodyText"/>
        <w:spacing w:line="240" w:lineRule="auto" w:before="15"/>
        <w:ind w:left="144" w:right="0"/>
        <w:jc w:val="left"/>
      </w:pPr>
      <w:r>
        <w:rPr>
          <w:rFonts w:ascii="Calibri" w:hAnsi="Calibri" w:cs="Calibri" w:eastAsia="Calibri" w:hint="default"/>
          <w:spacing w:val="-1"/>
          <w:w w:val="99"/>
          <w:sz w:val="20"/>
          <w:szCs w:val="20"/>
        </w:rPr>
        <w:t>3</w:t>
      </w:r>
      <w:r>
        <w:rPr>
          <w:w w:val="99"/>
          <w:sz w:val="20"/>
          <w:szCs w:val="20"/>
        </w:rPr>
        <w:t>、</w:t>
      </w:r>
      <w:r>
        <w:rPr>
          <w:spacing w:val="20"/>
          <w:sz w:val="20"/>
          <w:szCs w:val="20"/>
        </w:rPr>
        <w:t> </w:t>
      </w:r>
      <w:r>
        <w:rPr>
          <w:w w:val="100"/>
        </w:rPr>
        <w:t>根据</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w w:val="100"/>
        </w:rPr>
        <w:t>年</w:t>
      </w:r>
      <w:r>
        <w:rPr>
          <w:spacing w:val="-50"/>
        </w:rPr>
        <w:t> </w:t>
      </w:r>
      <w:r>
        <w:rPr>
          <w:rFonts w:ascii="宋体" w:hAnsi="宋体" w:cs="宋体" w:eastAsia="宋体" w:hint="default"/>
          <w:w w:val="100"/>
        </w:rPr>
        <w:t>8</w:t>
      </w:r>
      <w:r>
        <w:rPr>
          <w:rFonts w:ascii="宋体" w:hAnsi="宋体" w:cs="宋体" w:eastAsia="宋体" w:hint="default"/>
          <w:spacing w:val="-53"/>
        </w:rPr>
        <w:t> </w:t>
      </w:r>
      <w:r>
        <w:rPr>
          <w:w w:val="100"/>
        </w:rPr>
        <w:t>月</w:t>
      </w:r>
      <w:r>
        <w:rPr>
          <w:spacing w:val="-53"/>
        </w:rPr>
        <w:t> </w:t>
      </w:r>
      <w:r>
        <w:rPr>
          <w:rFonts w:ascii="宋体" w:hAnsi="宋体" w:cs="宋体" w:eastAsia="宋体" w:hint="default"/>
          <w:w w:val="100"/>
        </w:rPr>
        <w:t>29</w:t>
      </w:r>
      <w:r>
        <w:rPr>
          <w:rFonts w:ascii="宋体" w:hAnsi="宋体" w:cs="宋体" w:eastAsia="宋体" w:hint="default"/>
          <w:spacing w:val="-53"/>
        </w:rPr>
        <w:t> </w:t>
      </w:r>
      <w:r>
        <w:rPr>
          <w:w w:val="100"/>
        </w:rPr>
        <w:t>日</w:t>
      </w:r>
      <w:r>
        <w:rPr>
          <w:spacing w:val="-3"/>
          <w:w w:val="100"/>
        </w:rPr>
        <w:t>公</w:t>
      </w:r>
      <w:r>
        <w:rPr>
          <w:w w:val="100"/>
        </w:rPr>
        <w:t>司第</w:t>
      </w:r>
      <w:r>
        <w:rPr>
          <w:spacing w:val="-3"/>
          <w:w w:val="100"/>
        </w:rPr>
        <w:t>六</w:t>
      </w:r>
      <w:r>
        <w:rPr>
          <w:w w:val="100"/>
        </w:rPr>
        <w:t>届</w:t>
      </w:r>
      <w:r>
        <w:rPr>
          <w:spacing w:val="-3"/>
          <w:w w:val="100"/>
        </w:rPr>
        <w:t>董事</w:t>
      </w:r>
      <w:r>
        <w:rPr>
          <w:w w:val="100"/>
        </w:rPr>
        <w:t>会</w:t>
      </w:r>
      <w:r>
        <w:rPr>
          <w:spacing w:val="-50"/>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15</w:t>
      </w:r>
      <w:r>
        <w:rPr>
          <w:rFonts w:ascii="宋体" w:hAnsi="宋体" w:cs="宋体" w:eastAsia="宋体" w:hint="default"/>
          <w:spacing w:val="-53"/>
        </w:rPr>
        <w:t> </w:t>
      </w:r>
      <w:r>
        <w:rPr>
          <w:w w:val="100"/>
        </w:rPr>
        <w:t>年</w:t>
      </w:r>
      <w:r>
        <w:rPr>
          <w:spacing w:val="-3"/>
          <w:w w:val="100"/>
        </w:rPr>
        <w:t>第</w:t>
      </w:r>
      <w:r>
        <w:rPr>
          <w:w w:val="100"/>
        </w:rPr>
        <w:t>二十</w:t>
      </w:r>
      <w:r>
        <w:rPr>
          <w:spacing w:val="-3"/>
          <w:w w:val="100"/>
        </w:rPr>
        <w:t>三</w:t>
      </w:r>
      <w:r>
        <w:rPr>
          <w:w w:val="100"/>
        </w:rPr>
        <w:t>次</w:t>
      </w:r>
      <w:r>
        <w:rPr>
          <w:spacing w:val="-3"/>
          <w:w w:val="100"/>
        </w:rPr>
        <w:t>会</w:t>
      </w:r>
      <w:r>
        <w:rPr>
          <w:w w:val="100"/>
        </w:rPr>
        <w:t>议</w:t>
      </w:r>
      <w:r>
        <w:rPr>
          <w:spacing w:val="-3"/>
          <w:w w:val="100"/>
        </w:rPr>
        <w:t>通</w:t>
      </w:r>
      <w:r>
        <w:rPr>
          <w:w w:val="100"/>
        </w:rPr>
        <w:t>过</w:t>
      </w:r>
      <w:r>
        <w:rPr>
          <w:spacing w:val="-3"/>
          <w:w w:val="100"/>
        </w:rPr>
        <w:t>的</w:t>
      </w:r>
      <w:r>
        <w:rPr>
          <w:w w:val="100"/>
        </w:rPr>
        <w:t>《</w:t>
      </w:r>
      <w:r>
        <w:rPr>
          <w:spacing w:val="-3"/>
          <w:w w:val="100"/>
        </w:rPr>
        <w:t>公</w:t>
      </w:r>
      <w:r>
        <w:rPr>
          <w:w w:val="100"/>
        </w:rPr>
        <w:t>司关</w:t>
      </w:r>
      <w:r>
        <w:rPr>
          <w:spacing w:val="-3"/>
          <w:w w:val="100"/>
        </w:rPr>
        <w:t>于</w:t>
      </w:r>
      <w:r>
        <w:rPr>
          <w:w w:val="100"/>
        </w:rPr>
        <w:t>设</w:t>
      </w:r>
      <w:r>
        <w:rPr>
          <w:spacing w:val="-3"/>
          <w:w w:val="100"/>
        </w:rPr>
        <w:t>立</w:t>
      </w:r>
      <w:r>
        <w:rPr>
          <w:w w:val="100"/>
        </w:rPr>
        <w:t>用</w:t>
      </w:r>
      <w:r>
        <w:rPr>
          <w:spacing w:val="-3"/>
          <w:w w:val="100"/>
        </w:rPr>
        <w:t>友</w:t>
      </w:r>
      <w:r>
        <w:rPr>
          <w:w w:val="100"/>
        </w:rPr>
        <w:t>超</w:t>
      </w:r>
      <w:r>
        <w:rPr>
          <w:spacing w:val="-3"/>
          <w:w w:val="100"/>
        </w:rPr>
        <w:t>客</w:t>
      </w:r>
      <w:r>
        <w:rPr>
          <w:w w:val="100"/>
        </w:rPr>
        <w:t>网</w:t>
      </w:r>
      <w:r>
        <w:rPr>
          <w:spacing w:val="-3"/>
          <w:w w:val="100"/>
        </w:rPr>
        <w:t>络</w:t>
      </w:r>
      <w:r>
        <w:rPr>
          <w:w w:val="100"/>
        </w:rPr>
        <w:t>科技</w:t>
      </w:r>
      <w:r>
        <w:rPr>
          <w:spacing w:val="-3"/>
          <w:w w:val="100"/>
        </w:rPr>
        <w:t>有</w:t>
      </w:r>
      <w:r>
        <w:rPr>
          <w:w w:val="100"/>
        </w:rPr>
        <w:t>限</w:t>
      </w:r>
      <w:r>
        <w:rPr>
          <w:spacing w:val="-3"/>
          <w:w w:val="100"/>
        </w:rPr>
        <w:t>公</w:t>
      </w:r>
      <w:r>
        <w:rPr>
          <w:w w:val="100"/>
        </w:rPr>
        <w:t>司</w:t>
      </w:r>
      <w:r>
        <w:rPr>
          <w:spacing w:val="-3"/>
          <w:w w:val="100"/>
        </w:rPr>
        <w:t>的</w:t>
      </w:r>
      <w:r>
        <w:rPr>
          <w:w w:val="100"/>
        </w:rPr>
        <w:t>议</w:t>
      </w:r>
      <w:r>
        <w:rPr>
          <w:spacing w:val="-3"/>
          <w:w w:val="100"/>
        </w:rPr>
        <w:t>案</w:t>
      </w:r>
      <w:r>
        <w:rPr>
          <w:spacing w:val="-106"/>
          <w:w w:val="100"/>
        </w:rPr>
        <w:t>》</w:t>
      </w:r>
      <w:r>
        <w:rPr>
          <w:spacing w:val="-3"/>
          <w:w w:val="100"/>
        </w:rPr>
        <w:t>，本</w:t>
      </w:r>
      <w:r>
        <w:rPr>
          <w:w w:val="100"/>
        </w:rPr>
        <w:t>公司</w:t>
      </w:r>
      <w:r>
        <w:rPr>
          <w:spacing w:val="-3"/>
          <w:w w:val="100"/>
        </w:rPr>
        <w:t>与</w:t>
      </w:r>
      <w:r>
        <w:rPr>
          <w:w w:val="100"/>
        </w:rPr>
        <w:t>创</w:t>
      </w:r>
      <w:r>
        <w:rPr>
          <w:spacing w:val="-3"/>
          <w:w w:val="100"/>
        </w:rPr>
        <w:t>新投、</w:t>
      </w:r>
      <w:r>
        <w:rPr>
          <w:w w:val="100"/>
        </w:rPr>
        <w:t>北</w:t>
      </w:r>
    </w:p>
    <w:p>
      <w:pPr>
        <w:pStyle w:val="BodyText"/>
        <w:spacing w:line="240" w:lineRule="auto" w:before="42"/>
        <w:ind w:left="144" w:right="0"/>
        <w:jc w:val="left"/>
        <w:rPr>
          <w:rFonts w:ascii="宋体" w:hAnsi="宋体" w:cs="宋体" w:eastAsia="宋体" w:hint="default"/>
        </w:rPr>
      </w:pPr>
      <w:r>
        <w:rPr>
          <w:spacing w:val="-6"/>
        </w:rPr>
        <w:t>京超能云创投资管理中心（有限合伙）及北京超能合创投资管理中心（有限合伙）共同发起设立用友超客，注册资本为人民币 </w:t>
      </w:r>
      <w:r>
        <w:rPr>
          <w:rFonts w:ascii="宋体" w:hAnsi="宋体" w:cs="宋体" w:eastAsia="宋体" w:hint="default"/>
        </w:rPr>
        <w:t>100,000,000 </w:t>
      </w:r>
      <w:r>
        <w:rPr>
          <w:spacing w:val="-12"/>
        </w:rPr>
        <w:t>元。截止</w:t>
      </w:r>
      <w:r>
        <w:rPr>
          <w:spacing w:val="-43"/>
        </w:rPr>
        <w:t> </w:t>
      </w:r>
      <w:r>
        <w:rPr>
          <w:rFonts w:ascii="宋体" w:hAnsi="宋体" w:cs="宋体" w:eastAsia="宋体" w:hint="default"/>
        </w:rPr>
        <w:t>2015</w:t>
      </w:r>
    </w:p>
    <w:p>
      <w:pPr>
        <w:pStyle w:val="BodyText"/>
        <w:spacing w:line="295" w:lineRule="auto" w:before="66"/>
        <w:ind w:left="144" w:right="0"/>
        <w:jc w:val="left"/>
      </w:pPr>
      <w:r>
        <w:rPr/>
        <w:t>年</w:t>
      </w:r>
      <w:r>
        <w:rPr>
          <w:spacing w:val="-53"/>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日，本公司已缴足认缴的注册资本人民币</w:t>
      </w:r>
      <w:r>
        <w:rPr>
          <w:spacing w:val="-53"/>
        </w:rPr>
        <w:t> </w:t>
      </w:r>
      <w:r>
        <w:rPr>
          <w:rFonts w:ascii="宋体" w:hAnsi="宋体" w:cs="宋体" w:eastAsia="宋体" w:hint="default"/>
        </w:rPr>
        <w:t>60,000,000</w:t>
      </w:r>
      <w:r>
        <w:rPr>
          <w:rFonts w:ascii="宋体" w:hAnsi="宋体" w:cs="宋体" w:eastAsia="宋体" w:hint="default"/>
          <w:spacing w:val="-54"/>
        </w:rPr>
        <w:t> </w:t>
      </w:r>
      <w:r>
        <w:rPr/>
        <w:t>元。其他股东尚未缴纳认缴注册资本，故截止</w:t>
      </w:r>
      <w:r>
        <w:rPr>
          <w:spacing w:val="-55"/>
        </w:rPr>
        <w:t> </w:t>
      </w:r>
      <w:r>
        <w:rPr>
          <w:rFonts w:ascii="宋体" w:hAnsi="宋体" w:cs="宋体" w:eastAsia="宋体" w:hint="default"/>
        </w:rPr>
        <w:t>2015</w:t>
      </w:r>
      <w:r>
        <w:rPr>
          <w:rFonts w:ascii="宋体" w:hAnsi="宋体" w:cs="宋体" w:eastAsia="宋体" w:hint="default"/>
          <w:spacing w:val="-53"/>
        </w:rPr>
        <w:t> </w:t>
      </w:r>
      <w:r>
        <w:rPr/>
        <w:t>年末公司对用友超客的持股比例为</w:t>
      </w:r>
      <w:r>
        <w:rPr>
          <w:w w:val="100"/>
        </w:rPr>
        <w:t> </w:t>
      </w:r>
      <w:r>
        <w:rPr>
          <w:rFonts w:ascii="宋体" w:hAnsi="宋体" w:cs="宋体" w:eastAsia="宋体" w:hint="default"/>
        </w:rPr>
        <w:t>100%</w:t>
      </w:r>
      <w:r>
        <w:rPr/>
        <w:t>，相关工商登记已经完成。</w:t>
      </w:r>
    </w:p>
    <w:p>
      <w:pPr>
        <w:spacing w:line="240" w:lineRule="auto" w:before="7"/>
        <w:rPr>
          <w:rFonts w:ascii="宋体" w:hAnsi="宋体" w:cs="宋体" w:eastAsia="宋体" w:hint="default"/>
          <w:sz w:val="25"/>
          <w:szCs w:val="25"/>
        </w:rPr>
      </w:pPr>
    </w:p>
    <w:p>
      <w:pPr>
        <w:spacing w:before="0"/>
        <w:ind w:left="144" w:right="0" w:firstLine="0"/>
        <w:jc w:val="left"/>
        <w:rPr>
          <w:rFonts w:ascii="宋体" w:hAnsi="宋体" w:cs="宋体" w:eastAsia="宋体" w:hint="default"/>
          <w:sz w:val="21"/>
          <w:szCs w:val="21"/>
        </w:rPr>
      </w:pPr>
      <w:r>
        <w:rPr>
          <w:rFonts w:ascii="宋体" w:hAnsi="宋体" w:cs="宋体" w:eastAsia="宋体" w:hint="default"/>
          <w:b/>
          <w:bCs/>
          <w:sz w:val="20"/>
          <w:szCs w:val="20"/>
        </w:rPr>
        <w:t>6</w:t>
      </w:r>
      <w:r>
        <w:rPr>
          <w:rFonts w:ascii="宋体" w:hAnsi="宋体" w:cs="宋体" w:eastAsia="宋体" w:hint="default"/>
          <w:b/>
          <w:bCs/>
          <w:sz w:val="20"/>
          <w:szCs w:val="20"/>
        </w:rPr>
        <w:t>、</w:t>
      </w:r>
      <w:r>
        <w:rPr>
          <w:rFonts w:ascii="宋体" w:hAnsi="宋体" w:cs="宋体" w:eastAsia="宋体" w:hint="default"/>
          <w:b/>
          <w:bCs/>
          <w:spacing w:val="17"/>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6"/>
        <w:rPr>
          <w:rFonts w:ascii="宋体" w:hAnsi="宋体" w:cs="宋体" w:eastAsia="宋体" w:hint="default"/>
          <w:b/>
          <w:bCs/>
          <w:sz w:val="25"/>
          <w:szCs w:val="25"/>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926" w:footer="1336" w:top="1120" w:bottom="1520" w:left="1380" w:right="13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90" w:lineRule="auto" w:before="175"/>
        <w:ind w:left="818" w:right="7569"/>
        <w:jc w:val="left"/>
        <w:rPr>
          <w:b w:val="0"/>
          <w:bCs w:val="0"/>
        </w:rPr>
      </w:pPr>
      <w:r>
        <w:rPr/>
        <w:t>九、在其他主体中的权益</w:t>
      </w:r>
      <w:r>
        <w:rPr>
          <w:spacing w:val="-100"/>
        </w:rPr>
        <w:t> </w:t>
      </w:r>
      <w:r>
        <w:rPr>
          <w:spacing w:val="-100"/>
        </w:rPr>
      </w:r>
      <w:r>
        <w:rPr>
          <w:rFonts w:ascii="宋体" w:hAnsi="宋体" w:cs="宋体" w:eastAsia="宋体" w:hint="default"/>
        </w:rPr>
        <w:t>1</w:t>
      </w:r>
      <w:r>
        <w:rPr/>
        <w:t>、 在子公司中的权益</w:t>
      </w:r>
      <w:r>
        <w:rPr>
          <w:b w:val="0"/>
          <w:bCs w:val="0"/>
        </w:rPr>
      </w:r>
    </w:p>
    <w:p>
      <w:pPr>
        <w:pStyle w:val="BodyText"/>
        <w:spacing w:line="240" w:lineRule="auto" w:before="14"/>
        <w:ind w:left="818" w:right="7569"/>
        <w:jc w:val="left"/>
      </w:pPr>
      <w:r>
        <w:rPr/>
        <w:t>√适用</w:t>
      </w:r>
      <w:r>
        <w:rPr>
          <w:spacing w:val="-1"/>
        </w:rPr>
        <w:t> </w:t>
      </w:r>
      <w:r>
        <w:rPr/>
        <w:t>□不适用</w:t>
      </w:r>
    </w:p>
    <w:p>
      <w:pPr>
        <w:tabs>
          <w:tab w:pos="1461" w:val="left" w:leader="none"/>
        </w:tabs>
        <w:spacing w:before="56"/>
        <w:ind w:left="818" w:right="7569" w:firstLine="0"/>
        <w:jc w:val="left"/>
        <w:rPr>
          <w:rFonts w:ascii="宋体" w:hAnsi="宋体" w:cs="宋体" w:eastAsia="宋体" w:hint="default"/>
          <w:sz w:val="21"/>
          <w:szCs w:val="21"/>
        </w:rPr>
      </w:pPr>
      <w:r>
        <w:rPr>
          <w:rFonts w:ascii="宋体" w:hAnsi="宋体" w:cs="宋体" w:eastAsia="宋体" w:hint="default"/>
          <w:b/>
          <w:bCs/>
          <w:w w:val="95"/>
          <w:sz w:val="20"/>
          <w:szCs w:val="20"/>
        </w:rPr>
        <w:t>(1).</w:t>
        <w:tab/>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04" w:type="dxa"/>
        <w:tblLayout w:type="fixed"/>
        <w:tblCellMar>
          <w:top w:w="0" w:type="dxa"/>
          <w:left w:w="0" w:type="dxa"/>
          <w:bottom w:w="0" w:type="dxa"/>
          <w:right w:w="0" w:type="dxa"/>
        </w:tblCellMar>
        <w:tblLook w:val="01E0"/>
      </w:tblPr>
      <w:tblGrid>
        <w:gridCol w:w="3968"/>
        <w:gridCol w:w="852"/>
        <w:gridCol w:w="850"/>
        <w:gridCol w:w="1987"/>
        <w:gridCol w:w="850"/>
        <w:gridCol w:w="854"/>
        <w:gridCol w:w="1128"/>
      </w:tblGrid>
      <w:tr>
        <w:trPr>
          <w:trHeight w:val="283" w:hRule="exact"/>
        </w:trPr>
        <w:tc>
          <w:tcPr>
            <w:tcW w:w="3968" w:type="dxa"/>
            <w:vMerge w:val="restart"/>
            <w:tcBorders>
              <w:top w:val="single" w:sz="4" w:space="0" w:color="000000"/>
              <w:left w:val="single" w:sz="4" w:space="0" w:color="000000"/>
              <w:right w:val="single" w:sz="6" w:space="0" w:color="000000"/>
            </w:tcBorders>
          </w:tcPr>
          <w:p>
            <w:pPr>
              <w:pStyle w:val="TableParagraph"/>
              <w:spacing w:line="274" w:lineRule="exact" w:before="1"/>
              <w:ind w:left="1661" w:right="1659"/>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852" w:type="dxa"/>
            <w:vMerge w:val="restart"/>
            <w:tcBorders>
              <w:top w:val="single" w:sz="4" w:space="0" w:color="000000"/>
              <w:left w:val="single" w:sz="6" w:space="0" w:color="000000"/>
              <w:right w:val="single" w:sz="6" w:space="0" w:color="000000"/>
            </w:tcBorders>
          </w:tcPr>
          <w:p>
            <w:pPr>
              <w:pStyle w:val="TableParagraph"/>
              <w:spacing w:line="274" w:lineRule="exact" w:before="1"/>
              <w:ind w:left="208" w:right="98"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850" w:type="dxa"/>
            <w:vMerge w:val="restart"/>
            <w:tcBorders>
              <w:top w:val="single" w:sz="4" w:space="0" w:color="000000"/>
              <w:left w:val="single" w:sz="6" w:space="0" w:color="000000"/>
              <w:right w:val="single" w:sz="6" w:space="0" w:color="000000"/>
            </w:tcBorders>
          </w:tcPr>
          <w:p>
            <w:pPr>
              <w:pStyle w:val="TableParagraph"/>
              <w:spacing w:line="240" w:lineRule="auto" w:before="112"/>
              <w:ind w:left="10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987" w:type="dxa"/>
            <w:vMerge w:val="restart"/>
            <w:tcBorders>
              <w:top w:val="single" w:sz="4" w:space="0" w:color="000000"/>
              <w:left w:val="single" w:sz="6" w:space="0" w:color="000000"/>
              <w:right w:val="single" w:sz="6" w:space="0" w:color="000000"/>
            </w:tcBorders>
          </w:tcPr>
          <w:p>
            <w:pPr>
              <w:pStyle w:val="TableParagraph"/>
              <w:spacing w:line="240" w:lineRule="auto" w:before="112"/>
              <w:ind w:left="56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05"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128" w:type="dxa"/>
            <w:vMerge w:val="restart"/>
            <w:tcBorders>
              <w:top w:val="single" w:sz="4" w:space="0" w:color="000000"/>
              <w:left w:val="single" w:sz="6" w:space="0" w:color="000000"/>
              <w:right w:val="single" w:sz="4" w:space="0" w:color="000000"/>
            </w:tcBorders>
          </w:tcPr>
          <w:p>
            <w:pPr>
              <w:pStyle w:val="TableParagraph"/>
              <w:spacing w:line="274" w:lineRule="exact" w:before="1"/>
              <w:ind w:left="345" w:right="346"/>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r>
      <w:tr>
        <w:trPr>
          <w:trHeight w:val="295" w:hRule="exact"/>
        </w:trPr>
        <w:tc>
          <w:tcPr>
            <w:tcW w:w="3968" w:type="dxa"/>
            <w:vMerge/>
            <w:tcBorders>
              <w:left w:val="single" w:sz="4"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1987" w:type="dxa"/>
            <w:vMerge/>
            <w:tcBorders>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06"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0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128" w:type="dxa"/>
            <w:vMerge/>
            <w:tcBorders>
              <w:left w:val="single" w:sz="6" w:space="0" w:color="000000"/>
              <w:bottom w:val="single" w:sz="6" w:space="0" w:color="000000"/>
              <w:right w:val="single" w:sz="4" w:space="0" w:color="000000"/>
            </w:tcBorders>
          </w:tcPr>
          <w:p>
            <w:pP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重庆用友软件有限公司</w:t>
            </w:r>
            <w:r>
              <w:rPr>
                <w:rFonts w:ascii="宋体" w:hAnsi="宋体" w:cs="宋体" w:eastAsia="宋体" w:hint="default"/>
                <w:sz w:val="21"/>
                <w:szCs w:val="21"/>
              </w:rPr>
              <w:t>(</w:t>
            </w:r>
            <w:r>
              <w:rPr>
                <w:rFonts w:ascii="宋体" w:hAnsi="宋体" w:cs="宋体" w:eastAsia="宋体" w:hint="default"/>
                <w:sz w:val="21"/>
                <w:szCs w:val="21"/>
              </w:rPr>
              <w:t>以下简称“重庆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重庆市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重庆市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计算机软、硬件行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81.88</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18.12</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60"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深圳巿灏麓梵科技有限公司</w:t>
            </w:r>
            <w:r>
              <w:rPr>
                <w:rFonts w:ascii="宋体" w:hAnsi="宋体" w:cs="宋体" w:eastAsia="宋体" w:hint="default"/>
                <w:sz w:val="21"/>
                <w:szCs w:val="21"/>
              </w:rPr>
              <w:t>(</w:t>
            </w:r>
            <w:r>
              <w:rPr>
                <w:rFonts w:ascii="宋体" w:hAnsi="宋体" w:cs="宋体" w:eastAsia="宋体" w:hint="default"/>
                <w:sz w:val="21"/>
                <w:szCs w:val="21"/>
              </w:rPr>
              <w:t>以下简称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“深圳灏麓梵”)</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计算机软件行业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武汉用友软件有限责任公司</w:t>
            </w:r>
            <w:r>
              <w:rPr>
                <w:rFonts w:ascii="宋体" w:hAnsi="宋体" w:cs="宋体" w:eastAsia="宋体" w:hint="default"/>
                <w:sz w:val="21"/>
                <w:szCs w:val="21"/>
              </w:rPr>
              <w:t>(</w:t>
            </w:r>
            <w:r>
              <w:rPr>
                <w:rFonts w:ascii="宋体" w:hAnsi="宋体" w:cs="宋体" w:eastAsia="宋体" w:hint="default"/>
                <w:sz w:val="21"/>
                <w:szCs w:val="21"/>
              </w:rPr>
              <w:t>以下简称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“武汉用友”)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武汉市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武汉市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硬件及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833"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广东用友软件有限公司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广州市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广州市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硬件</w:t>
            </w:r>
            <w:r>
              <w:rPr>
                <w:rFonts w:ascii="宋体" w:hAnsi="宋体" w:cs="宋体" w:eastAsia="宋体" w:hint="default"/>
                <w:sz w:val="21"/>
                <w:szCs w:val="21"/>
              </w:rPr>
              <w:t>/</w:t>
            </w:r>
            <w:r>
              <w:rPr>
                <w:rFonts w:ascii="宋体" w:hAnsi="宋体" w:cs="宋体" w:eastAsia="宋体" w:hint="default"/>
                <w:sz w:val="21"/>
                <w:szCs w:val="21"/>
              </w:rPr>
              <w:t>网</w:t>
            </w:r>
          </w:p>
          <w:p>
            <w:pPr>
              <w:pStyle w:val="TableParagraph"/>
              <w:spacing w:line="272" w:lineRule="exact" w:before="27"/>
              <w:ind w:left="100" w:right="187"/>
              <w:jc w:val="left"/>
              <w:rPr>
                <w:rFonts w:ascii="宋体" w:hAnsi="宋体" w:cs="宋体" w:eastAsia="宋体" w:hint="default"/>
                <w:sz w:val="21"/>
                <w:szCs w:val="21"/>
              </w:rPr>
            </w:pPr>
            <w:r>
              <w:rPr>
                <w:rFonts w:ascii="宋体" w:hAnsi="宋体" w:cs="宋体" w:eastAsia="宋体" w:hint="default"/>
                <w:sz w:val="21"/>
                <w:szCs w:val="21"/>
              </w:rPr>
              <w:t>络、技术咨询及电</w:t>
            </w:r>
            <w:r>
              <w:rPr>
                <w:rFonts w:ascii="宋体" w:hAnsi="宋体" w:cs="宋体" w:eastAsia="宋体" w:hint="default"/>
                <w:w w:val="100"/>
                <w:sz w:val="21"/>
                <w:szCs w:val="21"/>
              </w:rPr>
              <w:t> </w:t>
            </w:r>
            <w:r>
              <w:rPr>
                <w:rFonts w:ascii="宋体" w:hAnsi="宋体" w:cs="宋体" w:eastAsia="宋体" w:hint="default"/>
                <w:sz w:val="21"/>
                <w:szCs w:val="21"/>
              </w:rPr>
              <w:t>子行业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天津用友软件技术有限公司</w:t>
            </w:r>
            <w:r>
              <w:rPr>
                <w:rFonts w:ascii="宋体" w:hAnsi="宋体" w:cs="宋体" w:eastAsia="宋体" w:hint="default"/>
                <w:sz w:val="21"/>
                <w:szCs w:val="21"/>
              </w:rPr>
              <w:t>(</w:t>
            </w:r>
            <w:r>
              <w:rPr>
                <w:rFonts w:ascii="宋体" w:hAnsi="宋体" w:cs="宋体" w:eastAsia="宋体" w:hint="default"/>
                <w:sz w:val="21"/>
                <w:szCs w:val="21"/>
              </w:rPr>
              <w:t>以下简称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“天津用友”)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天津市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天津市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计算机软</w:t>
            </w:r>
            <w:r>
              <w:rPr>
                <w:rFonts w:ascii="宋体" w:hAnsi="宋体" w:cs="宋体" w:eastAsia="宋体" w:hint="default"/>
                <w:spacing w:val="-3"/>
                <w:sz w:val="21"/>
                <w:szCs w:val="21"/>
              </w:rPr>
              <w:t>/</w:t>
            </w:r>
            <w:r>
              <w:rPr>
                <w:rFonts w:ascii="宋体" w:hAnsi="宋体" w:cs="宋体" w:eastAsia="宋体" w:hint="default"/>
                <w:spacing w:val="-3"/>
                <w:sz w:val="21"/>
                <w:szCs w:val="21"/>
              </w:rPr>
              <w:t>硬件、技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术咨询及电子行业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安徽用友软件有限公司</w:t>
            </w:r>
            <w:r>
              <w:rPr>
                <w:rFonts w:ascii="宋体" w:hAnsi="宋体" w:cs="宋体" w:eastAsia="宋体" w:hint="default"/>
                <w:sz w:val="21"/>
                <w:szCs w:val="21"/>
              </w:rPr>
              <w:t>(</w:t>
            </w:r>
            <w:r>
              <w:rPr>
                <w:rFonts w:ascii="宋体" w:hAnsi="宋体" w:cs="宋体" w:eastAsia="宋体" w:hint="default"/>
                <w:sz w:val="21"/>
                <w:szCs w:val="21"/>
              </w:rPr>
              <w:t>以下简称“安徽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合肥市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合肥市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计算机软</w:t>
            </w:r>
            <w:r>
              <w:rPr>
                <w:rFonts w:ascii="宋体" w:hAnsi="宋体" w:cs="宋体" w:eastAsia="宋体" w:hint="default"/>
                <w:spacing w:val="-3"/>
                <w:sz w:val="21"/>
                <w:szCs w:val="21"/>
              </w:rPr>
              <w:t>/</w:t>
            </w:r>
            <w:r>
              <w:rPr>
                <w:rFonts w:ascii="宋体" w:hAnsi="宋体" w:cs="宋体" w:eastAsia="宋体" w:hint="default"/>
                <w:spacing w:val="-3"/>
                <w:sz w:val="21"/>
                <w:szCs w:val="21"/>
              </w:rPr>
              <w:t>硬件、技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术咨询及电子行业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833"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tabs>
                <w:tab w:pos="1152" w:val="left" w:leader="none"/>
                <w:tab w:pos="2727" w:val="left" w:leader="none"/>
              </w:tabs>
              <w:spacing w:line="240" w:lineRule="exact"/>
              <w:ind w:left="100" w:right="0"/>
              <w:jc w:val="left"/>
              <w:rPr>
                <w:rFonts w:ascii="宋体" w:hAnsi="宋体" w:cs="宋体" w:eastAsia="宋体" w:hint="default"/>
                <w:sz w:val="21"/>
                <w:szCs w:val="21"/>
              </w:rPr>
            </w:pPr>
            <w:r>
              <w:rPr>
                <w:rFonts w:ascii="宋体"/>
                <w:sz w:val="21"/>
              </w:rPr>
              <w:t>YONYOU</w:t>
              <w:tab/>
            </w:r>
            <w:r>
              <w:rPr>
                <w:rFonts w:ascii="宋体"/>
                <w:spacing w:val="-1"/>
                <w:sz w:val="21"/>
              </w:rPr>
              <w:t>INTERNATIONAL</w:t>
              <w:tab/>
              <w:t>HOLDINGS.,</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LTD.(</w:t>
            </w:r>
            <w:r>
              <w:rPr>
                <w:rFonts w:ascii="宋体" w:hAnsi="宋体" w:cs="宋体" w:eastAsia="宋体" w:hint="default"/>
                <w:sz w:val="21"/>
                <w:szCs w:val="21"/>
              </w:rPr>
              <w:t>以下简称</w:t>
            </w:r>
          </w:p>
          <w:p>
            <w:pPr>
              <w:pStyle w:val="TableParagraph"/>
              <w:tabs>
                <w:tab w:pos="1677" w:val="left" w:leader="none"/>
              </w:tabs>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YONYOU</w:t>
              <w:tab/>
              <w:t>INTERNATIONAL”)</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英属维</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z w:val="21"/>
                <w:szCs w:val="21"/>
              </w:rPr>
              <w:t>尔京群</w:t>
            </w:r>
            <w:r>
              <w:rPr>
                <w:rFonts w:ascii="宋体" w:hAnsi="宋体" w:cs="宋体" w:eastAsia="宋体" w:hint="default"/>
                <w:spacing w:val="-102"/>
                <w:sz w:val="21"/>
                <w:szCs w:val="21"/>
              </w:rPr>
              <w:t> </w:t>
            </w:r>
            <w:r>
              <w:rPr>
                <w:rFonts w:ascii="宋体" w:hAnsi="宋体" w:cs="宋体" w:eastAsia="宋体" w:hint="default"/>
                <w:sz w:val="21"/>
                <w:szCs w:val="21"/>
              </w:rPr>
              <w:t>岛</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英属维</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尔京群</w:t>
            </w:r>
            <w:r>
              <w:rPr>
                <w:rFonts w:ascii="宋体" w:hAnsi="宋体" w:cs="宋体" w:eastAsia="宋体" w:hint="default"/>
                <w:spacing w:val="-102"/>
                <w:sz w:val="21"/>
                <w:szCs w:val="21"/>
              </w:rPr>
              <w:t> </w:t>
            </w:r>
            <w:r>
              <w:rPr>
                <w:rFonts w:ascii="宋体" w:hAnsi="宋体" w:cs="宋体" w:eastAsia="宋体" w:hint="default"/>
                <w:sz w:val="21"/>
                <w:szCs w:val="21"/>
              </w:rPr>
              <w:t>岛</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投资控股、计算机</w:t>
            </w:r>
          </w:p>
          <w:p>
            <w:pPr>
              <w:pStyle w:val="TableParagraph"/>
              <w:spacing w:line="272" w:lineRule="exact" w:before="27"/>
              <w:ind w:left="100" w:right="187"/>
              <w:jc w:val="left"/>
              <w:rPr>
                <w:rFonts w:ascii="宋体" w:hAnsi="宋体" w:cs="宋体" w:eastAsia="宋体" w:hint="default"/>
                <w:sz w:val="21"/>
                <w:szCs w:val="21"/>
              </w:rPr>
            </w:pPr>
            <w:r>
              <w:rPr>
                <w:rFonts w:ascii="宋体" w:hAnsi="宋体" w:cs="宋体" w:eastAsia="宋体" w:hint="default"/>
                <w:sz w:val="21"/>
                <w:szCs w:val="21"/>
              </w:rPr>
              <w:t>软件开发及技术咨</w:t>
            </w:r>
            <w:r>
              <w:rPr>
                <w:rFonts w:ascii="宋体" w:hAnsi="宋体" w:cs="宋体" w:eastAsia="宋体" w:hint="default"/>
                <w:w w:val="100"/>
                <w:sz w:val="21"/>
                <w:szCs w:val="21"/>
              </w:rPr>
              <w:t> </w:t>
            </w:r>
            <w:r>
              <w:rPr>
                <w:rFonts w:ascii="宋体" w:hAnsi="宋体" w:cs="宋体" w:eastAsia="宋体" w:hint="default"/>
                <w:sz w:val="21"/>
                <w:szCs w:val="21"/>
              </w:rPr>
              <w:t>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北京用友华表软件技术有限公司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计算机软</w:t>
            </w:r>
            <w:r>
              <w:rPr>
                <w:rFonts w:ascii="宋体" w:hAnsi="宋体" w:cs="宋体" w:eastAsia="宋体" w:hint="default"/>
                <w:spacing w:val="-3"/>
                <w:sz w:val="21"/>
                <w:szCs w:val="21"/>
              </w:rPr>
              <w:t>/</w:t>
            </w:r>
            <w:r>
              <w:rPr>
                <w:rFonts w:ascii="宋体" w:hAnsi="宋体" w:cs="宋体" w:eastAsia="宋体" w:hint="default"/>
                <w:spacing w:val="-3"/>
                <w:sz w:val="21"/>
                <w:szCs w:val="21"/>
              </w:rPr>
              <w:t>硬件、技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术咨询及电子行业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北京用友艾福斯软件系统有限公司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计算机软</w:t>
            </w:r>
            <w:r>
              <w:rPr>
                <w:rFonts w:ascii="宋体" w:hAnsi="宋体" w:cs="宋体" w:eastAsia="宋体" w:hint="default"/>
                <w:spacing w:val="-3"/>
                <w:sz w:val="21"/>
                <w:szCs w:val="21"/>
              </w:rPr>
              <w:t>/</w:t>
            </w:r>
            <w:r>
              <w:rPr>
                <w:rFonts w:ascii="宋体" w:hAnsi="宋体" w:cs="宋体" w:eastAsia="宋体" w:hint="default"/>
                <w:spacing w:val="-3"/>
                <w:sz w:val="21"/>
                <w:szCs w:val="21"/>
              </w:rPr>
              <w:t>硬件、技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术咨询及电子行业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62"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北京用友政务软件有限公司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计算机软</w:t>
            </w:r>
            <w:r>
              <w:rPr>
                <w:rFonts w:ascii="宋体" w:hAnsi="宋体" w:cs="宋体" w:eastAsia="宋体" w:hint="default"/>
                <w:spacing w:val="-3"/>
                <w:sz w:val="21"/>
                <w:szCs w:val="21"/>
              </w:rPr>
              <w:t>/</w:t>
            </w:r>
            <w:r>
              <w:rPr>
                <w:rFonts w:ascii="宋体" w:hAnsi="宋体" w:cs="宋体" w:eastAsia="宋体" w:hint="default"/>
                <w:spacing w:val="-3"/>
                <w:sz w:val="21"/>
                <w:szCs w:val="21"/>
              </w:rPr>
              <w:t>硬件、技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术咨询及电子行业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84.19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830"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用友金融信息技术有限公司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硬件</w:t>
            </w:r>
            <w:r>
              <w:rPr>
                <w:rFonts w:ascii="宋体" w:hAnsi="宋体" w:cs="宋体" w:eastAsia="宋体" w:hint="default"/>
                <w:sz w:val="21"/>
                <w:szCs w:val="21"/>
              </w:rPr>
              <w:t>/</w:t>
            </w:r>
            <w:r>
              <w:rPr>
                <w:rFonts w:ascii="宋体" w:hAnsi="宋体" w:cs="宋体" w:eastAsia="宋体" w:hint="default"/>
                <w:sz w:val="21"/>
                <w:szCs w:val="21"/>
              </w:rPr>
              <w:t>网</w:t>
            </w:r>
          </w:p>
          <w:p>
            <w:pPr>
              <w:pStyle w:val="TableParagraph"/>
              <w:spacing w:line="240" w:lineRule="auto"/>
              <w:ind w:left="100" w:right="187"/>
              <w:jc w:val="left"/>
              <w:rPr>
                <w:rFonts w:ascii="宋体" w:hAnsi="宋体" w:cs="宋体" w:eastAsia="宋体" w:hint="default"/>
                <w:sz w:val="21"/>
                <w:szCs w:val="21"/>
              </w:rPr>
            </w:pPr>
            <w:r>
              <w:rPr>
                <w:rFonts w:ascii="宋体" w:hAnsi="宋体" w:cs="宋体" w:eastAsia="宋体" w:hint="default"/>
                <w:sz w:val="21"/>
                <w:szCs w:val="21"/>
              </w:rPr>
              <w:t>络、技术咨询及电</w:t>
            </w:r>
            <w:r>
              <w:rPr>
                <w:rFonts w:ascii="宋体" w:hAnsi="宋体" w:cs="宋体" w:eastAsia="宋体" w:hint="default"/>
                <w:w w:val="100"/>
                <w:sz w:val="21"/>
                <w:szCs w:val="21"/>
              </w:rPr>
              <w:t> </w:t>
            </w:r>
            <w:r>
              <w:rPr>
                <w:rFonts w:ascii="宋体" w:hAnsi="宋体" w:cs="宋体" w:eastAsia="宋体" w:hint="default"/>
                <w:sz w:val="21"/>
                <w:szCs w:val="21"/>
              </w:rPr>
              <w:t>子行业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81.63</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833"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浙江用友软件有限公司</w:t>
            </w:r>
            <w:r>
              <w:rPr>
                <w:rFonts w:ascii="宋体" w:hAnsi="宋体" w:cs="宋体" w:eastAsia="宋体" w:hint="default"/>
                <w:sz w:val="21"/>
                <w:szCs w:val="21"/>
              </w:rPr>
              <w:t>(</w:t>
            </w:r>
            <w:r>
              <w:rPr>
                <w:rFonts w:ascii="宋体" w:hAnsi="宋体" w:cs="宋体" w:eastAsia="宋体" w:hint="default"/>
                <w:sz w:val="21"/>
                <w:szCs w:val="21"/>
              </w:rPr>
              <w:t>以下简称“浙江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硬件</w:t>
            </w:r>
            <w:r>
              <w:rPr>
                <w:rFonts w:ascii="宋体" w:hAnsi="宋体" w:cs="宋体" w:eastAsia="宋体" w:hint="default"/>
                <w:sz w:val="21"/>
                <w:szCs w:val="21"/>
              </w:rPr>
              <w:t>/</w:t>
            </w:r>
            <w:r>
              <w:rPr>
                <w:rFonts w:ascii="宋体" w:hAnsi="宋体" w:cs="宋体" w:eastAsia="宋体" w:hint="default"/>
                <w:sz w:val="21"/>
                <w:szCs w:val="21"/>
              </w:rPr>
              <w:t>网</w:t>
            </w:r>
          </w:p>
          <w:p>
            <w:pPr>
              <w:pStyle w:val="TableParagraph"/>
              <w:spacing w:line="272" w:lineRule="exact" w:before="27"/>
              <w:ind w:left="100" w:right="187"/>
              <w:jc w:val="left"/>
              <w:rPr>
                <w:rFonts w:ascii="宋体" w:hAnsi="宋体" w:cs="宋体" w:eastAsia="宋体" w:hint="default"/>
                <w:sz w:val="21"/>
                <w:szCs w:val="21"/>
              </w:rPr>
            </w:pPr>
            <w:r>
              <w:rPr>
                <w:rFonts w:ascii="宋体" w:hAnsi="宋体" w:cs="宋体" w:eastAsia="宋体" w:hint="default"/>
                <w:sz w:val="21"/>
                <w:szCs w:val="21"/>
              </w:rPr>
              <w:t>络、技术咨询及电</w:t>
            </w:r>
            <w:r>
              <w:rPr>
                <w:rFonts w:ascii="宋体" w:hAnsi="宋体" w:cs="宋体" w:eastAsia="宋体" w:hint="default"/>
                <w:w w:val="100"/>
                <w:sz w:val="21"/>
                <w:szCs w:val="21"/>
              </w:rPr>
              <w:t> </w:t>
            </w:r>
            <w:r>
              <w:rPr>
                <w:rFonts w:ascii="宋体" w:hAnsi="宋体" w:cs="宋体" w:eastAsia="宋体" w:hint="default"/>
                <w:sz w:val="21"/>
                <w:szCs w:val="21"/>
              </w:rPr>
              <w:t>子行业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沈阳用友软件有限公司</w:t>
            </w:r>
            <w:r>
              <w:rPr>
                <w:rFonts w:ascii="宋体" w:hAnsi="宋体" w:cs="宋体" w:eastAsia="宋体" w:hint="default"/>
                <w:sz w:val="21"/>
                <w:szCs w:val="21"/>
              </w:rPr>
              <w:t>(</w:t>
            </w:r>
            <w:r>
              <w:rPr>
                <w:rFonts w:ascii="宋体" w:hAnsi="宋体" w:cs="宋体" w:eastAsia="宋体" w:hint="default"/>
                <w:sz w:val="21"/>
                <w:szCs w:val="21"/>
              </w:rPr>
              <w:t>以下简称“沈阳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沈阳市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沈阳市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硬件</w:t>
            </w:r>
            <w:r>
              <w:rPr>
                <w:rFonts w:ascii="宋体" w:hAnsi="宋体" w:cs="宋体" w:eastAsia="宋体" w:hint="default"/>
                <w:sz w:val="21"/>
                <w:szCs w:val="21"/>
              </w:rPr>
              <w:t>/</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术咨询及电子行业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大连用友软件有限公司</w:t>
            </w:r>
            <w:r>
              <w:rPr>
                <w:rFonts w:ascii="宋体" w:hAnsi="宋体" w:cs="宋体" w:eastAsia="宋体" w:hint="default"/>
                <w:sz w:val="21"/>
                <w:szCs w:val="21"/>
              </w:rPr>
              <w:t>(</w:t>
            </w:r>
            <w:r>
              <w:rPr>
                <w:rFonts w:ascii="宋体" w:hAnsi="宋体" w:cs="宋体" w:eastAsia="宋体" w:hint="default"/>
                <w:sz w:val="21"/>
                <w:szCs w:val="21"/>
              </w:rPr>
              <w:t>以下简称“大连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硬件</w:t>
            </w:r>
            <w:r>
              <w:rPr>
                <w:rFonts w:ascii="宋体" w:hAnsi="宋体" w:cs="宋体" w:eastAsia="宋体" w:hint="default"/>
                <w:sz w:val="21"/>
                <w:szCs w:val="21"/>
              </w:rPr>
              <w:t>/</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术咨询及电子行业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广西用友软件有限公司</w:t>
            </w:r>
            <w:r>
              <w:rPr>
                <w:rFonts w:ascii="宋体" w:hAnsi="宋体" w:cs="宋体" w:eastAsia="宋体" w:hint="default"/>
                <w:sz w:val="21"/>
                <w:szCs w:val="21"/>
              </w:rPr>
              <w:t>(</w:t>
            </w:r>
            <w:r>
              <w:rPr>
                <w:rFonts w:ascii="宋体" w:hAnsi="宋体" w:cs="宋体" w:eastAsia="宋体" w:hint="default"/>
                <w:sz w:val="21"/>
                <w:szCs w:val="21"/>
              </w:rPr>
              <w:t>以下简称“广西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南宁市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南宁市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硬件</w:t>
            </w:r>
            <w:r>
              <w:rPr>
                <w:rFonts w:ascii="宋体" w:hAnsi="宋体" w:cs="宋体" w:eastAsia="宋体" w:hint="default"/>
                <w:sz w:val="21"/>
                <w:szCs w:val="21"/>
              </w:rPr>
              <w:t>/</w:t>
            </w:r>
            <w:r>
              <w:rPr>
                <w:rFonts w:ascii="宋体" w:hAnsi="宋体" w:cs="宋体" w:eastAsia="宋体" w:hint="default"/>
                <w:sz w:val="21"/>
                <w:szCs w:val="21"/>
              </w:rPr>
              <w:t>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询及电子行业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62"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厦门用友烟草软件有限责任公司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厦门市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厦门市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硬件</w:t>
            </w:r>
            <w:r>
              <w:rPr>
                <w:rFonts w:ascii="宋体" w:hAnsi="宋体" w:cs="宋体" w:eastAsia="宋体" w:hint="default"/>
                <w:sz w:val="21"/>
                <w:szCs w:val="21"/>
              </w:rPr>
              <w:t>/</w:t>
            </w:r>
            <w:r>
              <w:rPr>
                <w:rFonts w:ascii="宋体" w:hAnsi="宋体" w:cs="宋体" w:eastAsia="宋体" w:hint="default"/>
                <w:sz w:val="21"/>
                <w:szCs w:val="21"/>
              </w:rPr>
              <w:t>电</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子行业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73</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深圳用友软件有限公司</w:t>
            </w:r>
            <w:r>
              <w:rPr>
                <w:rFonts w:ascii="宋体" w:hAnsi="宋体" w:cs="宋体" w:eastAsia="宋体" w:hint="default"/>
                <w:sz w:val="21"/>
                <w:szCs w:val="21"/>
              </w:rPr>
              <w:t>(</w:t>
            </w:r>
            <w:r>
              <w:rPr>
                <w:rFonts w:ascii="宋体" w:hAnsi="宋体" w:cs="宋体" w:eastAsia="宋体" w:hint="default"/>
                <w:sz w:val="21"/>
                <w:szCs w:val="21"/>
              </w:rPr>
              <w:t>以下简称“深圳</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硬件</w:t>
            </w:r>
            <w:r>
              <w:rPr>
                <w:rFonts w:ascii="宋体" w:hAnsi="宋体" w:cs="宋体" w:eastAsia="宋体" w:hint="default"/>
                <w:sz w:val="21"/>
                <w:szCs w:val="21"/>
              </w:rPr>
              <w:t>/</w:t>
            </w:r>
            <w:r>
              <w:rPr>
                <w:rFonts w:ascii="宋体" w:hAnsi="宋体" w:cs="宋体" w:eastAsia="宋体" w:hint="default"/>
                <w:sz w:val="21"/>
                <w:szCs w:val="21"/>
              </w:rPr>
              <w:t>耗</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材、电子行业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831" w:hRule="exact"/>
        </w:trPr>
        <w:tc>
          <w:tcPr>
            <w:tcW w:w="3968"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山东用友软件技术有限公司</w:t>
            </w:r>
            <w:r>
              <w:rPr>
                <w:rFonts w:ascii="宋体" w:hAnsi="宋体" w:cs="宋体" w:eastAsia="宋体" w:hint="default"/>
                <w:sz w:val="21"/>
                <w:szCs w:val="21"/>
              </w:rPr>
              <w:t>(</w:t>
            </w:r>
            <w:r>
              <w:rPr>
                <w:rFonts w:ascii="宋体" w:hAnsi="宋体" w:cs="宋体" w:eastAsia="宋体" w:hint="default"/>
                <w:sz w:val="21"/>
                <w:szCs w:val="21"/>
              </w:rPr>
              <w:t>以下简称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“山东用友”)</w:t>
            </w:r>
          </w:p>
        </w:tc>
        <w:tc>
          <w:tcPr>
            <w:tcW w:w="85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济南市</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济南市</w:t>
            </w:r>
          </w:p>
        </w:tc>
        <w:tc>
          <w:tcPr>
            <w:tcW w:w="198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硬件</w:t>
            </w:r>
            <w:r>
              <w:rPr>
                <w:rFonts w:ascii="宋体" w:hAnsi="宋体" w:cs="宋体" w:eastAsia="宋体" w:hint="default"/>
                <w:sz w:val="21"/>
                <w:szCs w:val="21"/>
              </w:rPr>
              <w:t>/</w:t>
            </w:r>
            <w:r>
              <w:rPr>
                <w:rFonts w:ascii="宋体" w:hAnsi="宋体" w:cs="宋体" w:eastAsia="宋体" w:hint="default"/>
                <w:sz w:val="21"/>
                <w:szCs w:val="21"/>
              </w:rPr>
              <w:t>耗</w:t>
            </w:r>
          </w:p>
          <w:p>
            <w:pPr>
              <w:pStyle w:val="TableParagraph"/>
              <w:spacing w:line="272" w:lineRule="exact" w:before="27"/>
              <w:ind w:left="100" w:right="187"/>
              <w:jc w:val="left"/>
              <w:rPr>
                <w:rFonts w:ascii="宋体" w:hAnsi="宋体" w:cs="宋体" w:eastAsia="宋体" w:hint="default"/>
                <w:sz w:val="21"/>
                <w:szCs w:val="21"/>
              </w:rPr>
            </w:pPr>
            <w:r>
              <w:rPr>
                <w:rFonts w:ascii="宋体" w:hAnsi="宋体" w:cs="宋体" w:eastAsia="宋体" w:hint="default"/>
                <w:sz w:val="21"/>
                <w:szCs w:val="21"/>
              </w:rPr>
              <w:t>材、技术咨询、电</w:t>
            </w:r>
            <w:r>
              <w:rPr>
                <w:rFonts w:ascii="宋体" w:hAnsi="宋体" w:cs="宋体" w:eastAsia="宋体" w:hint="default"/>
                <w:w w:val="100"/>
                <w:sz w:val="21"/>
                <w:szCs w:val="21"/>
              </w:rPr>
              <w:t> </w:t>
            </w:r>
            <w:r>
              <w:rPr>
                <w:rFonts w:ascii="宋体" w:hAnsi="宋体" w:cs="宋体" w:eastAsia="宋体" w:hint="default"/>
                <w:sz w:val="21"/>
                <w:szCs w:val="21"/>
              </w:rPr>
              <w:t>子行业</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w:t>
            </w:r>
          </w:p>
        </w:tc>
        <w:tc>
          <w:tcPr>
            <w:tcW w:w="85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1128"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bl>
    <w:p>
      <w:pPr>
        <w:spacing w:after="0" w:line="274" w:lineRule="exact"/>
        <w:jc w:val="left"/>
        <w:rPr>
          <w:rFonts w:ascii="宋体" w:hAnsi="宋体" w:cs="宋体" w:eastAsia="宋体" w:hint="default"/>
          <w:sz w:val="21"/>
          <w:szCs w:val="21"/>
        </w:rPr>
        <w:sectPr>
          <w:headerReference w:type="default" r:id="rId72"/>
          <w:footerReference w:type="default" r:id="rId73"/>
          <w:pgSz w:w="11910" w:h="16840"/>
          <w:pgMar w:header="926" w:footer="1315" w:top="1120" w:bottom="1500" w:left="980" w:right="200"/>
          <w:pgNumType w:start="92"/>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3968"/>
        <w:gridCol w:w="852"/>
        <w:gridCol w:w="850"/>
        <w:gridCol w:w="1987"/>
        <w:gridCol w:w="850"/>
        <w:gridCol w:w="854"/>
        <w:gridCol w:w="1128"/>
      </w:tblGrid>
      <w:tr>
        <w:trPr>
          <w:trHeight w:val="562"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江西用友软件有限责任公司</w:t>
            </w:r>
            <w:r>
              <w:rPr>
                <w:rFonts w:ascii="宋体" w:hAnsi="宋体" w:cs="宋体" w:eastAsia="宋体" w:hint="default"/>
                <w:sz w:val="21"/>
                <w:szCs w:val="21"/>
              </w:rPr>
              <w:t>(</w:t>
            </w:r>
            <w:r>
              <w:rPr>
                <w:rFonts w:ascii="宋体" w:hAnsi="宋体" w:cs="宋体" w:eastAsia="宋体" w:hint="default"/>
                <w:sz w:val="21"/>
                <w:szCs w:val="21"/>
              </w:rPr>
              <w:t>以下简称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“江西用友”)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南昌市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南昌市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硬件</w:t>
            </w:r>
            <w:r>
              <w:rPr>
                <w:rFonts w:ascii="宋体" w:hAnsi="宋体" w:cs="宋体" w:eastAsia="宋体" w:hint="default"/>
                <w:sz w:val="21"/>
                <w:szCs w:val="21"/>
              </w:rPr>
              <w:t>/</w:t>
            </w:r>
            <w:r>
              <w:rPr>
                <w:rFonts w:ascii="宋体" w:hAnsi="宋体" w:cs="宋体" w:eastAsia="宋体" w:hint="default"/>
                <w:sz w:val="21"/>
                <w:szCs w:val="21"/>
              </w:rPr>
              <w:t>耗</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材、电子行业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100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湖南用友软件有限公司</w:t>
            </w:r>
            <w:r>
              <w:rPr>
                <w:rFonts w:ascii="宋体" w:hAnsi="宋体" w:cs="宋体" w:eastAsia="宋体" w:hint="default"/>
                <w:sz w:val="21"/>
                <w:szCs w:val="21"/>
              </w:rPr>
              <w:t>(</w:t>
            </w:r>
            <w:r>
              <w:rPr>
                <w:rFonts w:ascii="宋体" w:hAnsi="宋体" w:cs="宋体" w:eastAsia="宋体" w:hint="default"/>
                <w:sz w:val="21"/>
                <w:szCs w:val="21"/>
              </w:rPr>
              <w:t>以下简称“湖南</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长沙市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长沙市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硬件</w:t>
            </w:r>
            <w:r>
              <w:rPr>
                <w:rFonts w:ascii="宋体" w:hAnsi="宋体" w:cs="宋体" w:eastAsia="宋体" w:hint="default"/>
                <w:sz w:val="21"/>
                <w:szCs w:val="21"/>
              </w:rPr>
              <w:t>/</w:t>
            </w:r>
            <w:r>
              <w:rPr>
                <w:rFonts w:ascii="宋体" w:hAnsi="宋体" w:cs="宋体" w:eastAsia="宋体" w:hint="default"/>
                <w:sz w:val="21"/>
                <w:szCs w:val="21"/>
              </w:rPr>
              <w:t>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询行业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内蒙古用友软件技术有限公司</w:t>
            </w:r>
            <w:r>
              <w:rPr>
                <w:rFonts w:ascii="宋体" w:hAnsi="宋体" w:cs="宋体" w:eastAsia="宋体" w:hint="default"/>
                <w:sz w:val="21"/>
                <w:szCs w:val="21"/>
              </w:rPr>
              <w:t>(</w:t>
            </w:r>
            <w:r>
              <w:rPr>
                <w:rFonts w:ascii="宋体" w:hAnsi="宋体" w:cs="宋体" w:eastAsia="宋体" w:hint="default"/>
                <w:sz w:val="21"/>
                <w:szCs w:val="21"/>
              </w:rPr>
              <w:t>以下简称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“内蒙古用友”)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呼和浩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特市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呼和浩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特市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硬件</w:t>
            </w:r>
            <w:r>
              <w:rPr>
                <w:rFonts w:ascii="宋体" w:hAnsi="宋体" w:cs="宋体" w:eastAsia="宋体" w:hint="default"/>
                <w:sz w:val="21"/>
                <w:szCs w:val="21"/>
              </w:rPr>
              <w:t>/</w:t>
            </w:r>
            <w:r>
              <w:rPr>
                <w:rFonts w:ascii="宋体" w:hAnsi="宋体" w:cs="宋体" w:eastAsia="宋体" w:hint="default"/>
                <w:sz w:val="21"/>
                <w:szCs w:val="21"/>
              </w:rPr>
              <w:t>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询行业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用友医疗卫生信息系统有限公司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计算机软件</w:t>
            </w:r>
            <w:r>
              <w:rPr>
                <w:rFonts w:ascii="宋体" w:hAnsi="宋体" w:cs="宋体" w:eastAsia="宋体" w:hint="default"/>
                <w:sz w:val="21"/>
                <w:szCs w:val="21"/>
              </w:rPr>
              <w:t>/</w:t>
            </w:r>
            <w:r>
              <w:rPr>
                <w:rFonts w:ascii="宋体" w:hAnsi="宋体" w:cs="宋体" w:eastAsia="宋体" w:hint="default"/>
                <w:sz w:val="21"/>
                <w:szCs w:val="21"/>
              </w:rPr>
              <w:t>系统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集成</w:t>
            </w:r>
            <w:r>
              <w:rPr>
                <w:rFonts w:ascii="宋体" w:hAnsi="宋体" w:cs="宋体" w:eastAsia="宋体" w:hint="default"/>
                <w:sz w:val="21"/>
                <w:szCs w:val="21"/>
              </w:rPr>
              <w:t>/</w:t>
            </w:r>
            <w:r>
              <w:rPr>
                <w:rFonts w:ascii="宋体" w:hAnsi="宋体" w:cs="宋体" w:eastAsia="宋体" w:hint="default"/>
                <w:sz w:val="21"/>
                <w:szCs w:val="21"/>
              </w:rPr>
              <w:t>咨询行业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1104"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z w:val="21"/>
                <w:szCs w:val="21"/>
              </w:rPr>
              <w:t>(</w:t>
            </w:r>
            <w:r>
              <w:rPr>
                <w:rFonts w:ascii="宋体" w:hAnsi="宋体" w:cs="宋体" w:eastAsia="宋体" w:hint="default"/>
                <w:sz w:val="21"/>
                <w:szCs w:val="21"/>
              </w:rPr>
              <w:t>南昌</w:t>
            </w:r>
            <w:r>
              <w:rPr>
                <w:rFonts w:ascii="宋体" w:hAnsi="宋体" w:cs="宋体" w:eastAsia="宋体" w:hint="default"/>
                <w:sz w:val="21"/>
                <w:szCs w:val="21"/>
              </w:rPr>
              <w:t>)</w:t>
            </w:r>
            <w:r>
              <w:rPr>
                <w:rFonts w:ascii="宋体" w:hAnsi="宋体" w:cs="宋体" w:eastAsia="宋体" w:hint="default"/>
                <w:sz w:val="21"/>
                <w:szCs w:val="21"/>
              </w:rPr>
              <w:t>产业基地发展有限公司</w:t>
            </w:r>
            <w:r>
              <w:rPr>
                <w:rFonts w:ascii="宋体" w:hAnsi="宋体" w:cs="宋体" w:eastAsia="宋体" w:hint="default"/>
                <w:sz w:val="21"/>
                <w:szCs w:val="21"/>
              </w:rPr>
              <w:t>(</w:t>
            </w:r>
            <w:r>
              <w:rPr>
                <w:rFonts w:ascii="宋体" w:hAnsi="宋体" w:cs="宋体" w:eastAsia="宋体" w:hint="default"/>
                <w:sz w:val="21"/>
                <w:szCs w:val="21"/>
              </w:rPr>
              <w:t>以下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简称“用友</w:t>
            </w:r>
            <w:r>
              <w:rPr>
                <w:rFonts w:ascii="宋体" w:hAnsi="宋体" w:cs="宋体" w:eastAsia="宋体" w:hint="default"/>
                <w:sz w:val="21"/>
                <w:szCs w:val="21"/>
              </w:rPr>
              <w:t>(</w:t>
            </w:r>
            <w:r>
              <w:rPr>
                <w:rFonts w:ascii="宋体" w:hAnsi="宋体" w:cs="宋体" w:eastAsia="宋体" w:hint="default"/>
                <w:sz w:val="21"/>
                <w:szCs w:val="21"/>
              </w:rPr>
              <w:t>南昌)”)</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南昌市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南昌市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房地产业</w:t>
            </w:r>
            <w:r>
              <w:rPr>
                <w:rFonts w:ascii="宋体" w:hAnsi="宋体" w:cs="宋体" w:eastAsia="宋体" w:hint="default"/>
                <w:sz w:val="21"/>
                <w:szCs w:val="21"/>
              </w:rPr>
              <w:t>/</w:t>
            </w:r>
            <w:r>
              <w:rPr>
                <w:rFonts w:ascii="宋体" w:hAnsi="宋体" w:cs="宋体" w:eastAsia="宋体" w:hint="default"/>
                <w:sz w:val="21"/>
                <w:szCs w:val="21"/>
              </w:rPr>
              <w:t>金融投</w:t>
            </w:r>
          </w:p>
          <w:p>
            <w:pPr>
              <w:pStyle w:val="TableParagraph"/>
              <w:spacing w:line="237" w:lineRule="auto" w:before="2"/>
              <w:ind w:left="100" w:right="96"/>
              <w:jc w:val="left"/>
              <w:rPr>
                <w:rFonts w:ascii="宋体" w:hAnsi="宋体" w:cs="宋体" w:eastAsia="宋体" w:hint="default"/>
                <w:sz w:val="21"/>
                <w:szCs w:val="21"/>
              </w:rPr>
            </w:pPr>
            <w:r>
              <w:rPr>
                <w:rFonts w:ascii="宋体" w:hAnsi="宋体" w:cs="宋体" w:eastAsia="宋体" w:hint="default"/>
                <w:spacing w:val="-3"/>
                <w:sz w:val="21"/>
                <w:szCs w:val="21"/>
              </w:rPr>
              <w:t>资业</w:t>
            </w:r>
            <w:r>
              <w:rPr>
                <w:rFonts w:ascii="宋体" w:hAnsi="宋体" w:cs="宋体" w:eastAsia="宋体" w:hint="default"/>
                <w:spacing w:val="-3"/>
                <w:sz w:val="21"/>
                <w:szCs w:val="21"/>
              </w:rPr>
              <w:t>/</w:t>
            </w:r>
            <w:r>
              <w:rPr>
                <w:rFonts w:ascii="宋体" w:hAnsi="宋体" w:cs="宋体" w:eastAsia="宋体" w:hint="default"/>
                <w:spacing w:val="-3"/>
                <w:sz w:val="21"/>
                <w:szCs w:val="21"/>
              </w:rPr>
              <w:t>计算机软、硬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件和耗材、电子行</w:t>
            </w:r>
            <w:r>
              <w:rPr>
                <w:rFonts w:ascii="宋体" w:hAnsi="宋体" w:cs="宋体" w:eastAsia="宋体" w:hint="default"/>
                <w:w w:val="100"/>
                <w:sz w:val="21"/>
                <w:szCs w:val="21"/>
              </w:rPr>
              <w:t> </w:t>
            </w:r>
            <w:r>
              <w:rPr>
                <w:rFonts w:ascii="宋体" w:hAnsi="宋体" w:cs="宋体" w:eastAsia="宋体" w:hint="default"/>
                <w:sz w:val="21"/>
                <w:szCs w:val="21"/>
              </w:rPr>
              <w:t>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62"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天津滨海用友软件有限公司</w:t>
            </w:r>
            <w:r>
              <w:rPr>
                <w:rFonts w:ascii="宋体" w:hAnsi="宋体" w:cs="宋体" w:eastAsia="宋体" w:hint="default"/>
                <w:sz w:val="21"/>
                <w:szCs w:val="21"/>
              </w:rPr>
              <w:t>(</w:t>
            </w:r>
            <w:r>
              <w:rPr>
                <w:rFonts w:ascii="宋体" w:hAnsi="宋体" w:cs="宋体" w:eastAsia="宋体" w:hint="default"/>
                <w:sz w:val="21"/>
                <w:szCs w:val="21"/>
              </w:rPr>
              <w:t>以下简称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“滨海用友”)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天津市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天津市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计算机技术及产品</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90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10</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830"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三亚用友软件科技有限公司</w:t>
            </w:r>
            <w:r>
              <w:rPr>
                <w:rFonts w:ascii="宋体" w:hAnsi="宋体" w:cs="宋体" w:eastAsia="宋体" w:hint="default"/>
                <w:sz w:val="21"/>
                <w:szCs w:val="21"/>
              </w:rPr>
              <w:t>(</w:t>
            </w:r>
            <w:r>
              <w:rPr>
                <w:rFonts w:ascii="宋体" w:hAnsi="宋体" w:cs="宋体" w:eastAsia="宋体" w:hint="default"/>
                <w:sz w:val="21"/>
                <w:szCs w:val="21"/>
              </w:rPr>
              <w:t>以下简称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“三亚用友”)</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三亚市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三亚市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软件研发和销售，</w:t>
            </w:r>
          </w:p>
          <w:p>
            <w:pPr>
              <w:pStyle w:val="TableParagraph"/>
              <w:spacing w:line="240" w:lineRule="auto"/>
              <w:ind w:left="100" w:right="134"/>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服务，技术交流</w:t>
            </w:r>
            <w:r>
              <w:rPr>
                <w:rFonts w:ascii="宋体" w:hAnsi="宋体" w:cs="宋体" w:eastAsia="宋体" w:hint="default"/>
                <w:w w:val="100"/>
                <w:sz w:val="21"/>
                <w:szCs w:val="21"/>
              </w:rPr>
              <w:t> </w:t>
            </w:r>
            <w:r>
              <w:rPr>
                <w:rFonts w:ascii="宋体" w:hAnsi="宋体" w:cs="宋体" w:eastAsia="宋体" w:hint="default"/>
                <w:sz w:val="21"/>
                <w:szCs w:val="21"/>
              </w:rPr>
              <w:t>和培训</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北京用友幸福投资管理有限公司</w:t>
            </w:r>
            <w:r>
              <w:rPr>
                <w:rFonts w:ascii="宋体" w:hAnsi="宋体" w:cs="宋体" w:eastAsia="宋体" w:hint="default"/>
                <w:sz w:val="21"/>
                <w:szCs w:val="21"/>
              </w:rPr>
              <w:t>(</w:t>
            </w:r>
            <w:r>
              <w:rPr>
                <w:rFonts w:ascii="宋体" w:hAnsi="宋体" w:cs="宋体" w:eastAsia="宋体" w:hint="default"/>
                <w:sz w:val="21"/>
                <w:szCs w:val="21"/>
              </w:rPr>
              <w:t>以下简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称“幸福投资”)(注</w:t>
            </w:r>
            <w:r>
              <w:rPr>
                <w:rFonts w:ascii="宋体" w:hAnsi="宋体" w:cs="宋体" w:eastAsia="宋体" w:hint="default"/>
                <w:spacing w:val="-54"/>
                <w:sz w:val="21"/>
                <w:szCs w:val="21"/>
              </w:rPr>
              <w:t> </w:t>
            </w:r>
            <w:r>
              <w:rPr>
                <w:rFonts w:ascii="宋体" w:hAnsi="宋体" w:cs="宋体" w:eastAsia="宋体" w:hint="default"/>
                <w:sz w:val="21"/>
                <w:szCs w:val="21"/>
              </w:rPr>
              <w:t>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64</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62"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北京用友创新投资中心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r>
              <w:rPr>
                <w:rFonts w:ascii="宋体" w:hAnsi="宋体" w:cs="宋体" w:eastAsia="宋体" w:hint="default"/>
                <w:sz w:val="21"/>
                <w:szCs w:val="21"/>
              </w:rPr>
              <w:t>以下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简称“创新投资”)</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1</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畅捷通信息技术股份有限公司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硬件</w:t>
            </w:r>
            <w:r>
              <w:rPr>
                <w:rFonts w:ascii="宋体" w:hAnsi="宋体" w:cs="宋体" w:eastAsia="宋体" w:hint="default"/>
                <w:sz w:val="21"/>
                <w:szCs w:val="21"/>
              </w:rPr>
              <w:t>/</w:t>
            </w:r>
            <w:r>
              <w:rPr>
                <w:rFonts w:ascii="宋体" w:hAnsi="宋体" w:cs="宋体" w:eastAsia="宋体" w:hint="default"/>
                <w:sz w:val="21"/>
                <w:szCs w:val="21"/>
              </w:rPr>
              <w:t>耗</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材、电子行业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68.94</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1.78</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833"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用友长伴管理咨询</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w:t>
            </w:r>
            <w:r>
              <w:rPr>
                <w:rFonts w:ascii="宋体" w:hAnsi="宋体" w:cs="宋体" w:eastAsia="宋体" w:hint="default"/>
                <w:sz w:val="21"/>
                <w:szCs w:val="21"/>
              </w:rPr>
              <w:t>以下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简称“长伴咨询”)</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企业管理咨询</w:t>
            </w:r>
            <w:r>
              <w:rPr>
                <w:rFonts w:ascii="宋体" w:hAnsi="宋体" w:cs="宋体" w:eastAsia="宋体" w:hint="default"/>
                <w:sz w:val="21"/>
                <w:szCs w:val="21"/>
              </w:rPr>
              <w:t>/</w:t>
            </w:r>
            <w:r>
              <w:rPr>
                <w:rFonts w:ascii="宋体" w:hAnsi="宋体" w:cs="宋体" w:eastAsia="宋体" w:hint="default"/>
                <w:sz w:val="21"/>
                <w:szCs w:val="21"/>
              </w:rPr>
              <w:t>计</w:t>
            </w:r>
          </w:p>
          <w:p>
            <w:pPr>
              <w:pStyle w:val="TableParagraph"/>
              <w:spacing w:line="272" w:lineRule="exact" w:before="27"/>
              <w:ind w:left="100" w:right="187"/>
              <w:jc w:val="left"/>
              <w:rPr>
                <w:rFonts w:ascii="宋体" w:hAnsi="宋体" w:cs="宋体" w:eastAsia="宋体" w:hint="default"/>
                <w:sz w:val="21"/>
                <w:szCs w:val="21"/>
              </w:rPr>
            </w:pPr>
            <w:r>
              <w:rPr>
                <w:rFonts w:ascii="宋体" w:hAnsi="宋体" w:cs="宋体" w:eastAsia="宋体" w:hint="default"/>
                <w:sz w:val="21"/>
                <w:szCs w:val="21"/>
              </w:rPr>
              <w:t>算机应用系统的规</w:t>
            </w:r>
            <w:r>
              <w:rPr>
                <w:rFonts w:ascii="宋体" w:hAnsi="宋体" w:cs="宋体" w:eastAsia="宋体" w:hint="default"/>
                <w:w w:val="100"/>
                <w:sz w:val="21"/>
                <w:szCs w:val="21"/>
              </w:rPr>
              <w:t> </w:t>
            </w:r>
            <w:r>
              <w:rPr>
                <w:rFonts w:ascii="宋体" w:hAnsi="宋体" w:cs="宋体" w:eastAsia="宋体" w:hint="default"/>
                <w:sz w:val="21"/>
                <w:szCs w:val="21"/>
              </w:rPr>
              <w:t>划、集成和开发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新道科技股份有限公司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三亚市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三亚市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计算机软件</w:t>
            </w:r>
            <w:r>
              <w:rPr>
                <w:rFonts w:ascii="宋体" w:hAnsi="宋体" w:cs="宋体" w:eastAsia="宋体" w:hint="default"/>
                <w:sz w:val="21"/>
                <w:szCs w:val="21"/>
              </w:rPr>
              <w:t>/</w:t>
            </w:r>
            <w:r>
              <w:rPr>
                <w:rFonts w:ascii="宋体" w:hAnsi="宋体" w:cs="宋体" w:eastAsia="宋体" w:hint="default"/>
                <w:sz w:val="21"/>
                <w:szCs w:val="21"/>
              </w:rPr>
              <w:t>管理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培训</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67.64</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用友云达信息技术服务</w:t>
            </w:r>
            <w:r>
              <w:rPr>
                <w:rFonts w:ascii="宋体" w:hAnsi="宋体" w:cs="宋体" w:eastAsia="宋体" w:hint="default"/>
                <w:sz w:val="21"/>
                <w:szCs w:val="21"/>
              </w:rPr>
              <w:t>(</w:t>
            </w:r>
            <w:r>
              <w:rPr>
                <w:rFonts w:ascii="宋体" w:hAnsi="宋体" w:cs="宋体" w:eastAsia="宋体" w:hint="default"/>
                <w:sz w:val="21"/>
                <w:szCs w:val="21"/>
              </w:rPr>
              <w:t>南昌</w:t>
            </w:r>
            <w:r>
              <w:rPr>
                <w:rFonts w:ascii="宋体" w:hAnsi="宋体" w:cs="宋体" w:eastAsia="宋体" w:hint="default"/>
                <w:sz w:val="21"/>
                <w:szCs w:val="21"/>
              </w:rPr>
              <w:t>)</w:t>
            </w:r>
            <w:r>
              <w:rPr>
                <w:rFonts w:ascii="宋体" w:hAnsi="宋体" w:cs="宋体" w:eastAsia="宋体" w:hint="default"/>
                <w:sz w:val="21"/>
                <w:szCs w:val="21"/>
              </w:rPr>
              <w:t>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南昌市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南昌市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计算机软件</w:t>
            </w:r>
            <w:r>
              <w:rPr>
                <w:rFonts w:ascii="宋体" w:hAnsi="宋体" w:cs="宋体" w:eastAsia="宋体" w:hint="default"/>
                <w:sz w:val="21"/>
                <w:szCs w:val="21"/>
              </w:rPr>
              <w:t>/</w:t>
            </w:r>
            <w:r>
              <w:rPr>
                <w:rFonts w:ascii="宋体" w:hAnsi="宋体" w:cs="宋体" w:eastAsia="宋体" w:hint="default"/>
                <w:sz w:val="21"/>
                <w:szCs w:val="21"/>
              </w:rPr>
              <w:t>系统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集成</w:t>
            </w:r>
            <w:r>
              <w:rPr>
                <w:rFonts w:ascii="宋体" w:hAnsi="宋体" w:cs="宋体" w:eastAsia="宋体" w:hint="default"/>
                <w:sz w:val="21"/>
                <w:szCs w:val="21"/>
              </w:rPr>
              <w:t>/</w:t>
            </w:r>
            <w:r>
              <w:rPr>
                <w:rFonts w:ascii="宋体" w:hAnsi="宋体" w:cs="宋体" w:eastAsia="宋体" w:hint="default"/>
                <w:sz w:val="21"/>
                <w:szCs w:val="21"/>
              </w:rPr>
              <w:t>咨询行业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用友优普信息技术有限公司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计算软件</w:t>
            </w:r>
            <w:r>
              <w:rPr>
                <w:rFonts w:ascii="宋体" w:hAnsi="宋体" w:cs="宋体" w:eastAsia="宋体" w:hint="default"/>
                <w:sz w:val="21"/>
                <w:szCs w:val="21"/>
              </w:rPr>
              <w:t>/</w:t>
            </w:r>
            <w:r>
              <w:rPr>
                <w:rFonts w:ascii="宋体" w:hAnsi="宋体" w:cs="宋体" w:eastAsia="宋体" w:hint="default"/>
                <w:sz w:val="21"/>
                <w:szCs w:val="21"/>
              </w:rPr>
              <w:t>系统集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z w:val="21"/>
                <w:szCs w:val="21"/>
              </w:rPr>
              <w:t>/</w:t>
            </w:r>
            <w:r>
              <w:rPr>
                <w:rFonts w:ascii="宋体" w:hAnsi="宋体" w:cs="宋体" w:eastAsia="宋体" w:hint="default"/>
                <w:sz w:val="21"/>
                <w:szCs w:val="21"/>
              </w:rPr>
              <w:t>咨询行业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深圳前海用友力合金融服务交易所有限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以下简称“友金所”)(注</w:t>
            </w:r>
            <w:r>
              <w:rPr>
                <w:rFonts w:ascii="宋体" w:hAnsi="宋体" w:cs="宋体" w:eastAsia="宋体" w:hint="default"/>
                <w:spacing w:val="-57"/>
                <w:sz w:val="21"/>
                <w:szCs w:val="21"/>
              </w:rPr>
              <w:t> </w:t>
            </w:r>
            <w:r>
              <w:rPr>
                <w:rFonts w:ascii="宋体" w:hAnsi="宋体" w:cs="宋体" w:eastAsia="宋体" w:hint="default"/>
                <w:sz w:val="21"/>
                <w:szCs w:val="21"/>
              </w:rPr>
              <w:t>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深圳市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咨询管理</w:t>
            </w:r>
            <w:r>
              <w:rPr>
                <w:rFonts w:ascii="宋体" w:hAnsi="宋体" w:cs="宋体" w:eastAsia="宋体" w:hint="default"/>
                <w:sz w:val="21"/>
                <w:szCs w:val="21"/>
              </w:rPr>
              <w:t>/</w:t>
            </w:r>
            <w:r>
              <w:rPr>
                <w:rFonts w:ascii="宋体" w:hAnsi="宋体" w:cs="宋体" w:eastAsia="宋体" w:hint="default"/>
                <w:sz w:val="21"/>
                <w:szCs w:val="21"/>
              </w:rPr>
              <w:t>计算机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63.16</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6.14</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62"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用友移动通信技术服务有限公司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计算机软硬件及设</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备行业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30.2</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49.8</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1104"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用友广信网络科技有限公司</w:t>
            </w:r>
            <w:r>
              <w:rPr>
                <w:rFonts w:ascii="宋体" w:hAnsi="宋体" w:cs="宋体" w:eastAsia="宋体" w:hint="default"/>
                <w:sz w:val="21"/>
                <w:szCs w:val="21"/>
              </w:rPr>
              <w:t>(</w:t>
            </w:r>
            <w:r>
              <w:rPr>
                <w:rFonts w:ascii="宋体" w:hAnsi="宋体" w:cs="宋体" w:eastAsia="宋体" w:hint="default"/>
                <w:sz w:val="21"/>
                <w:szCs w:val="21"/>
              </w:rPr>
              <w:t>以下简称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“用友广信”) (注</w:t>
            </w:r>
            <w:r>
              <w:rPr>
                <w:rFonts w:ascii="宋体" w:hAnsi="宋体" w:cs="宋体" w:eastAsia="宋体" w:hint="default"/>
                <w:spacing w:val="-54"/>
                <w:sz w:val="21"/>
                <w:szCs w:val="21"/>
              </w:rPr>
              <w:t> </w:t>
            </w:r>
            <w:r>
              <w:rPr>
                <w:rFonts w:ascii="宋体" w:hAnsi="宋体" w:cs="宋体" w:eastAsia="宋体" w:hint="default"/>
                <w:sz w:val="21"/>
                <w:szCs w:val="21"/>
              </w:rPr>
              <w:t>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电信行业、广电行</w:t>
            </w:r>
          </w:p>
          <w:p>
            <w:pPr>
              <w:pStyle w:val="TableParagraph"/>
              <w:spacing w:line="237" w:lineRule="auto"/>
              <w:ind w:left="100" w:right="96"/>
              <w:jc w:val="left"/>
              <w:rPr>
                <w:rFonts w:ascii="宋体" w:hAnsi="宋体" w:cs="宋体" w:eastAsia="宋体" w:hint="default"/>
                <w:sz w:val="21"/>
                <w:szCs w:val="21"/>
              </w:rPr>
            </w:pPr>
            <w:r>
              <w:rPr>
                <w:rFonts w:ascii="宋体" w:hAnsi="宋体" w:cs="宋体" w:eastAsia="宋体" w:hint="default"/>
                <w:sz w:val="21"/>
                <w:szCs w:val="21"/>
              </w:rPr>
              <w:t>业的销售软件、软</w:t>
            </w:r>
            <w:r>
              <w:rPr>
                <w:rFonts w:ascii="宋体" w:hAnsi="宋体" w:cs="宋体" w:eastAsia="宋体" w:hint="default"/>
                <w:w w:val="100"/>
                <w:sz w:val="21"/>
                <w:szCs w:val="21"/>
              </w:rPr>
              <w:t> </w:t>
            </w:r>
            <w:r>
              <w:rPr>
                <w:rFonts w:ascii="宋体" w:hAnsi="宋体" w:cs="宋体" w:eastAsia="宋体" w:hint="default"/>
                <w:spacing w:val="-3"/>
                <w:sz w:val="21"/>
                <w:szCs w:val="21"/>
              </w:rPr>
              <w:t>件开发</w:t>
            </w:r>
            <w:r>
              <w:rPr>
                <w:rFonts w:ascii="宋体" w:hAnsi="宋体" w:cs="宋体" w:eastAsia="宋体" w:hint="default"/>
                <w:spacing w:val="-3"/>
                <w:sz w:val="21"/>
                <w:szCs w:val="21"/>
              </w:rPr>
              <w:t>/</w:t>
            </w:r>
            <w:r>
              <w:rPr>
                <w:rFonts w:ascii="宋体" w:hAnsi="宋体" w:cs="宋体" w:eastAsia="宋体" w:hint="default"/>
                <w:spacing w:val="-3"/>
                <w:sz w:val="21"/>
                <w:szCs w:val="21"/>
              </w:rPr>
              <w:t>实施、培训</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等业务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1104"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用友能源科技有限公司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信息传输、软件和</w:t>
            </w:r>
          </w:p>
          <w:p>
            <w:pPr>
              <w:pStyle w:val="TableParagraph"/>
              <w:spacing w:line="237" w:lineRule="auto"/>
              <w:ind w:left="100" w:right="-8"/>
              <w:jc w:val="left"/>
              <w:rPr>
                <w:rFonts w:ascii="宋体" w:hAnsi="宋体" w:cs="宋体" w:eastAsia="宋体" w:hint="default"/>
                <w:sz w:val="21"/>
                <w:szCs w:val="21"/>
              </w:rPr>
            </w:pPr>
            <w:r>
              <w:rPr>
                <w:rFonts w:ascii="宋体" w:hAnsi="宋体" w:cs="宋体" w:eastAsia="宋体" w:hint="default"/>
                <w:sz w:val="21"/>
                <w:szCs w:val="21"/>
              </w:rPr>
              <w:t>信息技术服务业；</w:t>
            </w:r>
            <w:r>
              <w:rPr>
                <w:rFonts w:ascii="宋体" w:hAnsi="宋体" w:cs="宋体" w:eastAsia="宋体" w:hint="default"/>
                <w:w w:val="100"/>
                <w:sz w:val="21"/>
                <w:szCs w:val="21"/>
              </w:rPr>
              <w:t> </w:t>
            </w:r>
            <w:r>
              <w:rPr>
                <w:rFonts w:ascii="宋体" w:hAnsi="宋体" w:cs="宋体" w:eastAsia="宋体" w:hint="default"/>
                <w:sz w:val="21"/>
                <w:szCs w:val="21"/>
              </w:rPr>
              <w:t>计算机软、硬件行</w:t>
            </w:r>
            <w:r>
              <w:rPr>
                <w:rFonts w:ascii="宋体" w:hAnsi="宋体" w:cs="宋体" w:eastAsia="宋体" w:hint="default"/>
                <w:w w:val="100"/>
                <w:sz w:val="21"/>
                <w:szCs w:val="21"/>
              </w:rPr>
              <w:t> </w:t>
            </w:r>
            <w:r>
              <w:rPr>
                <w:rFonts w:ascii="宋体" w:hAnsi="宋体" w:cs="宋体" w:eastAsia="宋体" w:hint="default"/>
                <w:spacing w:val="-3"/>
                <w:sz w:val="21"/>
                <w:szCs w:val="21"/>
              </w:rPr>
              <w:t>业；商务服务行业；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0" w:right="0"/>
              <w:jc w:val="left"/>
              <w:rPr>
                <w:rFonts w:ascii="Arial" w:hAnsi="Arial" w:cs="Arial" w:eastAsia="Arial" w:hint="default"/>
                <w:sz w:val="18"/>
                <w:szCs w:val="18"/>
              </w:rPr>
            </w:pPr>
            <w:r>
              <w:rPr>
                <w:rFonts w:ascii="宋体" w:hAnsi="宋体" w:cs="宋体" w:eastAsia="宋体" w:hint="default"/>
                <w:sz w:val="21"/>
                <w:szCs w:val="21"/>
              </w:rPr>
              <w:t>用友超客网络科技有限公司 </w:t>
            </w:r>
            <w:r>
              <w:rPr>
                <w:rFonts w:ascii="Arial" w:hAnsi="Arial" w:cs="Arial" w:eastAsia="Arial" w:hint="default"/>
                <w:sz w:val="18"/>
                <w:szCs w:val="18"/>
              </w:rPr>
              <w:t>(</w:t>
            </w:r>
            <w:r>
              <w:rPr>
                <w:rFonts w:ascii="黑体" w:hAnsi="黑体" w:cs="黑体" w:eastAsia="黑体" w:hint="default"/>
                <w:sz w:val="18"/>
                <w:szCs w:val="18"/>
              </w:rPr>
              <w:t>注</w:t>
            </w:r>
            <w:r>
              <w:rPr>
                <w:rFonts w:ascii="黑体" w:hAnsi="黑体" w:cs="黑体" w:eastAsia="黑体" w:hint="default"/>
                <w:spacing w:val="-62"/>
                <w:sz w:val="18"/>
                <w:szCs w:val="18"/>
              </w:rPr>
              <w:t> </w:t>
            </w:r>
            <w:r>
              <w:rPr>
                <w:rFonts w:ascii="Arial" w:hAnsi="Arial" w:cs="Arial" w:eastAsia="Arial" w:hint="default"/>
                <w:sz w:val="18"/>
                <w:szCs w:val="18"/>
              </w:rPr>
              <w:t>10)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计算机技术及产品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咨询行业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设立或投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r>
      <w:tr>
        <w:trPr>
          <w:trHeight w:val="560"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北京用友审计软件有限公司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计算机软、硬件</w:t>
            </w:r>
            <w:r>
              <w:rPr>
                <w:rFonts w:ascii="宋体" w:hAnsi="宋体" w:cs="宋体" w:eastAsia="宋体" w:hint="default"/>
                <w:spacing w:val="-3"/>
                <w:sz w:val="21"/>
                <w:szCs w:val="21"/>
              </w:rPr>
              <w:t>/</w:t>
            </w:r>
            <w:r>
              <w:rPr>
                <w:rFonts w:ascii="宋体" w:hAnsi="宋体" w:cs="宋体" w:eastAsia="宋体" w:hint="default"/>
                <w:spacing w:val="-3"/>
                <w:sz w:val="21"/>
                <w:szCs w:val="21"/>
              </w:rPr>
              <w:t>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统集成行业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w:t>
            </w:r>
          </w:p>
        </w:tc>
        <w:tc>
          <w:tcPr>
            <w:tcW w:w="854"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6" w:hRule="exact"/>
        </w:trPr>
        <w:tc>
          <w:tcPr>
            <w:tcW w:w="3968"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用友汽车信息科技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股份有限公司</w:t>
            </w:r>
          </w:p>
        </w:tc>
        <w:tc>
          <w:tcPr>
            <w:tcW w:w="85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上海市</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上海市</w:t>
            </w:r>
          </w:p>
        </w:tc>
        <w:tc>
          <w:tcPr>
            <w:tcW w:w="1987"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计算机软件</w:t>
            </w:r>
            <w:r>
              <w:rPr>
                <w:rFonts w:ascii="宋体" w:hAnsi="宋体" w:cs="宋体" w:eastAsia="宋体" w:hint="default"/>
                <w:sz w:val="21"/>
                <w:szCs w:val="21"/>
              </w:rPr>
              <w:t>/</w:t>
            </w:r>
            <w:r>
              <w:rPr>
                <w:rFonts w:ascii="宋体" w:hAnsi="宋体" w:cs="宋体" w:eastAsia="宋体" w:hint="default"/>
                <w:sz w:val="21"/>
                <w:szCs w:val="21"/>
              </w:rPr>
              <w:t>系统</w:t>
            </w:r>
          </w:p>
        </w:tc>
        <w:tc>
          <w:tcPr>
            <w:tcW w:w="850"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77.94</w:t>
            </w:r>
          </w:p>
        </w:tc>
        <w:tc>
          <w:tcPr>
            <w:tcW w:w="854"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4.06</w:t>
            </w:r>
          </w:p>
        </w:tc>
        <w:tc>
          <w:tcPr>
            <w:tcW w:w="1128"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bl>
    <w:p>
      <w:pPr>
        <w:spacing w:after="0" w:line="243" w:lineRule="exact"/>
        <w:jc w:val="left"/>
        <w:rPr>
          <w:rFonts w:ascii="宋体" w:hAnsi="宋体" w:cs="宋体" w:eastAsia="宋体" w:hint="default"/>
          <w:sz w:val="21"/>
          <w:szCs w:val="21"/>
        </w:rPr>
        <w:sectPr>
          <w:headerReference w:type="default" r:id="rId74"/>
          <w:pgSz w:w="11910" w:h="16840"/>
          <w:pgMar w:header="926" w:footer="1315" w:top="1120" w:bottom="1500" w:left="980" w:right="2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3968"/>
        <w:gridCol w:w="852"/>
        <w:gridCol w:w="850"/>
        <w:gridCol w:w="1987"/>
        <w:gridCol w:w="850"/>
        <w:gridCol w:w="854"/>
        <w:gridCol w:w="1128"/>
      </w:tblGrid>
      <w:tr>
        <w:trPr>
          <w:trHeight w:val="288"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11)</w:t>
            </w: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集成</w:t>
            </w:r>
            <w:r>
              <w:rPr>
                <w:rFonts w:ascii="宋体" w:hAnsi="宋体" w:cs="宋体" w:eastAsia="宋体" w:hint="default"/>
                <w:sz w:val="21"/>
                <w:szCs w:val="21"/>
              </w:rPr>
              <w:t>/</w:t>
            </w:r>
            <w:r>
              <w:rPr>
                <w:rFonts w:ascii="宋体" w:hAnsi="宋体" w:cs="宋体" w:eastAsia="宋体" w:hint="default"/>
                <w:sz w:val="21"/>
                <w:szCs w:val="21"/>
              </w:rPr>
              <w:t>咨询行业</w:t>
            </w:r>
          </w:p>
        </w:tc>
        <w:tc>
          <w:tcPr>
            <w:tcW w:w="85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396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秉钧网络</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计算机软件</w:t>
            </w:r>
            <w:r>
              <w:rPr>
                <w:rFonts w:ascii="宋体" w:hAnsi="宋体" w:cs="宋体" w:eastAsia="宋体" w:hint="default"/>
                <w:sz w:val="21"/>
                <w:szCs w:val="21"/>
              </w:rPr>
              <w:t>/</w:t>
            </w:r>
            <w:r>
              <w:rPr>
                <w:rFonts w:ascii="宋体" w:hAnsi="宋体" w:cs="宋体" w:eastAsia="宋体" w:hint="default"/>
                <w:sz w:val="21"/>
                <w:szCs w:val="21"/>
              </w:rPr>
              <w:t>系统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集成</w:t>
            </w:r>
            <w:r>
              <w:rPr>
                <w:rFonts w:ascii="宋体" w:hAnsi="宋体" w:cs="宋体" w:eastAsia="宋体" w:hint="default"/>
                <w:sz w:val="21"/>
                <w:szCs w:val="21"/>
              </w:rPr>
              <w:t>/</w:t>
            </w:r>
            <w:r>
              <w:rPr>
                <w:rFonts w:ascii="宋体" w:hAnsi="宋体" w:cs="宋体" w:eastAsia="宋体" w:hint="default"/>
                <w:sz w:val="21"/>
                <w:szCs w:val="21"/>
              </w:rPr>
              <w:t>咨询行业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sz w:val="21"/>
              </w:rPr>
              <w:t>70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1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288" w:hRule="exact"/>
        </w:trPr>
        <w:tc>
          <w:tcPr>
            <w:tcW w:w="3968" w:type="dxa"/>
            <w:tcBorders>
              <w:top w:val="single" w:sz="6" w:space="0" w:color="000000"/>
              <w:left w:val="single" w:sz="4"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98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968" w:type="dxa"/>
            <w:tcBorders>
              <w:top w:val="single" w:sz="6" w:space="0" w:color="000000"/>
              <w:left w:val="single" w:sz="4" w:space="0" w:color="000000"/>
              <w:bottom w:val="single" w:sz="4" w:space="0" w:color="000000"/>
              <w:right w:val="single" w:sz="6" w:space="0" w:color="000000"/>
            </w:tcBorders>
          </w:tcPr>
          <w:p>
            <w:pPr/>
          </w:p>
        </w:tc>
        <w:tc>
          <w:tcPr>
            <w:tcW w:w="852" w:type="dxa"/>
            <w:tcBorders>
              <w:top w:val="single" w:sz="6" w:space="0" w:color="000000"/>
              <w:left w:val="single" w:sz="6" w:space="0" w:color="000000"/>
              <w:bottom w:val="single" w:sz="4" w:space="0" w:color="000000"/>
              <w:right w:val="single" w:sz="6" w:space="0" w:color="000000"/>
            </w:tcBorders>
          </w:tcPr>
          <w:p>
            <w:pPr/>
          </w:p>
        </w:tc>
        <w:tc>
          <w:tcPr>
            <w:tcW w:w="850" w:type="dxa"/>
            <w:tcBorders>
              <w:top w:val="single" w:sz="6" w:space="0" w:color="000000"/>
              <w:left w:val="single" w:sz="6" w:space="0" w:color="000000"/>
              <w:bottom w:val="single" w:sz="4" w:space="0" w:color="000000"/>
              <w:right w:val="single" w:sz="6" w:space="0" w:color="000000"/>
            </w:tcBorders>
          </w:tcPr>
          <w:p>
            <w:pPr/>
          </w:p>
        </w:tc>
        <w:tc>
          <w:tcPr>
            <w:tcW w:w="1987" w:type="dxa"/>
            <w:tcBorders>
              <w:top w:val="single" w:sz="6" w:space="0" w:color="000000"/>
              <w:left w:val="single" w:sz="6" w:space="0" w:color="000000"/>
              <w:bottom w:val="single" w:sz="4" w:space="0" w:color="000000"/>
              <w:right w:val="single" w:sz="6" w:space="0" w:color="000000"/>
            </w:tcBorders>
          </w:tcPr>
          <w:p>
            <w:pPr/>
          </w:p>
        </w:tc>
        <w:tc>
          <w:tcPr>
            <w:tcW w:w="850" w:type="dxa"/>
            <w:tcBorders>
              <w:top w:val="single" w:sz="6" w:space="0" w:color="000000"/>
              <w:left w:val="single" w:sz="6" w:space="0" w:color="000000"/>
              <w:bottom w:val="single" w:sz="4" w:space="0" w:color="000000"/>
              <w:right w:val="single" w:sz="6" w:space="0" w:color="000000"/>
            </w:tcBorders>
          </w:tcPr>
          <w:p>
            <w:pPr/>
          </w:p>
        </w:tc>
        <w:tc>
          <w:tcPr>
            <w:tcW w:w="854" w:type="dxa"/>
            <w:tcBorders>
              <w:top w:val="single" w:sz="6" w:space="0" w:color="000000"/>
              <w:left w:val="single" w:sz="6" w:space="0" w:color="000000"/>
              <w:bottom w:val="single" w:sz="4" w:space="0" w:color="000000"/>
              <w:right w:val="single" w:sz="6" w:space="0" w:color="000000"/>
            </w:tcBorders>
          </w:tcPr>
          <w:p>
            <w:pPr/>
          </w:p>
        </w:tc>
        <w:tc>
          <w:tcPr>
            <w:tcW w:w="1128"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818" w:right="772"/>
        <w:jc w:val="left"/>
      </w:pPr>
      <w:r>
        <w:rPr/>
        <w:t>在子公司的持股比例不同于表决权比例的说明：</w:t>
      </w:r>
      <w:r>
        <w:rPr>
          <w:w w:val="100"/>
        </w:rPr>
        <w:t> </w:t>
      </w:r>
      <w:r>
        <w:rPr/>
        <w:t>本集团子公司不存在持股比例与表决权不一致的情况。</w:t>
      </w:r>
    </w:p>
    <w:p>
      <w:pPr>
        <w:spacing w:line="240" w:lineRule="auto" w:before="10"/>
        <w:rPr>
          <w:rFonts w:ascii="宋体" w:hAnsi="宋体" w:cs="宋体" w:eastAsia="宋体" w:hint="default"/>
          <w:sz w:val="22"/>
          <w:szCs w:val="22"/>
        </w:rPr>
      </w:pPr>
    </w:p>
    <w:p>
      <w:pPr>
        <w:pStyle w:val="BodyText"/>
        <w:spacing w:line="272" w:lineRule="exact"/>
        <w:ind w:left="818" w:right="772"/>
        <w:jc w:val="left"/>
      </w:pPr>
      <w:r>
        <w:rPr>
          <w:spacing w:val="-2"/>
        </w:rPr>
        <w:t>持有半数或以下表决权但仍控制被投资单位、以及持有半数以上表决权但不控制被投资单位的依</w:t>
      </w:r>
      <w:r>
        <w:rPr>
          <w:spacing w:val="-25"/>
        </w:rPr>
        <w:t> </w:t>
      </w:r>
      <w:r>
        <w:rPr>
          <w:spacing w:val="-25"/>
        </w:rPr>
      </w:r>
      <w:r>
        <w:rPr/>
        <w:t>据：</w:t>
      </w:r>
    </w:p>
    <w:p>
      <w:pPr>
        <w:spacing w:line="240" w:lineRule="auto" w:before="12"/>
        <w:rPr>
          <w:rFonts w:ascii="宋体" w:hAnsi="宋体" w:cs="宋体" w:eastAsia="宋体" w:hint="default"/>
          <w:sz w:val="18"/>
          <w:szCs w:val="18"/>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BodyText"/>
        <w:spacing w:line="240" w:lineRule="auto" w:before="36"/>
        <w:ind w:left="818" w:right="772"/>
        <w:jc w:val="left"/>
      </w:pPr>
      <w:r>
        <w:rPr/>
        <w:t>对于纳入合并范围的重要的结构化主体，控制的依据：</w:t>
      </w:r>
    </w:p>
    <w:p>
      <w:pPr>
        <w:spacing w:line="240" w:lineRule="auto" w:before="9"/>
        <w:rPr>
          <w:rFonts w:ascii="宋体" w:hAnsi="宋体" w:cs="宋体" w:eastAsia="宋体" w:hint="default"/>
          <w:sz w:val="20"/>
          <w:szCs w:val="20"/>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left="818" w:right="772"/>
        <w:jc w:val="left"/>
      </w:pPr>
      <w:r>
        <w:rPr/>
        <w:t>确定公司是代理人还是委托人的依据：</w:t>
      </w:r>
    </w:p>
    <w:p>
      <w:pPr>
        <w:spacing w:line="240" w:lineRule="auto" w:before="11"/>
        <w:rPr>
          <w:rFonts w:ascii="宋体" w:hAnsi="宋体" w:cs="宋体" w:eastAsia="宋体" w:hint="default"/>
          <w:sz w:val="20"/>
          <w:szCs w:val="20"/>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72" w:lineRule="exact" w:before="36"/>
        <w:ind w:left="818" w:right="7569"/>
        <w:jc w:val="left"/>
      </w:pPr>
      <w:r>
        <w:rPr/>
        <w:t>其他说明：</w:t>
      </w:r>
    </w:p>
    <w:p>
      <w:pPr>
        <w:pStyle w:val="BodyText"/>
        <w:spacing w:line="297" w:lineRule="auto"/>
        <w:ind w:left="1526" w:right="1067"/>
        <w:jc w:val="both"/>
      </w:pPr>
      <w:r>
        <w:rPr/>
        <w:t>注</w:t>
      </w:r>
      <w:r>
        <w:rPr>
          <w:rFonts w:ascii="宋体" w:hAnsi="宋体" w:cs="宋体" w:eastAsia="宋体" w:hint="default"/>
        </w:rPr>
        <w:t>1</w:t>
      </w:r>
      <w:r>
        <w:rPr/>
        <w:t>．</w:t>
      </w:r>
      <w:r>
        <w:rPr>
          <w:spacing w:val="-44"/>
        </w:rPr>
        <w:t> </w:t>
      </w:r>
      <w:r>
        <w:rPr>
          <w:rFonts w:ascii="宋体" w:hAnsi="宋体" w:cs="宋体" w:eastAsia="宋体" w:hint="default"/>
          <w:spacing w:val="-4"/>
        </w:rPr>
        <w:t>2015</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6</w:t>
      </w:r>
      <w:r>
        <w:rPr>
          <w:spacing w:val="-4"/>
        </w:rPr>
        <w:t>日，用友政务与北京通和宝投资管理中心（有限合伙）</w:t>
      </w:r>
      <w:r>
        <w:rPr>
          <w:rFonts w:ascii="宋体" w:hAnsi="宋体" w:cs="宋体" w:eastAsia="宋体" w:hint="default"/>
          <w:spacing w:val="-4"/>
        </w:rPr>
        <w:t>(</w:t>
      </w:r>
      <w:r>
        <w:rPr>
          <w:spacing w:val="-4"/>
        </w:rPr>
        <w:t>以下简称“通和</w:t>
      </w:r>
      <w:r>
        <w:rPr>
          <w:spacing w:val="-78"/>
        </w:rPr>
        <w:t> </w:t>
      </w:r>
      <w:r>
        <w:rPr>
          <w:spacing w:val="-78"/>
        </w:rPr>
      </w:r>
      <w:r>
        <w:rPr/>
        <w:t>宝”</w:t>
      </w:r>
      <w:r>
        <w:rPr>
          <w:rFonts w:ascii="宋体" w:hAnsi="宋体" w:cs="宋体" w:eastAsia="宋体" w:hint="default"/>
        </w:rPr>
        <w:t>)</w:t>
      </w:r>
      <w:r>
        <w:rPr/>
        <w:t>和北京政友协同投资管理中心（有限合伙）</w:t>
      </w:r>
      <w:r>
        <w:rPr>
          <w:rFonts w:ascii="宋体" w:hAnsi="宋体" w:cs="宋体" w:eastAsia="宋体" w:hint="default"/>
        </w:rPr>
        <w:t>(</w:t>
      </w:r>
      <w:r>
        <w:rPr/>
        <w:t>以下简称“北京政友”</w:t>
      </w:r>
      <w:r>
        <w:rPr>
          <w:rFonts w:ascii="宋体" w:hAnsi="宋体" w:cs="宋体" w:eastAsia="宋体" w:hint="default"/>
        </w:rPr>
        <w:t>)</w:t>
      </w:r>
      <w:r>
        <w:rPr/>
        <w:t>签订了增资扩</w:t>
      </w:r>
      <w:r>
        <w:rPr>
          <w:spacing w:val="-68"/>
        </w:rPr>
        <w:t> </w:t>
      </w:r>
      <w:r>
        <w:rPr>
          <w:spacing w:val="-68"/>
        </w:rPr>
      </w:r>
      <w:r>
        <w:rPr/>
        <w:t>股协议，通和宝和北京政友分别以人民币</w:t>
      </w:r>
      <w:r>
        <w:rPr>
          <w:rFonts w:ascii="宋体" w:hAnsi="宋体" w:cs="宋体" w:eastAsia="宋体" w:hint="default"/>
        </w:rPr>
        <w:t>14,373,376</w:t>
      </w:r>
      <w:r>
        <w:rPr/>
        <w:t>元和人民币</w:t>
      </w:r>
      <w:r>
        <w:rPr>
          <w:rFonts w:ascii="宋体" w:hAnsi="宋体" w:cs="宋体" w:eastAsia="宋体" w:hint="default"/>
        </w:rPr>
        <w:t>9,335,984</w:t>
      </w:r>
      <w:r>
        <w:rPr/>
        <w:t>元对用友政务</w:t>
      </w:r>
      <w:r>
        <w:rPr>
          <w:spacing w:val="-65"/>
        </w:rPr>
        <w:t> </w:t>
      </w:r>
      <w:r>
        <w:rPr>
          <w:spacing w:val="-65"/>
        </w:rPr>
      </w:r>
      <w:r>
        <w:rPr>
          <w:spacing w:val="-3"/>
        </w:rPr>
        <w:t>进行增资，增资后合计获取用友政务</w:t>
      </w:r>
      <w:r>
        <w:rPr>
          <w:rFonts w:ascii="宋体" w:hAnsi="宋体" w:cs="宋体" w:eastAsia="宋体" w:hint="default"/>
          <w:spacing w:val="-3"/>
        </w:rPr>
        <w:t>10.91%</w:t>
      </w:r>
      <w:r>
        <w:rPr>
          <w:spacing w:val="-3"/>
        </w:rPr>
        <w:t>股权。截止</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日，通和宝与北京政</w:t>
      </w:r>
      <w:r>
        <w:rPr>
          <w:spacing w:val="-48"/>
        </w:rPr>
        <w:t> </w:t>
      </w:r>
      <w:r>
        <w:rPr>
          <w:spacing w:val="-48"/>
        </w:rPr>
      </w:r>
      <w:r>
        <w:rPr>
          <w:spacing w:val="-4"/>
        </w:rPr>
        <w:t>友已缴足认缴增资款。增资完成后，本公司持有用友政务</w:t>
      </w:r>
      <w:r>
        <w:rPr>
          <w:rFonts w:ascii="宋体" w:hAnsi="宋体" w:cs="宋体" w:eastAsia="宋体" w:hint="default"/>
          <w:spacing w:val="-4"/>
        </w:rPr>
        <w:t>84.19%</w:t>
      </w:r>
      <w:r>
        <w:rPr>
          <w:spacing w:val="-4"/>
        </w:rPr>
        <w:t>股权，相关工商登记变更</w:t>
      </w:r>
      <w:r>
        <w:rPr>
          <w:spacing w:val="-17"/>
        </w:rPr>
        <w:t> </w:t>
      </w:r>
      <w:r>
        <w:rPr>
          <w:spacing w:val="-17"/>
        </w:rPr>
      </w:r>
      <w:r>
        <w:rPr/>
        <w:t>已完成。</w:t>
      </w:r>
    </w:p>
    <w:p>
      <w:pPr>
        <w:spacing w:line="240" w:lineRule="auto" w:before="3"/>
        <w:rPr>
          <w:rFonts w:ascii="宋体" w:hAnsi="宋体" w:cs="宋体" w:eastAsia="宋体" w:hint="default"/>
          <w:sz w:val="27"/>
          <w:szCs w:val="27"/>
        </w:rPr>
      </w:pPr>
    </w:p>
    <w:p>
      <w:pPr>
        <w:pStyle w:val="BodyText"/>
        <w:spacing w:line="297" w:lineRule="auto"/>
        <w:ind w:left="1526" w:right="1068"/>
        <w:jc w:val="both"/>
      </w:pPr>
      <w:r>
        <w:rPr>
          <w:w w:val="100"/>
        </w:rPr>
        <w:t>注</w:t>
      </w:r>
      <w:r>
        <w:rPr>
          <w:rFonts w:ascii="宋体" w:hAnsi="宋体" w:cs="宋体" w:eastAsia="宋体" w:hint="default"/>
          <w:w w:val="100"/>
        </w:rPr>
        <w:t>2</w:t>
      </w:r>
      <w:r>
        <w:rPr>
          <w:w w:val="100"/>
        </w:rPr>
        <w:t>．</w:t>
      </w:r>
      <w:r>
        <w:rPr>
          <w:spacing w:val="-67"/>
          <w:w w:val="100"/>
        </w:rPr>
        <w:t> </w:t>
      </w:r>
      <w:r>
        <w:rPr>
          <w:rFonts w:ascii="宋体" w:hAnsi="宋体" w:cs="宋体" w:eastAsia="宋体" w:hint="default"/>
          <w:spacing w:val="-7"/>
          <w:w w:val="100"/>
        </w:rPr>
        <w:t>2015</w:t>
      </w:r>
      <w:r>
        <w:rPr>
          <w:spacing w:val="-7"/>
          <w:w w:val="100"/>
        </w:rPr>
        <w:t>年初，用友金融与北京友融利亨投资管理中心（有限合伙）（以下简称“友融利</w:t>
      </w:r>
      <w:r>
        <w:rPr>
          <w:spacing w:val="-95"/>
          <w:w w:val="100"/>
        </w:rPr>
        <w:t> </w:t>
      </w:r>
      <w:r>
        <w:rPr>
          <w:spacing w:val="-95"/>
          <w:w w:val="100"/>
        </w:rPr>
      </w:r>
      <w:r>
        <w:rPr>
          <w:spacing w:val="-9"/>
          <w:w w:val="100"/>
        </w:rPr>
        <w:t>亨”）和北京友融利丰投资管理中心（有限合伙）（以下简称“友融利丰”）签订了增资扩</w:t>
      </w:r>
      <w:r>
        <w:rPr>
          <w:spacing w:val="-75"/>
          <w:w w:val="100"/>
        </w:rPr>
        <w:t> </w:t>
      </w:r>
      <w:r>
        <w:rPr>
          <w:spacing w:val="-75"/>
          <w:w w:val="100"/>
        </w:rPr>
      </w:r>
      <w:r>
        <w:rPr>
          <w:spacing w:val="-3"/>
        </w:rPr>
        <w:t>股协议，协议约定友融利亨和友融利丰分别以人民币</w:t>
      </w:r>
      <w:r>
        <w:rPr>
          <w:rFonts w:ascii="宋体" w:hAnsi="宋体" w:cs="宋体" w:eastAsia="宋体" w:hint="default"/>
          <w:spacing w:val="-3"/>
        </w:rPr>
        <w:t>7,339,600</w:t>
      </w:r>
      <w:r>
        <w:rPr>
          <w:spacing w:val="-3"/>
        </w:rPr>
        <w:t>元和人民币</w:t>
      </w:r>
      <w:r>
        <w:rPr>
          <w:rFonts w:ascii="宋体" w:hAnsi="宋体" w:cs="宋体" w:eastAsia="宋体" w:hint="default"/>
          <w:spacing w:val="-3"/>
        </w:rPr>
        <w:t>5,160,400</w:t>
      </w:r>
      <w:r>
        <w:rPr>
          <w:spacing w:val="-3"/>
        </w:rPr>
        <w:t>元对</w:t>
      </w:r>
      <w:r>
        <w:rPr>
          <w:spacing w:val="-39"/>
        </w:rPr>
        <w:t> </w:t>
      </w:r>
      <w:r>
        <w:rPr>
          <w:spacing w:val="-3"/>
        </w:rPr>
        <w:t>用友金融进行增资。截止</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日，友融利丰已缴足认缴增资款，友融利亨尚存人</w:t>
      </w:r>
      <w:r>
        <w:rPr>
          <w:spacing w:val="-53"/>
        </w:rPr>
        <w:t> </w:t>
      </w:r>
      <w:r>
        <w:rPr>
          <w:spacing w:val="-53"/>
        </w:rPr>
      </w:r>
      <w:r>
        <w:rPr/>
        <w:t>民币</w:t>
      </w:r>
      <w:r>
        <w:rPr>
          <w:rFonts w:ascii="宋体" w:hAnsi="宋体" w:cs="宋体" w:eastAsia="宋体" w:hint="default"/>
        </w:rPr>
        <w:t>1,250,000</w:t>
      </w:r>
      <w:r>
        <w:rPr/>
        <w:t>元增资款尚未缴足，增资后友融利亨和友融利丰合计获取用友金融</w:t>
      </w:r>
      <w:r>
        <w:rPr>
          <w:rFonts w:ascii="宋体" w:hAnsi="宋体" w:cs="宋体" w:eastAsia="宋体" w:hint="default"/>
        </w:rPr>
        <w:t>18.37%</w:t>
      </w:r>
      <w:r>
        <w:rPr>
          <w:rFonts w:ascii="宋体" w:hAnsi="宋体" w:cs="宋体" w:eastAsia="宋体" w:hint="default"/>
          <w:spacing w:val="-66"/>
        </w:rPr>
        <w:t> </w:t>
      </w:r>
      <w:r>
        <w:rPr>
          <w:rFonts w:ascii="宋体" w:hAnsi="宋体" w:cs="宋体" w:eastAsia="宋体" w:hint="default"/>
          <w:spacing w:val="-66"/>
        </w:rPr>
      </w:r>
      <w:r>
        <w:rPr/>
        <w:t>股权，相关工商登记变更已完成。</w:t>
      </w:r>
    </w:p>
    <w:p>
      <w:pPr>
        <w:spacing w:line="240" w:lineRule="auto" w:before="4"/>
        <w:rPr>
          <w:rFonts w:ascii="宋体" w:hAnsi="宋体" w:cs="宋体" w:eastAsia="宋体" w:hint="default"/>
          <w:sz w:val="27"/>
          <w:szCs w:val="27"/>
        </w:rPr>
      </w:pPr>
    </w:p>
    <w:p>
      <w:pPr>
        <w:pStyle w:val="BodyText"/>
        <w:spacing w:line="297" w:lineRule="auto"/>
        <w:ind w:left="1526" w:right="1067"/>
        <w:jc w:val="both"/>
      </w:pPr>
      <w:r>
        <w:rPr/>
        <w:t>注</w:t>
      </w:r>
      <w:r>
        <w:rPr>
          <w:rFonts w:ascii="宋体" w:hAnsi="宋体" w:cs="宋体" w:eastAsia="宋体" w:hint="default"/>
        </w:rPr>
        <w:t>3</w:t>
      </w:r>
      <w:r>
        <w:rPr/>
        <w:t>．</w:t>
      </w:r>
      <w:r>
        <w:rPr>
          <w:spacing w:val="-54"/>
        </w:rPr>
        <w:t> </w:t>
      </w:r>
      <w:r>
        <w:rPr>
          <w:spacing w:val="-1"/>
        </w:rPr>
        <w:t>根据公司第六届董事会</w:t>
      </w:r>
      <w:r>
        <w:rPr>
          <w:rFonts w:ascii="宋体" w:hAnsi="宋体" w:cs="宋体" w:eastAsia="宋体" w:hint="default"/>
          <w:spacing w:val="-1"/>
        </w:rPr>
        <w:t>2014</w:t>
      </w:r>
      <w:r>
        <w:rPr>
          <w:spacing w:val="-1"/>
        </w:rPr>
        <w:t>年第三次会议通过对《公司关于转让厦门用友烟草软件</w:t>
      </w:r>
      <w:r>
        <w:rPr>
          <w:spacing w:val="-85"/>
        </w:rPr>
        <w:t> </w:t>
      </w:r>
      <w:r>
        <w:rPr>
          <w:spacing w:val="-85"/>
        </w:rPr>
      </w:r>
      <w:r>
        <w:rPr>
          <w:spacing w:val="-6"/>
          <w:w w:val="100"/>
        </w:rPr>
        <w:t>有限责任公司部分股权的议案》，公司于</w:t>
      </w:r>
      <w:r>
        <w:rPr>
          <w:rFonts w:ascii="宋体" w:hAnsi="宋体" w:cs="宋体" w:eastAsia="宋体" w:hint="default"/>
          <w:spacing w:val="-6"/>
          <w:w w:val="100"/>
        </w:rPr>
        <w:t>2015</w:t>
      </w:r>
      <w:r>
        <w:rPr>
          <w:spacing w:val="-6"/>
          <w:w w:val="100"/>
        </w:rPr>
        <w:t>年</w:t>
      </w:r>
      <w:r>
        <w:rPr>
          <w:rFonts w:ascii="宋体" w:hAnsi="宋体" w:cs="宋体" w:eastAsia="宋体" w:hint="default"/>
          <w:spacing w:val="-6"/>
          <w:w w:val="100"/>
        </w:rPr>
        <w:t>3</w:t>
      </w:r>
      <w:r>
        <w:rPr>
          <w:spacing w:val="-6"/>
          <w:w w:val="100"/>
        </w:rPr>
        <w:t>月向厦门用友烟草软件有限责任公司（以</w:t>
      </w:r>
      <w:r>
        <w:rPr>
          <w:spacing w:val="-78"/>
          <w:w w:val="100"/>
        </w:rPr>
        <w:t> </w:t>
      </w:r>
      <w:r>
        <w:rPr>
          <w:spacing w:val="-78"/>
          <w:w w:val="100"/>
        </w:rPr>
      </w:r>
      <w:r>
        <w:rPr>
          <w:spacing w:val="-3"/>
          <w:w w:val="100"/>
        </w:rPr>
        <w:t>下简称“厦门烟草”）高管转让了公司持有的厦门烟草</w:t>
      </w:r>
      <w:r>
        <w:rPr>
          <w:rFonts w:ascii="宋体" w:hAnsi="宋体" w:cs="宋体" w:eastAsia="宋体" w:hint="default"/>
          <w:spacing w:val="-3"/>
          <w:w w:val="100"/>
        </w:rPr>
        <w:t>3%</w:t>
      </w:r>
      <w:r>
        <w:rPr>
          <w:spacing w:val="-3"/>
          <w:w w:val="100"/>
        </w:rPr>
        <w:t>的股权。截止</w:t>
      </w:r>
      <w:r>
        <w:rPr>
          <w:rFonts w:ascii="宋体" w:hAnsi="宋体" w:cs="宋体" w:eastAsia="宋体" w:hint="default"/>
          <w:spacing w:val="-3"/>
          <w:w w:val="100"/>
        </w:rPr>
        <w:t>2015</w:t>
      </w:r>
      <w:r>
        <w:rPr>
          <w:spacing w:val="-3"/>
          <w:w w:val="100"/>
        </w:rPr>
        <w:t>年</w:t>
      </w:r>
      <w:r>
        <w:rPr>
          <w:rFonts w:ascii="宋体" w:hAnsi="宋体" w:cs="宋体" w:eastAsia="宋体" w:hint="default"/>
          <w:spacing w:val="-3"/>
          <w:w w:val="100"/>
        </w:rPr>
        <w:t>12</w:t>
      </w:r>
      <w:r>
        <w:rPr>
          <w:spacing w:val="-3"/>
          <w:w w:val="100"/>
        </w:rPr>
        <w:t>月</w:t>
      </w:r>
      <w:r>
        <w:rPr>
          <w:rFonts w:ascii="宋体" w:hAnsi="宋体" w:cs="宋体" w:eastAsia="宋体" w:hint="default"/>
          <w:spacing w:val="-3"/>
          <w:w w:val="100"/>
        </w:rPr>
        <w:t>31</w:t>
      </w:r>
      <w:r>
        <w:rPr>
          <w:spacing w:val="-3"/>
          <w:w w:val="100"/>
        </w:rPr>
        <w:t>日，</w:t>
      </w:r>
      <w:r>
        <w:rPr>
          <w:spacing w:val="-87"/>
          <w:w w:val="100"/>
        </w:rPr>
        <w:t> </w:t>
      </w:r>
      <w:r>
        <w:rPr/>
        <w:t>股权转让款已全额缴足。股权转让完成后，本公司持有厦门烟草</w:t>
      </w:r>
      <w:r>
        <w:rPr>
          <w:rFonts w:ascii="宋体" w:hAnsi="宋体" w:cs="宋体" w:eastAsia="宋体" w:hint="default"/>
        </w:rPr>
        <w:t>73%</w:t>
      </w:r>
      <w:r>
        <w:rPr/>
        <w:t>的股权，相关工商登</w:t>
      </w:r>
      <w:r>
        <w:rPr>
          <w:spacing w:val="-68"/>
        </w:rPr>
        <w:t> </w:t>
      </w:r>
      <w:r>
        <w:rPr>
          <w:spacing w:val="-68"/>
        </w:rPr>
      </w:r>
      <w:r>
        <w:rPr/>
        <w:t>记变更已完成。</w:t>
      </w:r>
    </w:p>
    <w:p>
      <w:pPr>
        <w:spacing w:line="240" w:lineRule="auto" w:before="3"/>
        <w:rPr>
          <w:rFonts w:ascii="宋体" w:hAnsi="宋体" w:cs="宋体" w:eastAsia="宋体" w:hint="default"/>
          <w:sz w:val="27"/>
          <w:szCs w:val="27"/>
        </w:rPr>
      </w:pPr>
    </w:p>
    <w:p>
      <w:pPr>
        <w:pStyle w:val="BodyText"/>
        <w:spacing w:line="297" w:lineRule="auto"/>
        <w:ind w:left="1526" w:right="1070"/>
        <w:jc w:val="both"/>
      </w:pPr>
      <w:r>
        <w:rPr/>
        <w:t>注</w:t>
      </w:r>
      <w:r>
        <w:rPr>
          <w:rFonts w:ascii="宋体" w:hAnsi="宋体" w:cs="宋体" w:eastAsia="宋体" w:hint="default"/>
        </w:rPr>
        <w:t>4</w:t>
      </w:r>
      <w:r>
        <w:rPr/>
        <w:t>．</w:t>
      </w:r>
      <w:r>
        <w:rPr>
          <w:spacing w:val="-49"/>
        </w:rPr>
        <w:t> </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10</w:t>
      </w:r>
      <w:r>
        <w:rPr>
          <w:spacing w:val="-1"/>
        </w:rPr>
        <w:t>日，公司与幸福投资高管签订了股权转让协议，幸福投资高管以现金</w:t>
      </w:r>
      <w:r>
        <w:rPr>
          <w:spacing w:val="-87"/>
        </w:rPr>
        <w:t> </w:t>
      </w:r>
      <w:r>
        <w:rPr>
          <w:spacing w:val="-87"/>
        </w:rPr>
      </w:r>
      <w:r>
        <w:rPr/>
        <w:t>人民币</w:t>
      </w:r>
      <w:r>
        <w:rPr>
          <w:spacing w:val="36"/>
        </w:rPr>
        <w:t> </w:t>
      </w:r>
      <w:r>
        <w:rPr>
          <w:rFonts w:ascii="宋体" w:hAnsi="宋体" w:cs="宋体" w:eastAsia="宋体" w:hint="default"/>
        </w:rPr>
        <w:t>1,505,692</w:t>
      </w:r>
      <w:r>
        <w:rPr/>
        <w:t>元出资，购买幸福投资</w:t>
      </w:r>
      <w:r>
        <w:rPr>
          <w:rFonts w:ascii="宋体" w:hAnsi="宋体" w:cs="宋体" w:eastAsia="宋体" w:hint="default"/>
        </w:rPr>
        <w:t>16%</w:t>
      </w:r>
      <w:r>
        <w:rPr/>
        <w:t>股权。截止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日，股权转让款已</w:t>
      </w:r>
      <w:r>
        <w:rPr>
          <w:spacing w:val="-102"/>
        </w:rPr>
        <w:t> </w:t>
      </w:r>
      <w:r>
        <w:rPr>
          <w:spacing w:val="-102"/>
        </w:rPr>
      </w:r>
      <w:r>
        <w:rPr/>
        <w:t>全额缴足，转让完成后，本公司持有幸福投资</w:t>
      </w:r>
      <w:r>
        <w:rPr>
          <w:rFonts w:ascii="宋体" w:hAnsi="宋体" w:cs="宋体" w:eastAsia="宋体" w:hint="default"/>
        </w:rPr>
        <w:t>64%</w:t>
      </w:r>
      <w:r>
        <w:rPr/>
        <w:t>股权，相关工商登记变更已完成。</w:t>
      </w:r>
    </w:p>
    <w:p>
      <w:pPr>
        <w:spacing w:after="0" w:line="297" w:lineRule="auto"/>
        <w:jc w:val="both"/>
        <w:sectPr>
          <w:pgSz w:w="11910" w:h="16840"/>
          <w:pgMar w:header="926" w:footer="1315" w:top="1120" w:bottom="1500" w:left="980" w:right="200"/>
        </w:sectPr>
      </w:pPr>
    </w:p>
    <w:p>
      <w:pPr>
        <w:spacing w:line="240" w:lineRule="auto" w:before="12"/>
        <w:rPr>
          <w:rFonts w:ascii="宋体" w:hAnsi="宋体" w:cs="宋体" w:eastAsia="宋体" w:hint="default"/>
          <w:sz w:val="24"/>
          <w:szCs w:val="24"/>
        </w:rPr>
      </w:pPr>
    </w:p>
    <w:p>
      <w:pPr>
        <w:pStyle w:val="BodyText"/>
        <w:spacing w:line="297" w:lineRule="auto" w:before="36"/>
        <w:ind w:left="846" w:right="207"/>
        <w:jc w:val="both"/>
      </w:pPr>
      <w:r>
        <w:rPr/>
        <w:t>注</w:t>
      </w:r>
      <w:r>
        <w:rPr>
          <w:rFonts w:ascii="宋体" w:hAnsi="宋体" w:cs="宋体" w:eastAsia="宋体" w:hint="default"/>
        </w:rPr>
        <w:t>5</w:t>
      </w:r>
      <w:r>
        <w:rPr/>
        <w:t>．</w:t>
      </w:r>
      <w:r>
        <w:rPr>
          <w:spacing w:val="-51"/>
        </w:rPr>
        <w:t> </w:t>
      </w:r>
      <w:r>
        <w:rPr>
          <w:spacing w:val="-1"/>
        </w:rPr>
        <w:t>经畅捷通</w:t>
      </w:r>
      <w:r>
        <w:rPr>
          <w:rFonts w:ascii="宋体" w:hAnsi="宋体" w:cs="宋体" w:eastAsia="宋体" w:hint="default"/>
          <w:spacing w:val="-1"/>
        </w:rPr>
        <w:t>2014</w:t>
      </w:r>
      <w:r>
        <w:rPr>
          <w:spacing w:val="-1"/>
        </w:rPr>
        <w:t>年股东大会批准，畅捷通于</w:t>
      </w:r>
      <w:r>
        <w:rPr>
          <w:rFonts w:ascii="宋体" w:hAnsi="宋体" w:cs="宋体" w:eastAsia="宋体" w:hint="default"/>
          <w:spacing w:val="-1"/>
        </w:rPr>
        <w:t>2015</w:t>
      </w:r>
      <w:r>
        <w:rPr>
          <w:spacing w:val="-1"/>
        </w:rPr>
        <w:t>年采取员工信托受益权计划。根据该</w:t>
      </w:r>
      <w:r>
        <w:rPr>
          <w:spacing w:val="-84"/>
        </w:rPr>
        <w:t> </w:t>
      </w:r>
      <w:r>
        <w:rPr>
          <w:spacing w:val="-84"/>
        </w:rPr>
      </w:r>
      <w:r>
        <w:rPr>
          <w:spacing w:val="-3"/>
        </w:rPr>
        <w:t>计划，畅捷通委托信托公司从创新投购买了创新投持有的畅捷通</w:t>
      </w:r>
      <w:r>
        <w:rPr>
          <w:rFonts w:ascii="宋体" w:hAnsi="宋体" w:cs="宋体" w:eastAsia="宋体" w:hint="default"/>
          <w:spacing w:val="-3"/>
        </w:rPr>
        <w:t>1.6%</w:t>
      </w:r>
      <w:r>
        <w:rPr>
          <w:spacing w:val="-3"/>
        </w:rPr>
        <w:t>的股权。该股权转让</w:t>
      </w:r>
      <w:r>
        <w:rPr>
          <w:spacing w:val="-53"/>
        </w:rPr>
        <w:t> </w:t>
      </w:r>
      <w:r>
        <w:rPr>
          <w:spacing w:val="-53"/>
        </w:rPr>
      </w:r>
      <w:r>
        <w:rPr/>
        <w:t>完成后本公司间接持有畅捷通的股权比例变为</w:t>
      </w:r>
      <w:r>
        <w:rPr>
          <w:rFonts w:ascii="宋体" w:hAnsi="宋体" w:cs="宋体" w:eastAsia="宋体" w:hint="default"/>
        </w:rPr>
        <w:t>1.78%</w:t>
      </w: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日，股权转让款</w:t>
      </w:r>
      <w:r>
        <w:rPr>
          <w:spacing w:val="-64"/>
        </w:rPr>
        <w:t> </w:t>
      </w:r>
      <w:r>
        <w:rPr>
          <w:spacing w:val="-64"/>
        </w:rPr>
      </w:r>
      <w:r>
        <w:rPr/>
        <w:t>已全额缴足，相关工商登记变更已完成。</w:t>
      </w:r>
    </w:p>
    <w:p>
      <w:pPr>
        <w:spacing w:line="240" w:lineRule="auto" w:before="3"/>
        <w:rPr>
          <w:rFonts w:ascii="宋体" w:hAnsi="宋体" w:cs="宋体" w:eastAsia="宋体" w:hint="default"/>
          <w:sz w:val="27"/>
          <w:szCs w:val="27"/>
        </w:rPr>
      </w:pPr>
    </w:p>
    <w:p>
      <w:pPr>
        <w:pStyle w:val="BodyText"/>
        <w:spacing w:line="297" w:lineRule="auto"/>
        <w:ind w:left="846" w:right="210"/>
        <w:jc w:val="both"/>
      </w:pPr>
      <w:r>
        <w:rPr/>
        <w:t>注</w:t>
      </w:r>
      <w:r>
        <w:rPr>
          <w:rFonts w:ascii="宋体" w:hAnsi="宋体" w:cs="宋体" w:eastAsia="宋体" w:hint="default"/>
        </w:rPr>
        <w:t>6</w:t>
      </w:r>
      <w:r>
        <w:rPr/>
        <w:t>．</w:t>
      </w:r>
      <w:r>
        <w:rPr>
          <w:spacing w:val="-51"/>
        </w:rPr>
        <w:t> </w:t>
      </w:r>
      <w:r>
        <w:rPr>
          <w:spacing w:val="-1"/>
        </w:rPr>
        <w:t>根据公司第六届董事会</w:t>
      </w:r>
      <w:r>
        <w:rPr>
          <w:rFonts w:ascii="宋体" w:hAnsi="宋体" w:cs="宋体" w:eastAsia="宋体" w:hint="default"/>
          <w:spacing w:val="-1"/>
        </w:rPr>
        <w:t>2014</w:t>
      </w:r>
      <w:r>
        <w:rPr>
          <w:spacing w:val="-1"/>
        </w:rPr>
        <w:t>年第十次会议通过的《公司关于转让用友新道科技有限</w:t>
      </w:r>
      <w:r>
        <w:rPr>
          <w:spacing w:val="-87"/>
        </w:rPr>
        <w:t> </w:t>
      </w:r>
      <w:r>
        <w:rPr>
          <w:spacing w:val="-87"/>
        </w:rPr>
      </w:r>
      <w:r>
        <w:rPr>
          <w:spacing w:val="-1"/>
          <w:w w:val="100"/>
        </w:rPr>
        <w:t>公司部分股权的议案》，公司于</w:t>
      </w:r>
      <w:r>
        <w:rPr>
          <w:rFonts w:ascii="宋体" w:hAnsi="宋体" w:cs="宋体" w:eastAsia="宋体" w:hint="default"/>
          <w:spacing w:val="-1"/>
          <w:w w:val="100"/>
        </w:rPr>
        <w:t>2015</w:t>
      </w:r>
      <w:r>
        <w:rPr>
          <w:spacing w:val="-1"/>
          <w:w w:val="100"/>
        </w:rPr>
        <w:t>年</w:t>
      </w:r>
      <w:r>
        <w:rPr>
          <w:rFonts w:ascii="宋体" w:hAnsi="宋体" w:cs="宋体" w:eastAsia="宋体" w:hint="default"/>
          <w:spacing w:val="-1"/>
          <w:w w:val="100"/>
        </w:rPr>
        <w:t>4</w:t>
      </w:r>
      <w:r>
        <w:rPr>
          <w:spacing w:val="-1"/>
          <w:w w:val="100"/>
        </w:rPr>
        <w:t>月向新道科技总裁转让了公司持有的新道科技</w:t>
      </w:r>
      <w:r>
        <w:rPr>
          <w:rFonts w:ascii="宋体" w:hAnsi="宋体" w:cs="宋体" w:eastAsia="宋体" w:hint="default"/>
          <w:spacing w:val="-1"/>
          <w:w w:val="100"/>
        </w:rPr>
        <w:t>5%</w:t>
      </w:r>
      <w:r>
        <w:rPr>
          <w:rFonts w:ascii="宋体" w:hAnsi="宋体" w:cs="宋体" w:eastAsia="宋体" w:hint="default"/>
          <w:spacing w:val="-77"/>
          <w:w w:val="100"/>
        </w:rPr>
        <w:t> </w:t>
      </w:r>
      <w:r>
        <w:rPr/>
        <w:t>的股权，股权转让完成后，公司持有新道科技</w:t>
      </w:r>
      <w:r>
        <w:rPr>
          <w:rFonts w:ascii="宋体" w:hAnsi="宋体" w:cs="宋体" w:eastAsia="宋体" w:hint="default"/>
        </w:rPr>
        <w:t>69.67%</w:t>
      </w:r>
      <w:r>
        <w:rPr/>
        <w:t>的股权。新道科技于</w:t>
      </w:r>
      <w:r>
        <w:rPr>
          <w:rFonts w:ascii="宋体" w:hAnsi="宋体" w:cs="宋体" w:eastAsia="宋体" w:hint="default"/>
        </w:rPr>
        <w:t>2015</w:t>
      </w:r>
      <w:r>
        <w:rPr/>
        <w:t>年</w:t>
      </w:r>
      <w:r>
        <w:rPr>
          <w:rFonts w:ascii="宋体" w:hAnsi="宋体" w:cs="宋体" w:eastAsia="宋体" w:hint="default"/>
        </w:rPr>
        <w:t>8</w:t>
      </w:r>
      <w:r>
        <w:rPr/>
        <w:t>月与</w:t>
      </w:r>
      <w:r>
        <w:rPr>
          <w:rFonts w:ascii="宋体" w:hAnsi="宋体" w:cs="宋体" w:eastAsia="宋体" w:hint="default"/>
        </w:rPr>
        <w:t>7</w:t>
      </w:r>
      <w:r>
        <w:rPr>
          <w:rFonts w:ascii="宋体" w:hAnsi="宋体" w:cs="宋体" w:eastAsia="宋体" w:hint="default"/>
          <w:spacing w:val="30"/>
        </w:rPr>
        <w:t> </w:t>
      </w:r>
      <w:r>
        <w:rPr>
          <w:spacing w:val="-1"/>
        </w:rPr>
        <w:t>家证券公司签订认购做市库存股协议，同意对</w:t>
      </w:r>
      <w:r>
        <w:rPr>
          <w:rFonts w:ascii="宋体" w:hAnsi="宋体" w:cs="宋体" w:eastAsia="宋体" w:hint="default"/>
          <w:spacing w:val="-1"/>
        </w:rPr>
        <w:t>7</w:t>
      </w:r>
      <w:r>
        <w:rPr>
          <w:spacing w:val="-1"/>
        </w:rPr>
        <w:t>家证券公司定向增发股份，接受其作为新</w:t>
      </w:r>
      <w:r>
        <w:rPr>
          <w:spacing w:val="-29"/>
        </w:rPr>
        <w:t> </w:t>
      </w:r>
      <w:r>
        <w:rPr>
          <w:spacing w:val="-29"/>
        </w:rPr>
      </w:r>
      <w:r>
        <w:rPr>
          <w:spacing w:val="-1"/>
        </w:rPr>
        <w:t>道科技的新股东。具有合格投资人资格的</w:t>
      </w:r>
      <w:r>
        <w:rPr>
          <w:rFonts w:ascii="宋体" w:hAnsi="宋体" w:cs="宋体" w:eastAsia="宋体" w:hint="default"/>
          <w:spacing w:val="-1"/>
        </w:rPr>
        <w:t>7</w:t>
      </w:r>
      <w:r>
        <w:rPr>
          <w:spacing w:val="-1"/>
        </w:rPr>
        <w:t>家证券公司以现金方式对新道科技投资人民币</w:t>
      </w:r>
      <w:r>
        <w:rPr>
          <w:spacing w:val="-29"/>
        </w:rPr>
        <w:t> </w:t>
      </w:r>
      <w:r>
        <w:rPr>
          <w:spacing w:val="-29"/>
        </w:rPr>
      </w:r>
      <w:r>
        <w:rPr>
          <w:rFonts w:ascii="宋体" w:hAnsi="宋体" w:cs="宋体" w:eastAsia="宋体" w:hint="default"/>
          <w:spacing w:val="-1"/>
        </w:rPr>
        <w:t>30,000,000</w:t>
      </w:r>
      <w:r>
        <w:rPr>
          <w:spacing w:val="-1"/>
        </w:rPr>
        <w:t>元。</w:t>
      </w:r>
      <w:r>
        <w:rPr>
          <w:rFonts w:ascii="宋体" w:hAnsi="宋体" w:cs="宋体" w:eastAsia="宋体" w:hint="default"/>
          <w:spacing w:val="-1"/>
        </w:rPr>
        <w:t>7</w:t>
      </w:r>
      <w:r>
        <w:rPr>
          <w:spacing w:val="-1"/>
        </w:rPr>
        <w:t>家证券公司增资后，公司持有新道科技</w:t>
      </w:r>
      <w:r>
        <w:rPr>
          <w:rFonts w:ascii="宋体" w:hAnsi="宋体" w:cs="宋体" w:eastAsia="宋体" w:hint="default"/>
          <w:spacing w:val="-1"/>
        </w:rPr>
        <w:t>67.64%</w:t>
      </w:r>
      <w:r>
        <w:rPr>
          <w:spacing w:val="-1"/>
        </w:rPr>
        <w:t>的股权。截至</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p>
    <w:p>
      <w:pPr>
        <w:pStyle w:val="BodyText"/>
        <w:spacing w:line="240" w:lineRule="auto" w:before="15"/>
        <w:ind w:left="846" w:right="0"/>
        <w:jc w:val="both"/>
      </w:pPr>
      <w:r>
        <w:rPr>
          <w:rFonts w:ascii="宋体" w:hAnsi="宋体" w:cs="宋体" w:eastAsia="宋体" w:hint="default"/>
        </w:rPr>
        <w:t>31</w:t>
      </w:r>
      <w:r>
        <w:rPr/>
        <w:t>日，相关款项已全额缴足，相关工商登记变更已完成。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97" w:lineRule="auto"/>
        <w:ind w:left="846" w:right="207"/>
        <w:jc w:val="both"/>
      </w:pPr>
      <w:r>
        <w:rPr/>
        <w:t>注</w:t>
      </w:r>
      <w:r>
        <w:rPr>
          <w:rFonts w:ascii="宋体" w:hAnsi="宋体" w:cs="宋体" w:eastAsia="宋体" w:hint="default"/>
        </w:rPr>
        <w:t>7</w:t>
      </w:r>
      <w:r>
        <w:rPr/>
        <w:t>． 根据</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16</w:t>
      </w:r>
      <w:r>
        <w:rPr/>
        <w:t>日召开的友金所董事会会议通过的友金所股东转让股权及股东增</w:t>
      </w:r>
      <w:r>
        <w:rPr>
          <w:spacing w:val="-78"/>
        </w:rPr>
        <w:t> </w:t>
      </w:r>
      <w:r>
        <w:rPr>
          <w:spacing w:val="-78"/>
        </w:rPr>
      </w:r>
      <w:r>
        <w:rPr>
          <w:spacing w:val="-4"/>
        </w:rPr>
        <w:t>资的议案，友金所股东创新投和深圳力合金融控股有限公司</w:t>
      </w:r>
      <w:r>
        <w:rPr>
          <w:rFonts w:ascii="宋体" w:hAnsi="宋体" w:cs="宋体" w:eastAsia="宋体" w:hint="default"/>
          <w:spacing w:val="-4"/>
        </w:rPr>
        <w:t>(</w:t>
      </w:r>
      <w:r>
        <w:rPr>
          <w:spacing w:val="-4"/>
        </w:rPr>
        <w:t>以下简称“力合金融”</w:t>
      </w:r>
      <w:r>
        <w:rPr>
          <w:rFonts w:ascii="宋体" w:hAnsi="宋体" w:cs="宋体" w:eastAsia="宋体" w:hint="default"/>
          <w:spacing w:val="-4"/>
        </w:rPr>
        <w:t>)</w:t>
      </w:r>
      <w:r>
        <w:rPr>
          <w:spacing w:val="-4"/>
        </w:rPr>
        <w:t>分别</w:t>
      </w:r>
      <w:r>
        <w:rPr>
          <w:spacing w:val="-24"/>
        </w:rPr>
        <w:t> </w:t>
      </w:r>
      <w:r>
        <w:rPr/>
        <w:t>向深圳合力成邦投资管理中心（有限合伙）转让其持有的友金所</w:t>
      </w:r>
      <w:r>
        <w:rPr>
          <w:rFonts w:ascii="宋体" w:hAnsi="宋体" w:cs="宋体" w:eastAsia="宋体" w:hint="default"/>
        </w:rPr>
        <w:t>12.5%</w:t>
      </w:r>
      <w:r>
        <w:rPr/>
        <w:t>和</w:t>
      </w:r>
      <w:r>
        <w:rPr>
          <w:rFonts w:ascii="宋体" w:hAnsi="宋体" w:cs="宋体" w:eastAsia="宋体" w:hint="default"/>
        </w:rPr>
        <w:t>2.5%</w:t>
      </w:r>
      <w:r>
        <w:rPr/>
        <w:t>的股权；本</w:t>
      </w:r>
      <w:r>
        <w:rPr>
          <w:spacing w:val="-62"/>
        </w:rPr>
        <w:t> </w:t>
      </w:r>
      <w:r>
        <w:rPr>
          <w:spacing w:val="-9"/>
        </w:rPr>
        <w:t>公司、创新投、深圳合力成邦投资管理中心（有限合伙）及深圳合力成邦投资管理中心（有</w:t>
      </w:r>
      <w:r>
        <w:rPr>
          <w:spacing w:val="-28"/>
        </w:rPr>
        <w:t> </w:t>
      </w:r>
      <w:r>
        <w:rPr>
          <w:spacing w:val="-28"/>
        </w:rPr>
      </w:r>
      <w:r>
        <w:rPr>
          <w:spacing w:val="-3"/>
        </w:rPr>
        <w:t>限合伙）</w:t>
      </w:r>
      <w:r>
        <w:rPr>
          <w:rFonts w:ascii="宋体" w:hAnsi="宋体" w:cs="宋体" w:eastAsia="宋体" w:hint="default"/>
          <w:spacing w:val="-3"/>
        </w:rPr>
        <w:t>(</w:t>
      </w:r>
      <w:r>
        <w:rPr>
          <w:spacing w:val="-3"/>
        </w:rPr>
        <w:t>以下简称“合力成邦”</w:t>
      </w:r>
      <w:r>
        <w:rPr>
          <w:rFonts w:ascii="宋体" w:hAnsi="宋体" w:cs="宋体" w:eastAsia="宋体" w:hint="default"/>
          <w:spacing w:val="-3"/>
        </w:rPr>
        <w:t>)</w:t>
      </w:r>
      <w:r>
        <w:rPr>
          <w:spacing w:val="-3"/>
        </w:rPr>
        <w:t>合计对友金所增资人民币</w:t>
      </w:r>
      <w:r>
        <w:rPr>
          <w:rFonts w:ascii="宋体" w:hAnsi="宋体" w:cs="宋体" w:eastAsia="宋体" w:hint="default"/>
          <w:spacing w:val="-3"/>
        </w:rPr>
        <w:t>35,000,000</w:t>
      </w:r>
      <w:r>
        <w:rPr>
          <w:spacing w:val="-3"/>
        </w:rPr>
        <w:t>元。股权转让及增</w:t>
      </w:r>
      <w:r>
        <w:rPr>
          <w:spacing w:val="-41"/>
        </w:rPr>
        <w:t> </w:t>
      </w:r>
      <w:r>
        <w:rPr>
          <w:spacing w:val="-41"/>
        </w:rPr>
      </w:r>
      <w:r>
        <w:rPr/>
        <w:t>资完成后公司直接持有友金所</w:t>
      </w:r>
      <w:r>
        <w:rPr>
          <w:rFonts w:ascii="宋体" w:hAnsi="宋体" w:cs="宋体" w:eastAsia="宋体" w:hint="default"/>
        </w:rPr>
        <w:t>63.16%</w:t>
      </w:r>
      <w:r>
        <w:rPr/>
        <w:t>的股权，间接持有友金所</w:t>
      </w:r>
      <w:r>
        <w:rPr>
          <w:rFonts w:ascii="宋体" w:hAnsi="宋体" w:cs="宋体" w:eastAsia="宋体" w:hint="default"/>
        </w:rPr>
        <w:t>6.14%</w:t>
      </w:r>
      <w:r>
        <w:rPr/>
        <w:t>的股权。截至</w:t>
      </w:r>
      <w:r>
        <w:rPr>
          <w:rFonts w:ascii="宋体" w:hAnsi="宋体" w:cs="宋体" w:eastAsia="宋体" w:hint="default"/>
        </w:rPr>
        <w:t>2015</w:t>
      </w:r>
      <w:r>
        <w:rPr/>
        <w:t>年</w:t>
      </w:r>
      <w:r>
        <w:rPr>
          <w:spacing w:val="-65"/>
        </w:rPr>
        <w:t> </w:t>
      </w:r>
      <w:r>
        <w:rPr>
          <w:rFonts w:ascii="宋体" w:hAnsi="宋体" w:cs="宋体" w:eastAsia="宋体" w:hint="default"/>
        </w:rPr>
        <w:t>12</w:t>
      </w:r>
      <w:r>
        <w:rPr/>
        <w:t>月</w:t>
      </w:r>
      <w:r>
        <w:rPr>
          <w:rFonts w:ascii="宋体" w:hAnsi="宋体" w:cs="宋体" w:eastAsia="宋体" w:hint="default"/>
        </w:rPr>
        <w:t>31</w:t>
      </w:r>
      <w:r>
        <w:rPr/>
        <w:t>日，除力合金融与合力成邦合计存在人民币</w:t>
      </w:r>
      <w:r>
        <w:rPr>
          <w:rFonts w:ascii="宋体" w:hAnsi="宋体" w:cs="宋体" w:eastAsia="宋体" w:hint="default"/>
        </w:rPr>
        <w:t>3,000,000</w:t>
      </w:r>
      <w:r>
        <w:rPr/>
        <w:t>元尚未支付，其余款项已全</w:t>
      </w:r>
      <w:r>
        <w:rPr>
          <w:spacing w:val="-65"/>
        </w:rPr>
        <w:t> </w:t>
      </w:r>
      <w:r>
        <w:rPr>
          <w:spacing w:val="-65"/>
        </w:rPr>
      </w:r>
      <w:r>
        <w:rPr/>
        <w:t>额缴足</w:t>
      </w:r>
      <w:r>
        <w:rPr>
          <w:rFonts w:ascii="宋体" w:hAnsi="宋体" w:cs="宋体" w:eastAsia="宋体" w:hint="default"/>
        </w:rPr>
        <w:t>,</w:t>
      </w:r>
      <w:r>
        <w:rPr/>
        <w:t>相关工商登记变更已完成。</w:t>
      </w:r>
    </w:p>
    <w:p>
      <w:pPr>
        <w:spacing w:line="240" w:lineRule="auto" w:before="3"/>
        <w:rPr>
          <w:rFonts w:ascii="宋体" w:hAnsi="宋体" w:cs="宋体" w:eastAsia="宋体" w:hint="default"/>
          <w:sz w:val="27"/>
          <w:szCs w:val="27"/>
        </w:rPr>
      </w:pPr>
    </w:p>
    <w:p>
      <w:pPr>
        <w:pStyle w:val="BodyText"/>
        <w:spacing w:line="297" w:lineRule="auto"/>
        <w:ind w:left="846" w:right="103"/>
        <w:jc w:val="left"/>
      </w:pPr>
      <w:r>
        <w:rPr/>
        <w:t>注</w:t>
      </w:r>
      <w:r>
        <w:rPr>
          <w:rFonts w:ascii="宋体" w:hAnsi="宋体" w:cs="宋体" w:eastAsia="宋体" w:hint="default"/>
        </w:rPr>
        <w:t>8</w:t>
      </w:r>
      <w:r>
        <w:rPr/>
        <w:t>．</w:t>
      </w:r>
      <w:r>
        <w:rPr>
          <w:spacing w:val="28"/>
        </w:rPr>
        <w:t> </w:t>
      </w:r>
      <w:r>
        <w:rPr/>
        <w:t>根据</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20</w:t>
      </w:r>
      <w:r>
        <w:rPr/>
        <w:t>日经公司第六届董事会</w:t>
      </w:r>
      <w:r>
        <w:rPr>
          <w:rFonts w:ascii="宋体" w:hAnsi="宋体" w:cs="宋体" w:eastAsia="宋体" w:hint="default"/>
        </w:rPr>
        <w:t>2015</w:t>
      </w:r>
      <w:r>
        <w:rPr/>
        <w:t>年第三次会议通过的《公司关于投资</w:t>
      </w:r>
      <w:r>
        <w:rPr>
          <w:spacing w:val="-101"/>
        </w:rPr>
        <w:t> </w:t>
      </w:r>
      <w:r>
        <w:rPr>
          <w:spacing w:val="-101"/>
        </w:rPr>
      </w:r>
      <w:r>
        <w:rPr>
          <w:spacing w:val="-3"/>
          <w:w w:val="100"/>
        </w:rPr>
        <w:t>设立用友能源科技有限公司的议案》，公司决定与北京中能合创投资中心（有限合伙）共</w:t>
      </w:r>
      <w:r>
        <w:rPr>
          <w:w w:val="100"/>
        </w:rPr>
        <w:t> </w:t>
      </w:r>
      <w:r>
        <w:rPr/>
        <w:t>同发起设立用友能源。用友能源的注册资本为人民币</w:t>
      </w:r>
      <w:r>
        <w:rPr>
          <w:rFonts w:ascii="宋体" w:hAnsi="宋体" w:cs="宋体" w:eastAsia="宋体" w:hint="default"/>
        </w:rPr>
        <w:t>50,000,000</w:t>
      </w:r>
      <w:r>
        <w:rPr/>
        <w:t>元。截止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spacing w:val="25"/>
        </w:rPr>
        <w:t> </w:t>
      </w:r>
      <w:r>
        <w:rPr>
          <w:spacing w:val="-3"/>
        </w:rPr>
        <w:t>日，本公司已缴足认缴的注册资本人民币</w:t>
      </w:r>
      <w:r>
        <w:rPr>
          <w:rFonts w:ascii="宋体" w:hAnsi="宋体" w:cs="宋体" w:eastAsia="宋体" w:hint="default"/>
          <w:spacing w:val="-3"/>
        </w:rPr>
        <w:t>40,000,000</w:t>
      </w:r>
      <w:r>
        <w:rPr>
          <w:spacing w:val="-3"/>
        </w:rPr>
        <w:t>元</w:t>
      </w:r>
      <w:r>
        <w:rPr>
          <w:rFonts w:ascii="宋体" w:hAnsi="宋体" w:cs="宋体" w:eastAsia="宋体" w:hint="default"/>
          <w:spacing w:val="-3"/>
        </w:rPr>
        <w:t>,</w:t>
      </w:r>
      <w:r>
        <w:rPr>
          <w:spacing w:val="-3"/>
        </w:rPr>
        <w:t>其他股东尚未缴纳认缴注册资本，</w:t>
      </w:r>
      <w:r>
        <w:rPr>
          <w:spacing w:val="-42"/>
        </w:rPr>
        <w:t> </w:t>
      </w:r>
      <w:r>
        <w:rPr>
          <w:spacing w:val="-42"/>
        </w:rPr>
      </w:r>
      <w:r>
        <w:rPr>
          <w:spacing w:val="-3"/>
        </w:rPr>
        <w:t>故截至</w:t>
      </w:r>
      <w:r>
        <w:rPr>
          <w:rFonts w:ascii="宋体" w:hAnsi="宋体" w:cs="宋体" w:eastAsia="宋体" w:hint="default"/>
          <w:spacing w:val="-3"/>
        </w:rPr>
        <w:t>2015</w:t>
      </w:r>
      <w:r>
        <w:rPr>
          <w:spacing w:val="-3"/>
        </w:rPr>
        <w:t>年末公司对用友能源的持股比例为</w:t>
      </w:r>
      <w:r>
        <w:rPr>
          <w:rFonts w:ascii="宋体" w:hAnsi="宋体" w:cs="宋体" w:eastAsia="宋体" w:hint="default"/>
          <w:spacing w:val="-3"/>
        </w:rPr>
        <w:t>100%</w:t>
      </w:r>
      <w:r>
        <w:rPr>
          <w:spacing w:val="-3"/>
        </w:rPr>
        <w:t>。截止</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日，相关工商登记</w:t>
      </w:r>
      <w:r>
        <w:rPr>
          <w:spacing w:val="-34"/>
        </w:rPr>
        <w:t> </w:t>
      </w:r>
      <w:r>
        <w:rPr>
          <w:spacing w:val="-34"/>
        </w:rPr>
      </w:r>
      <w:r>
        <w:rPr/>
        <w:t>已经完成。</w:t>
      </w:r>
    </w:p>
    <w:p>
      <w:pPr>
        <w:spacing w:line="240" w:lineRule="auto" w:before="4"/>
        <w:rPr>
          <w:rFonts w:ascii="宋体" w:hAnsi="宋体" w:cs="宋体" w:eastAsia="宋体" w:hint="default"/>
          <w:sz w:val="27"/>
          <w:szCs w:val="27"/>
        </w:rPr>
      </w:pPr>
    </w:p>
    <w:p>
      <w:pPr>
        <w:pStyle w:val="BodyText"/>
        <w:tabs>
          <w:tab w:pos="1582" w:val="left" w:leader="none"/>
        </w:tabs>
        <w:spacing w:line="297" w:lineRule="auto"/>
        <w:ind w:left="846" w:right="104"/>
        <w:jc w:val="left"/>
      </w:pPr>
      <w:r>
        <w:rPr/>
        <w:t>注</w:t>
      </w:r>
      <w:r>
        <w:rPr>
          <w:rFonts w:ascii="宋体" w:hAnsi="宋体" w:cs="宋体" w:eastAsia="宋体" w:hint="default"/>
        </w:rPr>
        <w:t>9.</w:t>
        <w:tab/>
      </w:r>
      <w:r>
        <w:rPr>
          <w:spacing w:val="-3"/>
        </w:rPr>
        <w:t>根据</w:t>
      </w:r>
      <w:r>
        <w:rPr>
          <w:rFonts w:ascii="宋体" w:hAnsi="宋体" w:cs="宋体" w:eastAsia="宋体" w:hint="default"/>
          <w:spacing w:val="-3"/>
        </w:rPr>
        <w:t>2015</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20</w:t>
      </w:r>
      <w:r>
        <w:rPr>
          <w:spacing w:val="-3"/>
        </w:rPr>
        <w:t>日公司第六届董事会</w:t>
      </w:r>
      <w:r>
        <w:rPr>
          <w:rFonts w:ascii="宋体" w:hAnsi="宋体" w:cs="宋体" w:eastAsia="宋体" w:hint="default"/>
          <w:spacing w:val="-3"/>
        </w:rPr>
        <w:t>2015</w:t>
      </w:r>
      <w:r>
        <w:rPr>
          <w:spacing w:val="-3"/>
        </w:rPr>
        <w:t>年第三次会议通过的《公司关于投资设</w:t>
      </w:r>
      <w:r>
        <w:rPr>
          <w:spacing w:val="-56"/>
        </w:rPr>
        <w:t> </w:t>
      </w:r>
      <w:r>
        <w:rPr>
          <w:spacing w:val="-56"/>
        </w:rPr>
      </w:r>
      <w:r>
        <w:rPr>
          <w:spacing w:val="-3"/>
          <w:w w:val="100"/>
        </w:rPr>
        <w:t>立用友广信网络科技有限公司的议案》，公司与北京恒易合信投资中心（有限合伙）共同</w:t>
      </w:r>
      <w:r>
        <w:rPr>
          <w:w w:val="100"/>
        </w:rPr>
        <w:t> </w:t>
      </w:r>
      <w:r>
        <w:rPr/>
        <w:t>发起设立用友广信，用友广信的注册资本为人民币</w:t>
      </w:r>
      <w:r>
        <w:rPr>
          <w:rFonts w:ascii="宋体" w:hAnsi="宋体" w:cs="宋体" w:eastAsia="宋体" w:hint="default"/>
        </w:rPr>
        <w:t>50,000,000</w:t>
      </w:r>
      <w:r>
        <w:rPr/>
        <w:t>元。截止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w:t>
      </w:r>
      <w:r>
        <w:rPr>
          <w:spacing w:val="-65"/>
        </w:rPr>
        <w:t> </w:t>
      </w:r>
      <w:r>
        <w:rPr/>
        <w:t>所有注册资本均已到位，公司对用友广信的持股比例为</w:t>
      </w:r>
      <w:r>
        <w:rPr>
          <w:rFonts w:ascii="宋体" w:hAnsi="宋体" w:cs="宋体" w:eastAsia="宋体" w:hint="default"/>
        </w:rPr>
        <w:t>80%</w:t>
      </w:r>
      <w:r>
        <w:rPr/>
        <w:t>，相关工商登记已经完成。</w:t>
      </w:r>
    </w:p>
    <w:p>
      <w:pPr>
        <w:spacing w:line="240" w:lineRule="auto" w:before="3"/>
        <w:rPr>
          <w:rFonts w:ascii="宋体" w:hAnsi="宋体" w:cs="宋体" w:eastAsia="宋体" w:hint="default"/>
          <w:sz w:val="27"/>
          <w:szCs w:val="27"/>
        </w:rPr>
      </w:pPr>
    </w:p>
    <w:p>
      <w:pPr>
        <w:pStyle w:val="BodyText"/>
        <w:spacing w:line="297" w:lineRule="auto"/>
        <w:ind w:left="846" w:right="208"/>
        <w:jc w:val="both"/>
      </w:pPr>
      <w:r>
        <w:rPr/>
        <w:t>注</w:t>
      </w:r>
      <w:r>
        <w:rPr>
          <w:rFonts w:ascii="宋体" w:hAnsi="宋体" w:cs="宋体" w:eastAsia="宋体" w:hint="default"/>
        </w:rPr>
        <w:t>10.</w:t>
      </w:r>
      <w:r>
        <w:rPr>
          <w:rFonts w:ascii="宋体" w:hAnsi="宋体" w:cs="宋体" w:eastAsia="宋体" w:hint="default"/>
          <w:spacing w:val="46"/>
        </w:rPr>
        <w:t> </w:t>
      </w:r>
      <w:r>
        <w:rPr>
          <w:spacing w:val="-3"/>
        </w:rPr>
        <w:t>根据</w:t>
      </w:r>
      <w:r>
        <w:rPr>
          <w:rFonts w:ascii="宋体" w:hAnsi="宋体" w:cs="宋体" w:eastAsia="宋体" w:hint="default"/>
          <w:spacing w:val="-3"/>
        </w:rPr>
        <w:t>2015</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29</w:t>
      </w:r>
      <w:r>
        <w:rPr>
          <w:spacing w:val="-3"/>
        </w:rPr>
        <w:t>日公司第六届董事会</w:t>
      </w:r>
      <w:r>
        <w:rPr>
          <w:rFonts w:ascii="宋体" w:hAnsi="宋体" w:cs="宋体" w:eastAsia="宋体" w:hint="default"/>
          <w:spacing w:val="-3"/>
        </w:rPr>
        <w:t>2015</w:t>
      </w:r>
      <w:r>
        <w:rPr>
          <w:spacing w:val="-3"/>
        </w:rPr>
        <w:t>年第二十三次会议通过的《公司关于设</w:t>
      </w:r>
      <w:r>
        <w:rPr>
          <w:spacing w:val="-101"/>
        </w:rPr>
        <w:t> </w:t>
      </w:r>
      <w:r>
        <w:rPr>
          <w:spacing w:val="-101"/>
        </w:rPr>
      </w:r>
      <w:r>
        <w:rPr>
          <w:spacing w:val="-9"/>
          <w:w w:val="100"/>
        </w:rPr>
        <w:t>立用友超客网络科技有限公司的议案》，本公司与创新投、北京超能云创投资管理中心（有</w:t>
      </w:r>
      <w:r>
        <w:rPr>
          <w:spacing w:val="-76"/>
          <w:w w:val="100"/>
        </w:rPr>
        <w:t> </w:t>
      </w:r>
      <w:r>
        <w:rPr>
          <w:spacing w:val="-76"/>
          <w:w w:val="100"/>
        </w:rPr>
      </w:r>
      <w:r>
        <w:rPr>
          <w:spacing w:val="-4"/>
        </w:rPr>
        <w:t>限合伙）及北京超能合创投资管理中心（有限合伙）共同发起设立用友超客，注册资本为</w:t>
      </w:r>
      <w:r>
        <w:rPr>
          <w:spacing w:val="-21"/>
        </w:rPr>
        <w:t> </w:t>
      </w:r>
      <w:r>
        <w:rPr>
          <w:spacing w:val="-21"/>
        </w:rPr>
      </w:r>
      <w:r>
        <w:rPr>
          <w:spacing w:val="8"/>
        </w:rPr>
        <w:t>人民币</w:t>
      </w:r>
      <w:r>
        <w:rPr>
          <w:rFonts w:ascii="宋体" w:hAnsi="宋体" w:cs="宋体" w:eastAsia="宋体" w:hint="default"/>
          <w:spacing w:val="8"/>
        </w:rPr>
        <w:t>100,000,000</w:t>
      </w:r>
      <w:r>
        <w:rPr>
          <w:spacing w:val="8"/>
        </w:rPr>
        <w:t>元。截止</w:t>
      </w:r>
      <w:r>
        <w:rPr>
          <w:rFonts w:ascii="宋体" w:hAnsi="宋体" w:cs="宋体" w:eastAsia="宋体" w:hint="default"/>
          <w:spacing w:val="8"/>
        </w:rPr>
        <w:t>2015</w:t>
      </w:r>
      <w:r>
        <w:rPr>
          <w:spacing w:val="8"/>
        </w:rPr>
        <w:t>年</w:t>
      </w:r>
      <w:r>
        <w:rPr>
          <w:rFonts w:ascii="宋体" w:hAnsi="宋体" w:cs="宋体" w:eastAsia="宋体" w:hint="default"/>
          <w:spacing w:val="8"/>
        </w:rPr>
        <w:t>12</w:t>
      </w:r>
      <w:r>
        <w:rPr>
          <w:spacing w:val="8"/>
        </w:rPr>
        <w:t>月</w:t>
      </w:r>
      <w:r>
        <w:rPr>
          <w:rFonts w:ascii="宋体" w:hAnsi="宋体" w:cs="宋体" w:eastAsia="宋体" w:hint="default"/>
          <w:spacing w:val="8"/>
        </w:rPr>
        <w:t>31</w:t>
      </w:r>
      <w:r>
        <w:rPr>
          <w:spacing w:val="8"/>
        </w:rPr>
        <w:t>日，本公司已缴足认缴的注册资本人民币</w:t>
      </w:r>
      <w:r>
        <w:rPr>
          <w:spacing w:val="-27"/>
        </w:rPr>
        <w:t> </w:t>
      </w:r>
      <w:r>
        <w:rPr>
          <w:spacing w:val="-27"/>
        </w:rPr>
      </w:r>
      <w:r>
        <w:rPr>
          <w:rFonts w:ascii="宋体" w:hAnsi="宋体" w:cs="宋体" w:eastAsia="宋体" w:hint="default"/>
          <w:spacing w:val="-3"/>
        </w:rPr>
        <w:t>60,000,000</w:t>
      </w:r>
      <w:r>
        <w:rPr>
          <w:spacing w:val="-3"/>
        </w:rPr>
        <w:t>元。其他股东尚未缴纳认缴注册资本，故截止</w:t>
      </w:r>
      <w:r>
        <w:rPr>
          <w:rFonts w:ascii="宋体" w:hAnsi="宋体" w:cs="宋体" w:eastAsia="宋体" w:hint="default"/>
          <w:spacing w:val="-3"/>
        </w:rPr>
        <w:t>2015</w:t>
      </w:r>
      <w:r>
        <w:rPr>
          <w:spacing w:val="-3"/>
        </w:rPr>
        <w:t>年末公司对用友超客的持股</w:t>
      </w:r>
    </w:p>
    <w:p>
      <w:pPr>
        <w:spacing w:after="0" w:line="297" w:lineRule="auto"/>
        <w:jc w:val="both"/>
        <w:sectPr>
          <w:pgSz w:w="11910" w:h="16840"/>
          <w:pgMar w:header="926" w:footer="1315" w:top="1120" w:bottom="1500" w:left="1660" w:right="1060"/>
        </w:sectPr>
      </w:pPr>
    </w:p>
    <w:p>
      <w:pPr>
        <w:spacing w:line="240" w:lineRule="auto" w:before="12"/>
        <w:rPr>
          <w:rFonts w:ascii="宋体" w:hAnsi="宋体" w:cs="宋体" w:eastAsia="宋体" w:hint="default"/>
          <w:sz w:val="24"/>
          <w:szCs w:val="24"/>
        </w:rPr>
      </w:pPr>
    </w:p>
    <w:p>
      <w:pPr>
        <w:pStyle w:val="BodyText"/>
        <w:spacing w:line="240" w:lineRule="auto" w:before="36"/>
        <w:ind w:left="2386" w:right="0"/>
        <w:jc w:val="both"/>
      </w:pPr>
      <w:r>
        <w:rPr/>
        <w:t>比例为</w:t>
      </w:r>
      <w:r>
        <w:rPr>
          <w:rFonts w:ascii="宋体" w:hAnsi="宋体" w:cs="宋体" w:eastAsia="宋体" w:hint="default"/>
        </w:rPr>
        <w:t>100%</w:t>
      </w:r>
      <w:r>
        <w:rPr/>
        <w:t>，相关工商登记已经完成。</w:t>
      </w:r>
    </w:p>
    <w:p>
      <w:pPr>
        <w:spacing w:line="240" w:lineRule="auto" w:before="0"/>
        <w:rPr>
          <w:rFonts w:ascii="宋体" w:hAnsi="宋体" w:cs="宋体" w:eastAsia="宋体" w:hint="default"/>
          <w:sz w:val="20"/>
          <w:szCs w:val="20"/>
        </w:rPr>
      </w:pPr>
    </w:p>
    <w:p>
      <w:pPr>
        <w:pStyle w:val="BodyText"/>
        <w:spacing w:line="297" w:lineRule="auto" w:before="145"/>
        <w:ind w:left="2386" w:right="1267"/>
        <w:jc w:val="both"/>
      </w:pPr>
      <w:r>
        <w:rPr/>
        <w:t>注</w:t>
      </w:r>
      <w:r>
        <w:rPr>
          <w:rFonts w:ascii="宋体" w:hAnsi="宋体" w:cs="宋体" w:eastAsia="宋体" w:hint="default"/>
        </w:rPr>
        <w:t>11.</w:t>
      </w:r>
      <w:r>
        <w:rPr>
          <w:rFonts w:ascii="宋体" w:hAnsi="宋体" w:cs="宋体" w:eastAsia="宋体" w:hint="default"/>
          <w:spacing w:val="41"/>
        </w:rPr>
        <w:t> </w:t>
      </w:r>
      <w:r>
        <w:rPr>
          <w:rFonts w:ascii="宋体" w:hAnsi="宋体" w:cs="宋体" w:eastAsia="宋体" w:hint="default"/>
        </w:rPr>
        <w:t>2015</w:t>
      </w:r>
      <w:r>
        <w:rPr/>
        <w:t>年</w:t>
      </w:r>
      <w:r>
        <w:rPr>
          <w:rFonts w:ascii="宋体" w:hAnsi="宋体" w:cs="宋体" w:eastAsia="宋体" w:hint="default"/>
        </w:rPr>
        <w:t>12</w:t>
      </w:r>
      <w:r>
        <w:rPr/>
        <w:t>月，用友汽车与上海特友投资管理中心（有限合伙）和上海友彤投资管</w:t>
      </w:r>
      <w:r>
        <w:rPr>
          <w:w w:val="100"/>
        </w:rPr>
        <w:t> </w:t>
      </w:r>
      <w:r>
        <w:rPr>
          <w:spacing w:val="-4"/>
        </w:rPr>
        <w:t>理中心（有限合伙）签署了增资扩股协议，上海特友投资管理中心（有限合伙）和上海友</w:t>
      </w:r>
      <w:r>
        <w:rPr>
          <w:spacing w:val="-22"/>
        </w:rPr>
        <w:t> </w:t>
      </w:r>
      <w:r>
        <w:rPr>
          <w:spacing w:val="-22"/>
        </w:rPr>
      </w:r>
      <w:r>
        <w:rPr>
          <w:spacing w:val="-3"/>
        </w:rPr>
        <w:t>彤投资管理中心（有限合伙）分别以人民币</w:t>
      </w:r>
      <w:r>
        <w:rPr>
          <w:rFonts w:ascii="宋体" w:hAnsi="宋体" w:cs="宋体" w:eastAsia="宋体" w:hint="default"/>
          <w:spacing w:val="-3"/>
        </w:rPr>
        <w:t>26,100,000</w:t>
      </w:r>
      <w:r>
        <w:rPr>
          <w:spacing w:val="-3"/>
        </w:rPr>
        <w:t>元和人民币</w:t>
      </w:r>
      <w:r>
        <w:rPr>
          <w:rFonts w:ascii="宋体" w:hAnsi="宋体" w:cs="宋体" w:eastAsia="宋体" w:hint="default"/>
          <w:spacing w:val="-3"/>
        </w:rPr>
        <w:t>20,880,000</w:t>
      </w:r>
      <w:r>
        <w:rPr>
          <w:spacing w:val="-3"/>
        </w:rPr>
        <w:t>元向用友汽</w:t>
      </w:r>
      <w:r>
        <w:rPr>
          <w:spacing w:val="-31"/>
        </w:rPr>
        <w:t> </w:t>
      </w:r>
      <w:r>
        <w:rPr>
          <w:spacing w:val="-31"/>
        </w:rPr>
      </w:r>
      <w:r>
        <w:rPr/>
        <w:t>车增资，获得用友汽车</w:t>
      </w:r>
      <w:r>
        <w:rPr>
          <w:rFonts w:ascii="宋体" w:hAnsi="宋体" w:cs="宋体" w:eastAsia="宋体" w:hint="default"/>
        </w:rPr>
        <w:t>18%</w:t>
      </w:r>
      <w:r>
        <w:rPr/>
        <w:t>的股权。增资后，公司直接持有用友汽车</w:t>
      </w:r>
      <w:r>
        <w:rPr>
          <w:rFonts w:ascii="宋体" w:hAnsi="宋体" w:cs="宋体" w:eastAsia="宋体" w:hint="default"/>
        </w:rPr>
        <w:t>77.94%</w:t>
      </w:r>
      <w:r>
        <w:rPr/>
        <w:t>的股权，间接</w:t>
      </w:r>
      <w:r>
        <w:rPr>
          <w:spacing w:val="-65"/>
        </w:rPr>
        <w:t> </w:t>
      </w:r>
      <w:r>
        <w:rPr>
          <w:spacing w:val="-65"/>
        </w:rPr>
      </w:r>
      <w:r>
        <w:rPr/>
        <w:t>持有用友汽车</w:t>
      </w:r>
      <w:r>
        <w:rPr>
          <w:rFonts w:ascii="宋体" w:hAnsi="宋体" w:cs="宋体" w:eastAsia="宋体" w:hint="default"/>
        </w:rPr>
        <w:t>4.06%</w:t>
      </w:r>
      <w:r>
        <w:rPr/>
        <w:t>的股权。截至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日，相关款项已全额缴足，相关工商登记</w:t>
      </w:r>
      <w:r>
        <w:rPr>
          <w:spacing w:val="-66"/>
        </w:rPr>
        <w:t> </w:t>
      </w:r>
      <w:r>
        <w:rPr>
          <w:spacing w:val="-66"/>
        </w:rPr>
      </w:r>
      <w:r>
        <w:rPr/>
        <w:t>变更已完成。</w:t>
      </w:r>
    </w:p>
    <w:p>
      <w:pPr>
        <w:spacing w:line="240" w:lineRule="auto" w:before="3"/>
        <w:rPr>
          <w:rFonts w:ascii="宋体" w:hAnsi="宋体" w:cs="宋体" w:eastAsia="宋体" w:hint="default"/>
          <w:sz w:val="27"/>
          <w:szCs w:val="27"/>
        </w:rPr>
      </w:pPr>
    </w:p>
    <w:p>
      <w:pPr>
        <w:pStyle w:val="BodyText"/>
        <w:spacing w:line="297" w:lineRule="auto"/>
        <w:ind w:left="2386" w:right="1267"/>
        <w:jc w:val="both"/>
      </w:pPr>
      <w:r>
        <w:rPr/>
        <w:t>注</w:t>
      </w:r>
      <w:r>
        <w:rPr>
          <w:rFonts w:ascii="宋体" w:hAnsi="宋体" w:cs="宋体" w:eastAsia="宋体" w:hint="default"/>
        </w:rPr>
        <w:t>12.</w:t>
      </w:r>
      <w:r>
        <w:rPr>
          <w:rFonts w:ascii="宋体" w:hAnsi="宋体" w:cs="宋体" w:eastAsia="宋体" w:hint="default"/>
          <w:spacing w:val="40"/>
        </w:rPr>
        <w:t> </w:t>
      </w:r>
      <w:r>
        <w:rPr>
          <w:rFonts w:ascii="宋体" w:hAnsi="宋体" w:cs="宋体" w:eastAsia="宋体" w:hint="default"/>
          <w:spacing w:val="-3"/>
        </w:rPr>
        <w:t>2015</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24</w:t>
      </w:r>
      <w:r>
        <w:rPr>
          <w:spacing w:val="-3"/>
        </w:rPr>
        <w:t>日，公司第六届董事会第十六次会议通过了《公司关于收购上海秉钧</w:t>
      </w:r>
      <w:r>
        <w:rPr>
          <w:spacing w:val="-102"/>
        </w:rPr>
        <w:t> </w:t>
      </w:r>
      <w:r>
        <w:rPr>
          <w:spacing w:val="-102"/>
        </w:rPr>
      </w:r>
      <w:r>
        <w:rPr>
          <w:spacing w:val="-5"/>
          <w:w w:val="100"/>
        </w:rPr>
        <w:t>网络科技有限公司部分股权并向其增资的议案》，公司以人民币</w:t>
      </w:r>
      <w:r>
        <w:rPr>
          <w:rFonts w:ascii="宋体" w:hAnsi="宋体" w:cs="宋体" w:eastAsia="宋体" w:hint="default"/>
          <w:spacing w:val="-5"/>
          <w:w w:val="100"/>
        </w:rPr>
        <w:t>125,000,000</w:t>
      </w:r>
      <w:r>
        <w:rPr>
          <w:spacing w:val="-5"/>
          <w:w w:val="100"/>
        </w:rPr>
        <w:t>元收购秉钧网</w:t>
      </w:r>
      <w:r>
        <w:rPr>
          <w:w w:val="100"/>
        </w:rPr>
        <w:t> </w:t>
      </w:r>
      <w:r>
        <w:rPr>
          <w:spacing w:val="-5"/>
          <w:w w:val="100"/>
        </w:rPr>
        <w:t>络</w:t>
      </w:r>
      <w:r>
        <w:rPr>
          <w:rFonts w:ascii="宋体" w:hAnsi="宋体" w:cs="宋体" w:eastAsia="宋体" w:hint="default"/>
          <w:spacing w:val="-5"/>
          <w:w w:val="100"/>
        </w:rPr>
        <w:t>62.50%</w:t>
      </w:r>
      <w:r>
        <w:rPr>
          <w:spacing w:val="-5"/>
          <w:w w:val="100"/>
        </w:rPr>
        <w:t>的股权，并以人民币</w:t>
      </w:r>
      <w:r>
        <w:rPr>
          <w:rFonts w:ascii="宋体" w:hAnsi="宋体" w:cs="宋体" w:eastAsia="宋体" w:hint="default"/>
          <w:spacing w:val="-5"/>
          <w:w w:val="100"/>
        </w:rPr>
        <w:t>50,000,000</w:t>
      </w:r>
      <w:r>
        <w:rPr>
          <w:spacing w:val="-5"/>
          <w:w w:val="100"/>
        </w:rPr>
        <w:t>元向秉钧网络增资，增资后公司持有秉钧网络</w:t>
      </w:r>
      <w:r>
        <w:rPr>
          <w:rFonts w:ascii="宋体" w:hAnsi="宋体" w:cs="宋体" w:eastAsia="宋体" w:hint="default"/>
          <w:spacing w:val="-5"/>
          <w:w w:val="100"/>
        </w:rPr>
        <w:t>70%</w:t>
      </w:r>
      <w:r>
        <w:rPr>
          <w:rFonts w:ascii="宋体" w:hAnsi="宋体" w:cs="宋体" w:eastAsia="宋体" w:hint="default"/>
          <w:spacing w:val="-91"/>
          <w:w w:val="100"/>
        </w:rPr>
        <w:t> </w:t>
      </w:r>
      <w:r>
        <w:rPr>
          <w:spacing w:val="-3"/>
        </w:rPr>
        <w:t>的股权。截止</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日，公司尚存人民币</w:t>
      </w:r>
      <w:r>
        <w:rPr>
          <w:rFonts w:ascii="宋体" w:hAnsi="宋体" w:cs="宋体" w:eastAsia="宋体" w:hint="default"/>
          <w:spacing w:val="-3"/>
        </w:rPr>
        <w:t>25,000,000</w:t>
      </w:r>
      <w:r>
        <w:rPr>
          <w:spacing w:val="-3"/>
        </w:rPr>
        <w:t>元增资款尚未缴足，相关工商</w:t>
      </w:r>
      <w:r>
        <w:rPr>
          <w:spacing w:val="-37"/>
        </w:rPr>
        <w:t> </w:t>
      </w:r>
      <w:r>
        <w:rPr>
          <w:spacing w:val="-37"/>
        </w:rPr>
      </w:r>
      <w:r>
        <w:rPr/>
        <w:t>登记已经完成。</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tabs>
          <w:tab w:pos="2321" w:val="left" w:leader="none"/>
        </w:tabs>
        <w:spacing w:before="36"/>
        <w:ind w:left="1678" w:right="144" w:firstLine="0"/>
        <w:jc w:val="left"/>
        <w:rPr>
          <w:rFonts w:ascii="宋体" w:hAnsi="宋体" w:cs="宋体" w:eastAsia="宋体" w:hint="default"/>
          <w:sz w:val="21"/>
          <w:szCs w:val="21"/>
        </w:rPr>
      </w:pPr>
      <w:r>
        <w:rPr>
          <w:rFonts w:ascii="宋体" w:hAnsi="宋体" w:cs="宋体" w:eastAsia="宋体" w:hint="default"/>
          <w:b/>
          <w:bCs/>
          <w:w w:val="95"/>
          <w:sz w:val="20"/>
          <w:szCs w:val="20"/>
        </w:rPr>
        <w:t>(2).</w:t>
        <w:tab/>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pStyle w:val="BodyText"/>
        <w:tabs>
          <w:tab w:pos="946" w:val="left" w:leader="none"/>
        </w:tabs>
        <w:spacing w:line="240" w:lineRule="auto" w:before="56"/>
        <w:ind w:left="0" w:right="127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56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7" w:hRule="exact"/>
        </w:trPr>
        <w:tc>
          <w:tcPr>
            <w:tcW w:w="161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6" w:space="0" w:color="000000"/>
              <w:bottom w:val="single" w:sz="6" w:space="0" w:color="000000"/>
              <w:right w:val="single" w:sz="4" w:space="0" w:color="000000"/>
            </w:tcBorders>
          </w:tcPr>
          <w:p>
            <w:pPr>
              <w:pStyle w:val="TableParagraph"/>
              <w:spacing w:line="239"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6"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88"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29.28%</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-26,003,986</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23,447,640</w:t>
            </w: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257,936,289</w:t>
            </w:r>
          </w:p>
        </w:tc>
      </w:tr>
      <w:tr>
        <w:trPr>
          <w:trHeight w:val="286"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用友政务</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15.81%</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17,425,147</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3,300,896</w:t>
            </w: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52,957,042</w:t>
            </w:r>
          </w:p>
        </w:tc>
      </w:tr>
      <w:tr>
        <w:trPr>
          <w:trHeight w:val="286" w:hRule="exact"/>
        </w:trPr>
        <w:tc>
          <w:tcPr>
            <w:tcW w:w="1613"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用友汽车</w:t>
            </w:r>
          </w:p>
        </w:tc>
        <w:tc>
          <w:tcPr>
            <w:tcW w:w="1815"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18.00%</w:t>
            </w:r>
          </w:p>
        </w:tc>
        <w:tc>
          <w:tcPr>
            <w:tcW w:w="1937"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5,051,259</w:t>
            </w:r>
          </w:p>
        </w:tc>
        <w:tc>
          <w:tcPr>
            <w:tcW w:w="194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411"/>
              <w:jc w:val="right"/>
              <w:rPr>
                <w:rFonts w:ascii="宋体" w:hAnsi="宋体" w:cs="宋体" w:eastAsia="宋体" w:hint="default"/>
                <w:sz w:val="21"/>
                <w:szCs w:val="21"/>
              </w:rPr>
            </w:pPr>
            <w:r>
              <w:rPr>
                <w:rFonts w:ascii="宋体"/>
                <w:w w:val="100"/>
                <w:sz w:val="21"/>
              </w:rPr>
              <w:t>-</w:t>
            </w:r>
          </w:p>
        </w:tc>
        <w:tc>
          <w:tcPr>
            <w:tcW w:w="1742"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50,281,970</w:t>
            </w:r>
          </w:p>
        </w:tc>
      </w:tr>
    </w:tbl>
    <w:p>
      <w:pPr>
        <w:spacing w:line="240" w:lineRule="auto" w:before="7"/>
        <w:rPr>
          <w:rFonts w:ascii="宋体" w:hAnsi="宋体" w:cs="宋体" w:eastAsia="宋体" w:hint="default"/>
          <w:sz w:val="15"/>
          <w:szCs w:val="15"/>
        </w:rPr>
      </w:pPr>
    </w:p>
    <w:p>
      <w:pPr>
        <w:pStyle w:val="BodyText"/>
        <w:spacing w:line="272" w:lineRule="exact" w:before="64"/>
        <w:ind w:left="1678" w:right="144"/>
        <w:jc w:val="left"/>
      </w:pPr>
      <w:r>
        <w:rPr>
          <w:spacing w:val="-2"/>
        </w:rPr>
        <w:t>子公司少数股东的持股比例不同于表决权比例的说明：</w:t>
      </w:r>
      <w:r>
        <w:rPr>
          <w:spacing w:val="-59"/>
        </w:rPr>
        <w:t> </w:t>
      </w:r>
      <w:r>
        <w:rPr>
          <w:spacing w:val="-59"/>
        </w:rPr>
      </w:r>
      <w:r>
        <w:rPr>
          <w:spacing w:val="-2"/>
        </w:rPr>
        <w:t>本集团子公司不存在持股比例与表决权不一致的情况。</w:t>
      </w:r>
    </w:p>
    <w:p>
      <w:pPr>
        <w:spacing w:line="240" w:lineRule="auto" w:before="10"/>
        <w:rPr>
          <w:rFonts w:ascii="宋体" w:hAnsi="宋体" w:cs="宋体" w:eastAsia="宋体" w:hint="default"/>
          <w:sz w:val="18"/>
          <w:szCs w:val="18"/>
        </w:rPr>
      </w:pPr>
    </w:p>
    <w:p>
      <w:pPr>
        <w:pStyle w:val="BodyText"/>
        <w:spacing w:line="240" w:lineRule="auto"/>
        <w:ind w:left="1678" w:right="144"/>
        <w:jc w:val="left"/>
      </w:pPr>
      <w:r>
        <w:rPr/>
        <w:t>其他说明：</w:t>
      </w:r>
    </w:p>
    <w:p>
      <w:pPr>
        <w:spacing w:line="240" w:lineRule="auto" w:before="11"/>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tabs>
          <w:tab w:pos="2321" w:val="left" w:leader="none"/>
        </w:tabs>
        <w:spacing w:before="36"/>
        <w:ind w:left="1678" w:right="144" w:firstLine="0"/>
        <w:jc w:val="left"/>
        <w:rPr>
          <w:rFonts w:ascii="宋体" w:hAnsi="宋体" w:cs="宋体" w:eastAsia="宋体" w:hint="default"/>
          <w:sz w:val="21"/>
          <w:szCs w:val="21"/>
        </w:rPr>
      </w:pPr>
      <w:r>
        <w:rPr>
          <w:rFonts w:ascii="宋体" w:hAnsi="宋体" w:cs="宋体" w:eastAsia="宋体" w:hint="default"/>
          <w:b/>
          <w:bCs/>
          <w:w w:val="95"/>
          <w:sz w:val="20"/>
          <w:szCs w:val="20"/>
        </w:rPr>
        <w:t>(3).</w:t>
        <w:tab/>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pStyle w:val="BodyText"/>
        <w:tabs>
          <w:tab w:pos="946" w:val="left" w:leader="none"/>
        </w:tabs>
        <w:spacing w:line="240" w:lineRule="auto" w:before="59"/>
        <w:ind w:left="0" w:right="127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636"/>
        <w:gridCol w:w="812"/>
        <w:gridCol w:w="811"/>
        <w:gridCol w:w="895"/>
        <w:gridCol w:w="809"/>
        <w:gridCol w:w="689"/>
        <w:gridCol w:w="818"/>
        <w:gridCol w:w="898"/>
        <w:gridCol w:w="809"/>
        <w:gridCol w:w="1044"/>
        <w:gridCol w:w="1136"/>
        <w:gridCol w:w="1133"/>
        <w:gridCol w:w="1136"/>
      </w:tblGrid>
      <w:tr>
        <w:trPr>
          <w:trHeight w:val="286" w:hRule="exact"/>
        </w:trPr>
        <w:tc>
          <w:tcPr>
            <w:tcW w:w="636" w:type="dxa"/>
            <w:vMerge w:val="restart"/>
            <w:tcBorders>
              <w:top w:val="single" w:sz="4" w:space="0" w:color="000000"/>
              <w:left w:val="single" w:sz="4" w:space="0" w:color="000000"/>
              <w:right w:val="single" w:sz="6" w:space="0" w:color="000000"/>
            </w:tcBorders>
          </w:tcPr>
          <w:p>
            <w:pPr>
              <w:pStyle w:val="TableParagraph"/>
              <w:spacing w:line="237" w:lineRule="auto" w:before="112"/>
              <w:ind w:left="110" w:right="89"/>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4835" w:type="dxa"/>
            <w:gridSpan w:val="6"/>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55" w:type="dxa"/>
            <w:gridSpan w:val="6"/>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1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833" w:hRule="exact"/>
        </w:trPr>
        <w:tc>
          <w:tcPr>
            <w:tcW w:w="636" w:type="dxa"/>
            <w:vMerge/>
            <w:tcBorders>
              <w:left w:val="single" w:sz="4" w:space="0" w:color="000000"/>
              <w:bottom w:val="single" w:sz="6" w:space="0" w:color="000000"/>
              <w:right w:val="single" w:sz="6" w:space="0" w:color="000000"/>
            </w:tcBorders>
          </w:tcPr>
          <w:p>
            <w:pP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7" w:right="185"/>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6" w:right="50"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3" w:right="120" w:hanging="209"/>
              <w:jc w:val="left"/>
              <w:rPr>
                <w:rFonts w:ascii="宋体" w:hAnsi="宋体" w:cs="宋体" w:eastAsia="宋体" w:hint="default"/>
                <w:sz w:val="21"/>
                <w:szCs w:val="21"/>
              </w:rPr>
            </w:pPr>
            <w:r>
              <w:rPr>
                <w:rFonts w:ascii="宋体" w:hAnsi="宋体" w:cs="宋体" w:eastAsia="宋体" w:hint="default"/>
                <w:sz w:val="21"/>
                <w:szCs w:val="21"/>
              </w:rPr>
              <w:t>资产合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7" w:right="183"/>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72" w:lineRule="exact" w:before="27"/>
              <w:ind w:left="259" w:right="96" w:hanging="106"/>
              <w:jc w:val="left"/>
              <w:rPr>
                <w:rFonts w:ascii="宋体" w:hAnsi="宋体" w:cs="宋体" w:eastAsia="宋体" w:hint="default"/>
                <w:sz w:val="21"/>
                <w:szCs w:val="21"/>
              </w:rPr>
            </w:pP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1" w:right="187"/>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5" w:right="123" w:hanging="212"/>
              <w:jc w:val="left"/>
              <w:rPr>
                <w:rFonts w:ascii="宋体" w:hAnsi="宋体" w:cs="宋体" w:eastAsia="宋体" w:hint="default"/>
                <w:sz w:val="21"/>
                <w:szCs w:val="21"/>
              </w:rPr>
            </w:pPr>
            <w:r>
              <w:rPr>
                <w:rFonts w:ascii="宋体" w:hAnsi="宋体" w:cs="宋体" w:eastAsia="宋体" w:hint="default"/>
                <w:sz w:val="21"/>
                <w:szCs w:val="21"/>
              </w:rPr>
              <w:t>流动资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3" w:right="50"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05" w:right="197" w:hanging="209"/>
              <w:jc w:val="left"/>
              <w:rPr>
                <w:rFonts w:ascii="宋体" w:hAnsi="宋体" w:cs="宋体" w:eastAsia="宋体" w:hint="default"/>
                <w:sz w:val="21"/>
                <w:szCs w:val="21"/>
              </w:rPr>
            </w:pPr>
            <w:r>
              <w:rPr>
                <w:rFonts w:ascii="宋体" w:hAnsi="宋体" w:cs="宋体" w:eastAsia="宋体" w:hint="default"/>
                <w:sz w:val="21"/>
                <w:szCs w:val="21"/>
              </w:rPr>
              <w:t>资产合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0"/>
              <w:jc w:val="right"/>
              <w:rPr>
                <w:rFonts w:ascii="宋体" w:hAnsi="宋体" w:cs="宋体" w:eastAsia="宋体" w:hint="default"/>
                <w:sz w:val="21"/>
                <w:szCs w:val="21"/>
              </w:rPr>
            </w:pPr>
            <w:r>
              <w:rPr>
                <w:rFonts w:ascii="宋体" w:hAnsi="宋体" w:cs="宋体" w:eastAsia="宋体" w:hint="default"/>
                <w:spacing w:val="-1"/>
                <w:sz w:val="21"/>
                <w:szCs w:val="21"/>
              </w:rPr>
              <w:t>流动负债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pacing w:val="-1"/>
                <w:sz w:val="21"/>
                <w:szCs w:val="21"/>
              </w:rPr>
              <w:t>非流动负债</w:t>
            </w:r>
          </w:p>
        </w:tc>
        <w:tc>
          <w:tcPr>
            <w:tcW w:w="113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负债合计</w:t>
            </w:r>
          </w:p>
        </w:tc>
      </w:tr>
      <w:tr>
        <w:trPr>
          <w:trHeight w:val="559" w:hRule="exact"/>
        </w:trPr>
        <w:tc>
          <w:tcPr>
            <w:tcW w:w="63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通</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0" w:right="0"/>
              <w:jc w:val="left"/>
              <w:rPr>
                <w:rFonts w:ascii="Times New Roman" w:hAnsi="Times New Roman" w:cs="Times New Roman" w:eastAsia="Times New Roman" w:hint="default"/>
                <w:sz w:val="18"/>
                <w:szCs w:val="18"/>
              </w:rPr>
            </w:pPr>
            <w:r>
              <w:rPr>
                <w:rFonts w:ascii="Times New Roman"/>
                <w:sz w:val="18"/>
              </w:rPr>
              <w:t>858,507</w:t>
            </w:r>
          </w:p>
          <w:p>
            <w:pPr>
              <w:pStyle w:val="TableParagraph"/>
              <w:spacing w:line="207" w:lineRule="exact"/>
              <w:ind w:left="381" w:right="0"/>
              <w:jc w:val="left"/>
              <w:rPr>
                <w:rFonts w:ascii="Times New Roman" w:hAnsi="Times New Roman" w:cs="Times New Roman" w:eastAsia="Times New Roman" w:hint="default"/>
                <w:sz w:val="18"/>
                <w:szCs w:val="18"/>
              </w:rPr>
            </w:pPr>
            <w:r>
              <w:rPr>
                <w:rFonts w:ascii="Times New Roman"/>
                <w:sz w:val="18"/>
              </w:rPr>
              <w:t>,256</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0" w:right="0"/>
              <w:jc w:val="left"/>
              <w:rPr>
                <w:rFonts w:ascii="Times New Roman" w:hAnsi="Times New Roman" w:cs="Times New Roman" w:eastAsia="Times New Roman" w:hint="default"/>
                <w:sz w:val="18"/>
                <w:szCs w:val="18"/>
              </w:rPr>
            </w:pPr>
            <w:r>
              <w:rPr>
                <w:rFonts w:ascii="Times New Roman"/>
                <w:sz w:val="18"/>
              </w:rPr>
              <w:t>170,370</w:t>
            </w:r>
          </w:p>
          <w:p>
            <w:pPr>
              <w:pStyle w:val="TableParagraph"/>
              <w:spacing w:line="207" w:lineRule="exact"/>
              <w:ind w:left="381" w:right="0"/>
              <w:jc w:val="left"/>
              <w:rPr>
                <w:rFonts w:ascii="Times New Roman" w:hAnsi="Times New Roman" w:cs="Times New Roman" w:eastAsia="Times New Roman" w:hint="default"/>
                <w:sz w:val="18"/>
                <w:szCs w:val="18"/>
              </w:rPr>
            </w:pPr>
            <w:r>
              <w:rPr>
                <w:rFonts w:ascii="Times New Roman"/>
                <w:sz w:val="18"/>
              </w:rPr>
              <w:t>,725</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8" w:right="0"/>
              <w:jc w:val="left"/>
              <w:rPr>
                <w:rFonts w:ascii="Times New Roman" w:hAnsi="Times New Roman" w:cs="Times New Roman" w:eastAsia="Times New Roman" w:hint="default"/>
                <w:sz w:val="18"/>
                <w:szCs w:val="18"/>
              </w:rPr>
            </w:pPr>
            <w:r>
              <w:rPr>
                <w:rFonts w:ascii="Times New Roman"/>
                <w:sz w:val="18"/>
              </w:rPr>
              <w:t>1,028,87</w:t>
            </w:r>
          </w:p>
          <w:p>
            <w:pPr>
              <w:pStyle w:val="TableParagraph"/>
              <w:spacing w:line="207" w:lineRule="exact"/>
              <w:ind w:left="374" w:right="0"/>
              <w:jc w:val="left"/>
              <w:rPr>
                <w:rFonts w:ascii="Times New Roman" w:hAnsi="Times New Roman" w:cs="Times New Roman" w:eastAsia="Times New Roman" w:hint="default"/>
                <w:sz w:val="18"/>
                <w:szCs w:val="18"/>
              </w:rPr>
            </w:pPr>
            <w:r>
              <w:rPr>
                <w:rFonts w:ascii="Times New Roman"/>
                <w:sz w:val="18"/>
              </w:rPr>
              <w:t>7,981</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8" w:right="0"/>
              <w:jc w:val="left"/>
              <w:rPr>
                <w:rFonts w:ascii="Times New Roman" w:hAnsi="Times New Roman" w:cs="Times New Roman" w:eastAsia="Times New Roman" w:hint="default"/>
                <w:sz w:val="18"/>
                <w:szCs w:val="18"/>
              </w:rPr>
            </w:pPr>
            <w:r>
              <w:rPr>
                <w:rFonts w:ascii="Times New Roman"/>
                <w:sz w:val="18"/>
              </w:rPr>
              <w:t>105,969</w:t>
            </w:r>
          </w:p>
          <w:p>
            <w:pPr>
              <w:pStyle w:val="TableParagraph"/>
              <w:spacing w:line="207" w:lineRule="exact"/>
              <w:ind w:left="379" w:right="0"/>
              <w:jc w:val="left"/>
              <w:rPr>
                <w:rFonts w:ascii="Times New Roman" w:hAnsi="Times New Roman" w:cs="Times New Roman" w:eastAsia="Times New Roman" w:hint="default"/>
                <w:sz w:val="18"/>
                <w:szCs w:val="18"/>
              </w:rPr>
            </w:pPr>
            <w:r>
              <w:rPr>
                <w:rFonts w:ascii="Times New Roman"/>
                <w:sz w:val="18"/>
              </w:rPr>
              <w:t>,532</w:t>
            </w:r>
          </w:p>
        </w:tc>
        <w:tc>
          <w:tcPr>
            <w:tcW w:w="689"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7" w:right="0"/>
              <w:jc w:val="left"/>
              <w:rPr>
                <w:rFonts w:ascii="Times New Roman" w:hAnsi="Times New Roman" w:cs="Times New Roman" w:eastAsia="Times New Roman" w:hint="default"/>
                <w:sz w:val="18"/>
                <w:szCs w:val="18"/>
              </w:rPr>
            </w:pPr>
            <w:r>
              <w:rPr>
                <w:rFonts w:ascii="Times New Roman"/>
                <w:sz w:val="18"/>
              </w:rPr>
              <w:t>105,969</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,532</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1,193,09</w:t>
            </w:r>
          </w:p>
          <w:p>
            <w:pPr>
              <w:pStyle w:val="TableParagraph"/>
              <w:spacing w:line="207" w:lineRule="exact"/>
              <w:ind w:left="376" w:right="0"/>
              <w:jc w:val="left"/>
              <w:rPr>
                <w:rFonts w:ascii="Times New Roman" w:hAnsi="Times New Roman" w:cs="Times New Roman" w:eastAsia="Times New Roman" w:hint="default"/>
                <w:sz w:val="18"/>
                <w:szCs w:val="18"/>
              </w:rPr>
            </w:pPr>
            <w:r>
              <w:rPr>
                <w:rFonts w:ascii="Times New Roman"/>
                <w:sz w:val="18"/>
              </w:rPr>
              <w:t>9,328</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150,339</w:t>
            </w:r>
          </w:p>
          <w:p>
            <w:pPr>
              <w:pStyle w:val="TableParagraph"/>
              <w:spacing w:line="207" w:lineRule="exact"/>
              <w:ind w:left="376" w:right="0"/>
              <w:jc w:val="left"/>
              <w:rPr>
                <w:rFonts w:ascii="Times New Roman" w:hAnsi="Times New Roman" w:cs="Times New Roman" w:eastAsia="Times New Roman" w:hint="default"/>
                <w:sz w:val="18"/>
                <w:szCs w:val="18"/>
              </w:rPr>
            </w:pPr>
            <w:r>
              <w:rPr>
                <w:rFonts w:ascii="Times New Roman"/>
                <w:sz w:val="18"/>
              </w:rPr>
              <w:t>,448</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60" w:right="0"/>
              <w:jc w:val="left"/>
              <w:rPr>
                <w:rFonts w:ascii="Times New Roman" w:hAnsi="Times New Roman" w:cs="Times New Roman" w:eastAsia="Times New Roman" w:hint="default"/>
                <w:sz w:val="18"/>
                <w:szCs w:val="18"/>
              </w:rPr>
            </w:pPr>
            <w:r>
              <w:rPr>
                <w:rFonts w:ascii="Times New Roman"/>
                <w:sz w:val="18"/>
              </w:rPr>
              <w:t>1,343,438,</w:t>
            </w:r>
          </w:p>
          <w:p>
            <w:pPr>
              <w:pStyle w:val="TableParagraph"/>
              <w:spacing w:line="207" w:lineRule="exact"/>
              <w:ind w:left="655" w:right="0"/>
              <w:jc w:val="left"/>
              <w:rPr>
                <w:rFonts w:ascii="Times New Roman" w:hAnsi="Times New Roman" w:cs="Times New Roman" w:eastAsia="Times New Roman" w:hint="default"/>
                <w:sz w:val="18"/>
                <w:szCs w:val="18"/>
              </w:rPr>
            </w:pPr>
            <w:r>
              <w:rPr>
                <w:rFonts w:ascii="Times New Roman"/>
                <w:sz w:val="18"/>
              </w:rPr>
              <w:t>776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98,583,051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776,735</w:t>
            </w:r>
          </w:p>
        </w:tc>
        <w:tc>
          <w:tcPr>
            <w:tcW w:w="1136"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05" w:right="0"/>
              <w:jc w:val="center"/>
              <w:rPr>
                <w:rFonts w:ascii="Times New Roman" w:hAnsi="Times New Roman" w:cs="Times New Roman" w:eastAsia="Times New Roman" w:hint="default"/>
                <w:sz w:val="18"/>
                <w:szCs w:val="18"/>
              </w:rPr>
            </w:pPr>
            <w:r>
              <w:rPr>
                <w:rFonts w:ascii="Times New Roman"/>
                <w:sz w:val="18"/>
              </w:rPr>
              <w:t>99,359,786</w:t>
            </w:r>
          </w:p>
        </w:tc>
      </w:tr>
      <w:tr>
        <w:trPr>
          <w:trHeight w:val="559" w:hRule="exact"/>
        </w:trPr>
        <w:tc>
          <w:tcPr>
            <w:tcW w:w="63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政务</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0" w:right="0"/>
              <w:jc w:val="left"/>
              <w:rPr>
                <w:rFonts w:ascii="Times New Roman" w:hAnsi="Times New Roman" w:cs="Times New Roman" w:eastAsia="Times New Roman" w:hint="default"/>
                <w:sz w:val="18"/>
                <w:szCs w:val="18"/>
              </w:rPr>
            </w:pPr>
            <w:r>
              <w:rPr>
                <w:rFonts w:ascii="Times New Roman"/>
                <w:sz w:val="18"/>
              </w:rPr>
              <w:t>604,173</w:t>
            </w:r>
          </w:p>
          <w:p>
            <w:pPr>
              <w:pStyle w:val="TableParagraph"/>
              <w:spacing w:line="207" w:lineRule="exact"/>
              <w:ind w:left="381" w:right="0"/>
              <w:jc w:val="left"/>
              <w:rPr>
                <w:rFonts w:ascii="Times New Roman" w:hAnsi="Times New Roman" w:cs="Times New Roman" w:eastAsia="Times New Roman" w:hint="default"/>
                <w:sz w:val="18"/>
                <w:szCs w:val="18"/>
              </w:rPr>
            </w:pPr>
            <w:r>
              <w:rPr>
                <w:rFonts w:ascii="Times New Roman"/>
                <w:sz w:val="18"/>
              </w:rPr>
              <w:t>,301</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56" w:right="0"/>
              <w:jc w:val="left"/>
              <w:rPr>
                <w:rFonts w:ascii="Times New Roman" w:hAnsi="Times New Roman" w:cs="Times New Roman" w:eastAsia="Times New Roman" w:hint="default"/>
                <w:sz w:val="18"/>
                <w:szCs w:val="18"/>
              </w:rPr>
            </w:pPr>
            <w:r>
              <w:rPr>
                <w:rFonts w:ascii="Times New Roman"/>
                <w:sz w:val="18"/>
              </w:rPr>
              <w:t>50,680,</w:t>
            </w:r>
          </w:p>
          <w:p>
            <w:pPr>
              <w:pStyle w:val="TableParagraph"/>
              <w:spacing w:line="207" w:lineRule="exact"/>
              <w:ind w:left="424" w:right="0"/>
              <w:jc w:val="left"/>
              <w:rPr>
                <w:rFonts w:ascii="Times New Roman" w:hAnsi="Times New Roman" w:cs="Times New Roman" w:eastAsia="Times New Roman" w:hint="default"/>
                <w:sz w:val="18"/>
                <w:szCs w:val="18"/>
              </w:rPr>
            </w:pPr>
            <w:r>
              <w:rPr>
                <w:rFonts w:ascii="Times New Roman"/>
                <w:sz w:val="18"/>
              </w:rPr>
              <w:t>816</w:t>
            </w:r>
          </w:p>
        </w:tc>
        <w:tc>
          <w:tcPr>
            <w:tcW w:w="89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8" w:right="0"/>
              <w:jc w:val="left"/>
              <w:rPr>
                <w:rFonts w:ascii="Times New Roman" w:hAnsi="Times New Roman" w:cs="Times New Roman" w:eastAsia="Times New Roman" w:hint="default"/>
                <w:sz w:val="18"/>
                <w:szCs w:val="18"/>
              </w:rPr>
            </w:pPr>
            <w:r>
              <w:rPr>
                <w:rFonts w:ascii="Times New Roman"/>
                <w:sz w:val="18"/>
              </w:rPr>
              <w:t>654,854,</w:t>
            </w:r>
          </w:p>
          <w:p>
            <w:pPr>
              <w:pStyle w:val="TableParagraph"/>
              <w:spacing w:line="207" w:lineRule="exact"/>
              <w:ind w:left="508" w:right="0"/>
              <w:jc w:val="left"/>
              <w:rPr>
                <w:rFonts w:ascii="Times New Roman" w:hAnsi="Times New Roman" w:cs="Times New Roman" w:eastAsia="Times New Roman" w:hint="default"/>
                <w:sz w:val="18"/>
                <w:szCs w:val="18"/>
              </w:rPr>
            </w:pPr>
            <w:r>
              <w:rPr>
                <w:rFonts w:ascii="Times New Roman"/>
                <w:sz w:val="18"/>
              </w:rPr>
              <w:t>117</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8" w:right="0"/>
              <w:jc w:val="left"/>
              <w:rPr>
                <w:rFonts w:ascii="Times New Roman" w:hAnsi="Times New Roman" w:cs="Times New Roman" w:eastAsia="Times New Roman" w:hint="default"/>
                <w:sz w:val="18"/>
                <w:szCs w:val="18"/>
              </w:rPr>
            </w:pPr>
            <w:r>
              <w:rPr>
                <w:rFonts w:ascii="Times New Roman"/>
                <w:sz w:val="18"/>
              </w:rPr>
              <w:t>314,402</w:t>
            </w:r>
          </w:p>
          <w:p>
            <w:pPr>
              <w:pStyle w:val="TableParagraph"/>
              <w:spacing w:line="207" w:lineRule="exact"/>
              <w:ind w:left="379" w:right="0"/>
              <w:jc w:val="left"/>
              <w:rPr>
                <w:rFonts w:ascii="Times New Roman" w:hAnsi="Times New Roman" w:cs="Times New Roman" w:eastAsia="Times New Roman" w:hint="default"/>
                <w:sz w:val="18"/>
                <w:szCs w:val="18"/>
              </w:rPr>
            </w:pPr>
            <w:r>
              <w:rPr>
                <w:rFonts w:ascii="Times New Roman"/>
                <w:sz w:val="18"/>
              </w:rPr>
              <w:t>,932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22" w:right="0"/>
              <w:jc w:val="center"/>
              <w:rPr>
                <w:rFonts w:ascii="Times New Roman" w:hAnsi="Times New Roman" w:cs="Times New Roman" w:eastAsia="Times New Roman" w:hint="default"/>
                <w:sz w:val="18"/>
                <w:szCs w:val="18"/>
              </w:rPr>
            </w:pPr>
            <w:r>
              <w:rPr>
                <w:rFonts w:ascii="Times New Roman"/>
                <w:sz w:val="18"/>
              </w:rPr>
              <w:t>5,470,</w:t>
            </w:r>
          </w:p>
          <w:p>
            <w:pPr>
              <w:pStyle w:val="TableParagraph"/>
              <w:spacing w:line="207" w:lineRule="exact"/>
              <w:ind w:left="204" w:right="0"/>
              <w:jc w:val="center"/>
              <w:rPr>
                <w:rFonts w:ascii="Times New Roman" w:hAnsi="Times New Roman" w:cs="Times New Roman" w:eastAsia="Times New Roman" w:hint="default"/>
                <w:sz w:val="18"/>
                <w:szCs w:val="18"/>
              </w:rPr>
            </w:pPr>
            <w:r>
              <w:rPr>
                <w:rFonts w:ascii="Times New Roman"/>
                <w:sz w:val="18"/>
              </w:rPr>
              <w:t>847</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7" w:right="0"/>
              <w:jc w:val="left"/>
              <w:rPr>
                <w:rFonts w:ascii="Times New Roman" w:hAnsi="Times New Roman" w:cs="Times New Roman" w:eastAsia="Times New Roman" w:hint="default"/>
                <w:sz w:val="18"/>
                <w:szCs w:val="18"/>
              </w:rPr>
            </w:pPr>
            <w:r>
              <w:rPr>
                <w:rFonts w:ascii="Times New Roman"/>
                <w:sz w:val="18"/>
              </w:rPr>
              <w:t>319,873</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,779</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571,431,</w:t>
            </w:r>
          </w:p>
          <w:p>
            <w:pPr>
              <w:pStyle w:val="TableParagraph"/>
              <w:spacing w:line="207" w:lineRule="exact"/>
              <w:ind w:left="511" w:right="0"/>
              <w:jc w:val="left"/>
              <w:rPr>
                <w:rFonts w:ascii="Times New Roman" w:hAnsi="Times New Roman" w:cs="Times New Roman" w:eastAsia="Times New Roman" w:hint="default"/>
                <w:sz w:val="18"/>
                <w:szCs w:val="18"/>
              </w:rPr>
            </w:pPr>
            <w:r>
              <w:rPr>
                <w:rFonts w:ascii="Times New Roman"/>
                <w:sz w:val="18"/>
              </w:rPr>
              <w:t>708</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48,680,</w:t>
            </w:r>
          </w:p>
          <w:p>
            <w:pPr>
              <w:pStyle w:val="TableParagraph"/>
              <w:spacing w:line="207" w:lineRule="exact"/>
              <w:ind w:left="420" w:right="0"/>
              <w:jc w:val="left"/>
              <w:rPr>
                <w:rFonts w:ascii="Times New Roman" w:hAnsi="Times New Roman" w:cs="Times New Roman" w:eastAsia="Times New Roman" w:hint="default"/>
                <w:sz w:val="18"/>
                <w:szCs w:val="18"/>
              </w:rPr>
            </w:pPr>
            <w:r>
              <w:rPr>
                <w:rFonts w:ascii="Times New Roman"/>
                <w:sz w:val="18"/>
              </w:rPr>
              <w:t>137</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620,111,84</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300,762,936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206" w:right="0"/>
              <w:jc w:val="left"/>
              <w:rPr>
                <w:rFonts w:ascii="Times New Roman" w:hAnsi="Times New Roman" w:cs="Times New Roman" w:eastAsia="Times New Roman" w:hint="default"/>
                <w:sz w:val="18"/>
                <w:szCs w:val="18"/>
              </w:rPr>
            </w:pPr>
            <w:r>
              <w:rPr>
                <w:rFonts w:ascii="Times New Roman"/>
                <w:sz w:val="18"/>
              </w:rPr>
              <w:t>25,110,254</w:t>
            </w:r>
          </w:p>
        </w:tc>
        <w:tc>
          <w:tcPr>
            <w:tcW w:w="1136"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6" w:right="0"/>
              <w:jc w:val="center"/>
              <w:rPr>
                <w:rFonts w:ascii="Times New Roman" w:hAnsi="Times New Roman" w:cs="Times New Roman" w:eastAsia="Times New Roman" w:hint="default"/>
                <w:sz w:val="18"/>
                <w:szCs w:val="18"/>
              </w:rPr>
            </w:pPr>
            <w:r>
              <w:rPr>
                <w:rFonts w:ascii="Times New Roman"/>
                <w:sz w:val="18"/>
              </w:rPr>
              <w:t>325,873,190</w:t>
            </w:r>
          </w:p>
        </w:tc>
      </w:tr>
      <w:tr>
        <w:trPr>
          <w:trHeight w:val="559" w:hRule="exact"/>
        </w:trPr>
        <w:tc>
          <w:tcPr>
            <w:tcW w:w="636"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w:t>
            </w:r>
          </w:p>
        </w:tc>
        <w:tc>
          <w:tcPr>
            <w:tcW w:w="812"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110" w:right="0"/>
              <w:jc w:val="left"/>
              <w:rPr>
                <w:rFonts w:ascii="Times New Roman" w:hAnsi="Times New Roman" w:cs="Times New Roman" w:eastAsia="Times New Roman" w:hint="default"/>
                <w:sz w:val="18"/>
                <w:szCs w:val="18"/>
              </w:rPr>
            </w:pPr>
            <w:r>
              <w:rPr>
                <w:rFonts w:ascii="Times New Roman"/>
                <w:sz w:val="18"/>
              </w:rPr>
              <w:t>359,542</w:t>
            </w:r>
          </w:p>
          <w:p>
            <w:pPr>
              <w:pStyle w:val="TableParagraph"/>
              <w:spacing w:line="240" w:lineRule="auto" w:before="2"/>
              <w:ind w:left="381" w:right="0"/>
              <w:jc w:val="left"/>
              <w:rPr>
                <w:rFonts w:ascii="Times New Roman" w:hAnsi="Times New Roman" w:cs="Times New Roman" w:eastAsia="Times New Roman" w:hint="default"/>
                <w:sz w:val="18"/>
                <w:szCs w:val="18"/>
              </w:rPr>
            </w:pPr>
            <w:r>
              <w:rPr>
                <w:rFonts w:ascii="Times New Roman"/>
                <w:sz w:val="18"/>
              </w:rPr>
              <w:t>,992</w:t>
            </w:r>
          </w:p>
        </w:tc>
        <w:tc>
          <w:tcPr>
            <w:tcW w:w="811"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156" w:right="0"/>
              <w:jc w:val="left"/>
              <w:rPr>
                <w:rFonts w:ascii="Times New Roman" w:hAnsi="Times New Roman" w:cs="Times New Roman" w:eastAsia="Times New Roman" w:hint="default"/>
                <w:sz w:val="18"/>
                <w:szCs w:val="18"/>
              </w:rPr>
            </w:pPr>
            <w:r>
              <w:rPr>
                <w:rFonts w:ascii="Times New Roman"/>
                <w:sz w:val="18"/>
              </w:rPr>
              <w:t>22,827,</w:t>
            </w:r>
          </w:p>
          <w:p>
            <w:pPr>
              <w:pStyle w:val="TableParagraph"/>
              <w:spacing w:line="240" w:lineRule="auto" w:before="2"/>
              <w:ind w:left="424" w:right="0"/>
              <w:jc w:val="left"/>
              <w:rPr>
                <w:rFonts w:ascii="Times New Roman" w:hAnsi="Times New Roman" w:cs="Times New Roman" w:eastAsia="Times New Roman" w:hint="default"/>
                <w:sz w:val="18"/>
                <w:szCs w:val="18"/>
              </w:rPr>
            </w:pPr>
            <w:r>
              <w:rPr>
                <w:rFonts w:ascii="Times New Roman"/>
                <w:sz w:val="18"/>
              </w:rPr>
              <w:t>775</w:t>
            </w:r>
          </w:p>
        </w:tc>
        <w:tc>
          <w:tcPr>
            <w:tcW w:w="895"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148" w:right="0"/>
              <w:jc w:val="left"/>
              <w:rPr>
                <w:rFonts w:ascii="Times New Roman" w:hAnsi="Times New Roman" w:cs="Times New Roman" w:eastAsia="Times New Roman" w:hint="default"/>
                <w:sz w:val="18"/>
                <w:szCs w:val="18"/>
              </w:rPr>
            </w:pPr>
            <w:r>
              <w:rPr>
                <w:rFonts w:ascii="Times New Roman"/>
                <w:sz w:val="18"/>
              </w:rPr>
              <w:t>382,370,</w:t>
            </w:r>
          </w:p>
          <w:p>
            <w:pPr>
              <w:pStyle w:val="TableParagraph"/>
              <w:spacing w:line="240" w:lineRule="auto" w:before="2"/>
              <w:ind w:left="508" w:right="0"/>
              <w:jc w:val="left"/>
              <w:rPr>
                <w:rFonts w:ascii="Times New Roman" w:hAnsi="Times New Roman" w:cs="Times New Roman" w:eastAsia="Times New Roman" w:hint="default"/>
                <w:sz w:val="18"/>
                <w:szCs w:val="18"/>
              </w:rPr>
            </w:pPr>
            <w:r>
              <w:rPr>
                <w:rFonts w:ascii="Times New Roman"/>
                <w:sz w:val="18"/>
              </w:rPr>
              <w:t>767</w:t>
            </w:r>
          </w:p>
        </w:tc>
        <w:tc>
          <w:tcPr>
            <w:tcW w:w="809"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153" w:right="0"/>
              <w:jc w:val="left"/>
              <w:rPr>
                <w:rFonts w:ascii="Times New Roman" w:hAnsi="Times New Roman" w:cs="Times New Roman" w:eastAsia="Times New Roman" w:hint="default"/>
                <w:sz w:val="18"/>
                <w:szCs w:val="18"/>
              </w:rPr>
            </w:pPr>
            <w:r>
              <w:rPr>
                <w:rFonts w:ascii="Times New Roman"/>
                <w:sz w:val="18"/>
              </w:rPr>
              <w:t>96,834,</w:t>
            </w:r>
          </w:p>
          <w:p>
            <w:pPr>
              <w:pStyle w:val="TableParagraph"/>
              <w:spacing w:line="240" w:lineRule="auto" w:before="2"/>
              <w:ind w:left="423" w:right="0"/>
              <w:jc w:val="left"/>
              <w:rPr>
                <w:rFonts w:ascii="Times New Roman" w:hAnsi="Times New Roman" w:cs="Times New Roman" w:eastAsia="Times New Roman" w:hint="default"/>
                <w:sz w:val="18"/>
                <w:szCs w:val="18"/>
              </w:rPr>
            </w:pPr>
            <w:r>
              <w:rPr>
                <w:rFonts w:ascii="Times New Roman"/>
                <w:sz w:val="18"/>
              </w:rPr>
              <w:t>486</w:t>
            </w:r>
          </w:p>
        </w:tc>
        <w:tc>
          <w:tcPr>
            <w:tcW w:w="689"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22" w:right="0"/>
              <w:jc w:val="center"/>
              <w:rPr>
                <w:rFonts w:ascii="Times New Roman" w:hAnsi="Times New Roman" w:cs="Times New Roman" w:eastAsia="Times New Roman" w:hint="default"/>
                <w:sz w:val="18"/>
                <w:szCs w:val="18"/>
              </w:rPr>
            </w:pPr>
            <w:r>
              <w:rPr>
                <w:rFonts w:ascii="Times New Roman"/>
                <w:sz w:val="18"/>
              </w:rPr>
              <w:t>2,792,</w:t>
            </w:r>
          </w:p>
          <w:p>
            <w:pPr>
              <w:pStyle w:val="TableParagraph"/>
              <w:spacing w:line="240" w:lineRule="auto" w:before="2"/>
              <w:ind w:left="204" w:right="0"/>
              <w:jc w:val="center"/>
              <w:rPr>
                <w:rFonts w:ascii="Times New Roman" w:hAnsi="Times New Roman" w:cs="Times New Roman" w:eastAsia="Times New Roman" w:hint="default"/>
                <w:sz w:val="18"/>
                <w:szCs w:val="18"/>
              </w:rPr>
            </w:pPr>
            <w:r>
              <w:rPr>
                <w:rFonts w:ascii="Times New Roman"/>
                <w:sz w:val="18"/>
              </w:rPr>
              <w:t>000</w:t>
            </w:r>
          </w:p>
        </w:tc>
        <w:tc>
          <w:tcPr>
            <w:tcW w:w="818"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163" w:right="0"/>
              <w:jc w:val="left"/>
              <w:rPr>
                <w:rFonts w:ascii="Times New Roman" w:hAnsi="Times New Roman" w:cs="Times New Roman" w:eastAsia="Times New Roman" w:hint="default"/>
                <w:sz w:val="18"/>
                <w:szCs w:val="18"/>
              </w:rPr>
            </w:pPr>
            <w:r>
              <w:rPr>
                <w:rFonts w:ascii="Times New Roman"/>
                <w:sz w:val="18"/>
              </w:rPr>
              <w:t>99,626,</w:t>
            </w:r>
          </w:p>
          <w:p>
            <w:pPr>
              <w:pStyle w:val="TableParagraph"/>
              <w:spacing w:line="240" w:lineRule="auto" w:before="2"/>
              <w:ind w:left="431" w:right="0"/>
              <w:jc w:val="left"/>
              <w:rPr>
                <w:rFonts w:ascii="Times New Roman" w:hAnsi="Times New Roman" w:cs="Times New Roman" w:eastAsia="Times New Roman" w:hint="default"/>
                <w:sz w:val="18"/>
                <w:szCs w:val="18"/>
              </w:rPr>
            </w:pPr>
            <w:r>
              <w:rPr>
                <w:rFonts w:ascii="Times New Roman"/>
                <w:sz w:val="18"/>
              </w:rPr>
              <w:t>486</w:t>
            </w:r>
          </w:p>
        </w:tc>
        <w:tc>
          <w:tcPr>
            <w:tcW w:w="898"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246,703,</w:t>
            </w:r>
          </w:p>
          <w:p>
            <w:pPr>
              <w:pStyle w:val="TableParagraph"/>
              <w:spacing w:line="240" w:lineRule="auto" w:before="2"/>
              <w:ind w:left="511" w:right="0"/>
              <w:jc w:val="left"/>
              <w:rPr>
                <w:rFonts w:ascii="Times New Roman" w:hAnsi="Times New Roman" w:cs="Times New Roman" w:eastAsia="Times New Roman" w:hint="default"/>
                <w:sz w:val="18"/>
                <w:szCs w:val="18"/>
              </w:rPr>
            </w:pPr>
            <w:r>
              <w:rPr>
                <w:rFonts w:ascii="Times New Roman"/>
                <w:sz w:val="18"/>
              </w:rPr>
              <w:t>986</w:t>
            </w:r>
          </w:p>
        </w:tc>
        <w:tc>
          <w:tcPr>
            <w:tcW w:w="809"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22,616,</w:t>
            </w:r>
          </w:p>
          <w:p>
            <w:pPr>
              <w:pStyle w:val="TableParagraph"/>
              <w:spacing w:line="240" w:lineRule="auto" w:before="2"/>
              <w:ind w:left="420" w:right="0"/>
              <w:jc w:val="left"/>
              <w:rPr>
                <w:rFonts w:ascii="Times New Roman" w:hAnsi="Times New Roman" w:cs="Times New Roman" w:eastAsia="Times New Roman" w:hint="default"/>
                <w:sz w:val="18"/>
                <w:szCs w:val="18"/>
              </w:rPr>
            </w:pPr>
            <w:r>
              <w:rPr>
                <w:rFonts w:ascii="Times New Roman"/>
                <w:sz w:val="18"/>
              </w:rPr>
              <w:t>222</w:t>
            </w:r>
          </w:p>
        </w:tc>
        <w:tc>
          <w:tcPr>
            <w:tcW w:w="1044"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269,320,20</w:t>
            </w:r>
          </w:p>
          <w:p>
            <w:pPr>
              <w:pStyle w:val="TableParagraph"/>
              <w:spacing w:line="240" w:lineRule="auto" w:before="2"/>
              <w:ind w:right="102"/>
              <w:jc w:val="right"/>
              <w:rPr>
                <w:rFonts w:ascii="Times New Roman" w:hAnsi="Times New Roman" w:cs="Times New Roman" w:eastAsia="Times New Roman" w:hint="default"/>
                <w:sz w:val="18"/>
                <w:szCs w:val="18"/>
              </w:rPr>
            </w:pPr>
            <w:r>
              <w:rPr>
                <w:rFonts w:ascii="Times New Roman"/>
                <w:sz w:val="18"/>
              </w:rPr>
              <w:t>8</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102,028,438</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344,000</w:t>
            </w:r>
          </w:p>
        </w:tc>
        <w:tc>
          <w:tcPr>
            <w:tcW w:w="1136" w:type="dxa"/>
            <w:tcBorders>
              <w:top w:val="single" w:sz="6" w:space="0" w:color="000000"/>
              <w:left w:val="single" w:sz="6" w:space="0" w:color="000000"/>
              <w:bottom w:val="single" w:sz="4" w:space="0" w:color="000000"/>
              <w:right w:val="single" w:sz="4" w:space="0" w:color="000000"/>
            </w:tcBorders>
          </w:tcPr>
          <w:p>
            <w:pPr>
              <w:pStyle w:val="TableParagraph"/>
              <w:spacing w:line="202" w:lineRule="exact"/>
              <w:ind w:left="16" w:right="0"/>
              <w:jc w:val="center"/>
              <w:rPr>
                <w:rFonts w:ascii="Times New Roman" w:hAnsi="Times New Roman" w:cs="Times New Roman" w:eastAsia="Times New Roman" w:hint="default"/>
                <w:sz w:val="18"/>
                <w:szCs w:val="18"/>
              </w:rPr>
            </w:pPr>
            <w:r>
              <w:rPr>
                <w:rFonts w:ascii="Times New Roman"/>
                <w:sz w:val="18"/>
              </w:rPr>
              <w:t>102,372,438</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tbl>
      <w:tblPr>
        <w:tblW w:w="0" w:type="auto"/>
        <w:jc w:val="left"/>
        <w:tblInd w:w="820" w:type="dxa"/>
        <w:tblLayout w:type="fixed"/>
        <w:tblCellMar>
          <w:top w:w="0" w:type="dxa"/>
          <w:left w:w="0" w:type="dxa"/>
          <w:bottom w:w="0" w:type="dxa"/>
          <w:right w:w="0" w:type="dxa"/>
        </w:tblCellMar>
        <w:tblLook w:val="01E0"/>
      </w:tblPr>
      <w:tblGrid>
        <w:gridCol w:w="860"/>
        <w:gridCol w:w="4578"/>
        <w:gridCol w:w="4359"/>
      </w:tblGrid>
      <w:tr>
        <w:trPr>
          <w:trHeight w:val="326" w:hRule="exact"/>
        </w:trPr>
        <w:tc>
          <w:tcPr>
            <w:tcW w:w="860"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117"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4578"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359"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13"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3" w:lineRule="exact"/>
        <w:jc w:val="center"/>
        <w:rPr>
          <w:rFonts w:ascii="宋体" w:hAnsi="宋体" w:cs="宋体" w:eastAsia="宋体" w:hint="default"/>
          <w:sz w:val="21"/>
          <w:szCs w:val="21"/>
        </w:rPr>
        <w:sectPr>
          <w:headerReference w:type="default" r:id="rId75"/>
          <w:pgSz w:w="11910" w:h="16840"/>
          <w:pgMar w:header="926" w:footer="1315" w:top="1120" w:bottom="1500" w:left="1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860"/>
        <w:gridCol w:w="1162"/>
        <w:gridCol w:w="1129"/>
        <w:gridCol w:w="1128"/>
        <w:gridCol w:w="1160"/>
        <w:gridCol w:w="1159"/>
        <w:gridCol w:w="1068"/>
        <w:gridCol w:w="1066"/>
        <w:gridCol w:w="1066"/>
      </w:tblGrid>
      <w:tr>
        <w:trPr>
          <w:trHeight w:val="644" w:hRule="exact"/>
        </w:trPr>
        <w:tc>
          <w:tcPr>
            <w:tcW w:w="860" w:type="dxa"/>
            <w:tcBorders>
              <w:top w:val="single" w:sz="4" w:space="0" w:color="000000"/>
              <w:left w:val="single" w:sz="4" w:space="0" w:color="000000"/>
              <w:bottom w:val="single" w:sz="6" w:space="0" w:color="000000"/>
              <w:right w:val="single" w:sz="6" w:space="0" w:color="000000"/>
            </w:tcBorders>
          </w:tcPr>
          <w:p>
            <w:pPr>
              <w:pStyle w:val="TableParagraph"/>
              <w:spacing w:line="246" w:lineRule="exact"/>
              <w:ind w:left="2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51"/>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3"/>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综合收益</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总额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48" w:right="0"/>
              <w:jc w:val="left"/>
              <w:rPr>
                <w:rFonts w:ascii="宋体" w:hAnsi="宋体" w:cs="宋体" w:eastAsia="宋体" w:hint="default"/>
                <w:sz w:val="21"/>
                <w:szCs w:val="21"/>
              </w:rPr>
            </w:pPr>
            <w:r>
              <w:rPr>
                <w:rFonts w:ascii="宋体" w:hAnsi="宋体" w:cs="宋体" w:eastAsia="宋体" w:hint="default"/>
                <w:sz w:val="21"/>
                <w:szCs w:val="21"/>
              </w:rPr>
              <w:t>经营活动</w:t>
            </w:r>
          </w:p>
          <w:p>
            <w:pPr>
              <w:pStyle w:val="TableParagraph"/>
              <w:spacing w:line="240" w:lineRule="auto" w:before="37"/>
              <w:ind w:left="148" w:right="0"/>
              <w:jc w:val="left"/>
              <w:rPr>
                <w:rFonts w:ascii="宋体" w:hAnsi="宋体" w:cs="宋体" w:eastAsia="宋体" w:hint="default"/>
                <w:sz w:val="21"/>
                <w:szCs w:val="21"/>
              </w:rPr>
            </w:pPr>
            <w:r>
              <w:rPr>
                <w:rFonts w:ascii="宋体" w:hAnsi="宋体" w:cs="宋体" w:eastAsia="宋体" w:hint="default"/>
                <w:sz w:val="21"/>
                <w:szCs w:val="21"/>
              </w:rPr>
              <w:t>现金流量</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5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综合收益</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总额</w:t>
            </w:r>
          </w:p>
        </w:tc>
        <w:tc>
          <w:tcPr>
            <w:tcW w:w="1066"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现金流量</w:t>
            </w:r>
          </w:p>
        </w:tc>
      </w:tr>
      <w:tr>
        <w:trPr>
          <w:trHeight w:val="326" w:hRule="exact"/>
        </w:trPr>
        <w:tc>
          <w:tcPr>
            <w:tcW w:w="8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畅捷通</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350,683,267</w:t>
            </w:r>
            <w:r>
              <w:rPr>
                <w:rFonts w:ascii="Times New Roman"/>
                <w:sz w:val="21"/>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6"/>
              <w:jc w:val="center"/>
              <w:rPr>
                <w:rFonts w:ascii="Times New Roman" w:hAnsi="Times New Roman" w:cs="Times New Roman" w:eastAsia="Times New Roman" w:hint="default"/>
                <w:sz w:val="21"/>
                <w:szCs w:val="21"/>
              </w:rPr>
            </w:pPr>
            <w:r>
              <w:rPr>
                <w:rFonts w:ascii="Times New Roman"/>
                <w:w w:val="95"/>
                <w:sz w:val="21"/>
              </w:rPr>
              <w:t>-80,202,335</w:t>
            </w:r>
            <w:r>
              <w:rPr>
                <w:rFonts w:ascii="Times New Roman"/>
                <w:sz w:val="21"/>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-78,218,594</w:t>
            </w:r>
            <w:r>
              <w:rPr>
                <w:rFonts w:ascii="Times New Roman"/>
                <w:sz w:val="21"/>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54,303,165</w:t>
            </w:r>
            <w:r>
              <w:rPr>
                <w:rFonts w:ascii="Times New Roman"/>
                <w:sz w:val="21"/>
              </w:rPr>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w w:val="95"/>
                <w:sz w:val="21"/>
              </w:rPr>
              <w:t>339,207,330</w:t>
            </w:r>
            <w:r>
              <w:rPr>
                <w:rFonts w:ascii="Times New Roman"/>
                <w:sz w:val="21"/>
              </w:rPr>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w w:val="95"/>
                <w:sz w:val="21"/>
              </w:rPr>
              <w:t>96,925,185</w:t>
            </w:r>
            <w:r>
              <w:rPr>
                <w:rFonts w:ascii="Times New Roman"/>
                <w:sz w:val="21"/>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95"/>
                <w:sz w:val="21"/>
              </w:rPr>
              <w:t>96,850,434</w:t>
            </w:r>
            <w:r>
              <w:rPr>
                <w:rFonts w:ascii="Times New Roman"/>
                <w:sz w:val="21"/>
              </w:rPr>
            </w:r>
          </w:p>
        </w:tc>
        <w:tc>
          <w:tcPr>
            <w:tcW w:w="106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8"/>
              <w:jc w:val="center"/>
              <w:rPr>
                <w:rFonts w:ascii="Times New Roman" w:hAnsi="Times New Roman" w:cs="Times New Roman" w:eastAsia="Times New Roman" w:hint="default"/>
                <w:sz w:val="21"/>
                <w:szCs w:val="21"/>
              </w:rPr>
            </w:pPr>
            <w:r>
              <w:rPr>
                <w:rFonts w:ascii="Times New Roman"/>
                <w:w w:val="95"/>
                <w:sz w:val="21"/>
              </w:rPr>
              <w:t>98,252,689</w:t>
            </w:r>
            <w:r>
              <w:rPr>
                <w:rFonts w:ascii="Times New Roman"/>
                <w:sz w:val="21"/>
              </w:rPr>
            </w:r>
          </w:p>
        </w:tc>
      </w:tr>
      <w:tr>
        <w:trPr>
          <w:trHeight w:val="643" w:hRule="exact"/>
        </w:trPr>
        <w:tc>
          <w:tcPr>
            <w:tcW w:w="86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用友政</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w w:val="85"/>
                <w:sz w:val="21"/>
              </w:rPr>
              <w:t>572,937,269</w:t>
            </w:r>
            <w:r>
              <w:rPr>
                <w:rFonts w:ascii="Times New Roman"/>
                <w:sz w:val="21"/>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54" w:right="0"/>
              <w:jc w:val="center"/>
              <w:rPr>
                <w:rFonts w:ascii="Times New Roman" w:hAnsi="Times New Roman" w:cs="Times New Roman" w:eastAsia="Times New Roman" w:hint="default"/>
                <w:sz w:val="21"/>
                <w:szCs w:val="21"/>
              </w:rPr>
            </w:pPr>
            <w:r>
              <w:rPr>
                <w:rFonts w:ascii="Times New Roman"/>
                <w:w w:val="95"/>
                <w:sz w:val="21"/>
              </w:rPr>
              <w:t>73,226,223</w:t>
            </w:r>
            <w:r>
              <w:rPr>
                <w:rFonts w:ascii="Times New Roman"/>
                <w:sz w:val="21"/>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w w:val="85"/>
                <w:sz w:val="21"/>
              </w:rPr>
              <w:t>73,226,223</w:t>
            </w:r>
            <w:r>
              <w:rPr>
                <w:rFonts w:ascii="Times New Roman"/>
                <w:sz w:val="21"/>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w w:val="85"/>
                <w:sz w:val="21"/>
              </w:rPr>
              <w:t>114,341,921</w:t>
            </w:r>
            <w:r>
              <w:rPr>
                <w:rFonts w:ascii="Times New Roman"/>
                <w:sz w:val="21"/>
              </w:rPr>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w w:val="95"/>
                <w:sz w:val="21"/>
              </w:rPr>
              <w:t>574,354,488</w:t>
            </w:r>
            <w:r>
              <w:rPr>
                <w:rFonts w:ascii="Times New Roman"/>
                <w:sz w:val="21"/>
              </w:rPr>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3"/>
              <w:jc w:val="center"/>
              <w:rPr>
                <w:rFonts w:ascii="Times New Roman" w:hAnsi="Times New Roman" w:cs="Times New Roman" w:eastAsia="Times New Roman" w:hint="default"/>
                <w:sz w:val="21"/>
                <w:szCs w:val="21"/>
              </w:rPr>
            </w:pPr>
            <w:r>
              <w:rPr>
                <w:rFonts w:ascii="Times New Roman"/>
                <w:w w:val="95"/>
                <w:sz w:val="21"/>
              </w:rPr>
              <w:t>97,198,944</w:t>
            </w:r>
            <w:r>
              <w:rPr>
                <w:rFonts w:ascii="Times New Roman"/>
                <w:sz w:val="21"/>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6"/>
              <w:jc w:val="center"/>
              <w:rPr>
                <w:rFonts w:ascii="Times New Roman" w:hAnsi="Times New Roman" w:cs="Times New Roman" w:eastAsia="Times New Roman" w:hint="default"/>
                <w:sz w:val="21"/>
                <w:szCs w:val="21"/>
              </w:rPr>
            </w:pPr>
            <w:r>
              <w:rPr>
                <w:rFonts w:ascii="Times New Roman"/>
                <w:w w:val="95"/>
                <w:sz w:val="21"/>
              </w:rPr>
              <w:t>97,198,944</w:t>
            </w:r>
            <w:r>
              <w:rPr>
                <w:rFonts w:ascii="Times New Roman"/>
                <w:sz w:val="21"/>
              </w:rPr>
            </w:r>
          </w:p>
        </w:tc>
        <w:tc>
          <w:tcPr>
            <w:tcW w:w="1066"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8"/>
              <w:jc w:val="center"/>
              <w:rPr>
                <w:rFonts w:ascii="Times New Roman" w:hAnsi="Times New Roman" w:cs="Times New Roman" w:eastAsia="Times New Roman" w:hint="default"/>
                <w:sz w:val="21"/>
                <w:szCs w:val="21"/>
              </w:rPr>
            </w:pPr>
            <w:r>
              <w:rPr>
                <w:rFonts w:ascii="Times New Roman"/>
                <w:w w:val="95"/>
                <w:sz w:val="21"/>
              </w:rPr>
              <w:t>88,451,065</w:t>
            </w:r>
            <w:r>
              <w:rPr>
                <w:rFonts w:ascii="Times New Roman"/>
                <w:sz w:val="21"/>
              </w:rPr>
            </w:r>
          </w:p>
        </w:tc>
      </w:tr>
      <w:tr>
        <w:trPr>
          <w:trHeight w:val="638" w:hRule="exact"/>
        </w:trPr>
        <w:tc>
          <w:tcPr>
            <w:tcW w:w="86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用友汽</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车</w:t>
            </w:r>
          </w:p>
        </w:tc>
        <w:tc>
          <w:tcPr>
            <w:tcW w:w="1162"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272,067,987</w:t>
            </w:r>
            <w:r>
              <w:rPr>
                <w:rFonts w:ascii="Times New Roman"/>
                <w:sz w:val="21"/>
              </w:rPr>
            </w:r>
          </w:p>
        </w:tc>
        <w:tc>
          <w:tcPr>
            <w:tcW w:w="1129"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54" w:right="0"/>
              <w:jc w:val="center"/>
              <w:rPr>
                <w:rFonts w:ascii="Times New Roman" w:hAnsi="Times New Roman" w:cs="Times New Roman" w:eastAsia="Times New Roman" w:hint="default"/>
                <w:sz w:val="21"/>
                <w:szCs w:val="21"/>
              </w:rPr>
            </w:pPr>
            <w:r>
              <w:rPr>
                <w:rFonts w:ascii="Times New Roman"/>
                <w:w w:val="95"/>
                <w:sz w:val="21"/>
              </w:rPr>
              <w:t>62,532,680</w:t>
            </w:r>
            <w:r>
              <w:rPr>
                <w:rFonts w:ascii="Times New Roman"/>
                <w:sz w:val="21"/>
              </w:rPr>
            </w:r>
          </w:p>
        </w:tc>
        <w:tc>
          <w:tcPr>
            <w:tcW w:w="1128"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62,532,680</w:t>
            </w:r>
            <w:r>
              <w:rPr>
                <w:rFonts w:ascii="Times New Roman"/>
                <w:sz w:val="21"/>
              </w:rPr>
            </w:r>
          </w:p>
        </w:tc>
        <w:tc>
          <w:tcPr>
            <w:tcW w:w="1160"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64,779,060</w:t>
            </w:r>
            <w:r>
              <w:rPr>
                <w:rFonts w:ascii="Times New Roman"/>
                <w:sz w:val="21"/>
              </w:rPr>
            </w:r>
          </w:p>
        </w:tc>
        <w:tc>
          <w:tcPr>
            <w:tcW w:w="1159"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w w:val="95"/>
                <w:sz w:val="21"/>
              </w:rPr>
              <w:t>266,085,354</w:t>
            </w:r>
            <w:r>
              <w:rPr>
                <w:rFonts w:ascii="Times New Roman"/>
                <w:sz w:val="21"/>
              </w:rPr>
            </w:r>
          </w:p>
        </w:tc>
        <w:tc>
          <w:tcPr>
            <w:tcW w:w="1068"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w w:val="95"/>
                <w:sz w:val="21"/>
              </w:rPr>
              <w:t>54,736,238</w:t>
            </w:r>
            <w:r>
              <w:rPr>
                <w:rFonts w:ascii="Times New Roman"/>
                <w:sz w:val="21"/>
              </w:rPr>
            </w:r>
          </w:p>
        </w:tc>
        <w:tc>
          <w:tcPr>
            <w:tcW w:w="1066"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6"/>
              <w:jc w:val="center"/>
              <w:rPr>
                <w:rFonts w:ascii="Times New Roman" w:hAnsi="Times New Roman" w:cs="Times New Roman" w:eastAsia="Times New Roman" w:hint="default"/>
                <w:sz w:val="21"/>
                <w:szCs w:val="21"/>
              </w:rPr>
            </w:pPr>
            <w:r>
              <w:rPr>
                <w:rFonts w:ascii="Times New Roman"/>
                <w:w w:val="95"/>
                <w:sz w:val="21"/>
              </w:rPr>
              <w:t>54,736,238</w:t>
            </w:r>
            <w:r>
              <w:rPr>
                <w:rFonts w:ascii="Times New Roman"/>
                <w:sz w:val="21"/>
              </w:rPr>
            </w:r>
          </w:p>
        </w:tc>
        <w:tc>
          <w:tcPr>
            <w:tcW w:w="1066"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8"/>
              <w:jc w:val="center"/>
              <w:rPr>
                <w:rFonts w:ascii="Times New Roman" w:hAnsi="Times New Roman" w:cs="Times New Roman" w:eastAsia="Times New Roman" w:hint="default"/>
                <w:sz w:val="21"/>
                <w:szCs w:val="21"/>
              </w:rPr>
            </w:pPr>
            <w:r>
              <w:rPr>
                <w:rFonts w:ascii="Times New Roman"/>
                <w:w w:val="95"/>
                <w:sz w:val="21"/>
              </w:rPr>
              <w:t>46,431,042</w:t>
            </w:r>
            <w:r>
              <w:rPr>
                <w:rFonts w:ascii="Times New Roman"/>
                <w:sz w:val="21"/>
              </w:rPr>
            </w:r>
          </w:p>
        </w:tc>
      </w:tr>
    </w:tbl>
    <w:p>
      <w:pPr>
        <w:spacing w:line="240" w:lineRule="auto" w:before="7"/>
        <w:rPr>
          <w:rFonts w:ascii="宋体" w:hAnsi="宋体" w:cs="宋体" w:eastAsia="宋体" w:hint="default"/>
          <w:sz w:val="15"/>
          <w:szCs w:val="15"/>
        </w:rPr>
      </w:pPr>
    </w:p>
    <w:p>
      <w:pPr>
        <w:pStyle w:val="BodyText"/>
        <w:spacing w:line="240" w:lineRule="auto" w:before="36"/>
        <w:ind w:left="958" w:right="228"/>
        <w:jc w:val="left"/>
      </w:pPr>
      <w:r>
        <w:rPr/>
        <w:t>其他说明：</w:t>
      </w:r>
    </w:p>
    <w:p>
      <w:pPr>
        <w:spacing w:line="240" w:lineRule="auto" w:before="9"/>
        <w:rPr>
          <w:rFonts w:ascii="宋体" w:hAnsi="宋体" w:cs="宋体" w:eastAsia="宋体" w:hint="default"/>
          <w:sz w:val="20"/>
          <w:szCs w:val="20"/>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2"/>
        <w:tabs>
          <w:tab w:pos="1601" w:val="left" w:leader="none"/>
        </w:tabs>
        <w:spacing w:line="240" w:lineRule="auto"/>
        <w:ind w:left="958" w:right="228"/>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spacing w:line="240" w:lineRule="auto" w:before="3"/>
        <w:rPr>
          <w:rFonts w:ascii="宋体" w:hAnsi="宋体" w:cs="宋体" w:eastAsia="宋体" w:hint="default"/>
          <w:b/>
          <w:bCs/>
          <w:sz w:val="25"/>
          <w:szCs w:val="25"/>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tabs>
          <w:tab w:pos="1601" w:val="left" w:leader="none"/>
        </w:tabs>
        <w:spacing w:line="240" w:lineRule="auto"/>
        <w:ind w:left="958" w:right="228"/>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spacing w:line="240" w:lineRule="auto" w:before="6"/>
        <w:rPr>
          <w:rFonts w:ascii="宋体" w:hAnsi="宋体" w:cs="宋体" w:eastAsia="宋体" w:hint="default"/>
          <w:b/>
          <w:bCs/>
          <w:sz w:val="25"/>
          <w:szCs w:val="25"/>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left="958" w:right="228"/>
        <w:jc w:val="left"/>
      </w:pPr>
      <w:r>
        <w:rPr/>
        <w:t>其他说明：</w:t>
      </w:r>
    </w:p>
    <w:p>
      <w:pPr>
        <w:spacing w:line="240" w:lineRule="auto" w:before="9"/>
        <w:rPr>
          <w:rFonts w:ascii="宋体" w:hAnsi="宋体" w:cs="宋体" w:eastAsia="宋体" w:hint="default"/>
          <w:sz w:val="20"/>
          <w:szCs w:val="20"/>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left="958" w:right="228"/>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9"/>
        <w:ind w:left="958" w:right="441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1"/>
          <w:szCs w:val="21"/>
        </w:rPr>
        <w:t>在子公司所有者权益份额的变化情况的说明：</w:t>
      </w:r>
      <w:r>
        <w:rPr>
          <w:rFonts w:ascii="宋体" w:hAnsi="宋体" w:cs="宋体" w:eastAsia="宋体" w:hint="default"/>
          <w:b/>
          <w:bCs/>
          <w:w w:val="100"/>
          <w:sz w:val="21"/>
          <w:szCs w:val="21"/>
        </w:rPr>
        <w:t> </w:t>
      </w:r>
      <w:r>
        <w:rPr>
          <w:rFonts w:ascii="宋体" w:hAnsi="宋体" w:cs="宋体" w:eastAsia="宋体" w:hint="default"/>
          <w:sz w:val="21"/>
          <w:szCs w:val="21"/>
        </w:rPr>
        <w:t>见附注九、</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w:t>
      </w:r>
    </w:p>
    <w:p>
      <w:pPr>
        <w:spacing w:line="240" w:lineRule="auto" w:before="1"/>
        <w:rPr>
          <w:rFonts w:ascii="宋体" w:hAnsi="宋体" w:cs="宋体" w:eastAsia="宋体" w:hint="default"/>
          <w:sz w:val="19"/>
          <w:szCs w:val="19"/>
        </w:rPr>
      </w:pPr>
    </w:p>
    <w:p>
      <w:pPr>
        <w:pStyle w:val="Heading2"/>
        <w:spacing w:line="240" w:lineRule="auto"/>
        <w:ind w:left="958" w:right="228"/>
        <w:jc w:val="left"/>
        <w:rPr>
          <w:rFonts w:ascii="宋体" w:hAnsi="宋体" w:cs="宋体" w:eastAsia="宋体" w:hint="default"/>
          <w:b w:val="0"/>
          <w:bCs w:val="0"/>
        </w:rPr>
      </w:pPr>
      <w:r>
        <w:rPr>
          <w:rFonts w:ascii="宋体" w:hAnsi="宋体" w:cs="宋体" w:eastAsia="宋体" w:hint="default"/>
          <w:sz w:val="20"/>
          <w:szCs w:val="20"/>
        </w:rPr>
        <w:t>(2).</w:t>
      </w:r>
      <w:r>
        <w:rPr>
          <w:rFonts w:ascii="宋体" w:hAnsi="宋体" w:cs="宋体" w:eastAsia="宋体" w:hint="default"/>
          <w:spacing w:val="-82"/>
          <w:sz w:val="20"/>
          <w:szCs w:val="20"/>
        </w:rPr>
        <w:t> </w:t>
      </w:r>
      <w:r>
        <w:rPr/>
        <w:t>交易对于少数股东权益及归属于母公司所有者权益的影响</w:t>
      </w:r>
      <w:r>
        <w:rPr>
          <w:rFonts w:ascii="宋体" w:hAnsi="宋体" w:cs="宋体" w:eastAsia="宋体" w:hint="default"/>
          <w:b w:val="0"/>
          <w:bCs w:val="0"/>
        </w:rPr>
        <w:t>：</w:t>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4503"/>
        <w:gridCol w:w="4547"/>
      </w:tblGrid>
      <w:tr>
        <w:trPr>
          <w:trHeight w:val="286" w:hRule="exact"/>
        </w:trPr>
        <w:tc>
          <w:tcPr>
            <w:tcW w:w="4503" w:type="dxa"/>
            <w:tcBorders>
              <w:top w:val="single" w:sz="6" w:space="0" w:color="000000"/>
              <w:left w:val="single" w:sz="4" w:space="0" w:color="000000"/>
              <w:bottom w:val="single" w:sz="6" w:space="0" w:color="000000"/>
              <w:right w:val="single" w:sz="6" w:space="0" w:color="000000"/>
            </w:tcBorders>
          </w:tcPr>
          <w:p>
            <w:pPr/>
          </w:p>
        </w:tc>
        <w:tc>
          <w:tcPr>
            <w:tcW w:w="454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4547"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54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171,732,331</w:t>
            </w: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547"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503" w:type="dxa"/>
            <w:tcBorders>
              <w:top w:val="single" w:sz="6" w:space="0" w:color="000000"/>
              <w:left w:val="single" w:sz="4" w:space="0" w:color="000000"/>
              <w:bottom w:val="single" w:sz="6" w:space="0" w:color="000000"/>
              <w:right w:val="single" w:sz="6" w:space="0" w:color="000000"/>
            </w:tcBorders>
          </w:tcPr>
          <w:p>
            <w:pPr/>
          </w:p>
        </w:tc>
        <w:tc>
          <w:tcPr>
            <w:tcW w:w="4547" w:type="dxa"/>
            <w:tcBorders>
              <w:top w:val="single" w:sz="6" w:space="0" w:color="000000"/>
              <w:left w:val="single" w:sz="6" w:space="0" w:color="000000"/>
              <w:bottom w:val="single" w:sz="6" w:space="0" w:color="000000"/>
              <w:right w:val="single" w:sz="4" w:space="0" w:color="000000"/>
            </w:tcBorders>
          </w:tcPr>
          <w:p>
            <w:pPr/>
          </w:p>
        </w:tc>
      </w:tr>
      <w:tr>
        <w:trPr>
          <w:trHeight w:val="289"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454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171,732,331</w:t>
            </w:r>
          </w:p>
        </w:tc>
      </w:tr>
      <w:tr>
        <w:trPr>
          <w:trHeight w:val="559"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减：按取得</w:t>
            </w:r>
            <w:r>
              <w:rPr>
                <w:rFonts w:ascii="宋体" w:hAnsi="宋体" w:cs="宋体" w:eastAsia="宋体" w:hint="default"/>
                <w:spacing w:val="-3"/>
                <w:sz w:val="21"/>
                <w:szCs w:val="21"/>
              </w:rPr>
              <w:t>/</w:t>
            </w:r>
            <w:r>
              <w:rPr>
                <w:rFonts w:ascii="宋体" w:hAnsi="宋体" w:cs="宋体" w:eastAsia="宋体" w:hint="default"/>
                <w:spacing w:val="-3"/>
                <w:sz w:val="21"/>
                <w:szCs w:val="21"/>
              </w:rPr>
              <w:t>处置的股权比例计算的子公司净资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p>
        </w:tc>
        <w:tc>
          <w:tcPr>
            <w:tcW w:w="454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155,767,965</w:t>
            </w: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454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15,964,366</w:t>
            </w:r>
          </w:p>
        </w:tc>
      </w:tr>
      <w:tr>
        <w:trPr>
          <w:trHeight w:val="288"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454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15,964,366</w:t>
            </w:r>
          </w:p>
        </w:tc>
      </w:tr>
      <w:tr>
        <w:trPr>
          <w:trHeight w:val="286" w:hRule="exact"/>
        </w:trPr>
        <w:tc>
          <w:tcPr>
            <w:tcW w:w="45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4547"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503"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4547"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1" w:lineRule="exact"/>
        <w:ind w:left="958" w:right="228"/>
        <w:jc w:val="left"/>
      </w:pPr>
      <w:r>
        <w:rPr/>
        <w:t>其他说明</w:t>
      </w:r>
    </w:p>
    <w:p>
      <w:pPr>
        <w:spacing w:line="240" w:lineRule="auto" w:before="11"/>
        <w:rPr>
          <w:rFonts w:ascii="宋体" w:hAnsi="宋体" w:cs="宋体" w:eastAsia="宋体" w:hint="default"/>
          <w:sz w:val="20"/>
          <w:szCs w:val="20"/>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left="958" w:right="22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left="958" w:right="228"/>
        <w:jc w:val="left"/>
      </w:pPr>
      <w:r>
        <w:rPr/>
        <w:t>√适用</w:t>
      </w:r>
      <w:r>
        <w:rPr>
          <w:spacing w:val="-1"/>
        </w:rPr>
        <w:t> </w:t>
      </w:r>
      <w:r>
        <w:rPr/>
        <w:t>□不适用</w:t>
      </w:r>
    </w:p>
    <w:p>
      <w:pPr>
        <w:spacing w:after="0" w:line="240" w:lineRule="auto"/>
        <w:jc w:val="left"/>
        <w:sectPr>
          <w:pgSz w:w="11910" w:h="16840"/>
          <w:pgMar w:header="926" w:footer="1315" w:top="1120" w:bottom="1500" w:left="840" w:right="1040"/>
        </w:sectPr>
      </w:pPr>
    </w:p>
    <w:p>
      <w:pPr>
        <w:spacing w:line="240" w:lineRule="auto" w:before="1"/>
        <w:rPr>
          <w:rFonts w:ascii="宋体" w:hAnsi="宋体" w:cs="宋体" w:eastAsia="宋体" w:hint="default"/>
          <w:sz w:val="25"/>
          <w:szCs w:val="25"/>
        </w:rPr>
      </w:pPr>
    </w:p>
    <w:p>
      <w:pPr>
        <w:tabs>
          <w:tab w:pos="849" w:val="left" w:leader="none"/>
        </w:tabs>
        <w:spacing w:before="36"/>
        <w:ind w:left="218" w:right="2465" w:firstLine="0"/>
        <w:jc w:val="left"/>
        <w:rPr>
          <w:rFonts w:ascii="宋体" w:hAnsi="宋体" w:cs="宋体" w:eastAsia="宋体" w:hint="default"/>
          <w:sz w:val="21"/>
          <w:szCs w:val="21"/>
        </w:rPr>
      </w:pPr>
      <w:r>
        <w:rPr>
          <w:rFonts w:ascii="宋体" w:hAnsi="宋体" w:cs="宋体" w:eastAsia="宋体" w:hint="default"/>
          <w:b/>
          <w:bCs/>
          <w:w w:val="95"/>
          <w:sz w:val="20"/>
          <w:szCs w:val="20"/>
        </w:rPr>
        <w:t>(1).</w:t>
        <w:tab/>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22"/>
        <w:gridCol w:w="1345"/>
        <w:gridCol w:w="1267"/>
        <w:gridCol w:w="1308"/>
        <w:gridCol w:w="1322"/>
        <w:gridCol w:w="1335"/>
        <w:gridCol w:w="1250"/>
      </w:tblGrid>
      <w:tr>
        <w:trPr>
          <w:trHeight w:val="463" w:hRule="exact"/>
        </w:trPr>
        <w:tc>
          <w:tcPr>
            <w:tcW w:w="1222" w:type="dxa"/>
            <w:vMerge w:val="restart"/>
            <w:tcBorders>
              <w:top w:val="single" w:sz="4" w:space="0" w:color="000000"/>
              <w:left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84" w:right="180"/>
              <w:jc w:val="both"/>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w w:val="100"/>
                <w:sz w:val="21"/>
                <w:szCs w:val="21"/>
              </w:rPr>
              <w:t> </w:t>
            </w: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45"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7"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7"/>
              <w:ind w:left="74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0" w:type="dxa"/>
            <w:vMerge w:val="restart"/>
            <w:tcBorders>
              <w:top w:val="single" w:sz="4" w:space="0" w:color="000000"/>
              <w:left w:val="single" w:sz="6" w:space="0" w:color="000000"/>
              <w:right w:val="single" w:sz="4" w:space="0" w:color="000000"/>
            </w:tcBorders>
          </w:tcPr>
          <w:p>
            <w:pPr>
              <w:pStyle w:val="TableParagraph"/>
              <w:spacing w:line="241" w:lineRule="exact"/>
              <w:ind w:left="199"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37" w:lineRule="auto"/>
              <w:ind w:left="199" w:right="194"/>
              <w:jc w:val="both"/>
              <w:rPr>
                <w:rFonts w:ascii="宋体" w:hAnsi="宋体" w:cs="宋体" w:eastAsia="宋体" w:hint="default"/>
                <w:sz w:val="21"/>
                <w:szCs w:val="21"/>
              </w:rPr>
            </w:pPr>
            <w:r>
              <w:rPr>
                <w:rFonts w:ascii="宋体" w:hAnsi="宋体" w:cs="宋体" w:eastAsia="宋体" w:hint="default"/>
                <w:sz w:val="21"/>
                <w:szCs w:val="21"/>
              </w:rPr>
              <w:t>业或联营</w:t>
            </w:r>
            <w:r>
              <w:rPr>
                <w:rFonts w:ascii="宋体" w:hAnsi="宋体" w:cs="宋体" w:eastAsia="宋体" w:hint="default"/>
                <w:w w:val="100"/>
                <w:sz w:val="21"/>
                <w:szCs w:val="21"/>
              </w:rPr>
              <w:t> </w:t>
            </w:r>
            <w:r>
              <w:rPr>
                <w:rFonts w:ascii="宋体" w:hAnsi="宋体" w:cs="宋体" w:eastAsia="宋体" w:hint="default"/>
                <w:sz w:val="21"/>
                <w:szCs w:val="21"/>
              </w:rPr>
              <w:t>企业投资</w:t>
            </w:r>
            <w:r>
              <w:rPr>
                <w:rFonts w:ascii="宋体" w:hAnsi="宋体" w:cs="宋体" w:eastAsia="宋体" w:hint="default"/>
                <w:w w:val="100"/>
                <w:sz w:val="21"/>
                <w:szCs w:val="21"/>
              </w:rPr>
              <w:t> </w:t>
            </w:r>
            <w:r>
              <w:rPr>
                <w:rFonts w:ascii="宋体" w:hAnsi="宋体" w:cs="宋体" w:eastAsia="宋体" w:hint="default"/>
                <w:sz w:val="21"/>
                <w:szCs w:val="21"/>
              </w:rPr>
              <w:t>的会计处</w:t>
            </w:r>
            <w:r>
              <w:rPr>
                <w:rFonts w:ascii="宋体" w:hAnsi="宋体" w:cs="宋体" w:eastAsia="宋体" w:hint="default"/>
                <w:w w:val="100"/>
                <w:sz w:val="21"/>
                <w:szCs w:val="21"/>
              </w:rPr>
              <w:t> </w:t>
            </w:r>
            <w:r>
              <w:rPr>
                <w:rFonts w:ascii="宋体" w:hAnsi="宋体" w:cs="宋体" w:eastAsia="宋体" w:hint="default"/>
                <w:sz w:val="21"/>
                <w:szCs w:val="21"/>
              </w:rPr>
              <w:t>理方法</w:t>
            </w:r>
          </w:p>
        </w:tc>
      </w:tr>
      <w:tr>
        <w:trPr>
          <w:trHeight w:val="912" w:hRule="exact"/>
        </w:trPr>
        <w:tc>
          <w:tcPr>
            <w:tcW w:w="1222" w:type="dxa"/>
            <w:vMerge/>
            <w:tcBorders>
              <w:left w:val="single" w:sz="4" w:space="0" w:color="000000"/>
              <w:bottom w:val="single" w:sz="6" w:space="0" w:color="000000"/>
              <w:right w:val="single" w:sz="6" w:space="0" w:color="000000"/>
            </w:tcBorders>
          </w:tcPr>
          <w:p>
            <w:pPr/>
          </w:p>
        </w:tc>
        <w:tc>
          <w:tcPr>
            <w:tcW w:w="1345" w:type="dxa"/>
            <w:vMerge/>
            <w:tcBorders>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0" w:type="dxa"/>
            <w:vMerge/>
            <w:tcBorders>
              <w:left w:val="single" w:sz="6" w:space="0" w:color="000000"/>
              <w:bottom w:val="single" w:sz="6" w:space="0" w:color="000000"/>
              <w:right w:val="single" w:sz="4" w:space="0" w:color="000000"/>
            </w:tcBorders>
          </w:tcPr>
          <w:p>
            <w:pPr/>
          </w:p>
        </w:tc>
      </w:tr>
      <w:tr>
        <w:trPr>
          <w:trHeight w:val="288" w:hRule="exact"/>
        </w:trPr>
        <w:tc>
          <w:tcPr>
            <w:tcW w:w="1222" w:type="dxa"/>
            <w:tcBorders>
              <w:top w:val="single" w:sz="6" w:space="0" w:color="000000"/>
              <w:left w:val="single" w:sz="4"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1222" w:type="dxa"/>
            <w:tcBorders>
              <w:top w:val="single" w:sz="6" w:space="0" w:color="000000"/>
              <w:left w:val="single" w:sz="4"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1222" w:type="dxa"/>
            <w:tcBorders>
              <w:top w:val="single" w:sz="6" w:space="0" w:color="000000"/>
              <w:left w:val="single" w:sz="4" w:space="0" w:color="000000"/>
              <w:bottom w:val="single" w:sz="4" w:space="0" w:color="000000"/>
              <w:right w:val="single" w:sz="6" w:space="0" w:color="000000"/>
            </w:tcBorders>
          </w:tcPr>
          <w:p>
            <w:pPr/>
          </w:p>
        </w:tc>
        <w:tc>
          <w:tcPr>
            <w:tcW w:w="1345" w:type="dxa"/>
            <w:tcBorders>
              <w:top w:val="single" w:sz="6" w:space="0" w:color="000000"/>
              <w:left w:val="single" w:sz="6" w:space="0" w:color="000000"/>
              <w:bottom w:val="single" w:sz="4" w:space="0" w:color="000000"/>
              <w:right w:val="single" w:sz="6" w:space="0" w:color="000000"/>
            </w:tcBorders>
          </w:tcPr>
          <w:p>
            <w:pPr/>
          </w:p>
        </w:tc>
        <w:tc>
          <w:tcPr>
            <w:tcW w:w="1267" w:type="dxa"/>
            <w:tcBorders>
              <w:top w:val="single" w:sz="6" w:space="0" w:color="000000"/>
              <w:left w:val="single" w:sz="6" w:space="0" w:color="000000"/>
              <w:bottom w:val="single" w:sz="4" w:space="0" w:color="000000"/>
              <w:right w:val="single" w:sz="6" w:space="0" w:color="000000"/>
            </w:tcBorders>
          </w:tcPr>
          <w:p>
            <w:pPr/>
          </w:p>
        </w:tc>
        <w:tc>
          <w:tcPr>
            <w:tcW w:w="1308" w:type="dxa"/>
            <w:tcBorders>
              <w:top w:val="single" w:sz="6" w:space="0" w:color="000000"/>
              <w:left w:val="single" w:sz="6" w:space="0" w:color="000000"/>
              <w:bottom w:val="single" w:sz="4" w:space="0" w:color="000000"/>
              <w:right w:val="single" w:sz="6" w:space="0" w:color="000000"/>
            </w:tcBorders>
          </w:tcPr>
          <w:p>
            <w:pPr/>
          </w:p>
        </w:tc>
        <w:tc>
          <w:tcPr>
            <w:tcW w:w="1322" w:type="dxa"/>
            <w:tcBorders>
              <w:top w:val="single" w:sz="6" w:space="0" w:color="000000"/>
              <w:left w:val="single" w:sz="6" w:space="0" w:color="000000"/>
              <w:bottom w:val="single" w:sz="4" w:space="0" w:color="000000"/>
              <w:right w:val="single" w:sz="6" w:space="0" w:color="000000"/>
            </w:tcBorders>
          </w:tcPr>
          <w:p>
            <w:pPr/>
          </w:p>
        </w:tc>
        <w:tc>
          <w:tcPr>
            <w:tcW w:w="1335" w:type="dxa"/>
            <w:tcBorders>
              <w:top w:val="single" w:sz="6" w:space="0" w:color="000000"/>
              <w:left w:val="single" w:sz="6" w:space="0" w:color="000000"/>
              <w:bottom w:val="single" w:sz="4" w:space="0" w:color="000000"/>
              <w:right w:val="single" w:sz="6" w:space="0" w:color="000000"/>
            </w:tcBorders>
          </w:tcPr>
          <w:p>
            <w:pPr/>
          </w:p>
        </w:tc>
        <w:tc>
          <w:tcPr>
            <w:tcW w:w="1250"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218" w:right="2465"/>
        <w:jc w:val="left"/>
      </w:pPr>
      <w:r>
        <w:rPr/>
        <w:t>在合营企业或联营企业的持股比例不同于表决权比例的说明：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left="218" w:right="225"/>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tabs>
          <w:tab w:pos="849" w:val="left" w:leader="none"/>
        </w:tabs>
        <w:spacing w:before="36"/>
        <w:ind w:left="218" w:right="2465" w:firstLine="0"/>
        <w:jc w:val="left"/>
        <w:rPr>
          <w:rFonts w:ascii="宋体" w:hAnsi="宋体" w:cs="宋体" w:eastAsia="宋体" w:hint="default"/>
          <w:sz w:val="21"/>
          <w:szCs w:val="21"/>
        </w:rPr>
      </w:pPr>
      <w:r>
        <w:rPr>
          <w:rFonts w:ascii="宋体" w:hAnsi="宋体" w:cs="宋体" w:eastAsia="宋体" w:hint="default"/>
          <w:b/>
          <w:bCs/>
          <w:w w:val="95"/>
          <w:sz w:val="20"/>
          <w:szCs w:val="20"/>
        </w:rPr>
        <w:t>(2).</w:t>
        <w:tab/>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7"/>
        <w:gridCol w:w="1548"/>
        <w:gridCol w:w="1546"/>
        <w:gridCol w:w="1501"/>
        <w:gridCol w:w="1498"/>
      </w:tblGrid>
      <w:tr>
        <w:trPr>
          <w:trHeight w:val="283" w:hRule="exact"/>
        </w:trPr>
        <w:tc>
          <w:tcPr>
            <w:tcW w:w="2957" w:type="dxa"/>
            <w:vMerge w:val="restart"/>
            <w:tcBorders>
              <w:top w:val="single" w:sz="4" w:space="0" w:color="000000"/>
              <w:left w:val="single" w:sz="4" w:space="0" w:color="000000"/>
              <w:right w:val="single" w:sz="6" w:space="0" w:color="000000"/>
            </w:tcBorders>
          </w:tcPr>
          <w:p>
            <w:pPr/>
          </w:p>
        </w:tc>
        <w:tc>
          <w:tcPr>
            <w:tcW w:w="309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299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957" w:type="dxa"/>
            <w:vMerge/>
            <w:tcBorders>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投资的公允价值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48" w:type="dxa"/>
            <w:tcBorders>
              <w:top w:val="single" w:sz="6" w:space="0" w:color="000000"/>
              <w:left w:val="single" w:sz="6" w:space="0" w:color="000000"/>
              <w:bottom w:val="single" w:sz="4" w:space="0" w:color="000000"/>
              <w:right w:val="single" w:sz="6" w:space="0" w:color="000000"/>
            </w:tcBorders>
          </w:tcPr>
          <w:p>
            <w:pPr/>
          </w:p>
        </w:tc>
        <w:tc>
          <w:tcPr>
            <w:tcW w:w="1546" w:type="dxa"/>
            <w:tcBorders>
              <w:top w:val="single" w:sz="6" w:space="0" w:color="000000"/>
              <w:left w:val="single" w:sz="6" w:space="0" w:color="000000"/>
              <w:bottom w:val="single" w:sz="4"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926" w:footer="1315" w:top="1120" w:bottom="150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57"/>
        <w:gridCol w:w="1548"/>
        <w:gridCol w:w="1546"/>
        <w:gridCol w:w="1501"/>
        <w:gridCol w:w="1498"/>
      </w:tblGrid>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5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w:t>
            </w:r>
          </w:p>
        </w:tc>
        <w:tc>
          <w:tcPr>
            <w:tcW w:w="1548" w:type="dxa"/>
            <w:tcBorders>
              <w:top w:val="single" w:sz="6" w:space="0" w:color="000000"/>
              <w:left w:val="single" w:sz="6" w:space="0" w:color="000000"/>
              <w:bottom w:val="single" w:sz="4" w:space="0" w:color="000000"/>
              <w:right w:val="single" w:sz="6" w:space="0" w:color="000000"/>
            </w:tcBorders>
          </w:tcPr>
          <w:p>
            <w:pPr/>
          </w:p>
        </w:tc>
        <w:tc>
          <w:tcPr>
            <w:tcW w:w="1546" w:type="dxa"/>
            <w:tcBorders>
              <w:top w:val="single" w:sz="6" w:space="0" w:color="000000"/>
              <w:left w:val="single" w:sz="6" w:space="0" w:color="000000"/>
              <w:bottom w:val="single" w:sz="4" w:space="0" w:color="000000"/>
              <w:right w:val="single" w:sz="6" w:space="0" w:color="000000"/>
            </w:tcBorders>
          </w:tcPr>
          <w:p>
            <w:pPr/>
          </w:p>
        </w:tc>
        <w:tc>
          <w:tcPr>
            <w:tcW w:w="1501" w:type="dxa"/>
            <w:tcBorders>
              <w:top w:val="single" w:sz="6" w:space="0" w:color="000000"/>
              <w:left w:val="single" w:sz="6" w:space="0" w:color="000000"/>
              <w:bottom w:val="single" w:sz="4" w:space="0" w:color="000000"/>
              <w:right w:val="single" w:sz="6" w:space="0" w:color="000000"/>
            </w:tcBorders>
          </w:tcPr>
          <w:p>
            <w:pPr/>
          </w:p>
        </w:tc>
        <w:tc>
          <w:tcPr>
            <w:tcW w:w="1498"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1" w:lineRule="exact"/>
        <w:ind w:left="218"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tabs>
          <w:tab w:pos="849" w:val="left" w:leader="none"/>
        </w:tabs>
        <w:spacing w:before="36"/>
        <w:ind w:left="218" w:right="2465" w:firstLine="0"/>
        <w:jc w:val="left"/>
        <w:rPr>
          <w:rFonts w:ascii="宋体" w:hAnsi="宋体" w:cs="宋体" w:eastAsia="宋体" w:hint="default"/>
          <w:sz w:val="21"/>
          <w:szCs w:val="21"/>
        </w:rPr>
      </w:pPr>
      <w:r>
        <w:rPr>
          <w:rFonts w:ascii="宋体" w:hAnsi="宋体" w:cs="宋体" w:eastAsia="宋体" w:hint="default"/>
          <w:b/>
          <w:bCs/>
          <w:w w:val="95"/>
          <w:sz w:val="20"/>
          <w:szCs w:val="20"/>
        </w:rPr>
        <w:t>(3).</w:t>
        <w:tab/>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9"/>
        <w:gridCol w:w="1531"/>
        <w:gridCol w:w="1532"/>
        <w:gridCol w:w="1529"/>
        <w:gridCol w:w="1529"/>
      </w:tblGrid>
      <w:tr>
        <w:trPr>
          <w:trHeight w:val="286" w:hRule="exact"/>
        </w:trPr>
        <w:tc>
          <w:tcPr>
            <w:tcW w:w="2929" w:type="dxa"/>
            <w:vMerge w:val="restart"/>
            <w:tcBorders>
              <w:top w:val="single" w:sz="4" w:space="0" w:color="000000"/>
              <w:left w:val="single" w:sz="4" w:space="0" w:color="000000"/>
              <w:right w:val="single" w:sz="6" w:space="0" w:color="000000"/>
            </w:tcBorders>
          </w:tcPr>
          <w:p>
            <w:pPr/>
          </w:p>
        </w:tc>
        <w:tc>
          <w:tcPr>
            <w:tcW w:w="306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6" w:hRule="exact"/>
        </w:trPr>
        <w:tc>
          <w:tcPr>
            <w:tcW w:w="2929" w:type="dxa"/>
            <w:vMerge/>
            <w:tcBorders>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29" w:type="dxa"/>
            <w:tcBorders>
              <w:top w:val="single" w:sz="6" w:space="0" w:color="000000"/>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92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531" w:type="dxa"/>
            <w:tcBorders>
              <w:top w:val="single" w:sz="6" w:space="0" w:color="000000"/>
              <w:left w:val="single" w:sz="6" w:space="0" w:color="000000"/>
              <w:bottom w:val="single" w:sz="4" w:space="0" w:color="000000"/>
              <w:right w:val="single" w:sz="6" w:space="0" w:color="000000"/>
            </w:tcBorders>
          </w:tcPr>
          <w:p>
            <w:pPr/>
          </w:p>
        </w:tc>
        <w:tc>
          <w:tcPr>
            <w:tcW w:w="1532"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1" w:lineRule="exact"/>
        <w:ind w:left="218" w:right="246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6" w:footer="1315" w:top="1120" w:bottom="1500" w:left="1580" w:right="1040"/>
        </w:sectPr>
      </w:pPr>
    </w:p>
    <w:p>
      <w:pPr>
        <w:spacing w:line="240" w:lineRule="auto" w:before="1"/>
        <w:rPr>
          <w:rFonts w:ascii="宋体" w:hAnsi="宋体" w:cs="宋体" w:eastAsia="宋体" w:hint="default"/>
          <w:sz w:val="25"/>
          <w:szCs w:val="25"/>
        </w:rPr>
      </w:pPr>
    </w:p>
    <w:p>
      <w:pPr>
        <w:pStyle w:val="Heading2"/>
        <w:tabs>
          <w:tab w:pos="849" w:val="left" w:leader="none"/>
        </w:tabs>
        <w:spacing w:line="240" w:lineRule="auto"/>
        <w:ind w:right="2465"/>
        <w:jc w:val="left"/>
        <w:rPr>
          <w:b w:val="0"/>
          <w:bCs w:val="0"/>
        </w:rPr>
      </w:pPr>
      <w:r>
        <w:rPr>
          <w:rFonts w:ascii="宋体" w:hAnsi="宋体" w:cs="宋体" w:eastAsia="宋体" w:hint="default"/>
          <w:w w:val="95"/>
          <w:sz w:val="20"/>
          <w:szCs w:val="20"/>
        </w:rPr>
        <w:t>(4).</w:t>
        <w:tab/>
      </w:r>
      <w:r>
        <w:rPr/>
        <w:t>不重要的合营企业和联营企业的汇总财务信息</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6" w:hRule="exact"/>
        </w:trPr>
        <w:tc>
          <w:tcPr>
            <w:tcW w:w="2905" w:type="dxa"/>
            <w:tcBorders>
              <w:top w:val="single" w:sz="4" w:space="0" w:color="000000"/>
              <w:left w:val="single" w:sz="4" w:space="0" w:color="000000"/>
              <w:bottom w:val="single" w:sz="6" w:space="0" w:color="000000"/>
              <w:right w:val="single" w:sz="6" w:space="0" w:color="000000"/>
            </w:tcBorders>
          </w:tcPr>
          <w:p>
            <w:pPr/>
          </w:p>
        </w:tc>
        <w:tc>
          <w:tcPr>
            <w:tcW w:w="3070"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4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167,422,645</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134,730,818</w:t>
            </w:r>
          </w:p>
        </w:tc>
      </w:tr>
      <w:tr>
        <w:trPr>
          <w:trHeight w:val="562"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-2,492,157</w:t>
            </w:r>
          </w:p>
        </w:tc>
        <w:tc>
          <w:tcPr>
            <w:tcW w:w="307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10,487,338</w:t>
            </w: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-2,492,157</w:t>
            </w:r>
          </w:p>
        </w:tc>
        <w:tc>
          <w:tcPr>
            <w:tcW w:w="307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10,487,338</w:t>
            </w:r>
          </w:p>
        </w:tc>
      </w:tr>
    </w:tbl>
    <w:p>
      <w:pPr>
        <w:pStyle w:val="BodyText"/>
        <w:spacing w:line="241" w:lineRule="exact"/>
        <w:ind w:left="218" w:right="2465"/>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849" w:val="left" w:leader="none"/>
        </w:tabs>
        <w:spacing w:line="240" w:lineRule="auto"/>
        <w:ind w:right="225"/>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tabs>
          <w:tab w:pos="849" w:val="left" w:leader="none"/>
        </w:tabs>
        <w:spacing w:before="36"/>
        <w:ind w:left="218" w:right="2465" w:firstLine="0"/>
        <w:jc w:val="left"/>
        <w:rPr>
          <w:rFonts w:ascii="宋体" w:hAnsi="宋体" w:cs="宋体" w:eastAsia="宋体" w:hint="default"/>
          <w:sz w:val="21"/>
          <w:szCs w:val="21"/>
        </w:rPr>
      </w:pPr>
      <w:r>
        <w:rPr>
          <w:rFonts w:ascii="宋体" w:hAnsi="宋体" w:cs="宋体" w:eastAsia="宋体" w:hint="default"/>
          <w:b/>
          <w:bCs/>
          <w:w w:val="95"/>
          <w:sz w:val="20"/>
          <w:szCs w:val="20"/>
        </w:rPr>
        <w:t>(6).</w:t>
        <w:tab/>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5"/>
        <w:gridCol w:w="2266"/>
        <w:gridCol w:w="2549"/>
        <w:gridCol w:w="2249"/>
      </w:tblGrid>
      <w:tr>
        <w:trPr>
          <w:trHeight w:val="557" w:hRule="exact"/>
        </w:trPr>
        <w:tc>
          <w:tcPr>
            <w:tcW w:w="1985" w:type="dxa"/>
            <w:tcBorders>
              <w:top w:val="single" w:sz="4" w:space="0" w:color="000000"/>
              <w:left w:val="single" w:sz="4"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的损失</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2249" w:type="dxa"/>
            <w:tcBorders>
              <w:top w:val="single" w:sz="4" w:space="0" w:color="000000"/>
              <w:left w:val="single" w:sz="6" w:space="0" w:color="000000"/>
              <w:bottom w:val="single" w:sz="6"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288" w:hRule="exact"/>
        </w:trPr>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YUNANO</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02" w:right="0"/>
              <w:jc w:val="left"/>
              <w:rPr>
                <w:rFonts w:ascii="宋体" w:hAnsi="宋体" w:cs="宋体" w:eastAsia="宋体" w:hint="default"/>
                <w:sz w:val="21"/>
                <w:szCs w:val="21"/>
              </w:rPr>
            </w:pPr>
            <w:r>
              <w:rPr>
                <w:rFonts w:ascii="宋体"/>
                <w:sz w:val="21"/>
              </w:rPr>
              <w:t>5,388,540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88" w:right="0"/>
              <w:jc w:val="left"/>
              <w:rPr>
                <w:rFonts w:ascii="宋体" w:hAnsi="宋体" w:cs="宋体" w:eastAsia="宋体" w:hint="default"/>
                <w:sz w:val="21"/>
                <w:szCs w:val="21"/>
              </w:rPr>
            </w:pPr>
            <w:r>
              <w:rPr>
                <w:rFonts w:ascii="宋体"/>
                <w:sz w:val="21"/>
              </w:rPr>
              <w:t>2,505,370</w:t>
            </w:r>
          </w:p>
        </w:tc>
        <w:tc>
          <w:tcPr>
            <w:tcW w:w="224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188" w:right="0"/>
              <w:jc w:val="left"/>
              <w:rPr>
                <w:rFonts w:ascii="宋体" w:hAnsi="宋体" w:cs="宋体" w:eastAsia="宋体" w:hint="default"/>
                <w:sz w:val="21"/>
                <w:szCs w:val="21"/>
              </w:rPr>
            </w:pPr>
            <w:r>
              <w:rPr>
                <w:rFonts w:ascii="宋体"/>
                <w:sz w:val="21"/>
              </w:rPr>
              <w:t>7,893,910</w:t>
            </w:r>
          </w:p>
        </w:tc>
      </w:tr>
      <w:tr>
        <w:trPr>
          <w:trHeight w:val="286" w:hRule="exact"/>
        </w:trPr>
        <w:tc>
          <w:tcPr>
            <w:tcW w:w="1985" w:type="dxa"/>
            <w:tcBorders>
              <w:top w:val="single" w:sz="6" w:space="0" w:color="000000"/>
              <w:left w:val="single" w:sz="4" w:space="0" w:color="000000"/>
              <w:bottom w:val="single" w:sz="4" w:space="0" w:color="000000"/>
              <w:right w:val="single" w:sz="6" w:space="0" w:color="000000"/>
            </w:tcBorders>
          </w:tcPr>
          <w:p>
            <w:pPr/>
          </w:p>
        </w:tc>
        <w:tc>
          <w:tcPr>
            <w:tcW w:w="2266" w:type="dxa"/>
            <w:tcBorders>
              <w:top w:val="single" w:sz="6" w:space="0" w:color="000000"/>
              <w:left w:val="single" w:sz="6" w:space="0" w:color="000000"/>
              <w:bottom w:val="single" w:sz="4" w:space="0" w:color="000000"/>
              <w:right w:val="single" w:sz="6" w:space="0" w:color="000000"/>
            </w:tcBorders>
          </w:tcPr>
          <w:p>
            <w:pPr/>
          </w:p>
        </w:tc>
        <w:tc>
          <w:tcPr>
            <w:tcW w:w="2549" w:type="dxa"/>
            <w:tcBorders>
              <w:top w:val="single" w:sz="6" w:space="0" w:color="000000"/>
              <w:left w:val="single" w:sz="6" w:space="0" w:color="000000"/>
              <w:bottom w:val="single" w:sz="4" w:space="0" w:color="000000"/>
              <w:right w:val="single" w:sz="6" w:space="0" w:color="000000"/>
            </w:tcBorders>
          </w:tcPr>
          <w:p>
            <w:pPr/>
          </w:p>
        </w:tc>
        <w:tc>
          <w:tcPr>
            <w:tcW w:w="2249"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1" w:lineRule="exact"/>
        <w:ind w:left="218"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2"/>
        <w:tabs>
          <w:tab w:pos="849" w:val="left" w:leader="none"/>
        </w:tabs>
        <w:spacing w:line="240" w:lineRule="auto"/>
        <w:ind w:right="2465"/>
        <w:jc w:val="left"/>
        <w:rPr>
          <w:b w:val="0"/>
          <w:bCs w:val="0"/>
        </w:rPr>
      </w:pPr>
      <w:r>
        <w:rPr>
          <w:rFonts w:ascii="宋体" w:hAnsi="宋体" w:cs="宋体" w:eastAsia="宋体" w:hint="default"/>
          <w:w w:val="95"/>
        </w:rPr>
        <w:t>(7).</w:t>
        <w:tab/>
      </w:r>
      <w:r>
        <w:rPr/>
        <w:t>与合营企业投资相关的未确认承诺</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tabs>
          <w:tab w:pos="849" w:val="left" w:leader="none"/>
        </w:tabs>
        <w:spacing w:line="240" w:lineRule="auto"/>
        <w:ind w:right="2465"/>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right="2465"/>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218" w:right="2465"/>
        <w:jc w:val="left"/>
      </w:pPr>
      <w:r>
        <w:rPr/>
        <w:t>□适用</w:t>
      </w:r>
      <w:r>
        <w:rPr>
          <w:spacing w:val="-1"/>
        </w:rPr>
        <w:t> </w:t>
      </w:r>
      <w:r>
        <w:rPr/>
        <w:t>√不适用</w:t>
      </w:r>
    </w:p>
    <w:p>
      <w:pPr>
        <w:spacing w:after="0" w:line="240" w:lineRule="auto"/>
        <w:jc w:val="left"/>
        <w:sectPr>
          <w:footerReference w:type="default" r:id="rId76"/>
          <w:pgSz w:w="11910" w:h="16840"/>
          <w:pgMar w:footer="1335" w:header="926" w:top="1120" w:bottom="1520" w:left="1580" w:right="1040"/>
        </w:sectPr>
      </w:pPr>
    </w:p>
    <w:p>
      <w:pPr>
        <w:spacing w:line="240" w:lineRule="auto" w:before="1"/>
        <w:rPr>
          <w:rFonts w:ascii="宋体" w:hAnsi="宋体" w:cs="宋体" w:eastAsia="宋体" w:hint="default"/>
          <w:sz w:val="25"/>
          <w:szCs w:val="25"/>
        </w:rPr>
      </w:pPr>
    </w:p>
    <w:p>
      <w:pPr>
        <w:spacing w:line="290" w:lineRule="auto" w:before="36"/>
        <w:ind w:left="138" w:right="391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spacing w:line="240" w:lineRule="auto" w:before="4"/>
        <w:rPr>
          <w:rFonts w:ascii="宋体" w:hAnsi="宋体" w:cs="宋体" w:eastAsia="宋体" w:hint="default"/>
          <w:sz w:val="17"/>
          <w:szCs w:val="17"/>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left="138" w:right="144"/>
        <w:jc w:val="left"/>
        <w:rPr>
          <w:b w:val="0"/>
          <w:bCs w:val="0"/>
        </w:rPr>
      </w:pPr>
      <w:r>
        <w:rPr>
          <w:rFonts w:ascii="宋体" w:hAnsi="宋体" w:cs="宋体" w:eastAsia="宋体" w:hint="default"/>
        </w:rPr>
        <w:t>6</w:t>
      </w:r>
      <w:r>
        <w:rPr/>
        <w:t>、</w:t>
      </w:r>
      <w:r>
        <w:rPr>
          <w:spacing w:val="-3"/>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138" w:right="144"/>
        <w:jc w:val="left"/>
        <w:rPr>
          <w:b w:val="0"/>
          <w:bCs w:val="0"/>
        </w:rPr>
      </w:pPr>
      <w:r>
        <w:rPr/>
        <w:t>十、与金融工具相关的风险</w:t>
      </w:r>
      <w:r>
        <w:rPr>
          <w:b w:val="0"/>
          <w:bCs w:val="0"/>
        </w:rPr>
      </w:r>
    </w:p>
    <w:p>
      <w:pPr>
        <w:pStyle w:val="BodyText"/>
        <w:spacing w:line="262" w:lineRule="exact" w:before="56"/>
        <w:ind w:right="144"/>
        <w:jc w:val="left"/>
      </w:pPr>
      <w:r>
        <w:rPr/>
        <w:t>√适用</w:t>
      </w:r>
      <w:r>
        <w:rPr>
          <w:spacing w:val="-1"/>
        </w:rPr>
        <w:t> </w:t>
      </w:r>
      <w:r>
        <w:rPr/>
        <w:t>□不适用</w:t>
      </w:r>
    </w:p>
    <w:p>
      <w:pPr>
        <w:pStyle w:val="Heading2"/>
        <w:tabs>
          <w:tab w:pos="769" w:val="left" w:leader="none"/>
        </w:tabs>
        <w:spacing w:line="275" w:lineRule="exact" w:before="0"/>
        <w:ind w:left="207" w:right="144"/>
        <w:jc w:val="left"/>
        <w:rPr>
          <w:b w:val="0"/>
          <w:bCs w:val="0"/>
        </w:rPr>
      </w:pPr>
      <w:r>
        <w:rPr>
          <w:rFonts w:ascii="Arial" w:hAnsi="Arial" w:cs="Arial" w:eastAsia="Arial" w:hint="default"/>
          <w:spacing w:val="-1"/>
          <w:sz w:val="20"/>
          <w:szCs w:val="20"/>
        </w:rPr>
        <w:t>1</w:t>
      </w:r>
      <w:r>
        <w:rPr>
          <w:rFonts w:ascii="宋体" w:hAnsi="宋体" w:cs="宋体" w:eastAsia="宋体" w:hint="default"/>
          <w:spacing w:val="-1"/>
        </w:rPr>
        <w:t>.</w:t>
        <w:tab/>
      </w:r>
      <w:r>
        <w:rPr/>
        <w:t>金融工具分类</w:t>
      </w:r>
      <w:r>
        <w:rPr>
          <w:b w:val="0"/>
          <w:bCs w:val="0"/>
        </w:rPr>
      </w:r>
    </w:p>
    <w:p>
      <w:pPr>
        <w:spacing w:line="240" w:lineRule="auto" w:before="6"/>
        <w:rPr>
          <w:rFonts w:ascii="宋体" w:hAnsi="宋体" w:cs="宋体" w:eastAsia="宋体" w:hint="default"/>
          <w:b/>
          <w:bCs/>
          <w:sz w:val="17"/>
          <w:szCs w:val="17"/>
        </w:rPr>
      </w:pPr>
    </w:p>
    <w:p>
      <w:pPr>
        <w:pStyle w:val="BodyText"/>
        <w:spacing w:line="434" w:lineRule="auto"/>
        <w:ind w:left="810" w:right="3487" w:hanging="29"/>
        <w:jc w:val="left"/>
      </w:pPr>
      <w:r>
        <w:rPr>
          <w:spacing w:val="-2"/>
        </w:rPr>
        <w:t>资产负债表日的各类金融工具的账面价值如下：</w:t>
      </w:r>
      <w:r>
        <w:rPr>
          <w:spacing w:val="-65"/>
        </w:rPr>
        <w:t> </w:t>
      </w:r>
      <w:r>
        <w:rPr>
          <w:spacing w:val="-65"/>
        </w:rPr>
      </w:r>
      <w:r>
        <w:rPr/>
        <w:t>金融资产</w:t>
      </w:r>
    </w:p>
    <w:p>
      <w:pPr>
        <w:spacing w:line="240" w:lineRule="auto" w:before="0"/>
        <w:rPr>
          <w:rFonts w:ascii="宋体" w:hAnsi="宋体" w:cs="宋体" w:eastAsia="宋体" w:hint="default"/>
          <w:sz w:val="9"/>
          <w:szCs w:val="9"/>
        </w:rPr>
      </w:pPr>
    </w:p>
    <w:tbl>
      <w:tblPr>
        <w:tblW w:w="0" w:type="auto"/>
        <w:jc w:val="left"/>
        <w:tblInd w:w="221" w:type="dxa"/>
        <w:tblLayout w:type="fixed"/>
        <w:tblCellMar>
          <w:top w:w="0" w:type="dxa"/>
          <w:left w:w="0" w:type="dxa"/>
          <w:bottom w:w="0" w:type="dxa"/>
          <w:right w:w="0" w:type="dxa"/>
        </w:tblCellMar>
        <w:tblLook w:val="01E0"/>
      </w:tblPr>
      <w:tblGrid>
        <w:gridCol w:w="3996"/>
        <w:gridCol w:w="2486"/>
        <w:gridCol w:w="2149"/>
      </w:tblGrid>
      <w:tr>
        <w:trPr>
          <w:trHeight w:val="370" w:hRule="exact"/>
        </w:trPr>
        <w:tc>
          <w:tcPr>
            <w:tcW w:w="3996" w:type="dxa"/>
            <w:tcBorders>
              <w:top w:val="nil" w:sz="6" w:space="0" w:color="auto"/>
              <w:left w:val="nil" w:sz="6" w:space="0" w:color="auto"/>
              <w:bottom w:val="nil" w:sz="6" w:space="0" w:color="auto"/>
              <w:right w:val="nil" w:sz="6" w:space="0" w:color="auto"/>
            </w:tcBorders>
          </w:tcPr>
          <w:p>
            <w:pPr/>
          </w:p>
        </w:tc>
        <w:tc>
          <w:tcPr>
            <w:tcW w:w="2486" w:type="dxa"/>
            <w:tcBorders>
              <w:top w:val="nil" w:sz="6" w:space="0" w:color="auto"/>
              <w:left w:val="nil" w:sz="6" w:space="0" w:color="auto"/>
              <w:bottom w:val="nil" w:sz="6" w:space="0" w:color="auto"/>
              <w:right w:val="nil" w:sz="6" w:space="0" w:color="auto"/>
            </w:tcBorders>
          </w:tcPr>
          <w:p>
            <w:pPr>
              <w:pStyle w:val="TableParagraph"/>
              <w:spacing w:line="211" w:lineRule="exact"/>
              <w:ind w:right="473"/>
              <w:jc w:val="right"/>
              <w:rPr>
                <w:rFonts w:ascii="宋体" w:hAnsi="宋体" w:cs="宋体" w:eastAsia="宋体" w:hint="default"/>
                <w:sz w:val="21"/>
                <w:szCs w:val="21"/>
              </w:rPr>
            </w:pPr>
            <w:r>
              <w:rPr>
                <w:rFonts w:ascii="宋体" w:hAnsi="宋体" w:cs="宋体" w:eastAsia="宋体" w:hint="default"/>
                <w:spacing w:val="-1"/>
                <w:sz w:val="21"/>
                <w:szCs w:val="21"/>
              </w:rPr>
              <w:t>2015</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w:t>
            </w:r>
          </w:p>
        </w:tc>
        <w:tc>
          <w:tcPr>
            <w:tcW w:w="2149"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w:t>
            </w:r>
          </w:p>
        </w:tc>
      </w:tr>
      <w:tr>
        <w:trPr>
          <w:trHeight w:val="394"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73"/>
              <w:jc w:val="right"/>
              <w:rPr>
                <w:rFonts w:ascii="宋体" w:hAnsi="宋体" w:cs="宋体" w:eastAsia="宋体" w:hint="default"/>
                <w:sz w:val="21"/>
                <w:szCs w:val="21"/>
              </w:rPr>
            </w:pPr>
            <w:r>
              <w:rPr>
                <w:rFonts w:ascii="宋体"/>
                <w:spacing w:val="-1"/>
                <w:sz w:val="21"/>
              </w:rPr>
              <w:t>3,879,048,001</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宋体" w:hAnsi="宋体" w:cs="宋体" w:eastAsia="宋体" w:hint="default"/>
                <w:sz w:val="21"/>
                <w:szCs w:val="21"/>
              </w:rPr>
            </w:pPr>
            <w:r>
              <w:rPr>
                <w:rFonts w:ascii="宋体"/>
                <w:spacing w:val="-1"/>
                <w:sz w:val="21"/>
              </w:rPr>
              <w:t>2,963,403,868</w:t>
            </w:r>
          </w:p>
        </w:tc>
      </w:tr>
      <w:tr>
        <w:trPr>
          <w:trHeight w:val="521"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68" w:lineRule="exact"/>
              <w:ind w:left="411"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473"/>
              <w:jc w:val="right"/>
              <w:rPr>
                <w:rFonts w:ascii="宋体" w:hAnsi="宋体" w:cs="宋体" w:eastAsia="宋体" w:hint="default"/>
                <w:sz w:val="21"/>
                <w:szCs w:val="21"/>
              </w:rPr>
            </w:pPr>
            <w:r>
              <w:rPr>
                <w:rFonts w:ascii="宋体"/>
                <w:spacing w:val="-1"/>
                <w:sz w:val="21"/>
              </w:rPr>
              <w:t>58,794,001</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8"/>
              <w:jc w:val="right"/>
              <w:rPr>
                <w:rFonts w:ascii="宋体" w:hAnsi="宋体" w:cs="宋体" w:eastAsia="宋体" w:hint="default"/>
                <w:sz w:val="21"/>
                <w:szCs w:val="21"/>
              </w:rPr>
            </w:pPr>
            <w:r>
              <w:rPr>
                <w:rFonts w:ascii="宋体"/>
                <w:w w:val="100"/>
                <w:sz w:val="21"/>
              </w:rPr>
              <w:t>-</w:t>
            </w:r>
          </w:p>
        </w:tc>
      </w:tr>
      <w:tr>
        <w:trPr>
          <w:trHeight w:val="259"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86" w:type="dxa"/>
            <w:tcBorders>
              <w:top w:val="nil" w:sz="6" w:space="0" w:color="auto"/>
              <w:left w:val="nil" w:sz="6" w:space="0" w:color="auto"/>
              <w:bottom w:val="nil" w:sz="6" w:space="0" w:color="auto"/>
              <w:right w:val="nil" w:sz="6" w:space="0" w:color="auto"/>
            </w:tcBorders>
          </w:tcPr>
          <w:p>
            <w:pPr>
              <w:pStyle w:val="TableParagraph"/>
              <w:spacing w:line="235" w:lineRule="exact"/>
              <w:ind w:right="473"/>
              <w:jc w:val="right"/>
              <w:rPr>
                <w:rFonts w:ascii="宋体" w:hAnsi="宋体" w:cs="宋体" w:eastAsia="宋体" w:hint="default"/>
                <w:sz w:val="21"/>
                <w:szCs w:val="21"/>
              </w:rPr>
            </w:pPr>
            <w:r>
              <w:rPr>
                <w:rFonts w:ascii="宋体"/>
                <w:spacing w:val="-1"/>
                <w:sz w:val="21"/>
              </w:rPr>
              <w:t>53,649,381</w:t>
            </w:r>
          </w:p>
        </w:tc>
        <w:tc>
          <w:tcPr>
            <w:tcW w:w="2149" w:type="dxa"/>
            <w:tcBorders>
              <w:top w:val="nil" w:sz="6" w:space="0" w:color="auto"/>
              <w:left w:val="nil" w:sz="6" w:space="0" w:color="auto"/>
              <w:bottom w:val="nil" w:sz="6" w:space="0" w:color="auto"/>
              <w:right w:val="nil" w:sz="6" w:space="0" w:color="auto"/>
            </w:tcBorders>
          </w:tcPr>
          <w:p>
            <w:pPr>
              <w:pStyle w:val="TableParagraph"/>
              <w:spacing w:line="235" w:lineRule="exact"/>
              <w:ind w:right="200"/>
              <w:jc w:val="right"/>
              <w:rPr>
                <w:rFonts w:ascii="宋体" w:hAnsi="宋体" w:cs="宋体" w:eastAsia="宋体" w:hint="default"/>
                <w:sz w:val="21"/>
                <w:szCs w:val="21"/>
              </w:rPr>
            </w:pPr>
            <w:r>
              <w:rPr>
                <w:rFonts w:ascii="宋体"/>
                <w:spacing w:val="-1"/>
                <w:sz w:val="21"/>
              </w:rPr>
              <w:t>37,513,638</w:t>
            </w:r>
          </w:p>
        </w:tc>
      </w:tr>
      <w:tr>
        <w:trPr>
          <w:trHeight w:val="260"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86" w:type="dxa"/>
            <w:tcBorders>
              <w:top w:val="nil" w:sz="6" w:space="0" w:color="auto"/>
              <w:left w:val="nil" w:sz="6" w:space="0" w:color="auto"/>
              <w:bottom w:val="nil" w:sz="6" w:space="0" w:color="auto"/>
              <w:right w:val="nil" w:sz="6" w:space="0" w:color="auto"/>
            </w:tcBorders>
          </w:tcPr>
          <w:p>
            <w:pPr>
              <w:pStyle w:val="TableParagraph"/>
              <w:spacing w:line="235" w:lineRule="exact"/>
              <w:ind w:right="473"/>
              <w:jc w:val="right"/>
              <w:rPr>
                <w:rFonts w:ascii="宋体" w:hAnsi="宋体" w:cs="宋体" w:eastAsia="宋体" w:hint="default"/>
                <w:sz w:val="21"/>
                <w:szCs w:val="21"/>
              </w:rPr>
            </w:pPr>
            <w:r>
              <w:rPr>
                <w:rFonts w:ascii="宋体"/>
                <w:spacing w:val="-1"/>
                <w:sz w:val="21"/>
              </w:rPr>
              <w:t>1,519,699,082</w:t>
            </w:r>
          </w:p>
        </w:tc>
        <w:tc>
          <w:tcPr>
            <w:tcW w:w="2149" w:type="dxa"/>
            <w:tcBorders>
              <w:top w:val="nil" w:sz="6" w:space="0" w:color="auto"/>
              <w:left w:val="nil" w:sz="6" w:space="0" w:color="auto"/>
              <w:bottom w:val="nil" w:sz="6" w:space="0" w:color="auto"/>
              <w:right w:val="nil" w:sz="6" w:space="0" w:color="auto"/>
            </w:tcBorders>
          </w:tcPr>
          <w:p>
            <w:pPr>
              <w:pStyle w:val="TableParagraph"/>
              <w:spacing w:line="235" w:lineRule="exact"/>
              <w:ind w:right="198"/>
              <w:jc w:val="right"/>
              <w:rPr>
                <w:rFonts w:ascii="宋体" w:hAnsi="宋体" w:cs="宋体" w:eastAsia="宋体" w:hint="default"/>
                <w:sz w:val="21"/>
                <w:szCs w:val="21"/>
              </w:rPr>
            </w:pPr>
            <w:r>
              <w:rPr>
                <w:rFonts w:ascii="宋体"/>
                <w:spacing w:val="-1"/>
                <w:sz w:val="21"/>
              </w:rPr>
              <w:t>1,476,189,106</w:t>
            </w:r>
          </w:p>
        </w:tc>
      </w:tr>
      <w:tr>
        <w:trPr>
          <w:trHeight w:val="260"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486" w:type="dxa"/>
            <w:tcBorders>
              <w:top w:val="nil" w:sz="6" w:space="0" w:color="auto"/>
              <w:left w:val="nil" w:sz="6" w:space="0" w:color="auto"/>
              <w:bottom w:val="nil" w:sz="6" w:space="0" w:color="auto"/>
              <w:right w:val="nil" w:sz="6" w:space="0" w:color="auto"/>
            </w:tcBorders>
          </w:tcPr>
          <w:p>
            <w:pPr>
              <w:pStyle w:val="TableParagraph"/>
              <w:spacing w:line="236" w:lineRule="exact"/>
              <w:ind w:right="473"/>
              <w:jc w:val="right"/>
              <w:rPr>
                <w:rFonts w:ascii="宋体" w:hAnsi="宋体" w:cs="宋体" w:eastAsia="宋体" w:hint="default"/>
                <w:sz w:val="21"/>
                <w:szCs w:val="21"/>
              </w:rPr>
            </w:pPr>
            <w:r>
              <w:rPr>
                <w:rFonts w:ascii="宋体"/>
                <w:spacing w:val="-1"/>
                <w:sz w:val="21"/>
              </w:rPr>
              <w:t>2,602,998</w:t>
            </w:r>
          </w:p>
        </w:tc>
        <w:tc>
          <w:tcPr>
            <w:tcW w:w="2149" w:type="dxa"/>
            <w:tcBorders>
              <w:top w:val="nil" w:sz="6" w:space="0" w:color="auto"/>
              <w:left w:val="nil" w:sz="6" w:space="0" w:color="auto"/>
              <w:bottom w:val="nil" w:sz="6" w:space="0" w:color="auto"/>
              <w:right w:val="nil" w:sz="6" w:space="0" w:color="auto"/>
            </w:tcBorders>
          </w:tcPr>
          <w:p>
            <w:pPr>
              <w:pStyle w:val="TableParagraph"/>
              <w:spacing w:line="236" w:lineRule="exact"/>
              <w:ind w:right="198"/>
              <w:jc w:val="right"/>
              <w:rPr>
                <w:rFonts w:ascii="宋体" w:hAnsi="宋体" w:cs="宋体" w:eastAsia="宋体" w:hint="default"/>
                <w:sz w:val="21"/>
                <w:szCs w:val="21"/>
              </w:rPr>
            </w:pPr>
            <w:r>
              <w:rPr>
                <w:rFonts w:ascii="宋体"/>
                <w:spacing w:val="-1"/>
                <w:sz w:val="21"/>
              </w:rPr>
              <w:t>1,595,211</w:t>
            </w:r>
          </w:p>
        </w:tc>
      </w:tr>
      <w:tr>
        <w:trPr>
          <w:trHeight w:val="259"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86" w:type="dxa"/>
            <w:tcBorders>
              <w:top w:val="nil" w:sz="6" w:space="0" w:color="auto"/>
              <w:left w:val="nil" w:sz="6" w:space="0" w:color="auto"/>
              <w:bottom w:val="nil" w:sz="6" w:space="0" w:color="auto"/>
              <w:right w:val="nil" w:sz="6" w:space="0" w:color="auto"/>
            </w:tcBorders>
          </w:tcPr>
          <w:p>
            <w:pPr>
              <w:pStyle w:val="TableParagraph"/>
              <w:spacing w:line="235" w:lineRule="exact"/>
              <w:ind w:right="473"/>
              <w:jc w:val="right"/>
              <w:rPr>
                <w:rFonts w:ascii="宋体" w:hAnsi="宋体" w:cs="宋体" w:eastAsia="宋体" w:hint="default"/>
                <w:sz w:val="21"/>
                <w:szCs w:val="21"/>
              </w:rPr>
            </w:pPr>
            <w:r>
              <w:rPr>
                <w:rFonts w:ascii="宋体"/>
                <w:spacing w:val="-1"/>
                <w:sz w:val="21"/>
              </w:rPr>
              <w:t>151,921,293</w:t>
            </w:r>
          </w:p>
        </w:tc>
        <w:tc>
          <w:tcPr>
            <w:tcW w:w="2149" w:type="dxa"/>
            <w:tcBorders>
              <w:top w:val="nil" w:sz="6" w:space="0" w:color="auto"/>
              <w:left w:val="nil" w:sz="6" w:space="0" w:color="auto"/>
              <w:bottom w:val="nil" w:sz="6" w:space="0" w:color="auto"/>
              <w:right w:val="nil" w:sz="6" w:space="0" w:color="auto"/>
            </w:tcBorders>
          </w:tcPr>
          <w:p>
            <w:pPr>
              <w:pStyle w:val="TableParagraph"/>
              <w:spacing w:line="235" w:lineRule="exact"/>
              <w:ind w:right="200"/>
              <w:jc w:val="right"/>
              <w:rPr>
                <w:rFonts w:ascii="宋体" w:hAnsi="宋体" w:cs="宋体" w:eastAsia="宋体" w:hint="default"/>
                <w:sz w:val="21"/>
                <w:szCs w:val="21"/>
              </w:rPr>
            </w:pPr>
            <w:r>
              <w:rPr>
                <w:rFonts w:ascii="宋体"/>
                <w:spacing w:val="-1"/>
                <w:sz w:val="21"/>
              </w:rPr>
              <w:t>167,839,581</w:t>
            </w:r>
          </w:p>
        </w:tc>
      </w:tr>
      <w:tr>
        <w:trPr>
          <w:trHeight w:val="403"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w:t>
            </w:r>
            <w:r>
              <w:rPr>
                <w:rFonts w:ascii="宋体" w:hAnsi="宋体" w:cs="宋体" w:eastAsia="宋体" w:hint="default"/>
                <w:sz w:val="21"/>
                <w:szCs w:val="21"/>
              </w:rPr>
              <w:t>理财产品</w:t>
            </w:r>
            <w:r>
              <w:rPr>
                <w:rFonts w:ascii="宋体" w:hAnsi="宋体" w:cs="宋体" w:eastAsia="宋体" w:hint="default"/>
                <w:sz w:val="21"/>
                <w:szCs w:val="21"/>
              </w:rPr>
              <w:t>)</w:t>
            </w:r>
          </w:p>
        </w:tc>
        <w:tc>
          <w:tcPr>
            <w:tcW w:w="2486" w:type="dxa"/>
            <w:tcBorders>
              <w:top w:val="nil" w:sz="6" w:space="0" w:color="auto"/>
              <w:left w:val="nil" w:sz="6" w:space="0" w:color="auto"/>
              <w:bottom w:val="nil" w:sz="6" w:space="0" w:color="auto"/>
              <w:right w:val="nil" w:sz="6" w:space="0" w:color="auto"/>
            </w:tcBorders>
          </w:tcPr>
          <w:p>
            <w:pPr>
              <w:pStyle w:val="TableParagraph"/>
              <w:spacing w:line="245" w:lineRule="exact"/>
              <w:ind w:right="473"/>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pacing w:val="-1"/>
                <w:sz w:val="21"/>
                <w:u w:val="single" w:color="000000"/>
              </w:rPr>
              <w:t>841,800,000</w:t>
            </w:r>
            <w:r>
              <w:rPr>
                <w:rFonts w:ascii="宋体"/>
                <w:spacing w:val="-1"/>
                <w:sz w:val="21"/>
              </w:rPr>
            </w:r>
          </w:p>
        </w:tc>
        <w:tc>
          <w:tcPr>
            <w:tcW w:w="2149" w:type="dxa"/>
            <w:tcBorders>
              <w:top w:val="nil" w:sz="6" w:space="0" w:color="auto"/>
              <w:left w:val="nil" w:sz="6" w:space="0" w:color="auto"/>
              <w:bottom w:val="nil" w:sz="6" w:space="0" w:color="auto"/>
              <w:right w:val="nil" w:sz="6" w:space="0" w:color="auto"/>
            </w:tcBorders>
          </w:tcPr>
          <w:p>
            <w:pPr>
              <w:pStyle w:val="TableParagraph"/>
              <w:spacing w:line="245" w:lineRule="exact"/>
              <w:ind w:right="198"/>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pacing w:val="-1"/>
                <w:sz w:val="21"/>
                <w:u w:val="single" w:color="000000"/>
              </w:rPr>
              <w:t>246,080,000</w:t>
            </w:r>
            <w:r>
              <w:rPr>
                <w:rFonts w:ascii="宋体"/>
                <w:spacing w:val="-1"/>
                <w:sz w:val="21"/>
              </w:rPr>
            </w:r>
          </w:p>
        </w:tc>
      </w:tr>
      <w:tr>
        <w:trPr>
          <w:trHeight w:val="523" w:hRule="exact"/>
        </w:trPr>
        <w:tc>
          <w:tcPr>
            <w:tcW w:w="3996" w:type="dxa"/>
            <w:tcBorders>
              <w:top w:val="nil" w:sz="6" w:space="0" w:color="auto"/>
              <w:left w:val="nil" w:sz="6" w:space="0" w:color="auto"/>
              <w:bottom w:val="nil" w:sz="6" w:space="0" w:color="auto"/>
              <w:right w:val="nil" w:sz="6" w:space="0" w:color="auto"/>
            </w:tcBorders>
          </w:tcPr>
          <w:p>
            <w:pPr/>
          </w:p>
        </w:tc>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73"/>
              <w:jc w:val="right"/>
              <w:rPr>
                <w:rFonts w:ascii="宋体" w:hAnsi="宋体" w:cs="宋体" w:eastAsia="宋体" w:hint="default"/>
                <w:sz w:val="21"/>
                <w:szCs w:val="21"/>
              </w:rPr>
            </w:pPr>
            <w:r>
              <w:rPr>
                <w:rFonts w:ascii="宋体"/>
                <w:w w:val="100"/>
                <w:sz w:val="21"/>
              </w:rPr>
            </w:r>
            <w:r>
              <w:rPr>
                <w:rFonts w:ascii="宋体"/>
                <w:spacing w:val="-1"/>
                <w:sz w:val="21"/>
                <w:u w:val="thick" w:color="000000"/>
              </w:rPr>
              <w:t>6,507,514,756</w:t>
            </w:r>
            <w:r>
              <w:rPr>
                <w:rFonts w:ascii="宋体"/>
                <w:spacing w:val="-1"/>
                <w:sz w:val="21"/>
              </w:rPr>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宋体" w:hAnsi="宋体" w:cs="宋体" w:eastAsia="宋体" w:hint="default"/>
                <w:sz w:val="21"/>
                <w:szCs w:val="21"/>
              </w:rPr>
            </w:pPr>
            <w:r>
              <w:rPr>
                <w:rFonts w:ascii="宋体"/>
                <w:w w:val="100"/>
                <w:sz w:val="21"/>
              </w:rPr>
            </w:r>
            <w:r>
              <w:rPr>
                <w:rFonts w:ascii="宋体"/>
                <w:spacing w:val="-1"/>
                <w:sz w:val="21"/>
                <w:u w:val="thick" w:color="000000"/>
              </w:rPr>
              <w:t>4,892,621,404</w:t>
            </w:r>
            <w:r>
              <w:rPr>
                <w:rFonts w:ascii="宋体"/>
                <w:spacing w:val="-1"/>
                <w:sz w:val="21"/>
              </w:rPr>
            </w:r>
          </w:p>
        </w:tc>
      </w:tr>
      <w:tr>
        <w:trPr>
          <w:trHeight w:val="365"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宋体" w:hAnsi="宋体" w:cs="宋体" w:eastAsia="宋体" w:hint="default"/>
                <w:sz w:val="21"/>
                <w:szCs w:val="21"/>
              </w:rPr>
            </w:pPr>
            <w:r>
              <w:rPr>
                <w:rFonts w:ascii="宋体" w:hAnsi="宋体" w:cs="宋体" w:eastAsia="宋体" w:hint="default"/>
                <w:sz w:val="21"/>
                <w:szCs w:val="21"/>
              </w:rPr>
              <w:t>金融资产 —</w:t>
            </w:r>
            <w:r>
              <w:rPr>
                <w:rFonts w:ascii="宋体" w:hAnsi="宋体" w:cs="宋体" w:eastAsia="宋体" w:hint="default"/>
                <w:spacing w:val="1"/>
                <w:sz w:val="21"/>
                <w:szCs w:val="21"/>
              </w:rPr>
              <w:t> </w:t>
            </w:r>
            <w:r>
              <w:rPr>
                <w:rFonts w:ascii="宋体" w:hAnsi="宋体" w:cs="宋体" w:eastAsia="宋体" w:hint="default"/>
                <w:sz w:val="21"/>
                <w:szCs w:val="21"/>
              </w:rPr>
              <w:t>可供出售金融资产</w:t>
            </w:r>
          </w:p>
        </w:tc>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75"/>
              <w:jc w:val="right"/>
              <w:rPr>
                <w:rFonts w:ascii="宋体" w:hAnsi="宋体" w:cs="宋体" w:eastAsia="宋体" w:hint="default"/>
                <w:sz w:val="21"/>
                <w:szCs w:val="21"/>
              </w:rPr>
            </w:pPr>
            <w:r>
              <w:rPr>
                <w:rFonts w:ascii="宋体"/>
                <w:w w:val="100"/>
                <w:sz w:val="21"/>
              </w:rPr>
            </w:r>
            <w:r>
              <w:rPr>
                <w:rFonts w:ascii="宋体"/>
                <w:w w:val="100"/>
                <w:sz w:val="21"/>
                <w:u w:val="thick" w:color="000000"/>
              </w:rPr>
              <w:t> </w:t>
            </w:r>
            <w:r>
              <w:rPr>
                <w:rFonts w:ascii="宋体"/>
                <w:spacing w:val="-1"/>
                <w:sz w:val="21"/>
                <w:u w:val="thick" w:color="000000"/>
              </w:rPr>
              <w:t>394,614,111</w:t>
            </w:r>
            <w:r>
              <w:rPr>
                <w:rFonts w:ascii="宋体"/>
                <w:spacing w:val="-1"/>
                <w:sz w:val="21"/>
              </w:rPr>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8"/>
              <w:jc w:val="right"/>
              <w:rPr>
                <w:rFonts w:ascii="宋体" w:hAnsi="宋体" w:cs="宋体" w:eastAsia="宋体" w:hint="default"/>
                <w:sz w:val="21"/>
                <w:szCs w:val="21"/>
              </w:rPr>
            </w:pPr>
            <w:r>
              <w:rPr>
                <w:rFonts w:ascii="宋体"/>
                <w:w w:val="100"/>
                <w:sz w:val="21"/>
              </w:rPr>
            </w:r>
            <w:r>
              <w:rPr>
                <w:rFonts w:ascii="宋体"/>
                <w:w w:val="100"/>
                <w:sz w:val="21"/>
                <w:u w:val="thick" w:color="000000"/>
              </w:rPr>
              <w:t> </w:t>
            </w:r>
            <w:r>
              <w:rPr>
                <w:rFonts w:ascii="宋体"/>
                <w:spacing w:val="-1"/>
                <w:sz w:val="21"/>
                <w:u w:val="thick" w:color="000000"/>
              </w:rPr>
              <w:t>370,320,681</w:t>
            </w:r>
            <w:r>
              <w:rPr>
                <w:rFonts w:ascii="宋体"/>
                <w:spacing w:val="-1"/>
                <w:sz w:val="21"/>
              </w:rPr>
            </w:r>
          </w:p>
        </w:tc>
      </w:tr>
    </w:tbl>
    <w:p>
      <w:pPr>
        <w:spacing w:line="240" w:lineRule="auto" w:before="12"/>
        <w:rPr>
          <w:rFonts w:ascii="宋体" w:hAnsi="宋体" w:cs="宋体" w:eastAsia="宋体" w:hint="default"/>
          <w:sz w:val="16"/>
          <w:szCs w:val="16"/>
        </w:rPr>
      </w:pPr>
    </w:p>
    <w:p>
      <w:pPr>
        <w:pStyle w:val="BodyText"/>
        <w:spacing w:line="240" w:lineRule="auto" w:before="36"/>
        <w:ind w:left="754" w:right="144"/>
        <w:jc w:val="left"/>
      </w:pPr>
      <w:r>
        <w:rPr/>
        <w:t>金融负债</w:t>
      </w:r>
      <w:r>
        <w:rPr>
          <w:rFonts w:ascii="宋体" w:hAnsi="宋体" w:cs="宋体" w:eastAsia="宋体" w:hint="default"/>
        </w:rPr>
        <w:t>-</w:t>
      </w:r>
      <w:r>
        <w:rPr/>
        <w:t>其他金融负债</w:t>
      </w:r>
    </w:p>
    <w:p>
      <w:pPr>
        <w:spacing w:line="240" w:lineRule="auto" w:before="0"/>
        <w:rPr>
          <w:rFonts w:ascii="宋体" w:hAnsi="宋体" w:cs="宋体" w:eastAsia="宋体" w:hint="default"/>
          <w:sz w:val="22"/>
          <w:szCs w:val="22"/>
        </w:rPr>
      </w:pPr>
    </w:p>
    <w:tbl>
      <w:tblPr>
        <w:tblW w:w="0" w:type="auto"/>
        <w:jc w:val="left"/>
        <w:tblInd w:w="552" w:type="dxa"/>
        <w:tblLayout w:type="fixed"/>
        <w:tblCellMar>
          <w:top w:w="0" w:type="dxa"/>
          <w:left w:w="0" w:type="dxa"/>
          <w:bottom w:w="0" w:type="dxa"/>
          <w:right w:w="0" w:type="dxa"/>
        </w:tblCellMar>
        <w:tblLook w:val="01E0"/>
      </w:tblPr>
      <w:tblGrid>
        <w:gridCol w:w="3220"/>
        <w:gridCol w:w="2857"/>
        <w:gridCol w:w="2244"/>
      </w:tblGrid>
      <w:tr>
        <w:trPr>
          <w:trHeight w:val="236" w:hRule="exact"/>
        </w:trPr>
        <w:tc>
          <w:tcPr>
            <w:tcW w:w="3220" w:type="dxa"/>
            <w:tcBorders>
              <w:top w:val="nil" w:sz="6" w:space="0" w:color="auto"/>
              <w:left w:val="nil" w:sz="6" w:space="0" w:color="auto"/>
              <w:bottom w:val="nil" w:sz="6" w:space="0" w:color="auto"/>
              <w:right w:val="nil" w:sz="6" w:space="0" w:color="auto"/>
            </w:tcBorders>
          </w:tcPr>
          <w:p>
            <w:pPr/>
          </w:p>
        </w:tc>
        <w:tc>
          <w:tcPr>
            <w:tcW w:w="2857" w:type="dxa"/>
            <w:tcBorders>
              <w:top w:val="nil" w:sz="6" w:space="0" w:color="auto"/>
              <w:left w:val="nil" w:sz="6" w:space="0" w:color="auto"/>
              <w:bottom w:val="nil" w:sz="6" w:space="0" w:color="auto"/>
              <w:right w:val="nil" w:sz="6" w:space="0" w:color="auto"/>
            </w:tcBorders>
          </w:tcPr>
          <w:p>
            <w:pPr>
              <w:pStyle w:val="TableParagraph"/>
              <w:spacing w:line="211" w:lineRule="exact"/>
              <w:ind w:right="570"/>
              <w:jc w:val="right"/>
              <w:rPr>
                <w:rFonts w:ascii="宋体" w:hAnsi="宋体" w:cs="宋体" w:eastAsia="宋体" w:hint="default"/>
                <w:sz w:val="21"/>
                <w:szCs w:val="21"/>
              </w:rPr>
            </w:pPr>
            <w:r>
              <w:rPr>
                <w:rFonts w:ascii="宋体" w:hAnsi="宋体" w:cs="宋体" w:eastAsia="宋体" w:hint="default"/>
                <w:spacing w:val="-1"/>
                <w:sz w:val="21"/>
                <w:szCs w:val="21"/>
              </w:rPr>
              <w:t>2015</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w:t>
            </w:r>
          </w:p>
        </w:tc>
        <w:tc>
          <w:tcPr>
            <w:tcW w:w="2244" w:type="dxa"/>
            <w:tcBorders>
              <w:top w:val="nil" w:sz="6" w:space="0" w:color="auto"/>
              <w:left w:val="nil" w:sz="6" w:space="0" w:color="auto"/>
              <w:bottom w:val="nil" w:sz="6" w:space="0" w:color="auto"/>
              <w:right w:val="nil" w:sz="6" w:space="0" w:color="auto"/>
            </w:tcBorders>
          </w:tcPr>
          <w:p>
            <w:pPr>
              <w:pStyle w:val="TableParagraph"/>
              <w:spacing w:line="211" w:lineRule="exact"/>
              <w:ind w:right="202"/>
              <w:jc w:val="right"/>
              <w:rPr>
                <w:rFonts w:ascii="宋体" w:hAnsi="宋体" w:cs="宋体" w:eastAsia="宋体" w:hint="default"/>
                <w:sz w:val="21"/>
                <w:szCs w:val="21"/>
              </w:rPr>
            </w:pP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w:t>
            </w:r>
          </w:p>
        </w:tc>
      </w:tr>
      <w:tr>
        <w:trPr>
          <w:trHeight w:val="260" w:hRule="exact"/>
        </w:trPr>
        <w:tc>
          <w:tcPr>
            <w:tcW w:w="3220" w:type="dxa"/>
            <w:tcBorders>
              <w:top w:val="nil" w:sz="6" w:space="0" w:color="auto"/>
              <w:left w:val="nil" w:sz="6" w:space="0" w:color="auto"/>
              <w:bottom w:val="nil" w:sz="6" w:space="0" w:color="auto"/>
              <w:right w:val="nil" w:sz="6" w:space="0" w:color="auto"/>
            </w:tcBorders>
          </w:tcPr>
          <w:p>
            <w:pPr/>
          </w:p>
        </w:tc>
        <w:tc>
          <w:tcPr>
            <w:tcW w:w="2857" w:type="dxa"/>
            <w:tcBorders>
              <w:top w:val="nil" w:sz="6" w:space="0" w:color="auto"/>
              <w:left w:val="nil" w:sz="6" w:space="0" w:color="auto"/>
              <w:bottom w:val="nil" w:sz="6" w:space="0" w:color="auto"/>
              <w:right w:val="nil" w:sz="6" w:space="0" w:color="auto"/>
            </w:tcBorders>
          </w:tcPr>
          <w:p>
            <w:pPr/>
          </w:p>
        </w:tc>
        <w:tc>
          <w:tcPr>
            <w:tcW w:w="2244" w:type="dxa"/>
            <w:tcBorders>
              <w:top w:val="nil" w:sz="6" w:space="0" w:color="auto"/>
              <w:left w:val="nil" w:sz="6" w:space="0" w:color="auto"/>
              <w:bottom w:val="nil" w:sz="6" w:space="0" w:color="auto"/>
              <w:right w:val="nil" w:sz="6" w:space="0" w:color="auto"/>
            </w:tcBorders>
          </w:tcPr>
          <w:p>
            <w:pPr>
              <w:pStyle w:val="TableParagraph"/>
              <w:spacing w:line="236" w:lineRule="exact"/>
              <w:ind w:right="308"/>
              <w:jc w:val="right"/>
              <w:rPr>
                <w:rFonts w:ascii="宋体" w:hAnsi="宋体" w:cs="宋体" w:eastAsia="宋体" w:hint="default"/>
                <w:sz w:val="21"/>
                <w:szCs w:val="21"/>
              </w:rPr>
            </w:pPr>
            <w:r>
              <w:rPr>
                <w:rFonts w:ascii="宋体" w:hAnsi="宋体" w:cs="宋体" w:eastAsia="宋体" w:hint="default"/>
                <w:sz w:val="21"/>
                <w:szCs w:val="21"/>
              </w:rPr>
              <w:t>经重述</w:t>
            </w:r>
          </w:p>
        </w:tc>
      </w:tr>
      <w:tr>
        <w:trPr>
          <w:trHeight w:val="259"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857" w:type="dxa"/>
            <w:tcBorders>
              <w:top w:val="nil" w:sz="6" w:space="0" w:color="auto"/>
              <w:left w:val="nil" w:sz="6" w:space="0" w:color="auto"/>
              <w:bottom w:val="nil" w:sz="6" w:space="0" w:color="auto"/>
              <w:right w:val="nil" w:sz="6" w:space="0" w:color="auto"/>
            </w:tcBorders>
          </w:tcPr>
          <w:p>
            <w:pPr>
              <w:pStyle w:val="TableParagraph"/>
              <w:spacing w:line="235" w:lineRule="exact"/>
              <w:ind w:right="570"/>
              <w:jc w:val="right"/>
              <w:rPr>
                <w:rFonts w:ascii="宋体" w:hAnsi="宋体" w:cs="宋体" w:eastAsia="宋体" w:hint="default"/>
                <w:sz w:val="21"/>
                <w:szCs w:val="21"/>
              </w:rPr>
            </w:pPr>
            <w:r>
              <w:rPr>
                <w:rFonts w:ascii="宋体"/>
                <w:spacing w:val="-1"/>
                <w:sz w:val="21"/>
              </w:rPr>
              <w:t>1,823,984,362</w:t>
            </w:r>
          </w:p>
        </w:tc>
        <w:tc>
          <w:tcPr>
            <w:tcW w:w="2244" w:type="dxa"/>
            <w:tcBorders>
              <w:top w:val="nil" w:sz="6" w:space="0" w:color="auto"/>
              <w:left w:val="nil" w:sz="6" w:space="0" w:color="auto"/>
              <w:bottom w:val="nil" w:sz="6" w:space="0" w:color="auto"/>
              <w:right w:val="nil" w:sz="6" w:space="0" w:color="auto"/>
            </w:tcBorders>
          </w:tcPr>
          <w:p>
            <w:pPr>
              <w:pStyle w:val="TableParagraph"/>
              <w:spacing w:line="235" w:lineRule="exact"/>
              <w:ind w:right="202"/>
              <w:jc w:val="right"/>
              <w:rPr>
                <w:rFonts w:ascii="宋体" w:hAnsi="宋体" w:cs="宋体" w:eastAsia="宋体" w:hint="default"/>
                <w:sz w:val="21"/>
                <w:szCs w:val="21"/>
              </w:rPr>
            </w:pPr>
            <w:r>
              <w:rPr>
                <w:rFonts w:ascii="宋体"/>
                <w:spacing w:val="-1"/>
                <w:sz w:val="21"/>
              </w:rPr>
              <w:t>1,268,000,000</w:t>
            </w:r>
          </w:p>
        </w:tc>
      </w:tr>
      <w:tr>
        <w:trPr>
          <w:trHeight w:val="261"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57" w:type="dxa"/>
            <w:tcBorders>
              <w:top w:val="nil" w:sz="6" w:space="0" w:color="auto"/>
              <w:left w:val="nil" w:sz="6" w:space="0" w:color="auto"/>
              <w:bottom w:val="nil" w:sz="6" w:space="0" w:color="auto"/>
              <w:right w:val="nil" w:sz="6" w:space="0" w:color="auto"/>
            </w:tcBorders>
          </w:tcPr>
          <w:p>
            <w:pPr>
              <w:pStyle w:val="TableParagraph"/>
              <w:spacing w:line="235" w:lineRule="exact"/>
              <w:ind w:right="570"/>
              <w:jc w:val="right"/>
              <w:rPr>
                <w:rFonts w:ascii="宋体" w:hAnsi="宋体" w:cs="宋体" w:eastAsia="宋体" w:hint="default"/>
                <w:sz w:val="21"/>
                <w:szCs w:val="21"/>
              </w:rPr>
            </w:pPr>
            <w:r>
              <w:rPr>
                <w:rFonts w:ascii="宋体"/>
                <w:spacing w:val="-1"/>
                <w:sz w:val="21"/>
              </w:rPr>
              <w:t>402,105,982</w:t>
            </w:r>
          </w:p>
        </w:tc>
        <w:tc>
          <w:tcPr>
            <w:tcW w:w="2244" w:type="dxa"/>
            <w:tcBorders>
              <w:top w:val="nil" w:sz="6" w:space="0" w:color="auto"/>
              <w:left w:val="nil" w:sz="6" w:space="0" w:color="auto"/>
              <w:bottom w:val="nil" w:sz="6" w:space="0" w:color="auto"/>
              <w:right w:val="nil" w:sz="6" w:space="0" w:color="auto"/>
            </w:tcBorders>
          </w:tcPr>
          <w:p>
            <w:pPr>
              <w:pStyle w:val="TableParagraph"/>
              <w:spacing w:line="235" w:lineRule="exact"/>
              <w:ind w:right="202"/>
              <w:jc w:val="right"/>
              <w:rPr>
                <w:rFonts w:ascii="宋体" w:hAnsi="宋体" w:cs="宋体" w:eastAsia="宋体" w:hint="default"/>
                <w:sz w:val="21"/>
                <w:szCs w:val="21"/>
              </w:rPr>
            </w:pPr>
            <w:r>
              <w:rPr>
                <w:rFonts w:ascii="宋体"/>
                <w:spacing w:val="-1"/>
                <w:sz w:val="21"/>
              </w:rPr>
              <w:t>400,369,531</w:t>
            </w:r>
          </w:p>
        </w:tc>
      </w:tr>
      <w:tr>
        <w:trPr>
          <w:trHeight w:val="261"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57" w:type="dxa"/>
            <w:tcBorders>
              <w:top w:val="nil" w:sz="6" w:space="0" w:color="auto"/>
              <w:left w:val="nil" w:sz="6" w:space="0" w:color="auto"/>
              <w:bottom w:val="nil" w:sz="6" w:space="0" w:color="auto"/>
              <w:right w:val="nil" w:sz="6" w:space="0" w:color="auto"/>
            </w:tcBorders>
          </w:tcPr>
          <w:p>
            <w:pPr>
              <w:pStyle w:val="TableParagraph"/>
              <w:spacing w:line="237" w:lineRule="exact"/>
              <w:ind w:right="570"/>
              <w:jc w:val="right"/>
              <w:rPr>
                <w:rFonts w:ascii="宋体" w:hAnsi="宋体" w:cs="宋体" w:eastAsia="宋体" w:hint="default"/>
                <w:sz w:val="21"/>
                <w:szCs w:val="21"/>
              </w:rPr>
            </w:pPr>
            <w:r>
              <w:rPr>
                <w:rFonts w:ascii="宋体"/>
                <w:spacing w:val="-1"/>
                <w:sz w:val="21"/>
              </w:rPr>
              <w:t>21,137,671</w:t>
            </w:r>
          </w:p>
        </w:tc>
        <w:tc>
          <w:tcPr>
            <w:tcW w:w="2244" w:type="dxa"/>
            <w:tcBorders>
              <w:top w:val="nil" w:sz="6" w:space="0" w:color="auto"/>
              <w:left w:val="nil" w:sz="6" w:space="0" w:color="auto"/>
              <w:bottom w:val="nil" w:sz="6" w:space="0" w:color="auto"/>
              <w:right w:val="nil" w:sz="6" w:space="0" w:color="auto"/>
            </w:tcBorders>
          </w:tcPr>
          <w:p>
            <w:pPr>
              <w:pStyle w:val="TableParagraph"/>
              <w:spacing w:line="237" w:lineRule="exact"/>
              <w:ind w:right="202"/>
              <w:jc w:val="right"/>
              <w:rPr>
                <w:rFonts w:ascii="宋体" w:hAnsi="宋体" w:cs="宋体" w:eastAsia="宋体" w:hint="default"/>
                <w:sz w:val="21"/>
                <w:szCs w:val="21"/>
              </w:rPr>
            </w:pPr>
            <w:r>
              <w:rPr>
                <w:rFonts w:ascii="宋体"/>
                <w:spacing w:val="-1"/>
                <w:sz w:val="21"/>
              </w:rPr>
              <w:t>21,137,671</w:t>
            </w:r>
          </w:p>
        </w:tc>
      </w:tr>
      <w:tr>
        <w:trPr>
          <w:trHeight w:val="259"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限制性股票</w:t>
            </w:r>
            <w:r>
              <w:rPr>
                <w:rFonts w:ascii="宋体" w:hAnsi="宋体" w:cs="宋体" w:eastAsia="宋体" w:hint="default"/>
                <w:sz w:val="21"/>
                <w:szCs w:val="21"/>
              </w:rPr>
              <w:t>)</w:t>
            </w:r>
          </w:p>
        </w:tc>
        <w:tc>
          <w:tcPr>
            <w:tcW w:w="2857" w:type="dxa"/>
            <w:tcBorders>
              <w:top w:val="nil" w:sz="6" w:space="0" w:color="auto"/>
              <w:left w:val="nil" w:sz="6" w:space="0" w:color="auto"/>
              <w:bottom w:val="nil" w:sz="6" w:space="0" w:color="auto"/>
              <w:right w:val="nil" w:sz="6" w:space="0" w:color="auto"/>
            </w:tcBorders>
          </w:tcPr>
          <w:p>
            <w:pPr>
              <w:pStyle w:val="TableParagraph"/>
              <w:spacing w:line="235" w:lineRule="exact"/>
              <w:ind w:right="570"/>
              <w:jc w:val="right"/>
              <w:rPr>
                <w:rFonts w:ascii="宋体" w:hAnsi="宋体" w:cs="宋体" w:eastAsia="宋体" w:hint="default"/>
                <w:sz w:val="21"/>
                <w:szCs w:val="21"/>
              </w:rPr>
            </w:pPr>
            <w:r>
              <w:rPr>
                <w:rFonts w:ascii="宋体"/>
                <w:spacing w:val="-1"/>
                <w:sz w:val="21"/>
              </w:rPr>
              <w:t>676,375</w:t>
            </w:r>
          </w:p>
        </w:tc>
        <w:tc>
          <w:tcPr>
            <w:tcW w:w="2244" w:type="dxa"/>
            <w:tcBorders>
              <w:top w:val="nil" w:sz="6" w:space="0" w:color="auto"/>
              <w:left w:val="nil" w:sz="6" w:space="0" w:color="auto"/>
              <w:bottom w:val="nil" w:sz="6" w:space="0" w:color="auto"/>
              <w:right w:val="nil" w:sz="6" w:space="0" w:color="auto"/>
            </w:tcBorders>
          </w:tcPr>
          <w:p>
            <w:pPr>
              <w:pStyle w:val="TableParagraph"/>
              <w:spacing w:line="235" w:lineRule="exact"/>
              <w:ind w:right="205"/>
              <w:jc w:val="right"/>
              <w:rPr>
                <w:rFonts w:ascii="宋体" w:hAnsi="宋体" w:cs="宋体" w:eastAsia="宋体" w:hint="default"/>
                <w:sz w:val="21"/>
                <w:szCs w:val="21"/>
              </w:rPr>
            </w:pPr>
            <w:r>
              <w:rPr>
                <w:rFonts w:ascii="宋体"/>
                <w:w w:val="100"/>
                <w:sz w:val="21"/>
              </w:rPr>
              <w:t>-</w:t>
            </w:r>
          </w:p>
        </w:tc>
      </w:tr>
      <w:tr>
        <w:trPr>
          <w:trHeight w:val="260"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57" w:type="dxa"/>
            <w:tcBorders>
              <w:top w:val="nil" w:sz="6" w:space="0" w:color="auto"/>
              <w:left w:val="nil" w:sz="6" w:space="0" w:color="auto"/>
              <w:bottom w:val="nil" w:sz="6" w:space="0" w:color="auto"/>
              <w:right w:val="nil" w:sz="6" w:space="0" w:color="auto"/>
            </w:tcBorders>
          </w:tcPr>
          <w:p>
            <w:pPr>
              <w:pStyle w:val="TableParagraph"/>
              <w:spacing w:line="235" w:lineRule="exact"/>
              <w:ind w:right="570"/>
              <w:jc w:val="right"/>
              <w:rPr>
                <w:rFonts w:ascii="宋体" w:hAnsi="宋体" w:cs="宋体" w:eastAsia="宋体" w:hint="default"/>
                <w:sz w:val="21"/>
                <w:szCs w:val="21"/>
              </w:rPr>
            </w:pPr>
            <w:r>
              <w:rPr>
                <w:rFonts w:ascii="宋体"/>
                <w:spacing w:val="-1"/>
                <w:sz w:val="21"/>
              </w:rPr>
              <w:t>291,364,472</w:t>
            </w:r>
          </w:p>
        </w:tc>
        <w:tc>
          <w:tcPr>
            <w:tcW w:w="2244" w:type="dxa"/>
            <w:tcBorders>
              <w:top w:val="nil" w:sz="6" w:space="0" w:color="auto"/>
              <w:left w:val="nil" w:sz="6" w:space="0" w:color="auto"/>
              <w:bottom w:val="nil" w:sz="6" w:space="0" w:color="auto"/>
              <w:right w:val="nil" w:sz="6" w:space="0" w:color="auto"/>
            </w:tcBorders>
          </w:tcPr>
          <w:p>
            <w:pPr>
              <w:pStyle w:val="TableParagraph"/>
              <w:spacing w:line="235" w:lineRule="exact"/>
              <w:ind w:right="205"/>
              <w:jc w:val="right"/>
              <w:rPr>
                <w:rFonts w:ascii="宋体" w:hAnsi="宋体" w:cs="宋体" w:eastAsia="宋体" w:hint="default"/>
                <w:sz w:val="21"/>
                <w:szCs w:val="21"/>
              </w:rPr>
            </w:pPr>
            <w:r>
              <w:rPr>
                <w:rFonts w:ascii="宋体"/>
                <w:spacing w:val="-1"/>
                <w:sz w:val="21"/>
              </w:rPr>
              <w:t>249,530,113</w:t>
            </w:r>
          </w:p>
        </w:tc>
      </w:tr>
      <w:tr>
        <w:trPr>
          <w:trHeight w:val="260"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2857" w:type="dxa"/>
            <w:tcBorders>
              <w:top w:val="nil" w:sz="6" w:space="0" w:color="auto"/>
              <w:left w:val="nil" w:sz="6" w:space="0" w:color="auto"/>
              <w:bottom w:val="nil" w:sz="6" w:space="0" w:color="auto"/>
              <w:right w:val="nil" w:sz="6" w:space="0" w:color="auto"/>
            </w:tcBorders>
          </w:tcPr>
          <w:p>
            <w:pPr>
              <w:pStyle w:val="TableParagraph"/>
              <w:spacing w:line="236" w:lineRule="exact"/>
              <w:ind w:right="570"/>
              <w:jc w:val="right"/>
              <w:rPr>
                <w:rFonts w:ascii="宋体" w:hAnsi="宋体" w:cs="宋体" w:eastAsia="宋体" w:hint="default"/>
                <w:sz w:val="21"/>
                <w:szCs w:val="21"/>
              </w:rPr>
            </w:pPr>
            <w:r>
              <w:rPr>
                <w:rFonts w:ascii="宋体"/>
                <w:spacing w:val="-1"/>
                <w:sz w:val="21"/>
              </w:rPr>
              <w:t>60,793,114</w:t>
            </w:r>
          </w:p>
        </w:tc>
        <w:tc>
          <w:tcPr>
            <w:tcW w:w="2244" w:type="dxa"/>
            <w:tcBorders>
              <w:top w:val="nil" w:sz="6" w:space="0" w:color="auto"/>
              <w:left w:val="nil" w:sz="6" w:space="0" w:color="auto"/>
              <w:bottom w:val="nil" w:sz="6" w:space="0" w:color="auto"/>
              <w:right w:val="nil" w:sz="6" w:space="0" w:color="auto"/>
            </w:tcBorders>
          </w:tcPr>
          <w:p>
            <w:pPr>
              <w:pStyle w:val="TableParagraph"/>
              <w:spacing w:line="236" w:lineRule="exact"/>
              <w:ind w:right="198"/>
              <w:jc w:val="right"/>
              <w:rPr>
                <w:rFonts w:ascii="宋体" w:hAnsi="宋体" w:cs="宋体" w:eastAsia="宋体" w:hint="default"/>
                <w:sz w:val="21"/>
                <w:szCs w:val="21"/>
              </w:rPr>
            </w:pPr>
            <w:r>
              <w:rPr>
                <w:rFonts w:ascii="宋体"/>
                <w:spacing w:val="-1"/>
                <w:sz w:val="21"/>
              </w:rPr>
              <w:t>107,216,931</w:t>
            </w:r>
          </w:p>
        </w:tc>
      </w:tr>
      <w:tr>
        <w:trPr>
          <w:trHeight w:val="259"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857" w:type="dxa"/>
            <w:tcBorders>
              <w:top w:val="nil" w:sz="6" w:space="0" w:color="auto"/>
              <w:left w:val="nil" w:sz="6" w:space="0" w:color="auto"/>
              <w:bottom w:val="nil" w:sz="6" w:space="0" w:color="auto"/>
              <w:right w:val="nil" w:sz="6" w:space="0" w:color="auto"/>
            </w:tcBorders>
          </w:tcPr>
          <w:p>
            <w:pPr>
              <w:pStyle w:val="TableParagraph"/>
              <w:spacing w:line="235" w:lineRule="exact"/>
              <w:ind w:right="570"/>
              <w:jc w:val="right"/>
              <w:rPr>
                <w:rFonts w:ascii="宋体" w:hAnsi="宋体" w:cs="宋体" w:eastAsia="宋体" w:hint="default"/>
                <w:sz w:val="21"/>
                <w:szCs w:val="21"/>
              </w:rPr>
            </w:pPr>
            <w:r>
              <w:rPr>
                <w:rFonts w:ascii="宋体"/>
                <w:spacing w:val="-1"/>
                <w:sz w:val="21"/>
              </w:rPr>
              <w:t>131,598,294</w:t>
            </w:r>
          </w:p>
        </w:tc>
        <w:tc>
          <w:tcPr>
            <w:tcW w:w="2244" w:type="dxa"/>
            <w:tcBorders>
              <w:top w:val="nil" w:sz="6" w:space="0" w:color="auto"/>
              <w:left w:val="nil" w:sz="6" w:space="0" w:color="auto"/>
              <w:bottom w:val="nil" w:sz="6" w:space="0" w:color="auto"/>
              <w:right w:val="nil" w:sz="6" w:space="0" w:color="auto"/>
            </w:tcBorders>
          </w:tcPr>
          <w:p>
            <w:pPr>
              <w:pStyle w:val="TableParagraph"/>
              <w:spacing w:line="235" w:lineRule="exact"/>
              <w:ind w:right="202"/>
              <w:jc w:val="right"/>
              <w:rPr>
                <w:rFonts w:ascii="宋体" w:hAnsi="宋体" w:cs="宋体" w:eastAsia="宋体" w:hint="default"/>
                <w:sz w:val="21"/>
                <w:szCs w:val="21"/>
              </w:rPr>
            </w:pPr>
            <w:r>
              <w:rPr>
                <w:rFonts w:ascii="宋体"/>
                <w:spacing w:val="-1"/>
                <w:sz w:val="21"/>
              </w:rPr>
              <w:t>326,332,464</w:t>
            </w:r>
          </w:p>
        </w:tc>
      </w:tr>
      <w:tr>
        <w:trPr>
          <w:trHeight w:val="260"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一年内到期的应付债券</w:t>
            </w:r>
          </w:p>
        </w:tc>
        <w:tc>
          <w:tcPr>
            <w:tcW w:w="2857" w:type="dxa"/>
            <w:tcBorders>
              <w:top w:val="nil" w:sz="6" w:space="0" w:color="auto"/>
              <w:left w:val="nil" w:sz="6" w:space="0" w:color="auto"/>
              <w:bottom w:val="nil" w:sz="6" w:space="0" w:color="auto"/>
              <w:right w:val="nil" w:sz="6" w:space="0" w:color="auto"/>
            </w:tcBorders>
          </w:tcPr>
          <w:p>
            <w:pPr>
              <w:pStyle w:val="TableParagraph"/>
              <w:spacing w:line="235" w:lineRule="exact"/>
              <w:ind w:right="570"/>
              <w:jc w:val="right"/>
              <w:rPr>
                <w:rFonts w:ascii="宋体" w:hAnsi="宋体" w:cs="宋体" w:eastAsia="宋体" w:hint="default"/>
                <w:sz w:val="21"/>
                <w:szCs w:val="21"/>
              </w:rPr>
            </w:pPr>
            <w:r>
              <w:rPr>
                <w:rFonts w:ascii="宋体"/>
                <w:spacing w:val="-1"/>
                <w:sz w:val="21"/>
              </w:rPr>
              <w:t>499,648,984</w:t>
            </w:r>
          </w:p>
        </w:tc>
        <w:tc>
          <w:tcPr>
            <w:tcW w:w="2244" w:type="dxa"/>
            <w:tcBorders>
              <w:top w:val="nil" w:sz="6" w:space="0" w:color="auto"/>
              <w:left w:val="nil" w:sz="6" w:space="0" w:color="auto"/>
              <w:bottom w:val="nil" w:sz="6" w:space="0" w:color="auto"/>
              <w:right w:val="nil" w:sz="6" w:space="0" w:color="auto"/>
            </w:tcBorders>
          </w:tcPr>
          <w:p>
            <w:pPr>
              <w:pStyle w:val="TableParagraph"/>
              <w:spacing w:line="235" w:lineRule="exact"/>
              <w:ind w:right="205"/>
              <w:jc w:val="right"/>
              <w:rPr>
                <w:rFonts w:ascii="宋体" w:hAnsi="宋体" w:cs="宋体" w:eastAsia="宋体" w:hint="default"/>
                <w:sz w:val="21"/>
                <w:szCs w:val="21"/>
              </w:rPr>
            </w:pPr>
            <w:r>
              <w:rPr>
                <w:rFonts w:ascii="宋体"/>
                <w:w w:val="100"/>
                <w:sz w:val="21"/>
              </w:rPr>
              <w:t>-</w:t>
            </w:r>
          </w:p>
        </w:tc>
      </w:tr>
      <w:tr>
        <w:trPr>
          <w:trHeight w:val="390" w:hRule="exact"/>
        </w:trPr>
        <w:tc>
          <w:tcPr>
            <w:tcW w:w="3220"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857" w:type="dxa"/>
            <w:tcBorders>
              <w:top w:val="nil" w:sz="6" w:space="0" w:color="auto"/>
              <w:left w:val="nil" w:sz="6" w:space="0" w:color="auto"/>
              <w:bottom w:val="nil" w:sz="6" w:space="0" w:color="auto"/>
              <w:right w:val="nil" w:sz="6" w:space="0" w:color="auto"/>
            </w:tcBorders>
          </w:tcPr>
          <w:p>
            <w:pPr>
              <w:pStyle w:val="TableParagraph"/>
              <w:tabs>
                <w:tab w:pos="1156" w:val="left" w:leader="none"/>
              </w:tabs>
              <w:spacing w:line="236" w:lineRule="exact"/>
              <w:ind w:right="572"/>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ab/>
              <w:t>-</w:t>
            </w:r>
            <w:r>
              <w:rPr>
                <w:rFonts w:ascii="宋体"/>
                <w:sz w:val="21"/>
              </w:rPr>
            </w:r>
          </w:p>
        </w:tc>
        <w:tc>
          <w:tcPr>
            <w:tcW w:w="2244" w:type="dxa"/>
            <w:tcBorders>
              <w:top w:val="nil" w:sz="6" w:space="0" w:color="auto"/>
              <w:left w:val="nil" w:sz="6" w:space="0" w:color="auto"/>
              <w:bottom w:val="nil" w:sz="6" w:space="0" w:color="auto"/>
              <w:right w:val="nil" w:sz="6" w:space="0" w:color="auto"/>
            </w:tcBorders>
          </w:tcPr>
          <w:p>
            <w:pPr>
              <w:pStyle w:val="TableParagraph"/>
              <w:spacing w:line="236" w:lineRule="exact"/>
              <w:ind w:right="202"/>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pacing w:val="-1"/>
                <w:sz w:val="21"/>
                <w:u w:val="single" w:color="000000"/>
              </w:rPr>
              <w:t>498,082,310</w:t>
            </w:r>
            <w:r>
              <w:rPr>
                <w:rFonts w:ascii="宋体"/>
                <w:spacing w:val="-1"/>
                <w:sz w:val="21"/>
              </w:rPr>
            </w:r>
          </w:p>
        </w:tc>
      </w:tr>
      <w:tr>
        <w:trPr>
          <w:trHeight w:val="365" w:hRule="exact"/>
        </w:trPr>
        <w:tc>
          <w:tcPr>
            <w:tcW w:w="3220" w:type="dxa"/>
            <w:tcBorders>
              <w:top w:val="nil" w:sz="6" w:space="0" w:color="auto"/>
              <w:left w:val="nil" w:sz="6" w:space="0" w:color="auto"/>
              <w:bottom w:val="nil" w:sz="6" w:space="0" w:color="auto"/>
              <w:right w:val="nil" w:sz="6" w:space="0" w:color="auto"/>
            </w:tcBorders>
          </w:tcPr>
          <w:p>
            <w:pP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63"/>
              <w:jc w:val="right"/>
              <w:rPr>
                <w:rFonts w:ascii="宋体" w:hAnsi="宋体" w:cs="宋体" w:eastAsia="宋体" w:hint="default"/>
                <w:sz w:val="21"/>
                <w:szCs w:val="21"/>
              </w:rPr>
            </w:pPr>
            <w:r>
              <w:rPr>
                <w:rFonts w:ascii="宋体"/>
                <w:w w:val="100"/>
                <w:sz w:val="21"/>
              </w:rPr>
            </w:r>
            <w:r>
              <w:rPr>
                <w:rFonts w:ascii="宋体"/>
                <w:spacing w:val="-1"/>
                <w:sz w:val="21"/>
                <w:u w:val="thick" w:color="000000"/>
              </w:rPr>
              <w:t>3,231,309,254</w:t>
            </w:r>
            <w:r>
              <w:rPr>
                <w:rFonts w:ascii="宋体"/>
                <w:spacing w:val="-1"/>
                <w:sz w:val="21"/>
              </w:rPr>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5"/>
              <w:jc w:val="right"/>
              <w:rPr>
                <w:rFonts w:ascii="宋体" w:hAnsi="宋体" w:cs="宋体" w:eastAsia="宋体" w:hint="default"/>
                <w:sz w:val="21"/>
                <w:szCs w:val="21"/>
              </w:rPr>
            </w:pPr>
            <w:r>
              <w:rPr>
                <w:rFonts w:ascii="宋体"/>
                <w:w w:val="100"/>
                <w:sz w:val="21"/>
              </w:rPr>
            </w:r>
            <w:r>
              <w:rPr>
                <w:rFonts w:ascii="宋体"/>
                <w:spacing w:val="-1"/>
                <w:sz w:val="21"/>
                <w:u w:val="thick" w:color="000000"/>
              </w:rPr>
              <w:t>2,870,669,020</w:t>
            </w:r>
            <w:r>
              <w:rPr>
                <w:rFonts w:ascii="宋体"/>
                <w:spacing w:val="-1"/>
                <w:sz w:val="21"/>
              </w:rPr>
            </w:r>
          </w:p>
        </w:tc>
      </w:tr>
    </w:tbl>
    <w:p>
      <w:pPr>
        <w:pStyle w:val="Heading2"/>
        <w:tabs>
          <w:tab w:pos="704" w:val="left" w:leader="none"/>
        </w:tabs>
        <w:spacing w:line="261" w:lineRule="exact" w:before="0"/>
        <w:ind w:left="224" w:right="144"/>
        <w:jc w:val="left"/>
        <w:rPr>
          <w:b w:val="0"/>
          <w:bCs w:val="0"/>
        </w:rPr>
      </w:pPr>
      <w:r>
        <w:rPr>
          <w:rFonts w:ascii="宋体" w:hAnsi="宋体" w:cs="宋体" w:eastAsia="宋体" w:hint="default"/>
          <w:w w:val="95"/>
        </w:rPr>
        <w:t>2.</w:t>
        <w:tab/>
      </w:r>
      <w:r>
        <w:rPr/>
        <w:t>金融工具风险</w:t>
      </w:r>
      <w:r>
        <w:rPr>
          <w:b w:val="0"/>
          <w:bCs w:val="0"/>
        </w:rPr>
      </w:r>
    </w:p>
    <w:p>
      <w:pPr>
        <w:spacing w:line="240" w:lineRule="auto" w:before="6"/>
        <w:rPr>
          <w:rFonts w:ascii="宋体" w:hAnsi="宋体" w:cs="宋体" w:eastAsia="宋体" w:hint="default"/>
          <w:b/>
          <w:bCs/>
          <w:sz w:val="20"/>
          <w:szCs w:val="20"/>
        </w:rPr>
      </w:pPr>
    </w:p>
    <w:p>
      <w:pPr>
        <w:pStyle w:val="BodyText"/>
        <w:spacing w:line="237" w:lineRule="auto"/>
        <w:ind w:left="754" w:right="149" w:hanging="15"/>
        <w:jc w:val="both"/>
      </w:pPr>
      <w:r>
        <w:rPr/>
        <w:t>本集团的主要金融工具除衍生工具外，包括货币资金、可供出售金融资产、理财产品、银</w:t>
      </w:r>
      <w:r>
        <w:rPr>
          <w:spacing w:val="-62"/>
        </w:rPr>
        <w:t> </w:t>
      </w:r>
      <w:r>
        <w:rPr>
          <w:spacing w:val="-62"/>
        </w:rPr>
      </w:r>
      <w:r>
        <w:rPr>
          <w:spacing w:val="-1"/>
        </w:rPr>
        <w:t>行借款和应付债券等。这些金融工具的主要目的在于为本集团的运营融资。本集团具有多</w:t>
      </w:r>
      <w:r>
        <w:rPr>
          <w:spacing w:val="-56"/>
        </w:rPr>
        <w:t> </w:t>
      </w:r>
      <w:r>
        <w:rPr>
          <w:spacing w:val="-56"/>
        </w:rPr>
      </w:r>
      <w:r>
        <w:rPr>
          <w:spacing w:val="-1"/>
        </w:rPr>
        <w:t>种因经营而直接产生的其他金融资产和负债，如应收账款、应付账款、应收票据、应付票</w:t>
      </w:r>
      <w:r>
        <w:rPr>
          <w:spacing w:val="-56"/>
        </w:rPr>
        <w:t> </w:t>
      </w:r>
      <w:r>
        <w:rPr>
          <w:spacing w:val="-56"/>
        </w:rPr>
      </w:r>
      <w:r>
        <w:rPr/>
        <w:t>据、其他应收款和其他应付款等。</w:t>
      </w:r>
    </w:p>
    <w:p>
      <w:pPr>
        <w:spacing w:after="0" w:line="237" w:lineRule="auto"/>
        <w:jc w:val="both"/>
        <w:sectPr>
          <w:headerReference w:type="default" r:id="rId77"/>
          <w:footerReference w:type="default" r:id="rId78"/>
          <w:pgSz w:w="11910" w:h="16840"/>
          <w:pgMar w:header="926" w:footer="1335" w:top="1120" w:bottom="1520" w:left="1660" w:right="1120"/>
          <w:pgNumType w:start="101"/>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72" w:lineRule="exact" w:before="64"/>
        <w:ind w:left="914" w:right="0" w:hanging="15"/>
        <w:jc w:val="left"/>
      </w:pPr>
      <w:r>
        <w:rPr/>
        <w:t>本集团亦开展衍生交易，主要包括远期外汇合同，目的在于管理本集团的运营及其融资渠</w:t>
      </w:r>
      <w:r>
        <w:rPr>
          <w:spacing w:val="-62"/>
        </w:rPr>
        <w:t> </w:t>
      </w:r>
      <w:r>
        <w:rPr>
          <w:spacing w:val="-62"/>
        </w:rPr>
      </w:r>
      <w:r>
        <w:rPr/>
        <w:t>道的汇率风险。于整个年度内，本集团采取了不进行衍生工具投机交易的政策。</w:t>
      </w:r>
    </w:p>
    <w:p>
      <w:pPr>
        <w:spacing w:line="240" w:lineRule="auto" w:before="12"/>
        <w:rPr>
          <w:rFonts w:ascii="宋体" w:hAnsi="宋体" w:cs="宋体" w:eastAsia="宋体" w:hint="default"/>
          <w:sz w:val="18"/>
          <w:szCs w:val="18"/>
        </w:rPr>
      </w:pPr>
    </w:p>
    <w:p>
      <w:pPr>
        <w:pStyle w:val="BodyText"/>
        <w:spacing w:line="240" w:lineRule="auto"/>
        <w:ind w:left="929" w:right="697"/>
        <w:jc w:val="both"/>
      </w:pPr>
      <w:r>
        <w:rPr>
          <w:spacing w:val="-2"/>
        </w:rPr>
        <w:t>本集团的金融工具导致的主要风险是信用风险、流动性风险及市场风险。本集团对此的风</w:t>
      </w:r>
      <w:r>
        <w:rPr>
          <w:spacing w:val="-31"/>
        </w:rPr>
        <w:t> </w:t>
      </w:r>
      <w:r>
        <w:rPr>
          <w:spacing w:val="-31"/>
        </w:rPr>
      </w:r>
      <w:r>
        <w:rPr/>
        <w:t>险管理政策概述如下。</w:t>
      </w:r>
    </w:p>
    <w:p>
      <w:pPr>
        <w:spacing w:line="240" w:lineRule="auto" w:before="10"/>
        <w:rPr>
          <w:rFonts w:ascii="宋体" w:hAnsi="宋体" w:cs="宋体" w:eastAsia="宋体" w:hint="default"/>
          <w:sz w:val="18"/>
          <w:szCs w:val="18"/>
        </w:rPr>
      </w:pPr>
    </w:p>
    <w:p>
      <w:pPr>
        <w:pStyle w:val="Heading2"/>
        <w:spacing w:line="240" w:lineRule="auto" w:before="0"/>
        <w:ind w:left="981" w:right="0"/>
        <w:jc w:val="both"/>
        <w:rPr>
          <w:b w:val="0"/>
          <w:bCs w:val="0"/>
        </w:rPr>
      </w:pPr>
      <w:r>
        <w:rPr/>
        <w:t>信用风险</w:t>
      </w:r>
      <w:r>
        <w:rPr>
          <w:b w:val="0"/>
          <w:bCs w:val="0"/>
        </w:rPr>
      </w:r>
    </w:p>
    <w:p>
      <w:pPr>
        <w:spacing w:line="240" w:lineRule="auto" w:before="7"/>
        <w:rPr>
          <w:rFonts w:ascii="宋体" w:hAnsi="宋体" w:cs="宋体" w:eastAsia="宋体" w:hint="default"/>
          <w:b/>
          <w:bCs/>
          <w:sz w:val="19"/>
          <w:szCs w:val="19"/>
        </w:rPr>
      </w:pPr>
    </w:p>
    <w:p>
      <w:pPr>
        <w:pStyle w:val="BodyText"/>
        <w:spacing w:line="228" w:lineRule="auto"/>
        <w:ind w:left="1010" w:right="688"/>
        <w:jc w:val="both"/>
      </w:pPr>
      <w:r>
        <w:rPr>
          <w:spacing w:val="-4"/>
        </w:rPr>
        <w:t>本集团仅与经认可的、信誉良好的第三方进行交易。按照本集团的政策，需对所有要求采</w:t>
      </w:r>
      <w:r>
        <w:rPr>
          <w:spacing w:val="-29"/>
        </w:rPr>
        <w:t> </w:t>
      </w:r>
      <w:r>
        <w:rPr>
          <w:spacing w:val="-29"/>
        </w:rPr>
      </w:r>
      <w:r>
        <w:rPr>
          <w:spacing w:val="-4"/>
        </w:rPr>
        <w:t>用信用方式进行交易的客户进行信用审核。另外，本集团对应收账款及其他应收款余额进</w:t>
      </w:r>
      <w:r>
        <w:rPr>
          <w:spacing w:val="-26"/>
        </w:rPr>
        <w:t> </w:t>
      </w:r>
      <w:r>
        <w:rPr>
          <w:spacing w:val="-26"/>
        </w:rPr>
      </w:r>
      <w:r>
        <w:rPr>
          <w:spacing w:val="-4"/>
        </w:rPr>
        <w:t>行持续监控，以确保本集团不致面临重大坏账风险。对于未采用相关经营单位的记账本位</w:t>
      </w:r>
      <w:r>
        <w:rPr>
          <w:spacing w:val="-26"/>
        </w:rPr>
        <w:t> </w:t>
      </w:r>
      <w:r>
        <w:rPr>
          <w:spacing w:val="-26"/>
        </w:rPr>
      </w:r>
      <w:r>
        <w:rPr/>
        <w:t>币结算的交易，除非本集团信用控制部门特别批准，否则本集团不提供信用交易条件。</w:t>
      </w:r>
    </w:p>
    <w:p>
      <w:pPr>
        <w:spacing w:line="240" w:lineRule="auto" w:before="10"/>
        <w:rPr>
          <w:rFonts w:ascii="宋体" w:hAnsi="宋体" w:cs="宋体" w:eastAsia="宋体" w:hint="default"/>
          <w:sz w:val="21"/>
          <w:szCs w:val="21"/>
        </w:rPr>
      </w:pPr>
    </w:p>
    <w:p>
      <w:pPr>
        <w:pStyle w:val="BodyText"/>
        <w:spacing w:line="260" w:lineRule="exact"/>
        <w:ind w:left="1010" w:right="688"/>
        <w:jc w:val="both"/>
      </w:pPr>
      <w:r>
        <w:rPr>
          <w:spacing w:val="-4"/>
        </w:rPr>
        <w:t>本集团其他金融资产包括货币资金和可供出售金融资产等，这些金融资产的信用风险源自</w:t>
      </w:r>
      <w:r>
        <w:rPr>
          <w:spacing w:val="-25"/>
        </w:rPr>
        <w:t> </w:t>
      </w:r>
      <w:r>
        <w:rPr>
          <w:spacing w:val="-25"/>
        </w:rPr>
      </w:r>
      <w:r>
        <w:rPr/>
        <w:t>交易对手违约，最大风险敞口等于这些工具的账面金额。</w:t>
      </w:r>
    </w:p>
    <w:p>
      <w:pPr>
        <w:spacing w:line="240" w:lineRule="auto" w:before="0"/>
        <w:rPr>
          <w:rFonts w:ascii="宋体" w:hAnsi="宋体" w:cs="宋体" w:eastAsia="宋体" w:hint="default"/>
          <w:sz w:val="18"/>
          <w:szCs w:val="18"/>
        </w:rPr>
      </w:pPr>
    </w:p>
    <w:p>
      <w:pPr>
        <w:pStyle w:val="BodyText"/>
        <w:spacing w:line="228" w:lineRule="auto"/>
        <w:ind w:left="1010" w:right="687"/>
        <w:jc w:val="both"/>
      </w:pPr>
      <w:r>
        <w:rPr>
          <w:spacing w:val="-4"/>
        </w:rPr>
        <w:t>由于本集团仅与经认可的且信誉良好的第三方进行交易，所以无需担保物。由于本集团的</w:t>
      </w:r>
      <w:r>
        <w:rPr>
          <w:spacing w:val="-25"/>
        </w:rPr>
        <w:t> </w:t>
      </w:r>
      <w:r>
        <w:rPr>
          <w:spacing w:val="-25"/>
        </w:rPr>
      </w:r>
      <w:r>
        <w:rPr>
          <w:spacing w:val="-4"/>
        </w:rPr>
        <w:t>应收账款客户群广泛地分散于不同的部门和行业中，因此在本集团内部不存在重大信用风</w:t>
      </w:r>
      <w:r>
        <w:rPr>
          <w:spacing w:val="-26"/>
        </w:rPr>
        <w:t> </w:t>
      </w:r>
      <w:r>
        <w:rPr>
          <w:spacing w:val="-26"/>
        </w:rPr>
      </w:r>
      <w:r>
        <w:rPr/>
        <w:t>险集中。本集团对应收账款余额未持有任何担保物或其他信用增级。</w:t>
      </w:r>
    </w:p>
    <w:p>
      <w:pPr>
        <w:spacing w:line="240" w:lineRule="auto" w:before="9"/>
        <w:rPr>
          <w:rFonts w:ascii="宋体" w:hAnsi="宋体" w:cs="宋体" w:eastAsia="宋体" w:hint="default"/>
          <w:sz w:val="19"/>
          <w:szCs w:val="19"/>
        </w:rPr>
      </w:pPr>
    </w:p>
    <w:p>
      <w:pPr>
        <w:pStyle w:val="BodyText"/>
        <w:spacing w:line="228" w:lineRule="auto"/>
        <w:ind w:left="1010" w:right="687"/>
        <w:jc w:val="both"/>
      </w:pPr>
      <w:r>
        <w:rPr>
          <w:spacing w:val="-3"/>
        </w:rPr>
        <w:t>于</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日，本集团金融资产中无尚未逾期但已发生减值的金额，不存在已逾期已</w:t>
      </w:r>
      <w:r>
        <w:rPr>
          <w:spacing w:val="-51"/>
        </w:rPr>
        <w:t> </w:t>
      </w:r>
      <w:r>
        <w:rPr>
          <w:spacing w:val="-51"/>
        </w:rPr>
      </w:r>
      <w:r>
        <w:rPr>
          <w:spacing w:val="-4"/>
        </w:rPr>
        <w:t>减值但未计提减值准备的重大金融资产。本集团未逾期未减值及已逾期未减值的金融资产</w:t>
      </w:r>
      <w:r>
        <w:rPr>
          <w:spacing w:val="-26"/>
        </w:rPr>
        <w:t> </w:t>
      </w:r>
      <w:r>
        <w:rPr>
          <w:spacing w:val="-26"/>
        </w:rPr>
      </w:r>
      <w:r>
        <w:rPr>
          <w:spacing w:val="-1"/>
        </w:rPr>
        <w:t>主要为账龄为</w:t>
      </w:r>
      <w:r>
        <w:rPr>
          <w:rFonts w:ascii="宋体" w:hAnsi="宋体" w:cs="宋体" w:eastAsia="宋体" w:hint="default"/>
          <w:spacing w:val="-1"/>
        </w:rPr>
        <w:t>1</w:t>
      </w:r>
      <w:r>
        <w:rPr>
          <w:spacing w:val="-1"/>
        </w:rPr>
        <w:t>年以内的应收账款及其他应收款。于</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日，尚未逾期和发生减</w:t>
      </w:r>
      <w:r>
        <w:rPr>
          <w:spacing w:val="-26"/>
        </w:rPr>
        <w:t> </w:t>
      </w:r>
      <w:r>
        <w:rPr>
          <w:spacing w:val="-26"/>
        </w:rPr>
      </w:r>
      <w:r>
        <w:rPr/>
        <w:t>值的应收账款与大量的近期无违约记录的分散化的客户有关。</w:t>
      </w:r>
    </w:p>
    <w:p>
      <w:pPr>
        <w:spacing w:line="240" w:lineRule="auto" w:before="7"/>
        <w:rPr>
          <w:rFonts w:ascii="宋体" w:hAnsi="宋体" w:cs="宋体" w:eastAsia="宋体" w:hint="default"/>
          <w:sz w:val="21"/>
          <w:szCs w:val="21"/>
        </w:rPr>
      </w:pPr>
    </w:p>
    <w:p>
      <w:pPr>
        <w:pStyle w:val="Heading2"/>
        <w:spacing w:line="240" w:lineRule="auto" w:before="0"/>
        <w:ind w:left="1010" w:right="0"/>
        <w:jc w:val="both"/>
        <w:rPr>
          <w:b w:val="0"/>
          <w:bCs w:val="0"/>
        </w:rPr>
      </w:pPr>
      <w:r>
        <w:rPr/>
        <w:t>流动性风险</w:t>
      </w:r>
      <w:r>
        <w:rPr>
          <w:b w:val="0"/>
          <w:bCs w:val="0"/>
        </w:rPr>
      </w:r>
    </w:p>
    <w:p>
      <w:pPr>
        <w:spacing w:line="240" w:lineRule="auto" w:before="8"/>
        <w:rPr>
          <w:rFonts w:ascii="宋体" w:hAnsi="宋体" w:cs="宋体" w:eastAsia="宋体" w:hint="default"/>
          <w:b/>
          <w:bCs/>
          <w:sz w:val="20"/>
          <w:szCs w:val="20"/>
        </w:rPr>
      </w:pPr>
    </w:p>
    <w:p>
      <w:pPr>
        <w:pStyle w:val="BodyText"/>
        <w:spacing w:line="244" w:lineRule="auto"/>
        <w:ind w:left="1010" w:right="0"/>
        <w:jc w:val="left"/>
      </w:pPr>
      <w:r>
        <w:rPr>
          <w:spacing w:val="-1"/>
        </w:rPr>
        <w:t>本集团采用循环流动性计划工具管理资金短缺风险。该工具既考虑其金融工具的到期日，</w:t>
      </w:r>
      <w:r>
        <w:rPr>
          <w:spacing w:val="-29"/>
        </w:rPr>
        <w:t> </w:t>
      </w:r>
      <w:r>
        <w:rPr>
          <w:spacing w:val="-29"/>
        </w:rPr>
      </w:r>
      <w:r>
        <w:rPr/>
        <w:t>也考虑本集团运营产生的预计现金流量。</w:t>
      </w:r>
    </w:p>
    <w:p>
      <w:pPr>
        <w:spacing w:line="240" w:lineRule="auto" w:before="5"/>
        <w:rPr>
          <w:rFonts w:ascii="宋体" w:hAnsi="宋体" w:cs="宋体" w:eastAsia="宋体" w:hint="default"/>
          <w:sz w:val="21"/>
          <w:szCs w:val="21"/>
        </w:rPr>
      </w:pPr>
    </w:p>
    <w:p>
      <w:pPr>
        <w:pStyle w:val="BodyText"/>
        <w:spacing w:line="244" w:lineRule="auto"/>
        <w:ind w:left="1010" w:right="688"/>
        <w:jc w:val="both"/>
      </w:pPr>
      <w:r>
        <w:rPr>
          <w:spacing w:val="-4"/>
        </w:rPr>
        <w:t>本集团的目标是运用银行借款、应付债券、增发股本等多种融资手段以保持融资的持续性</w:t>
      </w:r>
      <w:r>
        <w:rPr>
          <w:spacing w:val="-25"/>
        </w:rPr>
        <w:t> </w:t>
      </w:r>
      <w:r>
        <w:rPr>
          <w:spacing w:val="-25"/>
        </w:rPr>
      </w:r>
      <w:r>
        <w:rPr/>
        <w:t>与灵活性的平衡。</w:t>
      </w:r>
    </w:p>
    <w:p>
      <w:pPr>
        <w:pStyle w:val="BodyText"/>
        <w:spacing w:line="240" w:lineRule="auto" w:before="1"/>
        <w:ind w:left="1010" w:right="0"/>
        <w:jc w:val="both"/>
      </w:pPr>
      <w:r>
        <w:rPr/>
        <w:t>下表概括了金融负债按未折现的合同现金流量所作的到期期限分析：</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1645"/>
        <w:gridCol w:w="1431"/>
        <w:gridCol w:w="1382"/>
        <w:gridCol w:w="1452"/>
        <w:gridCol w:w="1241"/>
        <w:gridCol w:w="710"/>
        <w:gridCol w:w="1735"/>
      </w:tblGrid>
      <w:tr>
        <w:trPr>
          <w:trHeight w:val="246" w:hRule="exact"/>
        </w:trPr>
        <w:tc>
          <w:tcPr>
            <w:tcW w:w="1645"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31"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r>
      <w:tr>
        <w:trPr>
          <w:trHeight w:val="263" w:hRule="exact"/>
        </w:trPr>
        <w:tc>
          <w:tcPr>
            <w:tcW w:w="1645"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431"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r>
      <w:tr>
        <w:trPr>
          <w:trHeight w:val="532" w:hRule="exact"/>
        </w:trPr>
        <w:tc>
          <w:tcPr>
            <w:tcW w:w="1645"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Style w:val="TableParagraph"/>
              <w:spacing w:line="228" w:lineRule="exact"/>
              <w:ind w:right="197"/>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个月以内</w:t>
            </w:r>
          </w:p>
        </w:tc>
        <w:tc>
          <w:tcPr>
            <w:tcW w:w="1382" w:type="dxa"/>
            <w:tcBorders>
              <w:top w:val="nil" w:sz="6" w:space="0" w:color="auto"/>
              <w:left w:val="nil" w:sz="6" w:space="0" w:color="auto"/>
              <w:bottom w:val="nil" w:sz="6" w:space="0" w:color="auto"/>
              <w:right w:val="nil" w:sz="6" w:space="0" w:color="auto"/>
            </w:tcBorders>
          </w:tcPr>
          <w:p>
            <w:pPr>
              <w:pStyle w:val="TableParagraph"/>
              <w:spacing w:line="228"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至</w:t>
            </w:r>
            <w:r>
              <w:rPr>
                <w:rFonts w:ascii="宋体" w:hAnsi="宋体" w:cs="宋体" w:eastAsia="宋体" w:hint="default"/>
                <w:spacing w:val="-2"/>
                <w:sz w:val="21"/>
                <w:szCs w:val="21"/>
              </w:rPr>
              <w:t>3</w:t>
            </w:r>
            <w:r>
              <w:rPr>
                <w:rFonts w:ascii="宋体" w:hAnsi="宋体" w:cs="宋体" w:eastAsia="宋体" w:hint="default"/>
                <w:spacing w:val="-2"/>
                <w:sz w:val="21"/>
                <w:szCs w:val="21"/>
              </w:rPr>
              <w:t>个月</w:t>
            </w:r>
            <w:r>
              <w:rPr>
                <w:rFonts w:ascii="宋体" w:hAnsi="宋体" w:cs="宋体" w:eastAsia="宋体" w:hint="default"/>
                <w:sz w:val="21"/>
                <w:szCs w:val="21"/>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8" w:lineRule="exact"/>
              <w:ind w:left="36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个月以上</w:t>
            </w:r>
          </w:p>
          <w:p>
            <w:pPr>
              <w:pStyle w:val="TableParagraph"/>
              <w:spacing w:line="259" w:lineRule="exact"/>
              <w:ind w:left="866"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z w:val="21"/>
                <w:szCs w:val="21"/>
              </w:rPr>
              <w:t>1</w:t>
            </w:r>
            <w:r>
              <w:rPr>
                <w:rFonts w:ascii="宋体" w:hAnsi="宋体" w:cs="宋体" w:eastAsia="宋体" w:hint="default"/>
                <w:sz w:val="21"/>
                <w:szCs w:val="21"/>
              </w:rPr>
              <w:t>年</w:t>
            </w:r>
          </w:p>
        </w:tc>
        <w:tc>
          <w:tcPr>
            <w:tcW w:w="1241" w:type="dxa"/>
            <w:tcBorders>
              <w:top w:val="nil" w:sz="6" w:space="0" w:color="auto"/>
              <w:left w:val="nil" w:sz="6" w:space="0" w:color="auto"/>
              <w:bottom w:val="nil" w:sz="6" w:space="0" w:color="auto"/>
              <w:right w:val="nil" w:sz="6" w:space="0" w:color="auto"/>
            </w:tcBorders>
          </w:tcPr>
          <w:p>
            <w:pPr>
              <w:pStyle w:val="TableParagraph"/>
              <w:spacing w:line="248" w:lineRule="exact"/>
              <w:ind w:left="4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p>
            <w:pPr>
              <w:pStyle w:val="TableParagraph"/>
              <w:spacing w:line="259" w:lineRule="exact"/>
              <w:ind w:left="688"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z w:val="21"/>
                <w:szCs w:val="21"/>
              </w:rPr>
              <w:t>5</w:t>
            </w:r>
            <w:r>
              <w:rPr>
                <w:rFonts w:ascii="宋体" w:hAnsi="宋体" w:cs="宋体" w:eastAsia="宋体" w:hint="default"/>
                <w:sz w:val="21"/>
                <w:szCs w:val="21"/>
              </w:rPr>
              <w:t>年</w:t>
            </w:r>
          </w:p>
        </w:tc>
        <w:tc>
          <w:tcPr>
            <w:tcW w:w="710" w:type="dxa"/>
            <w:tcBorders>
              <w:top w:val="nil" w:sz="6" w:space="0" w:color="auto"/>
              <w:left w:val="nil" w:sz="6" w:space="0" w:color="auto"/>
              <w:bottom w:val="nil" w:sz="6" w:space="0" w:color="auto"/>
              <w:right w:val="nil" w:sz="6" w:space="0" w:color="auto"/>
            </w:tcBorders>
          </w:tcPr>
          <w:p>
            <w:pPr>
              <w:pStyle w:val="TableParagraph"/>
              <w:spacing w:line="220" w:lineRule="exact"/>
              <w:ind w:left="1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年以</w:t>
            </w:r>
          </w:p>
          <w:p>
            <w:pPr>
              <w:pStyle w:val="TableParagraph"/>
              <w:spacing w:line="267" w:lineRule="exact"/>
              <w:ind w:left="329" w:right="0"/>
              <w:jc w:val="left"/>
              <w:rPr>
                <w:rFonts w:ascii="宋体" w:hAnsi="宋体" w:cs="宋体" w:eastAsia="宋体" w:hint="default"/>
                <w:sz w:val="21"/>
                <w:szCs w:val="21"/>
              </w:rPr>
            </w:pPr>
            <w:r>
              <w:rPr>
                <w:rFonts w:ascii="宋体" w:hAnsi="宋体" w:cs="宋体" w:eastAsia="宋体" w:hint="default"/>
                <w:w w:val="100"/>
                <w:sz w:val="21"/>
                <w:szCs w:val="21"/>
              </w:rPr>
              <w:t>上</w:t>
            </w:r>
          </w:p>
        </w:tc>
        <w:tc>
          <w:tcPr>
            <w:tcW w:w="1735"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288" w:hRule="exact"/>
        </w:trPr>
        <w:tc>
          <w:tcPr>
            <w:tcW w:w="1645" w:type="dxa"/>
            <w:tcBorders>
              <w:top w:val="nil" w:sz="6" w:space="0" w:color="auto"/>
              <w:left w:val="nil" w:sz="6" w:space="0" w:color="auto"/>
              <w:bottom w:val="nil" w:sz="6" w:space="0" w:color="auto"/>
              <w:right w:val="nil" w:sz="6" w:space="0" w:color="auto"/>
            </w:tcBorders>
          </w:tcPr>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31" w:type="dxa"/>
            <w:tcBorders>
              <w:top w:val="nil" w:sz="6" w:space="0" w:color="auto"/>
              <w:left w:val="nil" w:sz="6" w:space="0" w:color="auto"/>
              <w:bottom w:val="nil" w:sz="6" w:space="0" w:color="auto"/>
              <w:right w:val="nil" w:sz="6" w:space="0" w:color="auto"/>
            </w:tcBorders>
          </w:tcPr>
          <w:p>
            <w:pPr>
              <w:pStyle w:val="TableParagraph"/>
              <w:spacing w:line="236" w:lineRule="exact"/>
              <w:ind w:right="199"/>
              <w:jc w:val="right"/>
              <w:rPr>
                <w:rFonts w:ascii="宋体" w:hAnsi="宋体" w:cs="宋体" w:eastAsia="宋体" w:hint="default"/>
                <w:sz w:val="21"/>
                <w:szCs w:val="21"/>
              </w:rPr>
            </w:pPr>
            <w:r>
              <w:rPr>
                <w:rFonts w:ascii="宋体"/>
                <w:w w:val="100"/>
                <w:sz w:val="21"/>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36" w:lineRule="exact"/>
              <w:ind w:right="24"/>
              <w:jc w:val="right"/>
              <w:rPr>
                <w:rFonts w:ascii="宋体" w:hAnsi="宋体" w:cs="宋体" w:eastAsia="宋体" w:hint="default"/>
                <w:sz w:val="21"/>
                <w:szCs w:val="21"/>
              </w:rPr>
            </w:pPr>
            <w:r>
              <w:rPr>
                <w:rFonts w:ascii="宋体"/>
                <w:spacing w:val="-1"/>
                <w:sz w:val="21"/>
              </w:rPr>
              <w:t>407,107,960</w:t>
            </w:r>
          </w:p>
        </w:tc>
        <w:tc>
          <w:tcPr>
            <w:tcW w:w="1452" w:type="dxa"/>
            <w:tcBorders>
              <w:top w:val="nil" w:sz="6" w:space="0" w:color="auto"/>
              <w:left w:val="nil" w:sz="6" w:space="0" w:color="auto"/>
              <w:bottom w:val="nil" w:sz="6" w:space="0" w:color="auto"/>
              <w:right w:val="nil" w:sz="6" w:space="0" w:color="auto"/>
            </w:tcBorders>
          </w:tcPr>
          <w:p>
            <w:pPr>
              <w:pStyle w:val="TableParagraph"/>
              <w:spacing w:line="236" w:lineRule="exact"/>
              <w:ind w:right="58"/>
              <w:jc w:val="right"/>
              <w:rPr>
                <w:rFonts w:ascii="宋体" w:hAnsi="宋体" w:cs="宋体" w:eastAsia="宋体" w:hint="default"/>
                <w:sz w:val="21"/>
                <w:szCs w:val="21"/>
              </w:rPr>
            </w:pPr>
            <w:r>
              <w:rPr>
                <w:rFonts w:ascii="宋体"/>
                <w:spacing w:val="-1"/>
                <w:sz w:val="21"/>
              </w:rPr>
              <w:t>1,416,876,402</w:t>
            </w:r>
          </w:p>
        </w:tc>
        <w:tc>
          <w:tcPr>
            <w:tcW w:w="1241" w:type="dxa"/>
            <w:tcBorders>
              <w:top w:val="nil" w:sz="6" w:space="0" w:color="auto"/>
              <w:left w:val="nil" w:sz="6" w:space="0" w:color="auto"/>
              <w:bottom w:val="nil" w:sz="6" w:space="0" w:color="auto"/>
              <w:right w:val="nil" w:sz="6" w:space="0" w:color="auto"/>
            </w:tcBorders>
          </w:tcPr>
          <w:p>
            <w:pPr>
              <w:pStyle w:val="TableParagraph"/>
              <w:spacing w:line="236" w:lineRule="exact"/>
              <w:ind w:right="24"/>
              <w:jc w:val="right"/>
              <w:rPr>
                <w:rFonts w:ascii="宋体" w:hAnsi="宋体" w:cs="宋体" w:eastAsia="宋体" w:hint="default"/>
                <w:sz w:val="21"/>
                <w:szCs w:val="21"/>
              </w:rPr>
            </w:pPr>
            <w:r>
              <w:rPr>
                <w:rFonts w:ascii="宋体"/>
                <w:w w:val="100"/>
                <w:sz w:val="21"/>
              </w:rPr>
              <w:t>-</w:t>
            </w:r>
          </w:p>
        </w:tc>
        <w:tc>
          <w:tcPr>
            <w:tcW w:w="710" w:type="dxa"/>
            <w:tcBorders>
              <w:top w:val="nil" w:sz="6" w:space="0" w:color="auto"/>
              <w:left w:val="nil" w:sz="6" w:space="0" w:color="auto"/>
              <w:bottom w:val="nil" w:sz="6" w:space="0" w:color="auto"/>
              <w:right w:val="nil" w:sz="6" w:space="0" w:color="auto"/>
            </w:tcBorders>
          </w:tcPr>
          <w:p>
            <w:pPr>
              <w:pStyle w:val="TableParagraph"/>
              <w:spacing w:line="236" w:lineRule="exact"/>
              <w:ind w:right="167"/>
              <w:jc w:val="right"/>
              <w:rPr>
                <w:rFonts w:ascii="宋体" w:hAnsi="宋体" w:cs="宋体" w:eastAsia="宋体" w:hint="default"/>
                <w:sz w:val="21"/>
                <w:szCs w:val="21"/>
              </w:rPr>
            </w:pPr>
            <w:r>
              <w:rPr>
                <w:rFonts w:ascii="宋体"/>
                <w:w w:val="100"/>
                <w:sz w:val="21"/>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36" w:lineRule="exact"/>
              <w:ind w:right="198"/>
              <w:jc w:val="right"/>
              <w:rPr>
                <w:rFonts w:ascii="宋体" w:hAnsi="宋体" w:cs="宋体" w:eastAsia="宋体" w:hint="default"/>
                <w:sz w:val="21"/>
                <w:szCs w:val="21"/>
              </w:rPr>
            </w:pPr>
            <w:r>
              <w:rPr>
                <w:rFonts w:ascii="宋体"/>
                <w:spacing w:val="-1"/>
                <w:sz w:val="21"/>
              </w:rPr>
              <w:t>1,823,984,362</w:t>
            </w:r>
          </w:p>
        </w:tc>
      </w:tr>
      <w:tr>
        <w:trPr>
          <w:trHeight w:val="280" w:hRule="exact"/>
        </w:trPr>
        <w:tc>
          <w:tcPr>
            <w:tcW w:w="1645" w:type="dxa"/>
            <w:tcBorders>
              <w:top w:val="nil" w:sz="6" w:space="0" w:color="auto"/>
              <w:left w:val="nil" w:sz="6" w:space="0" w:color="auto"/>
              <w:bottom w:val="nil" w:sz="6" w:space="0" w:color="auto"/>
              <w:right w:val="nil" w:sz="6" w:space="0" w:color="auto"/>
            </w:tcBorders>
          </w:tcPr>
          <w:p>
            <w:pPr>
              <w:pStyle w:val="TableParagraph"/>
              <w:spacing w:line="263"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31" w:type="dxa"/>
            <w:tcBorders>
              <w:top w:val="nil" w:sz="6" w:space="0" w:color="auto"/>
              <w:left w:val="nil" w:sz="6" w:space="0" w:color="auto"/>
              <w:bottom w:val="nil" w:sz="6" w:space="0" w:color="auto"/>
              <w:right w:val="nil" w:sz="6" w:space="0" w:color="auto"/>
            </w:tcBorders>
          </w:tcPr>
          <w:p>
            <w:pPr>
              <w:pStyle w:val="TableParagraph"/>
              <w:spacing w:line="227" w:lineRule="exact"/>
              <w:ind w:right="200"/>
              <w:jc w:val="right"/>
              <w:rPr>
                <w:rFonts w:ascii="宋体" w:hAnsi="宋体" w:cs="宋体" w:eastAsia="宋体" w:hint="default"/>
                <w:sz w:val="21"/>
                <w:szCs w:val="21"/>
              </w:rPr>
            </w:pPr>
            <w:r>
              <w:rPr>
                <w:rFonts w:ascii="宋体"/>
                <w:spacing w:val="-1"/>
                <w:sz w:val="21"/>
              </w:rPr>
              <w:t>380,044,622</w:t>
            </w:r>
          </w:p>
        </w:tc>
        <w:tc>
          <w:tcPr>
            <w:tcW w:w="1382" w:type="dxa"/>
            <w:tcBorders>
              <w:top w:val="nil" w:sz="6" w:space="0" w:color="auto"/>
              <w:left w:val="nil" w:sz="6" w:space="0" w:color="auto"/>
              <w:bottom w:val="nil" w:sz="6" w:space="0" w:color="auto"/>
              <w:right w:val="nil" w:sz="6" w:space="0" w:color="auto"/>
            </w:tcBorders>
          </w:tcPr>
          <w:p>
            <w:pPr>
              <w:pStyle w:val="TableParagraph"/>
              <w:spacing w:line="227" w:lineRule="exact"/>
              <w:ind w:right="21"/>
              <w:jc w:val="right"/>
              <w:rPr>
                <w:rFonts w:ascii="宋体" w:hAnsi="宋体" w:cs="宋体" w:eastAsia="宋体" w:hint="default"/>
                <w:sz w:val="21"/>
                <w:szCs w:val="21"/>
              </w:rPr>
            </w:pPr>
            <w:r>
              <w:rPr>
                <w:rFonts w:ascii="宋体"/>
                <w:spacing w:val="-1"/>
                <w:sz w:val="21"/>
              </w:rPr>
              <w:t>22,061,360</w:t>
            </w:r>
          </w:p>
        </w:tc>
        <w:tc>
          <w:tcPr>
            <w:tcW w:w="1452" w:type="dxa"/>
            <w:tcBorders>
              <w:top w:val="nil" w:sz="6" w:space="0" w:color="auto"/>
              <w:left w:val="nil" w:sz="6" w:space="0" w:color="auto"/>
              <w:bottom w:val="nil" w:sz="6" w:space="0" w:color="auto"/>
              <w:right w:val="nil" w:sz="6" w:space="0" w:color="auto"/>
            </w:tcBorders>
          </w:tcPr>
          <w:p>
            <w:pPr>
              <w:pStyle w:val="TableParagraph"/>
              <w:spacing w:line="227" w:lineRule="exact"/>
              <w:ind w:right="58"/>
              <w:jc w:val="right"/>
              <w:rPr>
                <w:rFonts w:ascii="宋体" w:hAnsi="宋体" w:cs="宋体" w:eastAsia="宋体" w:hint="default"/>
                <w:sz w:val="21"/>
                <w:szCs w:val="21"/>
              </w:rPr>
            </w:pPr>
            <w:r>
              <w:rPr>
                <w:rFonts w:ascii="宋体"/>
                <w:w w:val="100"/>
                <w:sz w:val="21"/>
              </w:rPr>
              <w:t>-</w:t>
            </w:r>
          </w:p>
        </w:tc>
        <w:tc>
          <w:tcPr>
            <w:tcW w:w="1241" w:type="dxa"/>
            <w:tcBorders>
              <w:top w:val="nil" w:sz="6" w:space="0" w:color="auto"/>
              <w:left w:val="nil" w:sz="6" w:space="0" w:color="auto"/>
              <w:bottom w:val="nil" w:sz="6" w:space="0" w:color="auto"/>
              <w:right w:val="nil" w:sz="6" w:space="0" w:color="auto"/>
            </w:tcBorders>
          </w:tcPr>
          <w:p>
            <w:pPr>
              <w:pStyle w:val="TableParagraph"/>
              <w:spacing w:line="227" w:lineRule="exact"/>
              <w:ind w:right="24"/>
              <w:jc w:val="right"/>
              <w:rPr>
                <w:rFonts w:ascii="宋体" w:hAnsi="宋体" w:cs="宋体" w:eastAsia="宋体" w:hint="default"/>
                <w:sz w:val="21"/>
                <w:szCs w:val="21"/>
              </w:rPr>
            </w:pPr>
            <w:r>
              <w:rPr>
                <w:rFonts w:ascii="宋体"/>
                <w:w w:val="100"/>
                <w:sz w:val="21"/>
              </w:rPr>
              <w:t>-</w:t>
            </w:r>
          </w:p>
        </w:tc>
        <w:tc>
          <w:tcPr>
            <w:tcW w:w="710" w:type="dxa"/>
            <w:tcBorders>
              <w:top w:val="nil" w:sz="6" w:space="0" w:color="auto"/>
              <w:left w:val="nil" w:sz="6" w:space="0" w:color="auto"/>
              <w:bottom w:val="nil" w:sz="6" w:space="0" w:color="auto"/>
              <w:right w:val="nil" w:sz="6" w:space="0" w:color="auto"/>
            </w:tcBorders>
          </w:tcPr>
          <w:p>
            <w:pPr>
              <w:pStyle w:val="TableParagraph"/>
              <w:spacing w:line="227" w:lineRule="exact"/>
              <w:ind w:right="167"/>
              <w:jc w:val="right"/>
              <w:rPr>
                <w:rFonts w:ascii="宋体" w:hAnsi="宋体" w:cs="宋体" w:eastAsia="宋体" w:hint="default"/>
                <w:sz w:val="21"/>
                <w:szCs w:val="21"/>
              </w:rPr>
            </w:pPr>
            <w:r>
              <w:rPr>
                <w:rFonts w:ascii="宋体"/>
                <w:w w:val="100"/>
                <w:sz w:val="21"/>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27" w:lineRule="exact"/>
              <w:ind w:right="198"/>
              <w:jc w:val="right"/>
              <w:rPr>
                <w:rFonts w:ascii="宋体" w:hAnsi="宋体" w:cs="宋体" w:eastAsia="宋体" w:hint="default"/>
                <w:sz w:val="21"/>
                <w:szCs w:val="21"/>
              </w:rPr>
            </w:pPr>
            <w:r>
              <w:rPr>
                <w:rFonts w:ascii="宋体"/>
                <w:spacing w:val="-1"/>
                <w:sz w:val="21"/>
              </w:rPr>
              <w:t>402,105,982</w:t>
            </w:r>
          </w:p>
        </w:tc>
      </w:tr>
      <w:tr>
        <w:trPr>
          <w:trHeight w:val="281" w:hRule="exact"/>
        </w:trPr>
        <w:tc>
          <w:tcPr>
            <w:tcW w:w="1645" w:type="dxa"/>
            <w:tcBorders>
              <w:top w:val="nil" w:sz="6" w:space="0" w:color="auto"/>
              <w:left w:val="nil" w:sz="6" w:space="0" w:color="auto"/>
              <w:bottom w:val="nil" w:sz="6" w:space="0" w:color="auto"/>
              <w:right w:val="nil" w:sz="6" w:space="0" w:color="auto"/>
            </w:tcBorders>
          </w:tcPr>
          <w:p>
            <w:pPr>
              <w:pStyle w:val="TableParagraph"/>
              <w:spacing w:line="264"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431"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21"/>
                <w:szCs w:val="21"/>
              </w:rPr>
            </w:pPr>
            <w:r>
              <w:rPr>
                <w:rFonts w:ascii="宋体"/>
                <w:w w:val="100"/>
                <w:sz w:val="21"/>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28" w:lineRule="exact"/>
              <w:ind w:right="21"/>
              <w:jc w:val="right"/>
              <w:rPr>
                <w:rFonts w:ascii="宋体" w:hAnsi="宋体" w:cs="宋体" w:eastAsia="宋体" w:hint="default"/>
                <w:sz w:val="21"/>
                <w:szCs w:val="21"/>
              </w:rPr>
            </w:pPr>
            <w:r>
              <w:rPr>
                <w:rFonts w:ascii="宋体"/>
                <w:spacing w:val="-1"/>
                <w:sz w:val="21"/>
              </w:rPr>
              <w:t>21,137,671</w:t>
            </w:r>
          </w:p>
        </w:tc>
        <w:tc>
          <w:tcPr>
            <w:tcW w:w="1452" w:type="dxa"/>
            <w:tcBorders>
              <w:top w:val="nil" w:sz="6" w:space="0" w:color="auto"/>
              <w:left w:val="nil" w:sz="6" w:space="0" w:color="auto"/>
              <w:bottom w:val="nil" w:sz="6" w:space="0" w:color="auto"/>
              <w:right w:val="nil" w:sz="6" w:space="0" w:color="auto"/>
            </w:tcBorders>
          </w:tcPr>
          <w:p>
            <w:pPr>
              <w:pStyle w:val="TableParagraph"/>
              <w:spacing w:line="228" w:lineRule="exact"/>
              <w:ind w:right="58"/>
              <w:jc w:val="right"/>
              <w:rPr>
                <w:rFonts w:ascii="宋体" w:hAnsi="宋体" w:cs="宋体" w:eastAsia="宋体" w:hint="default"/>
                <w:sz w:val="21"/>
                <w:szCs w:val="21"/>
              </w:rPr>
            </w:pPr>
            <w:r>
              <w:rPr>
                <w:rFonts w:ascii="宋体"/>
                <w:w w:val="100"/>
                <w:sz w:val="21"/>
              </w:rPr>
              <w:t>-</w:t>
            </w:r>
          </w:p>
        </w:tc>
        <w:tc>
          <w:tcPr>
            <w:tcW w:w="1241" w:type="dxa"/>
            <w:tcBorders>
              <w:top w:val="nil" w:sz="6" w:space="0" w:color="auto"/>
              <w:left w:val="nil" w:sz="6" w:space="0" w:color="auto"/>
              <w:bottom w:val="nil" w:sz="6" w:space="0" w:color="auto"/>
              <w:right w:val="nil" w:sz="6" w:space="0" w:color="auto"/>
            </w:tcBorders>
          </w:tcPr>
          <w:p>
            <w:pPr>
              <w:pStyle w:val="TableParagraph"/>
              <w:spacing w:line="228" w:lineRule="exact"/>
              <w:ind w:right="24"/>
              <w:jc w:val="right"/>
              <w:rPr>
                <w:rFonts w:ascii="宋体" w:hAnsi="宋体" w:cs="宋体" w:eastAsia="宋体" w:hint="default"/>
                <w:sz w:val="21"/>
                <w:szCs w:val="21"/>
              </w:rPr>
            </w:pPr>
            <w:r>
              <w:rPr>
                <w:rFonts w:ascii="宋体"/>
                <w:w w:val="100"/>
                <w:sz w:val="21"/>
              </w:rPr>
              <w:t>-</w:t>
            </w:r>
          </w:p>
        </w:tc>
        <w:tc>
          <w:tcPr>
            <w:tcW w:w="710" w:type="dxa"/>
            <w:tcBorders>
              <w:top w:val="nil" w:sz="6" w:space="0" w:color="auto"/>
              <w:left w:val="nil" w:sz="6" w:space="0" w:color="auto"/>
              <w:bottom w:val="nil" w:sz="6" w:space="0" w:color="auto"/>
              <w:right w:val="nil" w:sz="6" w:space="0" w:color="auto"/>
            </w:tcBorders>
          </w:tcPr>
          <w:p>
            <w:pPr>
              <w:pStyle w:val="TableParagraph"/>
              <w:spacing w:line="228" w:lineRule="exact"/>
              <w:ind w:right="167"/>
              <w:jc w:val="right"/>
              <w:rPr>
                <w:rFonts w:ascii="宋体" w:hAnsi="宋体" w:cs="宋体" w:eastAsia="宋体" w:hint="default"/>
                <w:sz w:val="21"/>
                <w:szCs w:val="21"/>
              </w:rPr>
            </w:pPr>
            <w:r>
              <w:rPr>
                <w:rFonts w:ascii="宋体"/>
                <w:w w:val="100"/>
                <w:sz w:val="21"/>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21"/>
                <w:szCs w:val="21"/>
              </w:rPr>
            </w:pPr>
            <w:r>
              <w:rPr>
                <w:rFonts w:ascii="宋体"/>
                <w:spacing w:val="-1"/>
                <w:sz w:val="21"/>
              </w:rPr>
              <w:t>21,137,671</w:t>
            </w:r>
          </w:p>
        </w:tc>
      </w:tr>
      <w:tr>
        <w:trPr>
          <w:trHeight w:val="559" w:hRule="exact"/>
        </w:trPr>
        <w:tc>
          <w:tcPr>
            <w:tcW w:w="1645" w:type="dxa"/>
            <w:tcBorders>
              <w:top w:val="nil" w:sz="6" w:space="0" w:color="auto"/>
              <w:left w:val="nil" w:sz="6" w:space="0" w:color="auto"/>
              <w:bottom w:val="nil" w:sz="6" w:space="0" w:color="auto"/>
              <w:right w:val="nil" w:sz="6" w:space="0" w:color="auto"/>
            </w:tcBorders>
          </w:tcPr>
          <w:p>
            <w:pPr>
              <w:pStyle w:val="TableParagraph"/>
              <w:spacing w:line="242" w:lineRule="auto"/>
              <w:ind w:left="200" w:right="69"/>
              <w:jc w:val="left"/>
              <w:rPr>
                <w:rFonts w:ascii="宋体" w:hAnsi="宋体" w:cs="宋体" w:eastAsia="宋体" w:hint="default"/>
                <w:sz w:val="21"/>
                <w:szCs w:val="21"/>
              </w:rPr>
            </w:pPr>
            <w:r>
              <w:rPr>
                <w:rFonts w:ascii="宋体" w:hAnsi="宋体" w:cs="宋体" w:eastAsia="宋体" w:hint="default"/>
                <w:spacing w:val="-16"/>
                <w:w w:val="100"/>
                <w:sz w:val="21"/>
                <w:szCs w:val="21"/>
              </w:rPr>
              <w:t>应付股利（限制</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性股票）</w:t>
            </w:r>
          </w:p>
        </w:tc>
        <w:tc>
          <w:tcPr>
            <w:tcW w:w="1431"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21"/>
                <w:szCs w:val="21"/>
              </w:rPr>
            </w:pPr>
            <w:r>
              <w:rPr>
                <w:rFonts w:ascii="宋体"/>
                <w:w w:val="100"/>
                <w:sz w:val="21"/>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28" w:lineRule="exact"/>
              <w:ind w:right="24"/>
              <w:jc w:val="right"/>
              <w:rPr>
                <w:rFonts w:ascii="宋体" w:hAnsi="宋体" w:cs="宋体" w:eastAsia="宋体" w:hint="default"/>
                <w:sz w:val="21"/>
                <w:szCs w:val="21"/>
              </w:rPr>
            </w:pPr>
            <w:r>
              <w:rPr>
                <w:rFonts w:ascii="宋体"/>
                <w:w w:val="100"/>
                <w:sz w:val="21"/>
              </w:rPr>
              <w:t>-</w:t>
            </w:r>
          </w:p>
        </w:tc>
        <w:tc>
          <w:tcPr>
            <w:tcW w:w="1452" w:type="dxa"/>
            <w:tcBorders>
              <w:top w:val="nil" w:sz="6" w:space="0" w:color="auto"/>
              <w:left w:val="nil" w:sz="6" w:space="0" w:color="auto"/>
              <w:bottom w:val="nil" w:sz="6" w:space="0" w:color="auto"/>
              <w:right w:val="nil" w:sz="6" w:space="0" w:color="auto"/>
            </w:tcBorders>
          </w:tcPr>
          <w:p>
            <w:pPr>
              <w:pStyle w:val="TableParagraph"/>
              <w:spacing w:line="228" w:lineRule="exact"/>
              <w:ind w:right="55"/>
              <w:jc w:val="right"/>
              <w:rPr>
                <w:rFonts w:ascii="宋体" w:hAnsi="宋体" w:cs="宋体" w:eastAsia="宋体" w:hint="default"/>
                <w:sz w:val="21"/>
                <w:szCs w:val="21"/>
              </w:rPr>
            </w:pPr>
            <w:r>
              <w:rPr>
                <w:rFonts w:ascii="宋体"/>
                <w:spacing w:val="-1"/>
                <w:sz w:val="21"/>
              </w:rPr>
              <w:t>676,375</w:t>
            </w:r>
          </w:p>
        </w:tc>
        <w:tc>
          <w:tcPr>
            <w:tcW w:w="1241" w:type="dxa"/>
            <w:tcBorders>
              <w:top w:val="nil" w:sz="6" w:space="0" w:color="auto"/>
              <w:left w:val="nil" w:sz="6" w:space="0" w:color="auto"/>
              <w:bottom w:val="nil" w:sz="6" w:space="0" w:color="auto"/>
              <w:right w:val="nil" w:sz="6" w:space="0" w:color="auto"/>
            </w:tcBorders>
          </w:tcPr>
          <w:p>
            <w:pPr>
              <w:pStyle w:val="TableParagraph"/>
              <w:spacing w:line="228" w:lineRule="exact"/>
              <w:ind w:right="24"/>
              <w:jc w:val="right"/>
              <w:rPr>
                <w:rFonts w:ascii="宋体" w:hAnsi="宋体" w:cs="宋体" w:eastAsia="宋体" w:hint="default"/>
                <w:sz w:val="21"/>
                <w:szCs w:val="21"/>
              </w:rPr>
            </w:pPr>
            <w:r>
              <w:rPr>
                <w:rFonts w:ascii="宋体"/>
                <w:w w:val="100"/>
                <w:sz w:val="21"/>
              </w:rPr>
              <w:t>-</w:t>
            </w:r>
          </w:p>
        </w:tc>
        <w:tc>
          <w:tcPr>
            <w:tcW w:w="710" w:type="dxa"/>
            <w:tcBorders>
              <w:top w:val="nil" w:sz="6" w:space="0" w:color="auto"/>
              <w:left w:val="nil" w:sz="6" w:space="0" w:color="auto"/>
              <w:bottom w:val="nil" w:sz="6" w:space="0" w:color="auto"/>
              <w:right w:val="nil" w:sz="6" w:space="0" w:color="auto"/>
            </w:tcBorders>
          </w:tcPr>
          <w:p>
            <w:pPr>
              <w:pStyle w:val="TableParagraph"/>
              <w:spacing w:line="228" w:lineRule="exact"/>
              <w:ind w:right="167"/>
              <w:jc w:val="right"/>
              <w:rPr>
                <w:rFonts w:ascii="宋体" w:hAnsi="宋体" w:cs="宋体" w:eastAsia="宋体" w:hint="default"/>
                <w:sz w:val="21"/>
                <w:szCs w:val="21"/>
              </w:rPr>
            </w:pPr>
            <w:r>
              <w:rPr>
                <w:rFonts w:ascii="宋体"/>
                <w:w w:val="100"/>
                <w:sz w:val="21"/>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21"/>
                <w:szCs w:val="21"/>
              </w:rPr>
            </w:pPr>
            <w:r>
              <w:rPr>
                <w:rFonts w:ascii="宋体"/>
                <w:spacing w:val="-1"/>
                <w:sz w:val="21"/>
              </w:rPr>
              <w:t>676,375</w:t>
            </w:r>
          </w:p>
        </w:tc>
      </w:tr>
      <w:tr>
        <w:trPr>
          <w:trHeight w:val="281" w:hRule="exact"/>
        </w:trPr>
        <w:tc>
          <w:tcPr>
            <w:tcW w:w="1645" w:type="dxa"/>
            <w:tcBorders>
              <w:top w:val="nil" w:sz="6" w:space="0" w:color="auto"/>
              <w:left w:val="nil" w:sz="6" w:space="0" w:color="auto"/>
              <w:bottom w:val="nil" w:sz="6" w:space="0" w:color="auto"/>
              <w:right w:val="nil" w:sz="6" w:space="0" w:color="auto"/>
            </w:tcBorders>
          </w:tcPr>
          <w:p>
            <w:pPr>
              <w:pStyle w:val="TableParagraph"/>
              <w:spacing w:line="264"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31" w:type="dxa"/>
            <w:tcBorders>
              <w:top w:val="nil" w:sz="6" w:space="0" w:color="auto"/>
              <w:left w:val="nil" w:sz="6" w:space="0" w:color="auto"/>
              <w:bottom w:val="nil" w:sz="6" w:space="0" w:color="auto"/>
              <w:right w:val="nil" w:sz="6" w:space="0" w:color="auto"/>
            </w:tcBorders>
          </w:tcPr>
          <w:p>
            <w:pPr>
              <w:pStyle w:val="TableParagraph"/>
              <w:spacing w:line="228" w:lineRule="exact"/>
              <w:ind w:right="197"/>
              <w:jc w:val="right"/>
              <w:rPr>
                <w:rFonts w:ascii="宋体" w:hAnsi="宋体" w:cs="宋体" w:eastAsia="宋体" w:hint="default"/>
                <w:sz w:val="21"/>
                <w:szCs w:val="21"/>
              </w:rPr>
            </w:pPr>
            <w:r>
              <w:rPr>
                <w:rFonts w:ascii="宋体"/>
                <w:spacing w:val="-1"/>
                <w:sz w:val="21"/>
              </w:rPr>
              <w:t>248,760,420</w:t>
            </w:r>
          </w:p>
        </w:tc>
        <w:tc>
          <w:tcPr>
            <w:tcW w:w="1382" w:type="dxa"/>
            <w:tcBorders>
              <w:top w:val="nil" w:sz="6" w:space="0" w:color="auto"/>
              <w:left w:val="nil" w:sz="6" w:space="0" w:color="auto"/>
              <w:bottom w:val="nil" w:sz="6" w:space="0" w:color="auto"/>
              <w:right w:val="nil" w:sz="6" w:space="0" w:color="auto"/>
            </w:tcBorders>
          </w:tcPr>
          <w:p>
            <w:pPr>
              <w:pStyle w:val="TableParagraph"/>
              <w:spacing w:line="228" w:lineRule="exact"/>
              <w:ind w:right="21"/>
              <w:jc w:val="right"/>
              <w:rPr>
                <w:rFonts w:ascii="宋体" w:hAnsi="宋体" w:cs="宋体" w:eastAsia="宋体" w:hint="default"/>
                <w:sz w:val="21"/>
                <w:szCs w:val="21"/>
              </w:rPr>
            </w:pPr>
            <w:r>
              <w:rPr>
                <w:rFonts w:ascii="宋体"/>
                <w:spacing w:val="-1"/>
                <w:sz w:val="21"/>
              </w:rPr>
              <w:t>17,604,052</w:t>
            </w:r>
          </w:p>
        </w:tc>
        <w:tc>
          <w:tcPr>
            <w:tcW w:w="1452" w:type="dxa"/>
            <w:tcBorders>
              <w:top w:val="nil" w:sz="6" w:space="0" w:color="auto"/>
              <w:left w:val="nil" w:sz="6" w:space="0" w:color="auto"/>
              <w:bottom w:val="nil" w:sz="6" w:space="0" w:color="auto"/>
              <w:right w:val="nil" w:sz="6" w:space="0" w:color="auto"/>
            </w:tcBorders>
          </w:tcPr>
          <w:p>
            <w:pPr>
              <w:pStyle w:val="TableParagraph"/>
              <w:spacing w:line="228" w:lineRule="exact"/>
              <w:ind w:right="55"/>
              <w:jc w:val="right"/>
              <w:rPr>
                <w:rFonts w:ascii="宋体" w:hAnsi="宋体" w:cs="宋体" w:eastAsia="宋体" w:hint="default"/>
                <w:sz w:val="21"/>
                <w:szCs w:val="21"/>
              </w:rPr>
            </w:pPr>
            <w:r>
              <w:rPr>
                <w:rFonts w:ascii="宋体"/>
                <w:spacing w:val="-1"/>
                <w:sz w:val="21"/>
              </w:rPr>
              <w:t>12,500,000</w:t>
            </w:r>
          </w:p>
        </w:tc>
        <w:tc>
          <w:tcPr>
            <w:tcW w:w="1241" w:type="dxa"/>
            <w:tcBorders>
              <w:top w:val="nil" w:sz="6" w:space="0" w:color="auto"/>
              <w:left w:val="nil" w:sz="6" w:space="0" w:color="auto"/>
              <w:bottom w:val="nil" w:sz="6" w:space="0" w:color="auto"/>
              <w:right w:val="nil" w:sz="6" w:space="0" w:color="auto"/>
            </w:tcBorders>
          </w:tcPr>
          <w:p>
            <w:pPr>
              <w:pStyle w:val="TableParagraph"/>
              <w:spacing w:line="228" w:lineRule="exact"/>
              <w:ind w:right="21"/>
              <w:jc w:val="right"/>
              <w:rPr>
                <w:rFonts w:ascii="宋体" w:hAnsi="宋体" w:cs="宋体" w:eastAsia="宋体" w:hint="default"/>
                <w:sz w:val="21"/>
                <w:szCs w:val="21"/>
              </w:rPr>
            </w:pPr>
            <w:r>
              <w:rPr>
                <w:rFonts w:ascii="宋体"/>
                <w:spacing w:val="-1"/>
                <w:sz w:val="21"/>
              </w:rPr>
              <w:t>12,500,000</w:t>
            </w:r>
          </w:p>
        </w:tc>
        <w:tc>
          <w:tcPr>
            <w:tcW w:w="710" w:type="dxa"/>
            <w:tcBorders>
              <w:top w:val="nil" w:sz="6" w:space="0" w:color="auto"/>
              <w:left w:val="nil" w:sz="6" w:space="0" w:color="auto"/>
              <w:bottom w:val="nil" w:sz="6" w:space="0" w:color="auto"/>
              <w:right w:val="nil" w:sz="6" w:space="0" w:color="auto"/>
            </w:tcBorders>
          </w:tcPr>
          <w:p>
            <w:pPr>
              <w:pStyle w:val="TableParagraph"/>
              <w:spacing w:line="228" w:lineRule="exact"/>
              <w:ind w:right="167"/>
              <w:jc w:val="right"/>
              <w:rPr>
                <w:rFonts w:ascii="宋体" w:hAnsi="宋体" w:cs="宋体" w:eastAsia="宋体" w:hint="default"/>
                <w:sz w:val="21"/>
                <w:szCs w:val="21"/>
              </w:rPr>
            </w:pPr>
            <w:r>
              <w:rPr>
                <w:rFonts w:ascii="宋体"/>
                <w:w w:val="100"/>
                <w:sz w:val="21"/>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28" w:lineRule="exact"/>
              <w:ind w:right="200"/>
              <w:jc w:val="right"/>
              <w:rPr>
                <w:rFonts w:ascii="宋体" w:hAnsi="宋体" w:cs="宋体" w:eastAsia="宋体" w:hint="default"/>
                <w:sz w:val="21"/>
                <w:szCs w:val="21"/>
              </w:rPr>
            </w:pPr>
            <w:r>
              <w:rPr>
                <w:rFonts w:ascii="宋体"/>
                <w:spacing w:val="-1"/>
                <w:sz w:val="21"/>
              </w:rPr>
              <w:t>291,364,472</w:t>
            </w:r>
          </w:p>
        </w:tc>
      </w:tr>
      <w:tr>
        <w:trPr>
          <w:trHeight w:val="559" w:hRule="exact"/>
        </w:trPr>
        <w:tc>
          <w:tcPr>
            <w:tcW w:w="1645" w:type="dxa"/>
            <w:tcBorders>
              <w:top w:val="nil" w:sz="6" w:space="0" w:color="auto"/>
              <w:left w:val="nil" w:sz="6" w:space="0" w:color="auto"/>
              <w:bottom w:val="nil" w:sz="6" w:space="0" w:color="auto"/>
              <w:right w:val="nil" w:sz="6" w:space="0" w:color="auto"/>
            </w:tcBorders>
          </w:tcPr>
          <w:p>
            <w:pPr>
              <w:pStyle w:val="TableParagraph"/>
              <w:spacing w:line="242" w:lineRule="auto"/>
              <w:ind w:left="432" w:right="158" w:hanging="212"/>
              <w:jc w:val="left"/>
              <w:rPr>
                <w:rFonts w:ascii="宋体" w:hAnsi="宋体" w:cs="宋体" w:eastAsia="宋体" w:hint="default"/>
                <w:sz w:val="21"/>
                <w:szCs w:val="21"/>
              </w:rPr>
            </w:pPr>
            <w:r>
              <w:rPr>
                <w:rFonts w:ascii="宋体" w:hAnsi="宋体" w:cs="宋体" w:eastAsia="宋体" w:hint="default"/>
                <w:spacing w:val="-1"/>
                <w:sz w:val="21"/>
                <w:szCs w:val="21"/>
              </w:rPr>
              <w:t>一年内到期的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长期借款</w:t>
            </w:r>
          </w:p>
        </w:tc>
        <w:tc>
          <w:tcPr>
            <w:tcW w:w="1431"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21"/>
                <w:szCs w:val="21"/>
              </w:rPr>
            </w:pPr>
            <w:r>
              <w:rPr>
                <w:rFonts w:ascii="宋体"/>
                <w:w w:val="100"/>
                <w:sz w:val="21"/>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28" w:lineRule="exact"/>
              <w:ind w:right="24"/>
              <w:jc w:val="right"/>
              <w:rPr>
                <w:rFonts w:ascii="宋体" w:hAnsi="宋体" w:cs="宋体" w:eastAsia="宋体" w:hint="default"/>
                <w:sz w:val="21"/>
                <w:szCs w:val="21"/>
              </w:rPr>
            </w:pPr>
            <w:r>
              <w:rPr>
                <w:rFonts w:ascii="宋体"/>
                <w:w w:val="100"/>
                <w:sz w:val="21"/>
              </w:rPr>
              <w:t>-</w:t>
            </w:r>
          </w:p>
        </w:tc>
        <w:tc>
          <w:tcPr>
            <w:tcW w:w="1452" w:type="dxa"/>
            <w:tcBorders>
              <w:top w:val="nil" w:sz="6" w:space="0" w:color="auto"/>
              <w:left w:val="nil" w:sz="6" w:space="0" w:color="auto"/>
              <w:bottom w:val="nil" w:sz="6" w:space="0" w:color="auto"/>
              <w:right w:val="nil" w:sz="6" w:space="0" w:color="auto"/>
            </w:tcBorders>
          </w:tcPr>
          <w:p>
            <w:pPr>
              <w:pStyle w:val="TableParagraph"/>
              <w:spacing w:line="228" w:lineRule="exact"/>
              <w:ind w:right="55"/>
              <w:jc w:val="right"/>
              <w:rPr>
                <w:rFonts w:ascii="宋体" w:hAnsi="宋体" w:cs="宋体" w:eastAsia="宋体" w:hint="default"/>
                <w:sz w:val="21"/>
                <w:szCs w:val="21"/>
              </w:rPr>
            </w:pPr>
            <w:r>
              <w:rPr>
                <w:rFonts w:ascii="宋体"/>
                <w:spacing w:val="-1"/>
                <w:sz w:val="21"/>
              </w:rPr>
              <w:t>60,793,114</w:t>
            </w:r>
          </w:p>
        </w:tc>
        <w:tc>
          <w:tcPr>
            <w:tcW w:w="1241" w:type="dxa"/>
            <w:tcBorders>
              <w:top w:val="nil" w:sz="6" w:space="0" w:color="auto"/>
              <w:left w:val="nil" w:sz="6" w:space="0" w:color="auto"/>
              <w:bottom w:val="nil" w:sz="6" w:space="0" w:color="auto"/>
              <w:right w:val="nil" w:sz="6" w:space="0" w:color="auto"/>
            </w:tcBorders>
          </w:tcPr>
          <w:p>
            <w:pPr>
              <w:pStyle w:val="TableParagraph"/>
              <w:spacing w:line="228" w:lineRule="exact"/>
              <w:ind w:right="24"/>
              <w:jc w:val="right"/>
              <w:rPr>
                <w:rFonts w:ascii="宋体" w:hAnsi="宋体" w:cs="宋体" w:eastAsia="宋体" w:hint="default"/>
                <w:sz w:val="21"/>
                <w:szCs w:val="21"/>
              </w:rPr>
            </w:pPr>
            <w:r>
              <w:rPr>
                <w:rFonts w:ascii="宋体"/>
                <w:w w:val="100"/>
                <w:sz w:val="21"/>
              </w:rPr>
              <w:t>-</w:t>
            </w:r>
          </w:p>
        </w:tc>
        <w:tc>
          <w:tcPr>
            <w:tcW w:w="710" w:type="dxa"/>
            <w:tcBorders>
              <w:top w:val="nil" w:sz="6" w:space="0" w:color="auto"/>
              <w:left w:val="nil" w:sz="6" w:space="0" w:color="auto"/>
              <w:bottom w:val="nil" w:sz="6" w:space="0" w:color="auto"/>
              <w:right w:val="nil" w:sz="6" w:space="0" w:color="auto"/>
            </w:tcBorders>
          </w:tcPr>
          <w:p>
            <w:pPr>
              <w:pStyle w:val="TableParagraph"/>
              <w:spacing w:line="228" w:lineRule="exact"/>
              <w:ind w:right="167"/>
              <w:jc w:val="right"/>
              <w:rPr>
                <w:rFonts w:ascii="宋体" w:hAnsi="宋体" w:cs="宋体" w:eastAsia="宋体" w:hint="default"/>
                <w:sz w:val="21"/>
                <w:szCs w:val="21"/>
              </w:rPr>
            </w:pPr>
            <w:r>
              <w:rPr>
                <w:rFonts w:ascii="宋体"/>
                <w:w w:val="100"/>
                <w:sz w:val="21"/>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21"/>
                <w:szCs w:val="21"/>
              </w:rPr>
            </w:pPr>
            <w:r>
              <w:rPr>
                <w:rFonts w:ascii="宋体"/>
                <w:spacing w:val="-1"/>
                <w:sz w:val="21"/>
              </w:rPr>
              <w:t>60,793,114</w:t>
            </w:r>
          </w:p>
        </w:tc>
      </w:tr>
      <w:tr>
        <w:trPr>
          <w:trHeight w:val="281" w:hRule="exact"/>
        </w:trPr>
        <w:tc>
          <w:tcPr>
            <w:tcW w:w="1645" w:type="dxa"/>
            <w:tcBorders>
              <w:top w:val="nil" w:sz="6" w:space="0" w:color="auto"/>
              <w:left w:val="nil" w:sz="6" w:space="0" w:color="auto"/>
              <w:bottom w:val="nil" w:sz="6" w:space="0" w:color="auto"/>
              <w:right w:val="nil" w:sz="6" w:space="0" w:color="auto"/>
            </w:tcBorders>
          </w:tcPr>
          <w:p>
            <w:pPr>
              <w:pStyle w:val="TableParagraph"/>
              <w:spacing w:line="264" w:lineRule="exact"/>
              <w:ind w:left="20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31"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21"/>
                <w:szCs w:val="21"/>
              </w:rPr>
            </w:pPr>
            <w:r>
              <w:rPr>
                <w:rFonts w:ascii="宋体"/>
                <w:w w:val="100"/>
                <w:sz w:val="21"/>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28" w:lineRule="exact"/>
              <w:ind w:right="24"/>
              <w:jc w:val="right"/>
              <w:rPr>
                <w:rFonts w:ascii="宋体" w:hAnsi="宋体" w:cs="宋体" w:eastAsia="宋体" w:hint="default"/>
                <w:sz w:val="21"/>
                <w:szCs w:val="21"/>
              </w:rPr>
            </w:pPr>
            <w:r>
              <w:rPr>
                <w:rFonts w:ascii="宋体"/>
                <w:w w:val="100"/>
                <w:sz w:val="21"/>
              </w:rPr>
              <w:t>-</w:t>
            </w:r>
          </w:p>
        </w:tc>
        <w:tc>
          <w:tcPr>
            <w:tcW w:w="1452" w:type="dxa"/>
            <w:tcBorders>
              <w:top w:val="nil" w:sz="6" w:space="0" w:color="auto"/>
              <w:left w:val="nil" w:sz="6" w:space="0" w:color="auto"/>
              <w:bottom w:val="nil" w:sz="6" w:space="0" w:color="auto"/>
              <w:right w:val="nil" w:sz="6" w:space="0" w:color="auto"/>
            </w:tcBorders>
          </w:tcPr>
          <w:p>
            <w:pPr>
              <w:pStyle w:val="TableParagraph"/>
              <w:spacing w:line="228" w:lineRule="exact"/>
              <w:ind w:right="58"/>
              <w:jc w:val="right"/>
              <w:rPr>
                <w:rFonts w:ascii="宋体" w:hAnsi="宋体" w:cs="宋体" w:eastAsia="宋体" w:hint="default"/>
                <w:sz w:val="21"/>
                <w:szCs w:val="21"/>
              </w:rPr>
            </w:pPr>
            <w:r>
              <w:rPr>
                <w:rFonts w:ascii="宋体"/>
                <w:w w:val="100"/>
                <w:sz w:val="21"/>
              </w:rPr>
              <w:t>-</w:t>
            </w:r>
          </w:p>
        </w:tc>
        <w:tc>
          <w:tcPr>
            <w:tcW w:w="1241" w:type="dxa"/>
            <w:tcBorders>
              <w:top w:val="nil" w:sz="6" w:space="0" w:color="auto"/>
              <w:left w:val="nil" w:sz="6" w:space="0" w:color="auto"/>
              <w:bottom w:val="nil" w:sz="6" w:space="0" w:color="auto"/>
              <w:right w:val="nil" w:sz="6" w:space="0" w:color="auto"/>
            </w:tcBorders>
          </w:tcPr>
          <w:p>
            <w:pPr>
              <w:pStyle w:val="TableParagraph"/>
              <w:spacing w:line="228" w:lineRule="exact"/>
              <w:ind w:right="24"/>
              <w:jc w:val="right"/>
              <w:rPr>
                <w:rFonts w:ascii="宋体" w:hAnsi="宋体" w:cs="宋体" w:eastAsia="宋体" w:hint="default"/>
                <w:sz w:val="21"/>
                <w:szCs w:val="21"/>
              </w:rPr>
            </w:pPr>
            <w:r>
              <w:rPr>
                <w:rFonts w:ascii="宋体"/>
                <w:spacing w:val="-1"/>
                <w:sz w:val="21"/>
              </w:rPr>
              <w:t>131,598,294</w:t>
            </w:r>
          </w:p>
        </w:tc>
        <w:tc>
          <w:tcPr>
            <w:tcW w:w="710" w:type="dxa"/>
            <w:tcBorders>
              <w:top w:val="nil" w:sz="6" w:space="0" w:color="auto"/>
              <w:left w:val="nil" w:sz="6" w:space="0" w:color="auto"/>
              <w:bottom w:val="nil" w:sz="6" w:space="0" w:color="auto"/>
              <w:right w:val="nil" w:sz="6" w:space="0" w:color="auto"/>
            </w:tcBorders>
          </w:tcPr>
          <w:p>
            <w:pPr>
              <w:pStyle w:val="TableParagraph"/>
              <w:spacing w:line="228" w:lineRule="exact"/>
              <w:ind w:right="167"/>
              <w:jc w:val="right"/>
              <w:rPr>
                <w:rFonts w:ascii="宋体" w:hAnsi="宋体" w:cs="宋体" w:eastAsia="宋体" w:hint="default"/>
                <w:sz w:val="21"/>
                <w:szCs w:val="21"/>
              </w:rPr>
            </w:pPr>
            <w:r>
              <w:rPr>
                <w:rFonts w:ascii="宋体"/>
                <w:w w:val="100"/>
                <w:sz w:val="21"/>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21"/>
                <w:szCs w:val="21"/>
              </w:rPr>
            </w:pPr>
            <w:r>
              <w:rPr>
                <w:rFonts w:ascii="宋体"/>
                <w:spacing w:val="-1"/>
                <w:sz w:val="21"/>
              </w:rPr>
              <w:t>131,598,294</w:t>
            </w:r>
          </w:p>
        </w:tc>
      </w:tr>
      <w:tr>
        <w:trPr>
          <w:trHeight w:val="264" w:hRule="exact"/>
        </w:trPr>
        <w:tc>
          <w:tcPr>
            <w:tcW w:w="1645" w:type="dxa"/>
            <w:tcBorders>
              <w:top w:val="nil" w:sz="6" w:space="0" w:color="auto"/>
              <w:left w:val="nil" w:sz="6" w:space="0" w:color="auto"/>
              <w:bottom w:val="nil" w:sz="6" w:space="0" w:color="auto"/>
              <w:right w:val="nil" w:sz="6" w:space="0" w:color="auto"/>
            </w:tcBorders>
          </w:tcPr>
          <w:p>
            <w:pPr>
              <w:pStyle w:val="TableParagraph"/>
              <w:spacing w:line="264" w:lineRule="exact"/>
              <w:ind w:left="200" w:right="0"/>
              <w:jc w:val="left"/>
              <w:rPr>
                <w:rFonts w:ascii="宋体" w:hAnsi="宋体" w:cs="宋体" w:eastAsia="宋体" w:hint="default"/>
                <w:sz w:val="21"/>
                <w:szCs w:val="21"/>
              </w:rPr>
            </w:pPr>
            <w:r>
              <w:rPr>
                <w:rFonts w:ascii="宋体" w:hAnsi="宋体" w:cs="宋体" w:eastAsia="宋体" w:hint="default"/>
                <w:sz w:val="21"/>
                <w:szCs w:val="21"/>
              </w:rPr>
              <w:t>一年内到期的</w:t>
            </w:r>
          </w:p>
        </w:tc>
        <w:tc>
          <w:tcPr>
            <w:tcW w:w="1431"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28" w:lineRule="exact"/>
              <w:ind w:right="197"/>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ab/>
              <w:t>-</w:t>
            </w:r>
            <w:r>
              <w:rPr>
                <w:rFonts w:ascii="宋体"/>
                <w:sz w:val="21"/>
              </w:rPr>
            </w:r>
          </w:p>
        </w:tc>
        <w:tc>
          <w:tcPr>
            <w:tcW w:w="1382" w:type="dxa"/>
            <w:tcBorders>
              <w:top w:val="nil" w:sz="6" w:space="0" w:color="auto"/>
              <w:left w:val="nil" w:sz="6" w:space="0" w:color="auto"/>
              <w:bottom w:val="nil" w:sz="6" w:space="0" w:color="auto"/>
              <w:right w:val="nil" w:sz="6" w:space="0" w:color="auto"/>
            </w:tcBorders>
          </w:tcPr>
          <w:p>
            <w:pPr>
              <w:pStyle w:val="TableParagraph"/>
              <w:tabs>
                <w:tab w:pos="1051" w:val="left" w:leader="none"/>
              </w:tabs>
              <w:spacing w:line="228" w:lineRule="exact"/>
              <w:ind w:right="22"/>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ab/>
              <w:t>-</w:t>
            </w:r>
            <w:r>
              <w:rPr>
                <w:rFonts w:ascii="宋体"/>
                <w:sz w:val="21"/>
              </w:rPr>
            </w:r>
          </w:p>
        </w:tc>
        <w:tc>
          <w:tcPr>
            <w:tcW w:w="1452" w:type="dxa"/>
            <w:tcBorders>
              <w:top w:val="nil" w:sz="6" w:space="0" w:color="auto"/>
              <w:left w:val="nil" w:sz="6" w:space="0" w:color="auto"/>
              <w:bottom w:val="nil" w:sz="6" w:space="0" w:color="auto"/>
              <w:right w:val="nil" w:sz="6" w:space="0" w:color="auto"/>
            </w:tcBorders>
          </w:tcPr>
          <w:p>
            <w:pPr>
              <w:pStyle w:val="TableParagraph"/>
              <w:spacing w:line="228" w:lineRule="exact"/>
              <w:ind w:right="58"/>
              <w:jc w:val="right"/>
              <w:rPr>
                <w:rFonts w:ascii="宋体" w:hAnsi="宋体" w:cs="宋体" w:eastAsia="宋体" w:hint="default"/>
                <w:sz w:val="21"/>
                <w:szCs w:val="21"/>
              </w:rPr>
            </w:pPr>
            <w:r>
              <w:rPr>
                <w:rFonts w:ascii="宋体"/>
                <w:w w:val="100"/>
                <w:sz w:val="21"/>
              </w:rPr>
            </w:r>
            <w:r>
              <w:rPr>
                <w:rFonts w:ascii="宋体"/>
                <w:spacing w:val="-1"/>
                <w:sz w:val="21"/>
                <w:u w:val="single" w:color="000000"/>
              </w:rPr>
              <w:t>499,648,984</w:t>
            </w:r>
            <w:r>
              <w:rPr>
                <w:rFonts w:ascii="宋体"/>
                <w:spacing w:val="-1"/>
                <w:sz w:val="21"/>
              </w:rPr>
            </w:r>
          </w:p>
        </w:tc>
        <w:tc>
          <w:tcPr>
            <w:tcW w:w="1241" w:type="dxa"/>
            <w:tcBorders>
              <w:top w:val="nil" w:sz="6" w:space="0" w:color="auto"/>
              <w:left w:val="nil" w:sz="6" w:space="0" w:color="auto"/>
              <w:bottom w:val="nil" w:sz="6" w:space="0" w:color="auto"/>
              <w:right w:val="nil" w:sz="6" w:space="0" w:color="auto"/>
            </w:tcBorders>
          </w:tcPr>
          <w:p>
            <w:pPr>
              <w:pStyle w:val="TableParagraph"/>
              <w:tabs>
                <w:tab w:pos="1051" w:val="left" w:leader="none"/>
              </w:tabs>
              <w:spacing w:line="228" w:lineRule="exact"/>
              <w:ind w:right="12"/>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ab/>
              <w:t>-</w:t>
            </w:r>
            <w:r>
              <w:rPr>
                <w:rFonts w:ascii="宋体"/>
                <w:sz w:val="21"/>
              </w:rPr>
            </w:r>
          </w:p>
        </w:tc>
        <w:tc>
          <w:tcPr>
            <w:tcW w:w="710"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 </w:t>
            </w:r>
            <w:r>
              <w:rPr>
                <w:rFonts w:ascii="宋体"/>
                <w:spacing w:val="-1"/>
                <w:sz w:val="21"/>
                <w:u w:val="single" w:color="000000"/>
              </w:rPr>
              <w:t>499,648,984</w:t>
            </w:r>
            <w:r>
              <w:rPr>
                <w:rFonts w:ascii="宋体"/>
                <w:spacing w:val="-1"/>
                <w:sz w:val="21"/>
              </w:rPr>
            </w:r>
          </w:p>
        </w:tc>
      </w:tr>
    </w:tbl>
    <w:p>
      <w:pPr>
        <w:spacing w:after="0" w:line="228" w:lineRule="exact"/>
        <w:jc w:val="right"/>
        <w:rPr>
          <w:rFonts w:ascii="宋体" w:hAnsi="宋体" w:cs="宋体" w:eastAsia="宋体" w:hint="default"/>
          <w:sz w:val="21"/>
          <w:szCs w:val="21"/>
        </w:rPr>
        <w:sectPr>
          <w:pgSz w:w="11910" w:h="16840"/>
          <w:pgMar w:header="926" w:footer="1335" w:top="1120" w:bottom="1520" w:left="1500" w:right="58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448"/>
        <w:gridCol w:w="1475"/>
        <w:gridCol w:w="1382"/>
        <w:gridCol w:w="1452"/>
        <w:gridCol w:w="1241"/>
        <w:gridCol w:w="710"/>
        <w:gridCol w:w="1735"/>
      </w:tblGrid>
      <w:tr>
        <w:trPr>
          <w:trHeight w:val="816" w:hRule="exact"/>
        </w:trPr>
        <w:tc>
          <w:tcPr>
            <w:tcW w:w="1448"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475" w:type="dxa"/>
            <w:tcBorders>
              <w:top w:val="single" w:sz="6" w:space="0" w:color="000000"/>
              <w:left w:val="nil" w:sz="6" w:space="0" w:color="auto"/>
              <w:bottom w:val="nil" w:sz="6" w:space="0" w:color="auto"/>
              <w:right w:val="nil" w:sz="6" w:space="0" w:color="auto"/>
            </w:tcBorders>
          </w:tcPr>
          <w:p>
            <w:pPr/>
          </w:p>
        </w:tc>
        <w:tc>
          <w:tcPr>
            <w:tcW w:w="1382" w:type="dxa"/>
            <w:tcBorders>
              <w:top w:val="single" w:sz="6" w:space="0" w:color="000000"/>
              <w:left w:val="nil" w:sz="6" w:space="0" w:color="auto"/>
              <w:bottom w:val="nil" w:sz="6" w:space="0" w:color="auto"/>
              <w:right w:val="nil" w:sz="6" w:space="0" w:color="auto"/>
            </w:tcBorders>
          </w:tcPr>
          <w:p>
            <w:pPr/>
          </w:p>
        </w:tc>
        <w:tc>
          <w:tcPr>
            <w:tcW w:w="1452" w:type="dxa"/>
            <w:tcBorders>
              <w:top w:val="single" w:sz="6" w:space="0" w:color="000000"/>
              <w:left w:val="nil" w:sz="6" w:space="0" w:color="auto"/>
              <w:bottom w:val="nil" w:sz="6" w:space="0" w:color="auto"/>
              <w:right w:val="nil" w:sz="6" w:space="0" w:color="auto"/>
            </w:tcBorders>
          </w:tcPr>
          <w:p>
            <w:pPr/>
          </w:p>
        </w:tc>
        <w:tc>
          <w:tcPr>
            <w:tcW w:w="1241" w:type="dxa"/>
            <w:tcBorders>
              <w:top w:val="single" w:sz="6" w:space="0" w:color="000000"/>
              <w:left w:val="nil" w:sz="6" w:space="0" w:color="auto"/>
              <w:bottom w:val="nil" w:sz="6" w:space="0" w:color="auto"/>
              <w:right w:val="nil" w:sz="6" w:space="0" w:color="auto"/>
            </w:tcBorders>
          </w:tcPr>
          <w:p>
            <w:pPr/>
          </w:p>
        </w:tc>
        <w:tc>
          <w:tcPr>
            <w:tcW w:w="710"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67"/>
              <w:jc w:val="right"/>
              <w:rPr>
                <w:rFonts w:ascii="宋体" w:hAnsi="宋体" w:cs="宋体" w:eastAsia="宋体" w:hint="default"/>
                <w:sz w:val="21"/>
                <w:szCs w:val="21"/>
              </w:rPr>
            </w:pPr>
            <w:r>
              <w:rPr>
                <w:rFonts w:ascii="宋体"/>
                <w:w w:val="100"/>
                <w:sz w:val="21"/>
              </w:rPr>
            </w:r>
            <w:r>
              <w:rPr>
                <w:rFonts w:ascii="宋体"/>
                <w:w w:val="100"/>
                <w:sz w:val="21"/>
                <w:u w:val="single" w:color="000000"/>
              </w:rPr>
              <w:t>-</w:t>
            </w:r>
            <w:r>
              <w:rPr>
                <w:rFonts w:ascii="宋体"/>
                <w:w w:val="100"/>
                <w:sz w:val="21"/>
              </w:rPr>
            </w:r>
          </w:p>
        </w:tc>
        <w:tc>
          <w:tcPr>
            <w:tcW w:w="1735" w:type="dxa"/>
            <w:tcBorders>
              <w:top w:val="single" w:sz="6" w:space="0" w:color="000000"/>
              <w:left w:val="nil" w:sz="6" w:space="0" w:color="auto"/>
              <w:bottom w:val="nil" w:sz="6" w:space="0" w:color="auto"/>
              <w:right w:val="nil" w:sz="6" w:space="0" w:color="auto"/>
            </w:tcBorders>
          </w:tcPr>
          <w:p>
            <w:pPr/>
          </w:p>
        </w:tc>
      </w:tr>
      <w:tr>
        <w:trPr>
          <w:trHeight w:val="392" w:hRule="exact"/>
        </w:trPr>
        <w:tc>
          <w:tcPr>
            <w:tcW w:w="144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97"/>
              <w:jc w:val="right"/>
              <w:rPr>
                <w:rFonts w:ascii="宋体" w:hAnsi="宋体" w:cs="宋体" w:eastAsia="宋体" w:hint="default"/>
                <w:sz w:val="21"/>
                <w:szCs w:val="21"/>
              </w:rPr>
            </w:pPr>
            <w:r>
              <w:rPr>
                <w:rFonts w:ascii="宋体"/>
                <w:w w:val="100"/>
                <w:sz w:val="21"/>
              </w:rPr>
            </w:r>
            <w:r>
              <w:rPr>
                <w:rFonts w:ascii="宋体"/>
                <w:spacing w:val="-1"/>
                <w:sz w:val="21"/>
                <w:u w:val="single" w:color="000000"/>
              </w:rPr>
              <w:t>628,805,042</w:t>
            </w:r>
            <w:r>
              <w:rPr>
                <w:rFonts w:ascii="宋体"/>
                <w:spacing w:val="-1"/>
                <w:sz w:val="21"/>
              </w:rPr>
            </w:r>
          </w:p>
        </w:tc>
        <w:tc>
          <w:tcPr>
            <w:tcW w:w="1382" w:type="dxa"/>
            <w:tcBorders>
              <w:top w:val="nil" w:sz="6" w:space="0" w:color="auto"/>
              <w:left w:val="nil" w:sz="6" w:space="0" w:color="auto"/>
              <w:bottom w:val="nil" w:sz="6" w:space="0" w:color="auto"/>
              <w:right w:val="nil" w:sz="6" w:space="0" w:color="auto"/>
            </w:tcBorders>
          </w:tcPr>
          <w:p>
            <w:pPr>
              <w:pStyle w:val="TableParagraph"/>
              <w:tabs>
                <w:tab w:pos="1207" w:val="left" w:leader="none"/>
              </w:tabs>
              <w:spacing w:line="240" w:lineRule="auto" w:before="93"/>
              <w:ind w:right="-27"/>
              <w:jc w:val="right"/>
              <w:rPr>
                <w:rFonts w:ascii="宋体" w:hAnsi="宋体" w:cs="宋体" w:eastAsia="宋体" w:hint="default"/>
                <w:sz w:val="21"/>
                <w:szCs w:val="21"/>
              </w:rPr>
            </w:pPr>
            <w:r>
              <w:rPr>
                <w:rFonts w:ascii="宋体"/>
                <w:w w:val="100"/>
                <w:sz w:val="21"/>
              </w:rPr>
            </w:r>
            <w:r>
              <w:rPr>
                <w:rFonts w:ascii="宋体"/>
                <w:spacing w:val="-1"/>
                <w:sz w:val="21"/>
                <w:u w:val="thick" w:color="000000"/>
              </w:rPr>
              <w:t>467,911,043</w:t>
              <w:tab/>
            </w:r>
            <w:r>
              <w:rPr>
                <w:rFonts w:ascii="宋体"/>
                <w:spacing w:val="-1"/>
                <w:sz w:val="21"/>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5"/>
              <w:jc w:val="right"/>
              <w:rPr>
                <w:rFonts w:ascii="宋体" w:hAnsi="宋体" w:cs="宋体" w:eastAsia="宋体" w:hint="default"/>
                <w:sz w:val="21"/>
                <w:szCs w:val="21"/>
              </w:rPr>
            </w:pPr>
            <w:r>
              <w:rPr>
                <w:rFonts w:ascii="宋体"/>
                <w:w w:val="100"/>
                <w:sz w:val="21"/>
              </w:rPr>
            </w:r>
            <w:r>
              <w:rPr>
                <w:rFonts w:ascii="宋体"/>
                <w:spacing w:val="-1"/>
                <w:sz w:val="21"/>
                <w:u w:val="thick" w:color="000000"/>
              </w:rPr>
              <w:t>1,990,494,875</w:t>
            </w:r>
            <w:r>
              <w:rPr>
                <w:rFonts w:ascii="宋体"/>
                <w:spacing w:val="-1"/>
                <w:sz w:val="21"/>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1"/>
              <w:jc w:val="right"/>
              <w:rPr>
                <w:rFonts w:ascii="宋体" w:hAnsi="宋体" w:cs="宋体" w:eastAsia="宋体" w:hint="default"/>
                <w:sz w:val="21"/>
                <w:szCs w:val="21"/>
              </w:rPr>
            </w:pPr>
            <w:r>
              <w:rPr>
                <w:rFonts w:ascii="宋体"/>
                <w:w w:val="100"/>
                <w:sz w:val="21"/>
              </w:rPr>
            </w:r>
            <w:r>
              <w:rPr>
                <w:rFonts w:ascii="宋体"/>
                <w:spacing w:val="-1"/>
                <w:sz w:val="21"/>
                <w:u w:val="thick" w:color="000000"/>
              </w:rPr>
              <w:t>144,098,294</w:t>
            </w:r>
            <w:r>
              <w:rPr>
                <w:rFonts w:ascii="宋体"/>
                <w:spacing w:val="-1"/>
                <w:sz w:val="21"/>
              </w:rPr>
            </w:r>
          </w:p>
        </w:tc>
        <w:tc>
          <w:tcPr>
            <w:tcW w:w="710"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98"/>
              <w:jc w:val="right"/>
              <w:rPr>
                <w:rFonts w:ascii="宋体" w:hAnsi="宋体" w:cs="宋体" w:eastAsia="宋体" w:hint="default"/>
                <w:sz w:val="21"/>
                <w:szCs w:val="21"/>
              </w:rPr>
            </w:pPr>
            <w:r>
              <w:rPr>
                <w:rFonts w:ascii="宋体"/>
                <w:w w:val="100"/>
                <w:sz w:val="21"/>
              </w:rPr>
            </w:r>
            <w:r>
              <w:rPr>
                <w:rFonts w:ascii="宋体"/>
                <w:spacing w:val="-1"/>
                <w:sz w:val="21"/>
                <w:u w:val="thick" w:color="000000"/>
              </w:rPr>
              <w:t>3,231,309,254</w:t>
            </w:r>
            <w:r>
              <w:rPr>
                <w:rFonts w:ascii="宋体"/>
                <w:spacing w:val="-1"/>
                <w:sz w:val="21"/>
              </w:rPr>
            </w:r>
          </w:p>
        </w:tc>
      </w:tr>
      <w:tr>
        <w:trPr>
          <w:trHeight w:val="277" w:hRule="exact"/>
        </w:trPr>
        <w:tc>
          <w:tcPr>
            <w:tcW w:w="144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35" w:lineRule="exact"/>
              <w:ind w:right="167"/>
              <w:jc w:val="right"/>
              <w:rPr>
                <w:rFonts w:ascii="宋体" w:hAnsi="宋体" w:cs="宋体" w:eastAsia="宋体" w:hint="default"/>
                <w:sz w:val="21"/>
                <w:szCs w:val="21"/>
              </w:rPr>
            </w:pPr>
            <w:r>
              <w:rPr>
                <w:rFonts w:ascii="宋体"/>
                <w:w w:val="100"/>
                <w:sz w:val="21"/>
              </w:rPr>
            </w:r>
            <w:r>
              <w:rPr>
                <w:rFonts w:ascii="宋体"/>
                <w:w w:val="100"/>
                <w:sz w:val="21"/>
                <w:u w:val="thick" w:color="000000"/>
              </w:rPr>
              <w:t>-</w:t>
            </w:r>
            <w:r>
              <w:rPr>
                <w:rFonts w:ascii="宋体"/>
                <w:w w:val="100"/>
                <w:sz w:val="21"/>
              </w:rPr>
            </w:r>
          </w:p>
        </w:tc>
        <w:tc>
          <w:tcPr>
            <w:tcW w:w="1735" w:type="dxa"/>
            <w:tcBorders>
              <w:top w:val="nil" w:sz="6" w:space="0" w:color="auto"/>
              <w:left w:val="nil" w:sz="6" w:space="0" w:color="auto"/>
              <w:bottom w:val="nil" w:sz="6" w:space="0" w:color="auto"/>
              <w:right w:val="nil" w:sz="6" w:space="0" w:color="auto"/>
            </w:tcBorders>
          </w:tcPr>
          <w:p>
            <w:pPr/>
          </w:p>
        </w:tc>
      </w:tr>
      <w:tr>
        <w:trPr>
          <w:trHeight w:val="288"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53" w:lineRule="exact"/>
              <w:ind w:left="4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75"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r>
      <w:tr>
        <w:trPr>
          <w:trHeight w:val="272"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6" w:lineRule="exact"/>
              <w:ind w:left="48"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475"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r>
      <w:tr>
        <w:trPr>
          <w:trHeight w:val="652" w:hRule="exact"/>
        </w:trPr>
        <w:tc>
          <w:tcPr>
            <w:tcW w:w="144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7"/>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个月以内</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至</w:t>
            </w:r>
            <w:r>
              <w:rPr>
                <w:rFonts w:ascii="宋体" w:hAnsi="宋体" w:cs="宋体" w:eastAsia="宋体" w:hint="default"/>
                <w:spacing w:val="-2"/>
                <w:sz w:val="21"/>
                <w:szCs w:val="21"/>
              </w:rPr>
              <w:t>3</w:t>
            </w:r>
            <w:r>
              <w:rPr>
                <w:rFonts w:ascii="宋体" w:hAnsi="宋体" w:cs="宋体" w:eastAsia="宋体" w:hint="default"/>
                <w:spacing w:val="-2"/>
                <w:sz w:val="21"/>
                <w:szCs w:val="21"/>
              </w:rPr>
              <w:t>个月</w:t>
            </w:r>
            <w:r>
              <w:rPr>
                <w:rFonts w:ascii="宋体" w:hAnsi="宋体" w:cs="宋体" w:eastAsia="宋体" w:hint="default"/>
                <w:sz w:val="21"/>
                <w:szCs w:val="21"/>
              </w:rPr>
            </w:r>
          </w:p>
        </w:tc>
        <w:tc>
          <w:tcPr>
            <w:tcW w:w="1452" w:type="dxa"/>
            <w:tcBorders>
              <w:top w:val="nil" w:sz="6" w:space="0" w:color="auto"/>
              <w:left w:val="nil" w:sz="6" w:space="0" w:color="auto"/>
              <w:bottom w:val="nil" w:sz="6" w:space="0" w:color="auto"/>
              <w:right w:val="nil" w:sz="6" w:space="0" w:color="auto"/>
            </w:tcBorders>
          </w:tcPr>
          <w:p>
            <w:pPr>
              <w:pStyle w:val="TableParagraph"/>
              <w:spacing w:line="238" w:lineRule="exact"/>
              <w:ind w:left="36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个月以上</w:t>
            </w:r>
          </w:p>
          <w:p>
            <w:pPr>
              <w:pStyle w:val="TableParagraph"/>
              <w:spacing w:line="259" w:lineRule="exact"/>
              <w:ind w:left="866"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z w:val="21"/>
                <w:szCs w:val="21"/>
              </w:rPr>
              <w:t>1</w:t>
            </w:r>
            <w:r>
              <w:rPr>
                <w:rFonts w:ascii="宋体" w:hAnsi="宋体" w:cs="宋体" w:eastAsia="宋体" w:hint="default"/>
                <w:sz w:val="21"/>
                <w:szCs w:val="21"/>
              </w:rPr>
              <w:t>年</w:t>
            </w:r>
          </w:p>
        </w:tc>
        <w:tc>
          <w:tcPr>
            <w:tcW w:w="1241" w:type="dxa"/>
            <w:tcBorders>
              <w:top w:val="nil" w:sz="6" w:space="0" w:color="auto"/>
              <w:left w:val="nil" w:sz="6" w:space="0" w:color="auto"/>
              <w:bottom w:val="nil" w:sz="6" w:space="0" w:color="auto"/>
              <w:right w:val="nil" w:sz="6" w:space="0" w:color="auto"/>
            </w:tcBorders>
          </w:tcPr>
          <w:p>
            <w:pPr>
              <w:pStyle w:val="TableParagraph"/>
              <w:spacing w:line="238" w:lineRule="exact"/>
              <w:ind w:left="4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p>
            <w:pPr>
              <w:pStyle w:val="TableParagraph"/>
              <w:spacing w:line="259" w:lineRule="exact"/>
              <w:ind w:left="688"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z w:val="21"/>
                <w:szCs w:val="21"/>
              </w:rPr>
              <w:t>5</w:t>
            </w:r>
            <w:r>
              <w:rPr>
                <w:rFonts w:ascii="宋体" w:hAnsi="宋体" w:cs="宋体" w:eastAsia="宋体" w:hint="default"/>
                <w:sz w:val="21"/>
                <w:szCs w:val="21"/>
              </w:rPr>
              <w:t>年</w:t>
            </w:r>
          </w:p>
        </w:tc>
        <w:tc>
          <w:tcPr>
            <w:tcW w:w="710" w:type="dxa"/>
            <w:tcBorders>
              <w:top w:val="nil" w:sz="6" w:space="0" w:color="auto"/>
              <w:left w:val="nil" w:sz="6" w:space="0" w:color="auto"/>
              <w:bottom w:val="nil" w:sz="6" w:space="0" w:color="auto"/>
              <w:right w:val="nil" w:sz="6" w:space="0" w:color="auto"/>
            </w:tcBorders>
          </w:tcPr>
          <w:p>
            <w:pPr>
              <w:pStyle w:val="TableParagraph"/>
              <w:spacing w:line="230" w:lineRule="exact"/>
              <w:ind w:left="1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年以</w:t>
            </w:r>
          </w:p>
          <w:p>
            <w:pPr>
              <w:pStyle w:val="TableParagraph"/>
              <w:spacing w:line="267" w:lineRule="exact"/>
              <w:ind w:left="329" w:right="0"/>
              <w:jc w:val="left"/>
              <w:rPr>
                <w:rFonts w:ascii="宋体" w:hAnsi="宋体" w:cs="宋体" w:eastAsia="宋体" w:hint="default"/>
                <w:sz w:val="21"/>
                <w:szCs w:val="21"/>
              </w:rPr>
            </w:pPr>
            <w:r>
              <w:rPr>
                <w:rFonts w:ascii="宋体" w:hAnsi="宋体" w:cs="宋体" w:eastAsia="宋体" w:hint="default"/>
                <w:w w:val="100"/>
                <w:sz w:val="21"/>
                <w:szCs w:val="21"/>
              </w:rPr>
              <w:t>上</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8"/>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409"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4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9"/>
              <w:jc w:val="right"/>
              <w:rPr>
                <w:rFonts w:ascii="宋体" w:hAnsi="宋体" w:cs="宋体" w:eastAsia="宋体" w:hint="default"/>
                <w:sz w:val="21"/>
                <w:szCs w:val="21"/>
              </w:rPr>
            </w:pPr>
            <w:r>
              <w:rPr>
                <w:rFonts w:ascii="宋体"/>
                <w:w w:val="100"/>
                <w:sz w:val="21"/>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
              <w:jc w:val="right"/>
              <w:rPr>
                <w:rFonts w:ascii="宋体" w:hAnsi="宋体" w:cs="宋体" w:eastAsia="宋体" w:hint="default"/>
                <w:sz w:val="21"/>
                <w:szCs w:val="21"/>
              </w:rPr>
            </w:pPr>
            <w:r>
              <w:rPr>
                <w:rFonts w:ascii="宋体"/>
                <w:spacing w:val="-1"/>
                <w:sz w:val="21"/>
              </w:rPr>
              <w:t>100,000,000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8"/>
              <w:jc w:val="right"/>
              <w:rPr>
                <w:rFonts w:ascii="宋体" w:hAnsi="宋体" w:cs="宋体" w:eastAsia="宋体" w:hint="default"/>
                <w:sz w:val="21"/>
                <w:szCs w:val="21"/>
              </w:rPr>
            </w:pPr>
            <w:r>
              <w:rPr>
                <w:rFonts w:ascii="宋体"/>
                <w:spacing w:val="-1"/>
                <w:sz w:val="21"/>
              </w:rPr>
              <w:t>1,168,000,000</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
              <w:jc w:val="right"/>
              <w:rPr>
                <w:rFonts w:ascii="宋体" w:hAnsi="宋体" w:cs="宋体" w:eastAsia="宋体" w:hint="default"/>
                <w:sz w:val="21"/>
                <w:szCs w:val="21"/>
              </w:rPr>
            </w:pPr>
            <w:r>
              <w:rPr>
                <w:rFonts w:ascii="宋体"/>
                <w:w w:val="100"/>
                <w:sz w:val="21"/>
              </w:rPr>
              <w:t>-</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67"/>
              <w:jc w:val="right"/>
              <w:rPr>
                <w:rFonts w:ascii="宋体" w:hAnsi="宋体" w:cs="宋体" w:eastAsia="宋体" w:hint="default"/>
                <w:sz w:val="21"/>
                <w:szCs w:val="21"/>
              </w:rPr>
            </w:pPr>
            <w:r>
              <w:rPr>
                <w:rFonts w:ascii="宋体"/>
                <w:w w:val="100"/>
                <w:sz w:val="21"/>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8"/>
              <w:jc w:val="right"/>
              <w:rPr>
                <w:rFonts w:ascii="宋体" w:hAnsi="宋体" w:cs="宋体" w:eastAsia="宋体" w:hint="default"/>
                <w:sz w:val="21"/>
                <w:szCs w:val="21"/>
              </w:rPr>
            </w:pPr>
            <w:r>
              <w:rPr>
                <w:rFonts w:ascii="宋体"/>
                <w:spacing w:val="-1"/>
                <w:sz w:val="21"/>
              </w:rPr>
              <w:t>1,268,000,000</w:t>
            </w:r>
          </w:p>
        </w:tc>
      </w:tr>
      <w:tr>
        <w:trPr>
          <w:trHeight w:val="278"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52" w:lineRule="exact"/>
              <w:ind w:left="4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75" w:type="dxa"/>
            <w:tcBorders>
              <w:top w:val="nil" w:sz="6" w:space="0" w:color="auto"/>
              <w:left w:val="nil" w:sz="6" w:space="0" w:color="auto"/>
              <w:bottom w:val="nil" w:sz="6" w:space="0" w:color="auto"/>
              <w:right w:val="nil" w:sz="6" w:space="0" w:color="auto"/>
            </w:tcBorders>
          </w:tcPr>
          <w:p>
            <w:pPr>
              <w:pStyle w:val="TableParagraph"/>
              <w:spacing w:line="237" w:lineRule="exact"/>
              <w:ind w:right="200"/>
              <w:jc w:val="right"/>
              <w:rPr>
                <w:rFonts w:ascii="宋体" w:hAnsi="宋体" w:cs="宋体" w:eastAsia="宋体" w:hint="default"/>
                <w:sz w:val="21"/>
                <w:szCs w:val="21"/>
              </w:rPr>
            </w:pPr>
            <w:r>
              <w:rPr>
                <w:rFonts w:ascii="宋体"/>
                <w:spacing w:val="-1"/>
                <w:sz w:val="21"/>
              </w:rPr>
              <w:t>358,851,112</w:t>
            </w:r>
          </w:p>
        </w:tc>
        <w:tc>
          <w:tcPr>
            <w:tcW w:w="1382" w:type="dxa"/>
            <w:tcBorders>
              <w:top w:val="nil" w:sz="6" w:space="0" w:color="auto"/>
              <w:left w:val="nil" w:sz="6" w:space="0" w:color="auto"/>
              <w:bottom w:val="nil" w:sz="6" w:space="0" w:color="auto"/>
              <w:right w:val="nil" w:sz="6" w:space="0" w:color="auto"/>
            </w:tcBorders>
          </w:tcPr>
          <w:p>
            <w:pPr>
              <w:pStyle w:val="TableParagraph"/>
              <w:spacing w:line="237" w:lineRule="exact"/>
              <w:ind w:right="24"/>
              <w:jc w:val="right"/>
              <w:rPr>
                <w:rFonts w:ascii="宋体" w:hAnsi="宋体" w:cs="宋体" w:eastAsia="宋体" w:hint="default"/>
                <w:sz w:val="21"/>
                <w:szCs w:val="21"/>
              </w:rPr>
            </w:pPr>
            <w:r>
              <w:rPr>
                <w:rFonts w:ascii="宋体"/>
                <w:spacing w:val="-1"/>
                <w:sz w:val="21"/>
              </w:rPr>
              <w:t>41,518,419</w:t>
            </w:r>
          </w:p>
        </w:tc>
        <w:tc>
          <w:tcPr>
            <w:tcW w:w="1452" w:type="dxa"/>
            <w:tcBorders>
              <w:top w:val="nil" w:sz="6" w:space="0" w:color="auto"/>
              <w:left w:val="nil" w:sz="6" w:space="0" w:color="auto"/>
              <w:bottom w:val="nil" w:sz="6" w:space="0" w:color="auto"/>
              <w:right w:val="nil" w:sz="6" w:space="0" w:color="auto"/>
            </w:tcBorders>
          </w:tcPr>
          <w:p>
            <w:pPr>
              <w:pStyle w:val="TableParagraph"/>
              <w:spacing w:line="237" w:lineRule="exact"/>
              <w:ind w:right="58"/>
              <w:jc w:val="right"/>
              <w:rPr>
                <w:rFonts w:ascii="宋体" w:hAnsi="宋体" w:cs="宋体" w:eastAsia="宋体" w:hint="default"/>
                <w:sz w:val="21"/>
                <w:szCs w:val="21"/>
              </w:rPr>
            </w:pPr>
            <w:r>
              <w:rPr>
                <w:rFonts w:ascii="宋体"/>
                <w:w w:val="100"/>
                <w:sz w:val="21"/>
              </w:rPr>
              <w:t>-</w:t>
            </w:r>
          </w:p>
        </w:tc>
        <w:tc>
          <w:tcPr>
            <w:tcW w:w="1241" w:type="dxa"/>
            <w:tcBorders>
              <w:top w:val="nil" w:sz="6" w:space="0" w:color="auto"/>
              <w:left w:val="nil" w:sz="6" w:space="0" w:color="auto"/>
              <w:bottom w:val="nil" w:sz="6" w:space="0" w:color="auto"/>
              <w:right w:val="nil" w:sz="6" w:space="0" w:color="auto"/>
            </w:tcBorders>
          </w:tcPr>
          <w:p>
            <w:pPr>
              <w:pStyle w:val="TableParagraph"/>
              <w:spacing w:line="237" w:lineRule="exact"/>
              <w:ind w:right="24"/>
              <w:jc w:val="right"/>
              <w:rPr>
                <w:rFonts w:ascii="宋体" w:hAnsi="宋体" w:cs="宋体" w:eastAsia="宋体" w:hint="default"/>
                <w:sz w:val="21"/>
                <w:szCs w:val="21"/>
              </w:rPr>
            </w:pPr>
            <w:r>
              <w:rPr>
                <w:rFonts w:ascii="宋体"/>
                <w:w w:val="100"/>
                <w:sz w:val="21"/>
              </w:rPr>
              <w:t>-</w:t>
            </w:r>
          </w:p>
        </w:tc>
        <w:tc>
          <w:tcPr>
            <w:tcW w:w="710" w:type="dxa"/>
            <w:tcBorders>
              <w:top w:val="nil" w:sz="6" w:space="0" w:color="auto"/>
              <w:left w:val="nil" w:sz="6" w:space="0" w:color="auto"/>
              <w:bottom w:val="nil" w:sz="6" w:space="0" w:color="auto"/>
              <w:right w:val="nil" w:sz="6" w:space="0" w:color="auto"/>
            </w:tcBorders>
          </w:tcPr>
          <w:p>
            <w:pPr>
              <w:pStyle w:val="TableParagraph"/>
              <w:spacing w:line="237" w:lineRule="exact"/>
              <w:ind w:right="167"/>
              <w:jc w:val="right"/>
              <w:rPr>
                <w:rFonts w:ascii="宋体" w:hAnsi="宋体" w:cs="宋体" w:eastAsia="宋体" w:hint="default"/>
                <w:sz w:val="21"/>
                <w:szCs w:val="21"/>
              </w:rPr>
            </w:pPr>
            <w:r>
              <w:rPr>
                <w:rFonts w:ascii="宋体"/>
                <w:w w:val="100"/>
                <w:sz w:val="21"/>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37" w:lineRule="exact"/>
              <w:ind w:right="198"/>
              <w:jc w:val="right"/>
              <w:rPr>
                <w:rFonts w:ascii="宋体" w:hAnsi="宋体" w:cs="宋体" w:eastAsia="宋体" w:hint="default"/>
                <w:sz w:val="21"/>
                <w:szCs w:val="21"/>
              </w:rPr>
            </w:pPr>
            <w:r>
              <w:rPr>
                <w:rFonts w:ascii="宋体"/>
                <w:spacing w:val="-1"/>
                <w:sz w:val="21"/>
              </w:rPr>
              <w:t>400,369,531</w:t>
            </w:r>
          </w:p>
        </w:tc>
      </w:tr>
      <w:tr>
        <w:trPr>
          <w:trHeight w:val="281"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54" w:lineRule="exact"/>
              <w:ind w:left="48"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475" w:type="dxa"/>
            <w:tcBorders>
              <w:top w:val="nil" w:sz="6" w:space="0" w:color="auto"/>
              <w:left w:val="nil" w:sz="6" w:space="0" w:color="auto"/>
              <w:bottom w:val="nil" w:sz="6" w:space="0" w:color="auto"/>
              <w:right w:val="nil" w:sz="6" w:space="0" w:color="auto"/>
            </w:tcBorders>
          </w:tcPr>
          <w:p>
            <w:pPr>
              <w:pStyle w:val="TableParagraph"/>
              <w:spacing w:line="237" w:lineRule="exact"/>
              <w:ind w:right="199"/>
              <w:jc w:val="right"/>
              <w:rPr>
                <w:rFonts w:ascii="宋体" w:hAnsi="宋体" w:cs="宋体" w:eastAsia="宋体" w:hint="default"/>
                <w:sz w:val="21"/>
                <w:szCs w:val="21"/>
              </w:rPr>
            </w:pPr>
            <w:r>
              <w:rPr>
                <w:rFonts w:ascii="宋体"/>
                <w:w w:val="100"/>
                <w:sz w:val="21"/>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37" w:lineRule="exact"/>
              <w:ind w:right="23"/>
              <w:jc w:val="right"/>
              <w:rPr>
                <w:rFonts w:ascii="宋体" w:hAnsi="宋体" w:cs="宋体" w:eastAsia="宋体" w:hint="default"/>
                <w:sz w:val="21"/>
                <w:szCs w:val="21"/>
              </w:rPr>
            </w:pPr>
            <w:r>
              <w:rPr>
                <w:rFonts w:ascii="宋体"/>
                <w:spacing w:val="-1"/>
                <w:sz w:val="21"/>
              </w:rPr>
              <w:t>21,137,671</w:t>
            </w:r>
          </w:p>
        </w:tc>
        <w:tc>
          <w:tcPr>
            <w:tcW w:w="1452" w:type="dxa"/>
            <w:tcBorders>
              <w:top w:val="nil" w:sz="6" w:space="0" w:color="auto"/>
              <w:left w:val="nil" w:sz="6" w:space="0" w:color="auto"/>
              <w:bottom w:val="nil" w:sz="6" w:space="0" w:color="auto"/>
              <w:right w:val="nil" w:sz="6" w:space="0" w:color="auto"/>
            </w:tcBorders>
          </w:tcPr>
          <w:p>
            <w:pPr>
              <w:pStyle w:val="TableParagraph"/>
              <w:spacing w:line="237" w:lineRule="exact"/>
              <w:ind w:right="58"/>
              <w:jc w:val="right"/>
              <w:rPr>
                <w:rFonts w:ascii="宋体" w:hAnsi="宋体" w:cs="宋体" w:eastAsia="宋体" w:hint="default"/>
                <w:sz w:val="21"/>
                <w:szCs w:val="21"/>
              </w:rPr>
            </w:pPr>
            <w:r>
              <w:rPr>
                <w:rFonts w:ascii="宋体"/>
                <w:w w:val="100"/>
                <w:sz w:val="21"/>
              </w:rPr>
              <w:t>-</w:t>
            </w:r>
          </w:p>
        </w:tc>
        <w:tc>
          <w:tcPr>
            <w:tcW w:w="1241" w:type="dxa"/>
            <w:tcBorders>
              <w:top w:val="nil" w:sz="6" w:space="0" w:color="auto"/>
              <w:left w:val="nil" w:sz="6" w:space="0" w:color="auto"/>
              <w:bottom w:val="nil" w:sz="6" w:space="0" w:color="auto"/>
              <w:right w:val="nil" w:sz="6" w:space="0" w:color="auto"/>
            </w:tcBorders>
          </w:tcPr>
          <w:p>
            <w:pPr>
              <w:pStyle w:val="TableParagraph"/>
              <w:spacing w:line="237" w:lineRule="exact"/>
              <w:ind w:right="24"/>
              <w:jc w:val="right"/>
              <w:rPr>
                <w:rFonts w:ascii="宋体" w:hAnsi="宋体" w:cs="宋体" w:eastAsia="宋体" w:hint="default"/>
                <w:sz w:val="21"/>
                <w:szCs w:val="21"/>
              </w:rPr>
            </w:pPr>
            <w:r>
              <w:rPr>
                <w:rFonts w:ascii="宋体"/>
                <w:w w:val="100"/>
                <w:sz w:val="21"/>
              </w:rPr>
              <w:t>-</w:t>
            </w:r>
          </w:p>
        </w:tc>
        <w:tc>
          <w:tcPr>
            <w:tcW w:w="710" w:type="dxa"/>
            <w:tcBorders>
              <w:top w:val="nil" w:sz="6" w:space="0" w:color="auto"/>
              <w:left w:val="nil" w:sz="6" w:space="0" w:color="auto"/>
              <w:bottom w:val="nil" w:sz="6" w:space="0" w:color="auto"/>
              <w:right w:val="nil" w:sz="6" w:space="0" w:color="auto"/>
            </w:tcBorders>
          </w:tcPr>
          <w:p>
            <w:pPr>
              <w:pStyle w:val="TableParagraph"/>
              <w:spacing w:line="237" w:lineRule="exact"/>
              <w:ind w:right="167"/>
              <w:jc w:val="right"/>
              <w:rPr>
                <w:rFonts w:ascii="宋体" w:hAnsi="宋体" w:cs="宋体" w:eastAsia="宋体" w:hint="default"/>
                <w:sz w:val="21"/>
                <w:szCs w:val="21"/>
              </w:rPr>
            </w:pPr>
            <w:r>
              <w:rPr>
                <w:rFonts w:ascii="宋体"/>
                <w:w w:val="100"/>
                <w:sz w:val="21"/>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37" w:lineRule="exact"/>
              <w:ind w:right="198"/>
              <w:jc w:val="right"/>
              <w:rPr>
                <w:rFonts w:ascii="宋体" w:hAnsi="宋体" w:cs="宋体" w:eastAsia="宋体" w:hint="default"/>
                <w:sz w:val="21"/>
                <w:szCs w:val="21"/>
              </w:rPr>
            </w:pPr>
            <w:r>
              <w:rPr>
                <w:rFonts w:ascii="宋体"/>
                <w:spacing w:val="-1"/>
                <w:sz w:val="21"/>
              </w:rPr>
              <w:t>21,137,671</w:t>
            </w:r>
          </w:p>
        </w:tc>
      </w:tr>
      <w:tr>
        <w:trPr>
          <w:trHeight w:val="288"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55" w:lineRule="exact"/>
              <w:ind w:left="4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75" w:type="dxa"/>
            <w:tcBorders>
              <w:top w:val="nil" w:sz="6" w:space="0" w:color="auto"/>
              <w:left w:val="nil" w:sz="6" w:space="0" w:color="auto"/>
              <w:bottom w:val="nil" w:sz="6" w:space="0" w:color="auto"/>
              <w:right w:val="nil" w:sz="6" w:space="0" w:color="auto"/>
            </w:tcBorders>
          </w:tcPr>
          <w:p>
            <w:pPr>
              <w:pStyle w:val="TableParagraph"/>
              <w:spacing w:line="238" w:lineRule="exact"/>
              <w:ind w:right="200"/>
              <w:jc w:val="right"/>
              <w:rPr>
                <w:rFonts w:ascii="宋体" w:hAnsi="宋体" w:cs="宋体" w:eastAsia="宋体" w:hint="default"/>
                <w:sz w:val="21"/>
                <w:szCs w:val="21"/>
              </w:rPr>
            </w:pPr>
            <w:r>
              <w:rPr>
                <w:rFonts w:ascii="宋体"/>
                <w:spacing w:val="-1"/>
                <w:sz w:val="21"/>
              </w:rPr>
              <w:t>201,827,655</w:t>
            </w:r>
          </w:p>
        </w:tc>
        <w:tc>
          <w:tcPr>
            <w:tcW w:w="1382" w:type="dxa"/>
            <w:tcBorders>
              <w:top w:val="nil" w:sz="6" w:space="0" w:color="auto"/>
              <w:left w:val="nil" w:sz="6" w:space="0" w:color="auto"/>
              <w:bottom w:val="nil" w:sz="6" w:space="0" w:color="auto"/>
              <w:right w:val="nil" w:sz="6" w:space="0" w:color="auto"/>
            </w:tcBorders>
          </w:tcPr>
          <w:p>
            <w:pPr>
              <w:pStyle w:val="TableParagraph"/>
              <w:spacing w:line="238" w:lineRule="exact"/>
              <w:ind w:right="24"/>
              <w:jc w:val="right"/>
              <w:rPr>
                <w:rFonts w:ascii="宋体" w:hAnsi="宋体" w:cs="宋体" w:eastAsia="宋体" w:hint="default"/>
                <w:sz w:val="21"/>
                <w:szCs w:val="21"/>
              </w:rPr>
            </w:pPr>
            <w:r>
              <w:rPr>
                <w:rFonts w:ascii="宋体"/>
                <w:w w:val="100"/>
                <w:sz w:val="21"/>
              </w:rPr>
              <w:t>-</w:t>
            </w:r>
          </w:p>
        </w:tc>
        <w:tc>
          <w:tcPr>
            <w:tcW w:w="1452" w:type="dxa"/>
            <w:tcBorders>
              <w:top w:val="nil" w:sz="6" w:space="0" w:color="auto"/>
              <w:left w:val="nil" w:sz="6" w:space="0" w:color="auto"/>
              <w:bottom w:val="nil" w:sz="6" w:space="0" w:color="auto"/>
              <w:right w:val="nil" w:sz="6" w:space="0" w:color="auto"/>
            </w:tcBorders>
          </w:tcPr>
          <w:p>
            <w:pPr>
              <w:pStyle w:val="TableParagraph"/>
              <w:spacing w:line="238" w:lineRule="exact"/>
              <w:ind w:right="55"/>
              <w:jc w:val="right"/>
              <w:rPr>
                <w:rFonts w:ascii="宋体" w:hAnsi="宋体" w:cs="宋体" w:eastAsia="宋体" w:hint="default"/>
                <w:sz w:val="21"/>
                <w:szCs w:val="21"/>
              </w:rPr>
            </w:pPr>
            <w:r>
              <w:rPr>
                <w:rFonts w:ascii="宋体"/>
                <w:spacing w:val="-1"/>
                <w:sz w:val="21"/>
              </w:rPr>
              <w:t>28,621,475</w:t>
            </w:r>
          </w:p>
        </w:tc>
        <w:tc>
          <w:tcPr>
            <w:tcW w:w="1241" w:type="dxa"/>
            <w:tcBorders>
              <w:top w:val="nil" w:sz="6" w:space="0" w:color="auto"/>
              <w:left w:val="nil" w:sz="6" w:space="0" w:color="auto"/>
              <w:bottom w:val="nil" w:sz="6" w:space="0" w:color="auto"/>
              <w:right w:val="nil" w:sz="6" w:space="0" w:color="auto"/>
            </w:tcBorders>
          </w:tcPr>
          <w:p>
            <w:pPr>
              <w:pStyle w:val="TableParagraph"/>
              <w:spacing w:line="238" w:lineRule="exact"/>
              <w:ind w:right="23"/>
              <w:jc w:val="right"/>
              <w:rPr>
                <w:rFonts w:ascii="宋体" w:hAnsi="宋体" w:cs="宋体" w:eastAsia="宋体" w:hint="default"/>
                <w:sz w:val="21"/>
                <w:szCs w:val="21"/>
              </w:rPr>
            </w:pPr>
            <w:r>
              <w:rPr>
                <w:rFonts w:ascii="宋体"/>
                <w:spacing w:val="-1"/>
                <w:sz w:val="21"/>
              </w:rPr>
              <w:t>19,080,983</w:t>
            </w:r>
          </w:p>
        </w:tc>
        <w:tc>
          <w:tcPr>
            <w:tcW w:w="710" w:type="dxa"/>
            <w:tcBorders>
              <w:top w:val="nil" w:sz="6" w:space="0" w:color="auto"/>
              <w:left w:val="nil" w:sz="6" w:space="0" w:color="auto"/>
              <w:bottom w:val="nil" w:sz="6" w:space="0" w:color="auto"/>
              <w:right w:val="nil" w:sz="6" w:space="0" w:color="auto"/>
            </w:tcBorders>
          </w:tcPr>
          <w:p>
            <w:pPr>
              <w:pStyle w:val="TableParagraph"/>
              <w:spacing w:line="238" w:lineRule="exact"/>
              <w:ind w:right="167"/>
              <w:jc w:val="right"/>
              <w:rPr>
                <w:rFonts w:ascii="宋体" w:hAnsi="宋体" w:cs="宋体" w:eastAsia="宋体" w:hint="default"/>
                <w:sz w:val="21"/>
                <w:szCs w:val="21"/>
              </w:rPr>
            </w:pPr>
            <w:r>
              <w:rPr>
                <w:rFonts w:ascii="宋体"/>
                <w:w w:val="100"/>
                <w:sz w:val="21"/>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38" w:lineRule="exact"/>
              <w:ind w:right="200"/>
              <w:jc w:val="right"/>
              <w:rPr>
                <w:rFonts w:ascii="宋体" w:hAnsi="宋体" w:cs="宋体" w:eastAsia="宋体" w:hint="default"/>
                <w:sz w:val="21"/>
                <w:szCs w:val="21"/>
              </w:rPr>
            </w:pPr>
            <w:r>
              <w:rPr>
                <w:rFonts w:ascii="宋体"/>
                <w:spacing w:val="-1"/>
                <w:sz w:val="21"/>
              </w:rPr>
              <w:t>249,530,113</w:t>
            </w:r>
          </w:p>
        </w:tc>
      </w:tr>
      <w:tr>
        <w:trPr>
          <w:trHeight w:val="552"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5" w:lineRule="exact"/>
              <w:ind w:right="44"/>
              <w:jc w:val="center"/>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40" w:lineRule="auto" w:before="6"/>
              <w:ind w:right="42"/>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9"/>
              <w:jc w:val="right"/>
              <w:rPr>
                <w:rFonts w:ascii="宋体" w:hAnsi="宋体" w:cs="宋体" w:eastAsia="宋体" w:hint="default"/>
                <w:sz w:val="21"/>
                <w:szCs w:val="21"/>
              </w:rPr>
            </w:pPr>
            <w:r>
              <w:rPr>
                <w:rFonts w:ascii="宋体"/>
                <w:w w:val="100"/>
                <w:sz w:val="21"/>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4"/>
              <w:jc w:val="right"/>
              <w:rPr>
                <w:rFonts w:ascii="宋体" w:hAnsi="宋体" w:cs="宋体" w:eastAsia="宋体" w:hint="default"/>
                <w:sz w:val="21"/>
                <w:szCs w:val="21"/>
              </w:rPr>
            </w:pPr>
            <w:r>
              <w:rPr>
                <w:rFonts w:ascii="宋体"/>
                <w:w w:val="100"/>
                <w:sz w:val="21"/>
              </w:rPr>
              <w:t>-</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58"/>
              <w:jc w:val="right"/>
              <w:rPr>
                <w:rFonts w:ascii="宋体" w:hAnsi="宋体" w:cs="宋体" w:eastAsia="宋体" w:hint="default"/>
                <w:sz w:val="21"/>
                <w:szCs w:val="21"/>
              </w:rPr>
            </w:pPr>
            <w:r>
              <w:rPr>
                <w:rFonts w:ascii="宋体"/>
                <w:spacing w:val="-1"/>
                <w:sz w:val="21"/>
              </w:rPr>
              <w:t>107,216,931</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4"/>
              <w:jc w:val="right"/>
              <w:rPr>
                <w:rFonts w:ascii="宋体" w:hAnsi="宋体" w:cs="宋体" w:eastAsia="宋体" w:hint="default"/>
                <w:sz w:val="21"/>
                <w:szCs w:val="21"/>
              </w:rPr>
            </w:pPr>
            <w:r>
              <w:rPr>
                <w:rFonts w:ascii="宋体"/>
                <w:w w:val="100"/>
                <w:sz w:val="21"/>
              </w:rPr>
              <w:t>-</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67"/>
              <w:jc w:val="right"/>
              <w:rPr>
                <w:rFonts w:ascii="宋体" w:hAnsi="宋体" w:cs="宋体" w:eastAsia="宋体" w:hint="default"/>
                <w:sz w:val="21"/>
                <w:szCs w:val="21"/>
              </w:rPr>
            </w:pPr>
            <w:r>
              <w:rPr>
                <w:rFonts w:ascii="宋体"/>
                <w:w w:val="100"/>
                <w:sz w:val="21"/>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8"/>
              <w:jc w:val="right"/>
              <w:rPr>
                <w:rFonts w:ascii="宋体" w:hAnsi="宋体" w:cs="宋体" w:eastAsia="宋体" w:hint="default"/>
                <w:sz w:val="21"/>
                <w:szCs w:val="21"/>
              </w:rPr>
            </w:pPr>
            <w:r>
              <w:rPr>
                <w:rFonts w:ascii="宋体"/>
                <w:spacing w:val="-1"/>
                <w:sz w:val="21"/>
              </w:rPr>
              <w:t>107,216,931</w:t>
            </w:r>
          </w:p>
        </w:tc>
      </w:tr>
      <w:tr>
        <w:trPr>
          <w:trHeight w:val="401"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54" w:lineRule="exact"/>
              <w:ind w:left="4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75" w:type="dxa"/>
            <w:tcBorders>
              <w:top w:val="nil" w:sz="6" w:space="0" w:color="auto"/>
              <w:left w:val="nil" w:sz="6" w:space="0" w:color="auto"/>
              <w:bottom w:val="nil" w:sz="6" w:space="0" w:color="auto"/>
              <w:right w:val="nil" w:sz="6" w:space="0" w:color="auto"/>
            </w:tcBorders>
          </w:tcPr>
          <w:p>
            <w:pPr>
              <w:pStyle w:val="TableParagraph"/>
              <w:spacing w:line="237" w:lineRule="exact"/>
              <w:ind w:right="199"/>
              <w:jc w:val="right"/>
              <w:rPr>
                <w:rFonts w:ascii="宋体" w:hAnsi="宋体" w:cs="宋体" w:eastAsia="宋体" w:hint="default"/>
                <w:sz w:val="21"/>
                <w:szCs w:val="21"/>
              </w:rPr>
            </w:pPr>
            <w:r>
              <w:rPr>
                <w:rFonts w:ascii="宋体"/>
                <w:w w:val="100"/>
                <w:sz w:val="21"/>
              </w:rPr>
              <w:t>-</w:t>
            </w:r>
          </w:p>
        </w:tc>
        <w:tc>
          <w:tcPr>
            <w:tcW w:w="1382" w:type="dxa"/>
            <w:tcBorders>
              <w:top w:val="nil" w:sz="6" w:space="0" w:color="auto"/>
              <w:left w:val="nil" w:sz="6" w:space="0" w:color="auto"/>
              <w:bottom w:val="nil" w:sz="6" w:space="0" w:color="auto"/>
              <w:right w:val="nil" w:sz="6" w:space="0" w:color="auto"/>
            </w:tcBorders>
          </w:tcPr>
          <w:p>
            <w:pPr>
              <w:pStyle w:val="TableParagraph"/>
              <w:spacing w:line="237" w:lineRule="exact"/>
              <w:ind w:right="24"/>
              <w:jc w:val="right"/>
              <w:rPr>
                <w:rFonts w:ascii="宋体" w:hAnsi="宋体" w:cs="宋体" w:eastAsia="宋体" w:hint="default"/>
                <w:sz w:val="21"/>
                <w:szCs w:val="21"/>
              </w:rPr>
            </w:pPr>
            <w:r>
              <w:rPr>
                <w:rFonts w:ascii="宋体"/>
                <w:w w:val="100"/>
                <w:sz w:val="21"/>
              </w:rPr>
              <w:t>-</w:t>
            </w:r>
          </w:p>
        </w:tc>
        <w:tc>
          <w:tcPr>
            <w:tcW w:w="1452" w:type="dxa"/>
            <w:tcBorders>
              <w:top w:val="nil" w:sz="6" w:space="0" w:color="auto"/>
              <w:left w:val="nil" w:sz="6" w:space="0" w:color="auto"/>
              <w:bottom w:val="nil" w:sz="6" w:space="0" w:color="auto"/>
              <w:right w:val="nil" w:sz="6" w:space="0" w:color="auto"/>
            </w:tcBorders>
          </w:tcPr>
          <w:p>
            <w:pPr>
              <w:pStyle w:val="TableParagraph"/>
              <w:spacing w:line="237" w:lineRule="exact"/>
              <w:ind w:right="58"/>
              <w:jc w:val="right"/>
              <w:rPr>
                <w:rFonts w:ascii="宋体" w:hAnsi="宋体" w:cs="宋体" w:eastAsia="宋体" w:hint="default"/>
                <w:sz w:val="21"/>
                <w:szCs w:val="21"/>
              </w:rPr>
            </w:pPr>
            <w:r>
              <w:rPr>
                <w:rFonts w:ascii="宋体"/>
                <w:w w:val="100"/>
                <w:sz w:val="21"/>
              </w:rPr>
              <w:t>-</w:t>
            </w:r>
          </w:p>
        </w:tc>
        <w:tc>
          <w:tcPr>
            <w:tcW w:w="1241" w:type="dxa"/>
            <w:tcBorders>
              <w:top w:val="nil" w:sz="6" w:space="0" w:color="auto"/>
              <w:left w:val="nil" w:sz="6" w:space="0" w:color="auto"/>
              <w:bottom w:val="nil" w:sz="6" w:space="0" w:color="auto"/>
              <w:right w:val="nil" w:sz="6" w:space="0" w:color="auto"/>
            </w:tcBorders>
          </w:tcPr>
          <w:p>
            <w:pPr>
              <w:pStyle w:val="TableParagraph"/>
              <w:spacing w:line="237" w:lineRule="exact"/>
              <w:ind w:right="24"/>
              <w:jc w:val="right"/>
              <w:rPr>
                <w:rFonts w:ascii="宋体" w:hAnsi="宋体" w:cs="宋体" w:eastAsia="宋体" w:hint="default"/>
                <w:sz w:val="21"/>
                <w:szCs w:val="21"/>
              </w:rPr>
            </w:pPr>
            <w:r>
              <w:rPr>
                <w:rFonts w:ascii="宋体"/>
                <w:spacing w:val="-1"/>
                <w:sz w:val="21"/>
              </w:rPr>
              <w:t>326,332,464</w:t>
            </w:r>
          </w:p>
        </w:tc>
        <w:tc>
          <w:tcPr>
            <w:tcW w:w="710" w:type="dxa"/>
            <w:tcBorders>
              <w:top w:val="nil" w:sz="6" w:space="0" w:color="auto"/>
              <w:left w:val="nil" w:sz="6" w:space="0" w:color="auto"/>
              <w:bottom w:val="nil" w:sz="6" w:space="0" w:color="auto"/>
              <w:right w:val="nil" w:sz="6" w:space="0" w:color="auto"/>
            </w:tcBorders>
          </w:tcPr>
          <w:p>
            <w:pPr>
              <w:pStyle w:val="TableParagraph"/>
              <w:spacing w:line="237" w:lineRule="exact"/>
              <w:ind w:right="167"/>
              <w:jc w:val="right"/>
              <w:rPr>
                <w:rFonts w:ascii="宋体" w:hAnsi="宋体" w:cs="宋体" w:eastAsia="宋体" w:hint="default"/>
                <w:sz w:val="21"/>
                <w:szCs w:val="21"/>
              </w:rPr>
            </w:pPr>
            <w:r>
              <w:rPr>
                <w:rFonts w:ascii="宋体"/>
                <w:w w:val="100"/>
                <w:sz w:val="21"/>
              </w:rPr>
              <w:t>-</w:t>
            </w:r>
          </w:p>
        </w:tc>
        <w:tc>
          <w:tcPr>
            <w:tcW w:w="1735" w:type="dxa"/>
            <w:tcBorders>
              <w:top w:val="nil" w:sz="6" w:space="0" w:color="auto"/>
              <w:left w:val="nil" w:sz="6" w:space="0" w:color="auto"/>
              <w:bottom w:val="nil" w:sz="6" w:space="0" w:color="auto"/>
              <w:right w:val="nil" w:sz="6" w:space="0" w:color="auto"/>
            </w:tcBorders>
          </w:tcPr>
          <w:p>
            <w:pPr>
              <w:pStyle w:val="TableParagraph"/>
              <w:spacing w:line="237" w:lineRule="exact"/>
              <w:ind w:right="200"/>
              <w:jc w:val="right"/>
              <w:rPr>
                <w:rFonts w:ascii="宋体" w:hAnsi="宋体" w:cs="宋体" w:eastAsia="宋体" w:hint="default"/>
                <w:sz w:val="21"/>
                <w:szCs w:val="21"/>
              </w:rPr>
            </w:pPr>
            <w:r>
              <w:rPr>
                <w:rFonts w:ascii="宋体"/>
                <w:spacing w:val="-1"/>
                <w:sz w:val="21"/>
              </w:rPr>
              <w:t>326,332,464</w:t>
            </w:r>
          </w:p>
        </w:tc>
      </w:tr>
      <w:tr>
        <w:trPr>
          <w:trHeight w:val="659" w:hRule="exact"/>
        </w:trPr>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8"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475" w:type="dxa"/>
            <w:tcBorders>
              <w:top w:val="nil" w:sz="6" w:space="0" w:color="auto"/>
              <w:left w:val="nil" w:sz="6" w:space="0" w:color="auto"/>
              <w:bottom w:val="nil" w:sz="6" w:space="0" w:color="auto"/>
              <w:right w:val="nil" w:sz="6" w:space="0" w:color="auto"/>
            </w:tcBorders>
          </w:tcPr>
          <w:p>
            <w:pPr>
              <w:pStyle w:val="TableParagraph"/>
              <w:tabs>
                <w:tab w:pos="1051" w:val="left" w:leader="none"/>
              </w:tabs>
              <w:spacing w:line="240" w:lineRule="auto" w:before="82"/>
              <w:ind w:right="197"/>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ab/>
              <w:t>-</w:t>
            </w:r>
            <w:r>
              <w:rPr>
                <w:rFonts w:ascii="宋体"/>
                <w:sz w:val="21"/>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4"/>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 </w:t>
            </w:r>
            <w:r>
              <w:rPr>
                <w:rFonts w:ascii="宋体"/>
                <w:spacing w:val="-1"/>
                <w:sz w:val="21"/>
                <w:u w:val="single" w:color="000000"/>
              </w:rPr>
              <w:t>5,862,329</w:t>
            </w:r>
            <w:r>
              <w:rPr>
                <w:rFonts w:ascii="宋体"/>
                <w:spacing w:val="-1"/>
                <w:sz w:val="21"/>
              </w:rPr>
            </w:r>
          </w:p>
        </w:tc>
        <w:tc>
          <w:tcPr>
            <w:tcW w:w="1452" w:type="dxa"/>
            <w:tcBorders>
              <w:top w:val="nil" w:sz="6" w:space="0" w:color="auto"/>
              <w:left w:val="nil" w:sz="6" w:space="0" w:color="auto"/>
              <w:bottom w:val="nil" w:sz="6" w:space="0" w:color="auto"/>
              <w:right w:val="nil" w:sz="6" w:space="0" w:color="auto"/>
            </w:tcBorders>
          </w:tcPr>
          <w:p>
            <w:pPr>
              <w:pStyle w:val="TableParagraph"/>
              <w:tabs>
                <w:tab w:pos="1262" w:val="left" w:leader="none"/>
              </w:tabs>
              <w:spacing w:line="240" w:lineRule="auto" w:before="82"/>
              <w:ind w:right="55"/>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ab/>
              <w:t>-</w:t>
            </w:r>
            <w:r>
              <w:rPr>
                <w:rFonts w:ascii="宋体"/>
                <w:sz w:val="21"/>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
              <w:jc w:val="right"/>
              <w:rPr>
                <w:rFonts w:ascii="宋体" w:hAnsi="宋体" w:cs="宋体" w:eastAsia="宋体" w:hint="default"/>
                <w:sz w:val="21"/>
                <w:szCs w:val="21"/>
              </w:rPr>
            </w:pPr>
            <w:r>
              <w:rPr>
                <w:rFonts w:ascii="宋体"/>
                <w:w w:val="100"/>
                <w:sz w:val="21"/>
              </w:rPr>
            </w:r>
            <w:r>
              <w:rPr>
                <w:rFonts w:ascii="宋体"/>
                <w:spacing w:val="-1"/>
                <w:sz w:val="21"/>
                <w:u w:val="single" w:color="000000"/>
              </w:rPr>
              <w:t>492,219,981</w:t>
            </w:r>
            <w:r>
              <w:rPr>
                <w:rFonts w:ascii="宋体"/>
                <w:spacing w:val="-1"/>
                <w:sz w:val="21"/>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7"/>
              <w:jc w:val="right"/>
              <w:rPr>
                <w:rFonts w:ascii="宋体" w:hAnsi="宋体" w:cs="宋体" w:eastAsia="宋体" w:hint="default"/>
                <w:sz w:val="21"/>
                <w:szCs w:val="21"/>
              </w:rPr>
            </w:pPr>
            <w:r>
              <w:rPr>
                <w:rFonts w:ascii="宋体"/>
                <w:w w:val="100"/>
                <w:sz w:val="21"/>
              </w:rPr>
            </w:r>
            <w:r>
              <w:rPr>
                <w:rFonts w:ascii="宋体"/>
                <w:w w:val="100"/>
                <w:sz w:val="21"/>
                <w:u w:val="single" w:color="000000"/>
              </w:rPr>
              <w:t>-</w:t>
            </w:r>
            <w:r>
              <w:rPr>
                <w:rFonts w:ascii="宋体"/>
                <w:w w:val="100"/>
                <w:sz w:val="21"/>
              </w:rPr>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8"/>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 </w:t>
            </w:r>
            <w:r>
              <w:rPr>
                <w:rFonts w:ascii="宋体"/>
                <w:spacing w:val="-1"/>
                <w:sz w:val="21"/>
                <w:u w:val="single" w:color="000000"/>
              </w:rPr>
              <w:t>498,082,310</w:t>
            </w:r>
            <w:r>
              <w:rPr>
                <w:rFonts w:ascii="宋体"/>
                <w:spacing w:val="-1"/>
                <w:sz w:val="21"/>
              </w:rPr>
            </w:r>
          </w:p>
        </w:tc>
      </w:tr>
      <w:tr>
        <w:trPr>
          <w:trHeight w:val="498" w:hRule="exact"/>
        </w:trPr>
        <w:tc>
          <w:tcPr>
            <w:tcW w:w="144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0"/>
              <w:jc w:val="right"/>
              <w:rPr>
                <w:rFonts w:ascii="宋体" w:hAnsi="宋体" w:cs="宋体" w:eastAsia="宋体" w:hint="default"/>
                <w:sz w:val="21"/>
                <w:szCs w:val="21"/>
              </w:rPr>
            </w:pPr>
            <w:r>
              <w:rPr>
                <w:rFonts w:ascii="宋体"/>
                <w:w w:val="100"/>
                <w:sz w:val="21"/>
              </w:rPr>
            </w:r>
            <w:r>
              <w:rPr>
                <w:rFonts w:ascii="宋体"/>
                <w:spacing w:val="-1"/>
                <w:sz w:val="21"/>
                <w:u w:val="thick" w:color="000000"/>
              </w:rPr>
              <w:t>560,678,767</w:t>
            </w:r>
            <w:r>
              <w:rPr>
                <w:rFonts w:ascii="宋体"/>
                <w:spacing w:val="-1"/>
                <w:sz w:val="21"/>
              </w:rPr>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tabs>
                <w:tab w:pos="1207" w:val="left" w:leader="none"/>
              </w:tabs>
              <w:spacing w:line="240" w:lineRule="auto"/>
              <w:ind w:right="-24"/>
              <w:jc w:val="right"/>
              <w:rPr>
                <w:rFonts w:ascii="宋体" w:hAnsi="宋体" w:cs="宋体" w:eastAsia="宋体" w:hint="default"/>
                <w:sz w:val="21"/>
                <w:szCs w:val="21"/>
              </w:rPr>
            </w:pPr>
            <w:r>
              <w:rPr>
                <w:rFonts w:ascii="宋体"/>
                <w:w w:val="100"/>
                <w:sz w:val="21"/>
              </w:rPr>
            </w:r>
            <w:r>
              <w:rPr>
                <w:rFonts w:ascii="宋体"/>
                <w:spacing w:val="-1"/>
                <w:sz w:val="21"/>
                <w:u w:val="thick" w:color="000000"/>
              </w:rPr>
              <w:t>168,518,419</w:t>
              <w:tab/>
            </w:r>
            <w:r>
              <w:rPr>
                <w:rFonts w:ascii="宋体"/>
                <w:spacing w:val="-1"/>
                <w:sz w:val="21"/>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8"/>
              <w:jc w:val="right"/>
              <w:rPr>
                <w:rFonts w:ascii="宋体" w:hAnsi="宋体" w:cs="宋体" w:eastAsia="宋体" w:hint="default"/>
                <w:sz w:val="21"/>
                <w:szCs w:val="21"/>
              </w:rPr>
            </w:pPr>
            <w:r>
              <w:rPr>
                <w:rFonts w:ascii="宋体"/>
                <w:w w:val="100"/>
                <w:sz w:val="21"/>
              </w:rPr>
            </w:r>
            <w:r>
              <w:rPr>
                <w:rFonts w:ascii="宋体"/>
                <w:spacing w:val="-1"/>
                <w:sz w:val="21"/>
                <w:u w:val="thick" w:color="000000"/>
              </w:rPr>
              <w:t>1,303,838,406</w:t>
            </w:r>
            <w:r>
              <w:rPr>
                <w:rFonts w:ascii="宋体"/>
                <w:spacing w:val="-1"/>
                <w:sz w:val="21"/>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4"/>
              <w:jc w:val="right"/>
              <w:rPr>
                <w:rFonts w:ascii="宋体" w:hAnsi="宋体" w:cs="宋体" w:eastAsia="宋体" w:hint="default"/>
                <w:sz w:val="21"/>
                <w:szCs w:val="21"/>
              </w:rPr>
            </w:pPr>
            <w:r>
              <w:rPr>
                <w:rFonts w:ascii="宋体"/>
                <w:w w:val="100"/>
                <w:sz w:val="21"/>
              </w:rPr>
            </w:r>
            <w:r>
              <w:rPr>
                <w:rFonts w:ascii="宋体"/>
                <w:spacing w:val="-1"/>
                <w:sz w:val="21"/>
                <w:u w:val="thick" w:color="000000"/>
              </w:rPr>
              <w:t>837,633,428</w:t>
            </w:r>
            <w:r>
              <w:rPr>
                <w:rFonts w:ascii="宋体"/>
                <w:spacing w:val="-1"/>
                <w:sz w:val="21"/>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67"/>
              <w:jc w:val="right"/>
              <w:rPr>
                <w:rFonts w:ascii="宋体" w:hAnsi="宋体" w:cs="宋体" w:eastAsia="宋体" w:hint="default"/>
                <w:sz w:val="21"/>
                <w:szCs w:val="21"/>
              </w:rPr>
            </w:pPr>
            <w:r>
              <w:rPr>
                <w:rFonts w:ascii="宋体"/>
                <w:w w:val="100"/>
                <w:sz w:val="21"/>
              </w:rPr>
            </w:r>
            <w:r>
              <w:rPr>
                <w:rFonts w:ascii="宋体"/>
                <w:w w:val="100"/>
                <w:sz w:val="21"/>
                <w:u w:val="thick" w:color="000000"/>
              </w:rPr>
              <w:t>-</w:t>
            </w:r>
            <w:r>
              <w:rPr>
                <w:rFonts w:ascii="宋体"/>
                <w:w w:val="100"/>
                <w:sz w:val="21"/>
              </w:rPr>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8"/>
              <w:jc w:val="right"/>
              <w:rPr>
                <w:rFonts w:ascii="宋体" w:hAnsi="宋体" w:cs="宋体" w:eastAsia="宋体" w:hint="default"/>
                <w:sz w:val="21"/>
                <w:szCs w:val="21"/>
              </w:rPr>
            </w:pPr>
            <w:r>
              <w:rPr>
                <w:rFonts w:ascii="宋体"/>
                <w:w w:val="100"/>
                <w:sz w:val="21"/>
              </w:rPr>
            </w:r>
            <w:r>
              <w:rPr>
                <w:rFonts w:ascii="宋体"/>
                <w:spacing w:val="-1"/>
                <w:sz w:val="21"/>
                <w:u w:val="thick" w:color="000000"/>
              </w:rPr>
              <w:t>2,870,669,020</w:t>
            </w:r>
            <w:r>
              <w:rPr>
                <w:rFonts w:ascii="宋体"/>
                <w:spacing w:val="-1"/>
                <w:sz w:val="21"/>
              </w:rPr>
            </w:r>
          </w:p>
        </w:tc>
      </w:tr>
    </w:tbl>
    <w:p>
      <w:pPr>
        <w:pStyle w:val="Heading2"/>
        <w:spacing w:line="240" w:lineRule="auto" w:before="6"/>
        <w:ind w:left="850" w:right="0"/>
        <w:jc w:val="left"/>
        <w:rPr>
          <w:b w:val="0"/>
          <w:bCs w:val="0"/>
        </w:rPr>
      </w:pPr>
      <w:r>
        <w:rPr/>
        <w:t>市场风险</w:t>
      </w:r>
      <w:r>
        <w:rPr>
          <w:b w:val="0"/>
          <w:bCs w:val="0"/>
        </w:rPr>
      </w:r>
    </w:p>
    <w:p>
      <w:pPr>
        <w:spacing w:line="240" w:lineRule="auto" w:before="8"/>
        <w:rPr>
          <w:rFonts w:ascii="宋体" w:hAnsi="宋体" w:cs="宋体" w:eastAsia="宋体" w:hint="default"/>
          <w:b/>
          <w:bCs/>
          <w:sz w:val="20"/>
          <w:szCs w:val="20"/>
        </w:rPr>
      </w:pPr>
    </w:p>
    <w:p>
      <w:pPr>
        <w:pStyle w:val="BodyText"/>
        <w:spacing w:line="240" w:lineRule="auto"/>
        <w:ind w:left="850"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利率风险</w:t>
      </w:r>
      <w:r>
        <w:rPr/>
      </w:r>
    </w:p>
    <w:p>
      <w:pPr>
        <w:spacing w:line="240" w:lineRule="auto" w:before="5"/>
        <w:rPr>
          <w:rFonts w:ascii="宋体" w:hAnsi="宋体" w:cs="宋体" w:eastAsia="宋体" w:hint="default"/>
          <w:sz w:val="17"/>
          <w:szCs w:val="17"/>
        </w:rPr>
      </w:pPr>
    </w:p>
    <w:p>
      <w:pPr>
        <w:pStyle w:val="BodyText"/>
        <w:spacing w:line="240" w:lineRule="auto" w:before="36"/>
        <w:ind w:left="850" w:right="0"/>
        <w:jc w:val="both"/>
      </w:pPr>
      <w:r>
        <w:rPr/>
        <w:t>本集团面临的市场利率变动的风险主要与本集团以浮动利率计息的长期负债有关。</w:t>
      </w:r>
    </w:p>
    <w:p>
      <w:pPr>
        <w:spacing w:line="240" w:lineRule="auto" w:before="12"/>
        <w:rPr>
          <w:rFonts w:ascii="宋体" w:hAnsi="宋体" w:cs="宋体" w:eastAsia="宋体" w:hint="default"/>
          <w:sz w:val="21"/>
          <w:szCs w:val="21"/>
        </w:rPr>
      </w:pPr>
    </w:p>
    <w:p>
      <w:pPr>
        <w:pStyle w:val="BodyText"/>
        <w:spacing w:line="244" w:lineRule="auto"/>
        <w:ind w:left="858" w:right="688"/>
        <w:jc w:val="both"/>
      </w:pPr>
      <w:r>
        <w:rPr>
          <w:spacing w:val="-4"/>
        </w:rPr>
        <w:t>下表为利率风险的敏感性分析，反映了在其他变量不变的假设下，利率发生合理、可能的</w:t>
      </w:r>
      <w:r>
        <w:rPr>
          <w:spacing w:val="-31"/>
        </w:rPr>
        <w:t> </w:t>
      </w:r>
      <w:r>
        <w:rPr>
          <w:spacing w:val="-31"/>
        </w:rPr>
      </w:r>
      <w:r>
        <w:rPr/>
        <w:t>变动时，将对净损益</w:t>
      </w:r>
      <w:r>
        <w:rPr>
          <w:spacing w:val="26"/>
        </w:rPr>
        <w:t> </w:t>
      </w:r>
      <w:r>
        <w:rPr>
          <w:rFonts w:ascii="宋体" w:hAnsi="宋体" w:cs="宋体" w:eastAsia="宋体" w:hint="default"/>
        </w:rPr>
        <w:t>(</w:t>
      </w:r>
      <w:r>
        <w:rPr/>
        <w:t>通过对浮动利率借款的影响</w:t>
      </w:r>
      <w:r>
        <w:rPr>
          <w:rFonts w:ascii="宋体" w:hAnsi="宋体" w:cs="宋体" w:eastAsia="宋体" w:hint="default"/>
        </w:rPr>
        <w:t>)</w:t>
      </w:r>
      <w:r>
        <w:rPr/>
        <w:t>和其他综合收益的税后净额产生的影</w:t>
      </w:r>
      <w:r>
        <w:rPr>
          <w:spacing w:val="-103"/>
        </w:rPr>
        <w:t> </w:t>
      </w:r>
      <w:r>
        <w:rPr>
          <w:spacing w:val="-103"/>
        </w:rPr>
      </w:r>
      <w:r>
        <w:rPr/>
        <w:t>响。</w:t>
      </w:r>
    </w:p>
    <w:p>
      <w:pPr>
        <w:spacing w:line="240" w:lineRule="auto" w:before="12"/>
        <w:rPr>
          <w:rFonts w:ascii="宋体" w:hAnsi="宋体" w:cs="宋体" w:eastAsia="宋体" w:hint="default"/>
          <w:sz w:val="27"/>
          <w:szCs w:val="27"/>
        </w:rPr>
      </w:pPr>
    </w:p>
    <w:tbl>
      <w:tblPr>
        <w:tblW w:w="0" w:type="auto"/>
        <w:jc w:val="left"/>
        <w:tblInd w:w="698" w:type="dxa"/>
        <w:tblLayout w:type="fixed"/>
        <w:tblCellMar>
          <w:top w:w="0" w:type="dxa"/>
          <w:left w:w="0" w:type="dxa"/>
          <w:bottom w:w="0" w:type="dxa"/>
          <w:right w:w="0" w:type="dxa"/>
        </w:tblCellMar>
        <w:tblLook w:val="01E0"/>
      </w:tblPr>
      <w:tblGrid>
        <w:gridCol w:w="1746"/>
        <w:gridCol w:w="1344"/>
        <w:gridCol w:w="408"/>
        <w:gridCol w:w="1354"/>
        <w:gridCol w:w="355"/>
        <w:gridCol w:w="1680"/>
        <w:gridCol w:w="1343"/>
        <w:gridCol w:w="314"/>
      </w:tblGrid>
      <w:tr>
        <w:trPr>
          <w:trHeight w:val="246" w:hRule="exact"/>
        </w:trPr>
        <w:tc>
          <w:tcPr>
            <w:tcW w:w="1746"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11" w:lineRule="exact"/>
              <w:ind w:right="23"/>
              <w:jc w:val="right"/>
              <w:rPr>
                <w:rFonts w:ascii="宋体" w:hAnsi="宋体" w:cs="宋体" w:eastAsia="宋体" w:hint="default"/>
                <w:sz w:val="21"/>
                <w:szCs w:val="21"/>
              </w:rPr>
            </w:pPr>
            <w:r>
              <w:rPr>
                <w:rFonts w:ascii="宋体" w:hAnsi="宋体" w:cs="宋体" w:eastAsia="宋体" w:hint="default"/>
                <w:sz w:val="21"/>
                <w:szCs w:val="21"/>
              </w:rPr>
              <w:t>基点</w:t>
            </w:r>
          </w:p>
        </w:tc>
        <w:tc>
          <w:tcPr>
            <w:tcW w:w="40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11" w:lineRule="exact"/>
              <w:ind w:right="19"/>
              <w:jc w:val="right"/>
              <w:rPr>
                <w:rFonts w:ascii="宋体" w:hAnsi="宋体" w:cs="宋体" w:eastAsia="宋体" w:hint="default"/>
                <w:sz w:val="21"/>
                <w:szCs w:val="21"/>
              </w:rPr>
            </w:pPr>
            <w:r>
              <w:rPr>
                <w:rFonts w:ascii="宋体" w:hAnsi="宋体" w:cs="宋体" w:eastAsia="宋体" w:hint="default"/>
                <w:sz w:val="21"/>
                <w:szCs w:val="21"/>
              </w:rPr>
              <w:t>净损益</w:t>
            </w:r>
          </w:p>
        </w:tc>
        <w:tc>
          <w:tcPr>
            <w:tcW w:w="35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11" w:lineRule="exact"/>
              <w:ind w:right="293"/>
              <w:jc w:val="right"/>
              <w:rPr>
                <w:rFonts w:ascii="宋体" w:hAnsi="宋体" w:cs="宋体" w:eastAsia="宋体" w:hint="default"/>
                <w:sz w:val="21"/>
                <w:szCs w:val="21"/>
              </w:rPr>
            </w:pPr>
            <w:r>
              <w:rPr>
                <w:rFonts w:ascii="宋体" w:hAnsi="宋体" w:cs="宋体" w:eastAsia="宋体" w:hint="default"/>
                <w:spacing w:val="-1"/>
                <w:sz w:val="21"/>
                <w:szCs w:val="21"/>
              </w:rPr>
              <w:t>其他综合收益</w:t>
            </w:r>
          </w:p>
        </w:tc>
        <w:tc>
          <w:tcPr>
            <w:tcW w:w="1343" w:type="dxa"/>
            <w:tcBorders>
              <w:top w:val="nil" w:sz="6" w:space="0" w:color="auto"/>
              <w:left w:val="nil" w:sz="6" w:space="0" w:color="auto"/>
              <w:bottom w:val="nil" w:sz="6" w:space="0" w:color="auto"/>
              <w:right w:val="nil" w:sz="6" w:space="0" w:color="auto"/>
            </w:tcBorders>
          </w:tcPr>
          <w:p>
            <w:pPr>
              <w:pStyle w:val="TableParagraph"/>
              <w:spacing w:line="211" w:lineRule="exact"/>
              <w:ind w:right="18"/>
              <w:jc w:val="right"/>
              <w:rPr>
                <w:rFonts w:ascii="宋体" w:hAnsi="宋体" w:cs="宋体" w:eastAsia="宋体" w:hint="default"/>
                <w:sz w:val="21"/>
                <w:szCs w:val="21"/>
              </w:rPr>
            </w:pPr>
            <w:r>
              <w:rPr>
                <w:rFonts w:ascii="宋体" w:hAnsi="宋体" w:cs="宋体" w:eastAsia="宋体" w:hint="default"/>
                <w:spacing w:val="-1"/>
                <w:sz w:val="21"/>
                <w:szCs w:val="21"/>
              </w:rPr>
              <w:t>股东权益</w:t>
            </w:r>
          </w:p>
        </w:tc>
        <w:tc>
          <w:tcPr>
            <w:tcW w:w="314" w:type="dxa"/>
            <w:tcBorders>
              <w:top w:val="nil" w:sz="6" w:space="0" w:color="auto"/>
              <w:left w:val="nil" w:sz="6" w:space="0" w:color="auto"/>
              <w:bottom w:val="nil" w:sz="6" w:space="0" w:color="auto"/>
              <w:right w:val="nil" w:sz="6" w:space="0" w:color="auto"/>
            </w:tcBorders>
          </w:tcPr>
          <w:p>
            <w:pPr/>
          </w:p>
        </w:tc>
      </w:tr>
      <w:tr>
        <w:trPr>
          <w:trHeight w:val="281" w:hRule="exact"/>
        </w:trPr>
        <w:tc>
          <w:tcPr>
            <w:tcW w:w="1746"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35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6" w:lineRule="exact"/>
              <w:ind w:right="293"/>
              <w:jc w:val="right"/>
              <w:rPr>
                <w:rFonts w:ascii="宋体" w:hAnsi="宋体" w:cs="宋体" w:eastAsia="宋体" w:hint="default"/>
                <w:sz w:val="21"/>
                <w:szCs w:val="21"/>
              </w:rPr>
            </w:pPr>
            <w:r>
              <w:rPr>
                <w:rFonts w:ascii="宋体" w:hAnsi="宋体" w:cs="宋体" w:eastAsia="宋体" w:hint="default"/>
                <w:spacing w:val="-1"/>
                <w:sz w:val="21"/>
                <w:szCs w:val="21"/>
              </w:rPr>
              <w:t>的税后净额</w:t>
            </w:r>
          </w:p>
        </w:tc>
        <w:tc>
          <w:tcPr>
            <w:tcW w:w="1343" w:type="dxa"/>
            <w:tcBorders>
              <w:top w:val="nil" w:sz="6" w:space="0" w:color="auto"/>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r>
      <w:tr>
        <w:trPr>
          <w:trHeight w:val="280" w:hRule="exact"/>
        </w:trPr>
        <w:tc>
          <w:tcPr>
            <w:tcW w:w="1746"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6" w:lineRule="exact"/>
              <w:ind w:right="7"/>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w:t>
            </w:r>
            <w:r>
              <w:rPr>
                <w:rFonts w:ascii="宋体" w:hAnsi="宋体" w:cs="宋体" w:eastAsia="宋体" w:hint="default"/>
                <w:spacing w:val="-1"/>
                <w:sz w:val="21"/>
                <w:szCs w:val="21"/>
              </w:rPr>
              <w:t>减少</w:t>
            </w:r>
          </w:p>
        </w:tc>
        <w:tc>
          <w:tcPr>
            <w:tcW w:w="408" w:type="dxa"/>
            <w:tcBorders>
              <w:top w:val="nil" w:sz="6" w:space="0" w:color="auto"/>
              <w:left w:val="nil" w:sz="6" w:space="0" w:color="auto"/>
              <w:bottom w:val="nil" w:sz="6" w:space="0" w:color="auto"/>
              <w:right w:val="nil" w:sz="6" w:space="0" w:color="auto"/>
            </w:tcBorders>
          </w:tcPr>
          <w:p>
            <w:pPr>
              <w:pStyle w:val="TableParagraph"/>
              <w:spacing w:line="246" w:lineRule="exact"/>
              <w:ind w:left="9" w:right="0"/>
              <w:jc w:val="left"/>
              <w:rPr>
                <w:rFonts w:ascii="宋体" w:hAnsi="宋体" w:cs="宋体" w:eastAsia="宋体" w:hint="default"/>
                <w:sz w:val="21"/>
                <w:szCs w:val="21"/>
              </w:rPr>
            </w:pPr>
            <w:r>
              <w:rPr>
                <w:rFonts w:ascii="宋体"/>
                <w:w w:val="100"/>
                <w:sz w:val="21"/>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46"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w:t>
            </w:r>
            <w:r>
              <w:rPr>
                <w:rFonts w:ascii="宋体" w:hAnsi="宋体" w:cs="宋体" w:eastAsia="宋体" w:hint="default"/>
                <w:spacing w:val="-1"/>
                <w:sz w:val="21"/>
                <w:szCs w:val="21"/>
              </w:rPr>
              <w:t>减少</w:t>
            </w:r>
          </w:p>
        </w:tc>
        <w:tc>
          <w:tcPr>
            <w:tcW w:w="355" w:type="dxa"/>
            <w:tcBorders>
              <w:top w:val="nil" w:sz="6" w:space="0" w:color="auto"/>
              <w:left w:val="nil" w:sz="6" w:space="0" w:color="auto"/>
              <w:bottom w:val="nil" w:sz="6" w:space="0" w:color="auto"/>
              <w:right w:val="nil" w:sz="6" w:space="0" w:color="auto"/>
            </w:tcBorders>
          </w:tcPr>
          <w:p>
            <w:pPr>
              <w:pStyle w:val="TableParagraph"/>
              <w:spacing w:line="246" w:lineRule="exact"/>
              <w:ind w:left="7" w:right="0"/>
              <w:jc w:val="left"/>
              <w:rPr>
                <w:rFonts w:ascii="宋体" w:hAnsi="宋体" w:cs="宋体" w:eastAsia="宋体" w:hint="default"/>
                <w:sz w:val="21"/>
                <w:szCs w:val="21"/>
              </w:rPr>
            </w:pPr>
            <w:r>
              <w:rPr>
                <w:rFonts w:ascii="宋体"/>
                <w:w w:val="100"/>
                <w:sz w:val="21"/>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6" w:lineRule="exact"/>
              <w:ind w:right="27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w:t>
            </w:r>
            <w:r>
              <w:rPr>
                <w:rFonts w:ascii="宋体" w:hAnsi="宋体" w:cs="宋体" w:eastAsia="宋体" w:hint="default"/>
                <w:spacing w:val="-1"/>
                <w:sz w:val="21"/>
                <w:szCs w:val="21"/>
              </w:rPr>
              <w:t>减少</w:t>
            </w:r>
            <w:r>
              <w:rPr>
                <w:rFonts w:ascii="宋体" w:hAnsi="宋体" w:cs="宋体" w:eastAsia="宋体" w:hint="default"/>
                <w:spacing w:val="-1"/>
                <w:sz w:val="21"/>
                <w:szCs w:val="21"/>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6" w:lineRule="exact"/>
              <w:ind w:right="6"/>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w:t>
            </w:r>
            <w:r>
              <w:rPr>
                <w:rFonts w:ascii="宋体" w:hAnsi="宋体" w:cs="宋体" w:eastAsia="宋体" w:hint="default"/>
                <w:spacing w:val="-1"/>
                <w:sz w:val="21"/>
                <w:szCs w:val="21"/>
              </w:rPr>
              <w:t>减少</w:t>
            </w:r>
          </w:p>
        </w:tc>
        <w:tc>
          <w:tcPr>
            <w:tcW w:w="314" w:type="dxa"/>
            <w:tcBorders>
              <w:top w:val="nil" w:sz="6" w:space="0" w:color="auto"/>
              <w:left w:val="nil" w:sz="6" w:space="0" w:color="auto"/>
              <w:bottom w:val="nil" w:sz="6" w:space="0" w:color="auto"/>
              <w:right w:val="nil" w:sz="6" w:space="0" w:color="auto"/>
            </w:tcBorders>
          </w:tcPr>
          <w:p>
            <w:pPr>
              <w:pStyle w:val="TableParagraph"/>
              <w:spacing w:line="246" w:lineRule="exact"/>
              <w:ind w:left="8" w:right="0"/>
              <w:jc w:val="left"/>
              <w:rPr>
                <w:rFonts w:ascii="宋体" w:hAnsi="宋体" w:cs="宋体" w:eastAsia="宋体" w:hint="default"/>
                <w:sz w:val="21"/>
                <w:szCs w:val="21"/>
              </w:rPr>
            </w:pPr>
            <w:r>
              <w:rPr>
                <w:rFonts w:ascii="宋体"/>
                <w:w w:val="100"/>
                <w:sz w:val="21"/>
              </w:rPr>
              <w:t>)</w:t>
            </w:r>
          </w:p>
        </w:tc>
      </w:tr>
      <w:tr>
        <w:trPr>
          <w:trHeight w:val="420"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44"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35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r>
      <w:tr>
        <w:trPr>
          <w:trHeight w:val="420"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
              <w:jc w:val="right"/>
              <w:rPr>
                <w:rFonts w:ascii="宋体" w:hAnsi="宋体" w:cs="宋体" w:eastAsia="宋体" w:hint="default"/>
                <w:sz w:val="21"/>
                <w:szCs w:val="21"/>
              </w:rPr>
            </w:pPr>
            <w:r>
              <w:rPr>
                <w:rFonts w:ascii="宋体"/>
                <w:sz w:val="21"/>
              </w:rPr>
              <w:t>50</w:t>
            </w:r>
          </w:p>
        </w:tc>
        <w:tc>
          <w:tcPr>
            <w:tcW w:w="40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
              <w:jc w:val="right"/>
              <w:rPr>
                <w:rFonts w:ascii="宋体" w:hAnsi="宋体" w:cs="宋体" w:eastAsia="宋体" w:hint="default"/>
                <w:sz w:val="21"/>
                <w:szCs w:val="21"/>
              </w:rPr>
            </w:pPr>
            <w:r>
              <w:rPr>
                <w:rFonts w:ascii="宋体"/>
                <w:spacing w:val="-1"/>
                <w:sz w:val="21"/>
              </w:rPr>
              <w:t>(2,959,545</w:t>
            </w:r>
          </w:p>
        </w:tc>
        <w:tc>
          <w:tcPr>
            <w:tcW w:w="35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 w:right="0"/>
              <w:jc w:val="left"/>
              <w:rPr>
                <w:rFonts w:ascii="宋体" w:hAnsi="宋体" w:cs="宋体" w:eastAsia="宋体" w:hint="default"/>
                <w:sz w:val="21"/>
                <w:szCs w:val="21"/>
              </w:rPr>
            </w:pPr>
            <w:r>
              <w:rPr>
                <w:rFonts w:ascii="宋体"/>
                <w:w w:val="100"/>
                <w:sz w:val="21"/>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1"/>
              <w:jc w:val="right"/>
              <w:rPr>
                <w:rFonts w:ascii="宋体" w:hAnsi="宋体" w:cs="宋体" w:eastAsia="宋体" w:hint="default"/>
                <w:sz w:val="21"/>
                <w:szCs w:val="21"/>
              </w:rPr>
            </w:pPr>
            <w:r>
              <w:rPr>
                <w:rFonts w:ascii="宋体"/>
                <w:w w:val="100"/>
                <w:sz w:val="21"/>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
              <w:jc w:val="right"/>
              <w:rPr>
                <w:rFonts w:ascii="宋体" w:hAnsi="宋体" w:cs="宋体" w:eastAsia="宋体" w:hint="default"/>
                <w:sz w:val="21"/>
                <w:szCs w:val="21"/>
              </w:rPr>
            </w:pPr>
            <w:r>
              <w:rPr>
                <w:rFonts w:ascii="宋体"/>
                <w:spacing w:val="-1"/>
                <w:sz w:val="21"/>
              </w:rPr>
              <w:t>(2,959,545</w:t>
            </w:r>
          </w:p>
        </w:tc>
        <w:tc>
          <w:tcPr>
            <w:tcW w:w="31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 w:right="0"/>
              <w:jc w:val="left"/>
              <w:rPr>
                <w:rFonts w:ascii="宋体" w:hAnsi="宋体" w:cs="宋体" w:eastAsia="宋体" w:hint="default"/>
                <w:sz w:val="21"/>
                <w:szCs w:val="21"/>
              </w:rPr>
            </w:pPr>
            <w:r>
              <w:rPr>
                <w:rFonts w:ascii="宋体"/>
                <w:w w:val="100"/>
                <w:sz w:val="21"/>
              </w:rPr>
              <w:t>)</w:t>
            </w:r>
          </w:p>
        </w:tc>
      </w:tr>
      <w:tr>
        <w:trPr>
          <w:trHeight w:val="245"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44" w:type="dxa"/>
            <w:tcBorders>
              <w:top w:val="nil" w:sz="6" w:space="0" w:color="auto"/>
              <w:left w:val="nil" w:sz="6" w:space="0" w:color="auto"/>
              <w:bottom w:val="nil" w:sz="6" w:space="0" w:color="auto"/>
              <w:right w:val="nil" w:sz="6" w:space="0" w:color="auto"/>
            </w:tcBorders>
          </w:tcPr>
          <w:p>
            <w:pPr>
              <w:pStyle w:val="TableParagraph"/>
              <w:spacing w:line="245" w:lineRule="exact"/>
              <w:ind w:right="7"/>
              <w:jc w:val="right"/>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50</w:t>
            </w:r>
          </w:p>
        </w:tc>
        <w:tc>
          <w:tcPr>
            <w:tcW w:w="408" w:type="dxa"/>
            <w:tcBorders>
              <w:top w:val="nil" w:sz="6" w:space="0" w:color="auto"/>
              <w:left w:val="nil" w:sz="6" w:space="0" w:color="auto"/>
              <w:bottom w:val="nil" w:sz="6" w:space="0" w:color="auto"/>
              <w:right w:val="nil" w:sz="6" w:space="0" w:color="auto"/>
            </w:tcBorders>
          </w:tcPr>
          <w:p>
            <w:pPr>
              <w:pStyle w:val="TableParagraph"/>
              <w:spacing w:line="245" w:lineRule="exact"/>
              <w:ind w:left="9" w:right="0"/>
              <w:jc w:val="left"/>
              <w:rPr>
                <w:rFonts w:ascii="宋体" w:hAnsi="宋体" w:cs="宋体" w:eastAsia="宋体" w:hint="default"/>
                <w:sz w:val="21"/>
                <w:szCs w:val="21"/>
              </w:rPr>
            </w:pPr>
            <w:r>
              <w:rPr>
                <w:rFonts w:ascii="宋体"/>
                <w:w w:val="100"/>
                <w:sz w:val="21"/>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45" w:lineRule="exact"/>
              <w:ind w:right="5"/>
              <w:jc w:val="right"/>
              <w:rPr>
                <w:rFonts w:ascii="宋体" w:hAnsi="宋体" w:cs="宋体" w:eastAsia="宋体" w:hint="default"/>
                <w:sz w:val="21"/>
                <w:szCs w:val="21"/>
              </w:rPr>
            </w:pPr>
            <w:r>
              <w:rPr>
                <w:rFonts w:ascii="宋体"/>
                <w:spacing w:val="-1"/>
                <w:sz w:val="21"/>
              </w:rPr>
              <w:t>2,959,545</w:t>
            </w:r>
          </w:p>
        </w:tc>
        <w:tc>
          <w:tcPr>
            <w:tcW w:w="35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5" w:lineRule="exact"/>
              <w:ind w:right="281"/>
              <w:jc w:val="right"/>
              <w:rPr>
                <w:rFonts w:ascii="宋体" w:hAnsi="宋体" w:cs="宋体" w:eastAsia="宋体" w:hint="default"/>
                <w:sz w:val="21"/>
                <w:szCs w:val="21"/>
              </w:rPr>
            </w:pPr>
            <w:r>
              <w:rPr>
                <w:rFonts w:ascii="宋体"/>
                <w:w w:val="100"/>
                <w:sz w:val="21"/>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5" w:lineRule="exact"/>
              <w:ind w:right="6"/>
              <w:jc w:val="right"/>
              <w:rPr>
                <w:rFonts w:ascii="宋体" w:hAnsi="宋体" w:cs="宋体" w:eastAsia="宋体" w:hint="default"/>
                <w:sz w:val="21"/>
                <w:szCs w:val="21"/>
              </w:rPr>
            </w:pPr>
            <w:r>
              <w:rPr>
                <w:rFonts w:ascii="宋体"/>
                <w:spacing w:val="-1"/>
                <w:sz w:val="21"/>
              </w:rPr>
              <w:t>2,959,545</w:t>
            </w:r>
          </w:p>
        </w:tc>
        <w:tc>
          <w:tcPr>
            <w:tcW w:w="314"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6"/>
          <w:szCs w:val="26"/>
        </w:rPr>
      </w:pPr>
    </w:p>
    <w:tbl>
      <w:tblPr>
        <w:tblW w:w="0" w:type="auto"/>
        <w:jc w:val="left"/>
        <w:tblInd w:w="698" w:type="dxa"/>
        <w:tblLayout w:type="fixed"/>
        <w:tblCellMar>
          <w:top w:w="0" w:type="dxa"/>
          <w:left w:w="0" w:type="dxa"/>
          <w:bottom w:w="0" w:type="dxa"/>
          <w:right w:w="0" w:type="dxa"/>
        </w:tblCellMar>
        <w:tblLook w:val="01E0"/>
      </w:tblPr>
      <w:tblGrid>
        <w:gridCol w:w="1746"/>
        <w:gridCol w:w="1344"/>
        <w:gridCol w:w="408"/>
        <w:gridCol w:w="1354"/>
        <w:gridCol w:w="355"/>
        <w:gridCol w:w="1680"/>
        <w:gridCol w:w="1343"/>
        <w:gridCol w:w="314"/>
      </w:tblGrid>
      <w:tr>
        <w:trPr>
          <w:trHeight w:val="245" w:hRule="exact"/>
        </w:trPr>
        <w:tc>
          <w:tcPr>
            <w:tcW w:w="1746"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11" w:lineRule="exact"/>
              <w:ind w:right="23"/>
              <w:jc w:val="right"/>
              <w:rPr>
                <w:rFonts w:ascii="宋体" w:hAnsi="宋体" w:cs="宋体" w:eastAsia="宋体" w:hint="default"/>
                <w:sz w:val="21"/>
                <w:szCs w:val="21"/>
              </w:rPr>
            </w:pPr>
            <w:r>
              <w:rPr>
                <w:rFonts w:ascii="宋体" w:hAnsi="宋体" w:cs="宋体" w:eastAsia="宋体" w:hint="default"/>
                <w:sz w:val="21"/>
                <w:szCs w:val="21"/>
              </w:rPr>
              <w:t>基点</w:t>
            </w:r>
          </w:p>
        </w:tc>
        <w:tc>
          <w:tcPr>
            <w:tcW w:w="40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11" w:lineRule="exact"/>
              <w:ind w:right="19"/>
              <w:jc w:val="right"/>
              <w:rPr>
                <w:rFonts w:ascii="宋体" w:hAnsi="宋体" w:cs="宋体" w:eastAsia="宋体" w:hint="default"/>
                <w:sz w:val="21"/>
                <w:szCs w:val="21"/>
              </w:rPr>
            </w:pPr>
            <w:r>
              <w:rPr>
                <w:rFonts w:ascii="宋体" w:hAnsi="宋体" w:cs="宋体" w:eastAsia="宋体" w:hint="default"/>
                <w:sz w:val="21"/>
                <w:szCs w:val="21"/>
              </w:rPr>
              <w:t>净损益</w:t>
            </w:r>
          </w:p>
        </w:tc>
        <w:tc>
          <w:tcPr>
            <w:tcW w:w="35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11" w:lineRule="exact"/>
              <w:ind w:right="293"/>
              <w:jc w:val="right"/>
              <w:rPr>
                <w:rFonts w:ascii="宋体" w:hAnsi="宋体" w:cs="宋体" w:eastAsia="宋体" w:hint="default"/>
                <w:sz w:val="21"/>
                <w:szCs w:val="21"/>
              </w:rPr>
            </w:pPr>
            <w:r>
              <w:rPr>
                <w:rFonts w:ascii="宋体" w:hAnsi="宋体" w:cs="宋体" w:eastAsia="宋体" w:hint="default"/>
                <w:spacing w:val="-1"/>
                <w:sz w:val="21"/>
                <w:szCs w:val="21"/>
              </w:rPr>
              <w:t>其他综合收益</w:t>
            </w:r>
          </w:p>
        </w:tc>
        <w:tc>
          <w:tcPr>
            <w:tcW w:w="1343" w:type="dxa"/>
            <w:tcBorders>
              <w:top w:val="nil" w:sz="6" w:space="0" w:color="auto"/>
              <w:left w:val="nil" w:sz="6" w:space="0" w:color="auto"/>
              <w:bottom w:val="nil" w:sz="6" w:space="0" w:color="auto"/>
              <w:right w:val="nil" w:sz="6" w:space="0" w:color="auto"/>
            </w:tcBorders>
          </w:tcPr>
          <w:p>
            <w:pPr>
              <w:pStyle w:val="TableParagraph"/>
              <w:spacing w:line="211" w:lineRule="exact"/>
              <w:ind w:right="18"/>
              <w:jc w:val="right"/>
              <w:rPr>
                <w:rFonts w:ascii="宋体" w:hAnsi="宋体" w:cs="宋体" w:eastAsia="宋体" w:hint="default"/>
                <w:sz w:val="21"/>
                <w:szCs w:val="21"/>
              </w:rPr>
            </w:pPr>
            <w:r>
              <w:rPr>
                <w:rFonts w:ascii="宋体" w:hAnsi="宋体" w:cs="宋体" w:eastAsia="宋体" w:hint="default"/>
                <w:spacing w:val="-1"/>
                <w:sz w:val="21"/>
                <w:szCs w:val="21"/>
              </w:rPr>
              <w:t>股东权益</w:t>
            </w:r>
          </w:p>
        </w:tc>
        <w:tc>
          <w:tcPr>
            <w:tcW w:w="314" w:type="dxa"/>
            <w:tcBorders>
              <w:top w:val="nil" w:sz="6" w:space="0" w:color="auto"/>
              <w:left w:val="nil" w:sz="6" w:space="0" w:color="auto"/>
              <w:bottom w:val="nil" w:sz="6" w:space="0" w:color="auto"/>
              <w:right w:val="nil" w:sz="6" w:space="0" w:color="auto"/>
            </w:tcBorders>
          </w:tcPr>
          <w:p>
            <w:pPr/>
          </w:p>
        </w:tc>
      </w:tr>
      <w:tr>
        <w:trPr>
          <w:trHeight w:val="280" w:hRule="exact"/>
        </w:trPr>
        <w:tc>
          <w:tcPr>
            <w:tcW w:w="1746"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35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5" w:lineRule="exact"/>
              <w:ind w:right="293"/>
              <w:jc w:val="right"/>
              <w:rPr>
                <w:rFonts w:ascii="宋体" w:hAnsi="宋体" w:cs="宋体" w:eastAsia="宋体" w:hint="default"/>
                <w:sz w:val="21"/>
                <w:szCs w:val="21"/>
              </w:rPr>
            </w:pPr>
            <w:r>
              <w:rPr>
                <w:rFonts w:ascii="宋体" w:hAnsi="宋体" w:cs="宋体" w:eastAsia="宋体" w:hint="default"/>
                <w:spacing w:val="-1"/>
                <w:sz w:val="21"/>
                <w:szCs w:val="21"/>
              </w:rPr>
              <w:t>的税后净额</w:t>
            </w:r>
          </w:p>
        </w:tc>
        <w:tc>
          <w:tcPr>
            <w:tcW w:w="1343" w:type="dxa"/>
            <w:tcBorders>
              <w:top w:val="nil" w:sz="6" w:space="0" w:color="auto"/>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r>
      <w:tr>
        <w:trPr>
          <w:trHeight w:val="281" w:hRule="exact"/>
        </w:trPr>
        <w:tc>
          <w:tcPr>
            <w:tcW w:w="1746"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6" w:lineRule="exact"/>
              <w:ind w:right="7"/>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w:t>
            </w:r>
            <w:r>
              <w:rPr>
                <w:rFonts w:ascii="宋体" w:hAnsi="宋体" w:cs="宋体" w:eastAsia="宋体" w:hint="default"/>
                <w:spacing w:val="-1"/>
                <w:sz w:val="21"/>
                <w:szCs w:val="21"/>
              </w:rPr>
              <w:t>减少</w:t>
            </w:r>
          </w:p>
        </w:tc>
        <w:tc>
          <w:tcPr>
            <w:tcW w:w="408" w:type="dxa"/>
            <w:tcBorders>
              <w:top w:val="nil" w:sz="6" w:space="0" w:color="auto"/>
              <w:left w:val="nil" w:sz="6" w:space="0" w:color="auto"/>
              <w:bottom w:val="nil" w:sz="6" w:space="0" w:color="auto"/>
              <w:right w:val="nil" w:sz="6" w:space="0" w:color="auto"/>
            </w:tcBorders>
          </w:tcPr>
          <w:p>
            <w:pPr>
              <w:pStyle w:val="TableParagraph"/>
              <w:spacing w:line="246" w:lineRule="exact"/>
              <w:ind w:left="9" w:right="0"/>
              <w:jc w:val="left"/>
              <w:rPr>
                <w:rFonts w:ascii="宋体" w:hAnsi="宋体" w:cs="宋体" w:eastAsia="宋体" w:hint="default"/>
                <w:sz w:val="21"/>
                <w:szCs w:val="21"/>
              </w:rPr>
            </w:pPr>
            <w:r>
              <w:rPr>
                <w:rFonts w:ascii="宋体"/>
                <w:w w:val="100"/>
                <w:sz w:val="21"/>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46"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w:t>
            </w:r>
            <w:r>
              <w:rPr>
                <w:rFonts w:ascii="宋体" w:hAnsi="宋体" w:cs="宋体" w:eastAsia="宋体" w:hint="default"/>
                <w:spacing w:val="-1"/>
                <w:sz w:val="21"/>
                <w:szCs w:val="21"/>
              </w:rPr>
              <w:t>减少</w:t>
            </w:r>
          </w:p>
        </w:tc>
        <w:tc>
          <w:tcPr>
            <w:tcW w:w="355" w:type="dxa"/>
            <w:tcBorders>
              <w:top w:val="nil" w:sz="6" w:space="0" w:color="auto"/>
              <w:left w:val="nil" w:sz="6" w:space="0" w:color="auto"/>
              <w:bottom w:val="nil" w:sz="6" w:space="0" w:color="auto"/>
              <w:right w:val="nil" w:sz="6" w:space="0" w:color="auto"/>
            </w:tcBorders>
          </w:tcPr>
          <w:p>
            <w:pPr>
              <w:pStyle w:val="TableParagraph"/>
              <w:spacing w:line="246" w:lineRule="exact"/>
              <w:ind w:left="7" w:right="0"/>
              <w:jc w:val="left"/>
              <w:rPr>
                <w:rFonts w:ascii="宋体" w:hAnsi="宋体" w:cs="宋体" w:eastAsia="宋体" w:hint="default"/>
                <w:sz w:val="21"/>
                <w:szCs w:val="21"/>
              </w:rPr>
            </w:pPr>
            <w:r>
              <w:rPr>
                <w:rFonts w:ascii="宋体"/>
                <w:w w:val="100"/>
                <w:sz w:val="21"/>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6" w:lineRule="exact"/>
              <w:ind w:right="27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w:t>
            </w:r>
            <w:r>
              <w:rPr>
                <w:rFonts w:ascii="宋体" w:hAnsi="宋体" w:cs="宋体" w:eastAsia="宋体" w:hint="default"/>
                <w:spacing w:val="-1"/>
                <w:sz w:val="21"/>
                <w:szCs w:val="21"/>
              </w:rPr>
              <w:t>减少</w:t>
            </w:r>
            <w:r>
              <w:rPr>
                <w:rFonts w:ascii="宋体" w:hAnsi="宋体" w:cs="宋体" w:eastAsia="宋体" w:hint="default"/>
                <w:spacing w:val="-1"/>
                <w:sz w:val="21"/>
                <w:szCs w:val="21"/>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6" w:lineRule="exact"/>
              <w:ind w:right="6"/>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w:t>
            </w:r>
            <w:r>
              <w:rPr>
                <w:rFonts w:ascii="宋体" w:hAnsi="宋体" w:cs="宋体" w:eastAsia="宋体" w:hint="default"/>
                <w:spacing w:val="-1"/>
                <w:sz w:val="21"/>
                <w:szCs w:val="21"/>
              </w:rPr>
              <w:t>减少</w:t>
            </w:r>
          </w:p>
        </w:tc>
        <w:tc>
          <w:tcPr>
            <w:tcW w:w="314" w:type="dxa"/>
            <w:tcBorders>
              <w:top w:val="nil" w:sz="6" w:space="0" w:color="auto"/>
              <w:left w:val="nil" w:sz="6" w:space="0" w:color="auto"/>
              <w:bottom w:val="nil" w:sz="6" w:space="0" w:color="auto"/>
              <w:right w:val="nil" w:sz="6" w:space="0" w:color="auto"/>
            </w:tcBorders>
          </w:tcPr>
          <w:p>
            <w:pPr>
              <w:pStyle w:val="TableParagraph"/>
              <w:spacing w:line="246" w:lineRule="exact"/>
              <w:ind w:left="8" w:right="0"/>
              <w:jc w:val="left"/>
              <w:rPr>
                <w:rFonts w:ascii="宋体" w:hAnsi="宋体" w:cs="宋体" w:eastAsia="宋体" w:hint="default"/>
                <w:sz w:val="21"/>
                <w:szCs w:val="21"/>
              </w:rPr>
            </w:pPr>
            <w:r>
              <w:rPr>
                <w:rFonts w:ascii="宋体"/>
                <w:w w:val="100"/>
                <w:sz w:val="21"/>
              </w:rPr>
              <w:t>)</w:t>
            </w:r>
          </w:p>
        </w:tc>
      </w:tr>
      <w:tr>
        <w:trPr>
          <w:trHeight w:val="420"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44"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35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r>
      <w:tr>
        <w:trPr>
          <w:trHeight w:val="420"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
              <w:jc w:val="right"/>
              <w:rPr>
                <w:rFonts w:ascii="宋体" w:hAnsi="宋体" w:cs="宋体" w:eastAsia="宋体" w:hint="default"/>
                <w:sz w:val="21"/>
                <w:szCs w:val="21"/>
              </w:rPr>
            </w:pPr>
            <w:r>
              <w:rPr>
                <w:rFonts w:ascii="宋体"/>
                <w:sz w:val="21"/>
              </w:rPr>
              <w:t>50</w:t>
            </w:r>
          </w:p>
        </w:tc>
        <w:tc>
          <w:tcPr>
            <w:tcW w:w="40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
              <w:jc w:val="right"/>
              <w:rPr>
                <w:rFonts w:ascii="宋体" w:hAnsi="宋体" w:cs="宋体" w:eastAsia="宋体" w:hint="default"/>
                <w:sz w:val="21"/>
                <w:szCs w:val="21"/>
              </w:rPr>
            </w:pPr>
            <w:r>
              <w:rPr>
                <w:rFonts w:ascii="宋体"/>
                <w:spacing w:val="-1"/>
                <w:sz w:val="21"/>
              </w:rPr>
              <w:t>(7,246,164</w:t>
            </w:r>
          </w:p>
        </w:tc>
        <w:tc>
          <w:tcPr>
            <w:tcW w:w="35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 w:right="0"/>
              <w:jc w:val="left"/>
              <w:rPr>
                <w:rFonts w:ascii="宋体" w:hAnsi="宋体" w:cs="宋体" w:eastAsia="宋体" w:hint="default"/>
                <w:sz w:val="21"/>
                <w:szCs w:val="21"/>
              </w:rPr>
            </w:pPr>
            <w:r>
              <w:rPr>
                <w:rFonts w:ascii="宋体"/>
                <w:w w:val="100"/>
                <w:sz w:val="21"/>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81"/>
              <w:jc w:val="right"/>
              <w:rPr>
                <w:rFonts w:ascii="宋体" w:hAnsi="宋体" w:cs="宋体" w:eastAsia="宋体" w:hint="default"/>
                <w:sz w:val="21"/>
                <w:szCs w:val="21"/>
              </w:rPr>
            </w:pPr>
            <w:r>
              <w:rPr>
                <w:rFonts w:ascii="宋体"/>
                <w:w w:val="100"/>
                <w:sz w:val="21"/>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
              <w:jc w:val="right"/>
              <w:rPr>
                <w:rFonts w:ascii="宋体" w:hAnsi="宋体" w:cs="宋体" w:eastAsia="宋体" w:hint="default"/>
                <w:sz w:val="21"/>
                <w:szCs w:val="21"/>
              </w:rPr>
            </w:pPr>
            <w:r>
              <w:rPr>
                <w:rFonts w:ascii="宋体"/>
                <w:spacing w:val="-1"/>
                <w:sz w:val="21"/>
              </w:rPr>
              <w:t>(7,246,164</w:t>
            </w:r>
          </w:p>
        </w:tc>
        <w:tc>
          <w:tcPr>
            <w:tcW w:w="31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 w:right="0"/>
              <w:jc w:val="left"/>
              <w:rPr>
                <w:rFonts w:ascii="宋体" w:hAnsi="宋体" w:cs="宋体" w:eastAsia="宋体" w:hint="default"/>
                <w:sz w:val="21"/>
                <w:szCs w:val="21"/>
              </w:rPr>
            </w:pPr>
            <w:r>
              <w:rPr>
                <w:rFonts w:ascii="宋体"/>
                <w:w w:val="100"/>
                <w:sz w:val="21"/>
              </w:rPr>
              <w:t>)</w:t>
            </w:r>
          </w:p>
        </w:tc>
      </w:tr>
      <w:tr>
        <w:trPr>
          <w:trHeight w:val="246"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44" w:type="dxa"/>
            <w:tcBorders>
              <w:top w:val="nil" w:sz="6" w:space="0" w:color="auto"/>
              <w:left w:val="nil" w:sz="6" w:space="0" w:color="auto"/>
              <w:bottom w:val="nil" w:sz="6" w:space="0" w:color="auto"/>
              <w:right w:val="nil" w:sz="6" w:space="0" w:color="auto"/>
            </w:tcBorders>
          </w:tcPr>
          <w:p>
            <w:pPr>
              <w:pStyle w:val="TableParagraph"/>
              <w:spacing w:line="246" w:lineRule="exact"/>
              <w:ind w:right="7"/>
              <w:jc w:val="right"/>
              <w:rPr>
                <w:rFonts w:ascii="宋体" w:hAnsi="宋体" w:cs="宋体" w:eastAsia="宋体" w:hint="default"/>
                <w:sz w:val="21"/>
                <w:szCs w:val="21"/>
              </w:rPr>
            </w:pPr>
            <w:r>
              <w:rPr>
                <w:rFonts w:ascii="宋体"/>
                <w:sz w:val="21"/>
              </w:rPr>
              <w:t>(</w:t>
            </w:r>
            <w:r>
              <w:rPr>
                <w:rFonts w:ascii="宋体"/>
                <w:spacing w:val="1"/>
                <w:sz w:val="21"/>
              </w:rPr>
              <w:t> </w:t>
            </w:r>
            <w:r>
              <w:rPr>
                <w:rFonts w:ascii="宋体"/>
                <w:sz w:val="21"/>
              </w:rPr>
              <w:t>50</w:t>
            </w:r>
          </w:p>
        </w:tc>
        <w:tc>
          <w:tcPr>
            <w:tcW w:w="408" w:type="dxa"/>
            <w:tcBorders>
              <w:top w:val="nil" w:sz="6" w:space="0" w:color="auto"/>
              <w:left w:val="nil" w:sz="6" w:space="0" w:color="auto"/>
              <w:bottom w:val="nil" w:sz="6" w:space="0" w:color="auto"/>
              <w:right w:val="nil" w:sz="6" w:space="0" w:color="auto"/>
            </w:tcBorders>
          </w:tcPr>
          <w:p>
            <w:pPr>
              <w:pStyle w:val="TableParagraph"/>
              <w:spacing w:line="246" w:lineRule="exact"/>
              <w:ind w:left="9" w:right="0"/>
              <w:jc w:val="left"/>
              <w:rPr>
                <w:rFonts w:ascii="宋体" w:hAnsi="宋体" w:cs="宋体" w:eastAsia="宋体" w:hint="default"/>
                <w:sz w:val="21"/>
                <w:szCs w:val="21"/>
              </w:rPr>
            </w:pPr>
            <w:r>
              <w:rPr>
                <w:rFonts w:ascii="宋体"/>
                <w:w w:val="100"/>
                <w:sz w:val="21"/>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7,246,164</w:t>
            </w:r>
          </w:p>
        </w:tc>
        <w:tc>
          <w:tcPr>
            <w:tcW w:w="35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6" w:lineRule="exact"/>
              <w:ind w:right="281"/>
              <w:jc w:val="right"/>
              <w:rPr>
                <w:rFonts w:ascii="宋体" w:hAnsi="宋体" w:cs="宋体" w:eastAsia="宋体" w:hint="default"/>
                <w:sz w:val="21"/>
                <w:szCs w:val="21"/>
              </w:rPr>
            </w:pPr>
            <w:r>
              <w:rPr>
                <w:rFonts w:ascii="宋体"/>
                <w:w w:val="100"/>
                <w:sz w:val="21"/>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6" w:lineRule="exact"/>
              <w:ind w:right="6"/>
              <w:jc w:val="right"/>
              <w:rPr>
                <w:rFonts w:ascii="宋体" w:hAnsi="宋体" w:cs="宋体" w:eastAsia="宋体" w:hint="default"/>
                <w:sz w:val="21"/>
                <w:szCs w:val="21"/>
              </w:rPr>
            </w:pPr>
            <w:r>
              <w:rPr>
                <w:rFonts w:ascii="宋体"/>
                <w:spacing w:val="-1"/>
                <w:sz w:val="21"/>
              </w:rPr>
              <w:t>7,246,164</w:t>
            </w:r>
          </w:p>
        </w:tc>
        <w:tc>
          <w:tcPr>
            <w:tcW w:w="314"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17"/>
          <w:szCs w:val="17"/>
        </w:rPr>
      </w:pPr>
    </w:p>
    <w:p>
      <w:pPr>
        <w:pStyle w:val="BodyText"/>
        <w:spacing w:line="240" w:lineRule="auto" w:before="36"/>
        <w:ind w:left="846"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汇率风险</w:t>
      </w:r>
      <w:r>
        <w:rPr/>
      </w:r>
    </w:p>
    <w:p>
      <w:pPr>
        <w:spacing w:after="0" w:line="240" w:lineRule="auto"/>
        <w:jc w:val="left"/>
        <w:sectPr>
          <w:headerReference w:type="default" r:id="rId79"/>
          <w:footerReference w:type="default" r:id="rId80"/>
          <w:pgSz w:w="11910" w:h="16840"/>
          <w:pgMar w:header="0" w:footer="1335" w:top="1020" w:bottom="1520" w:left="1660" w:right="580"/>
          <w:pgNumType w:start="103"/>
        </w:sectPr>
      </w:pPr>
    </w:p>
    <w:p>
      <w:pPr>
        <w:spacing w:line="240" w:lineRule="auto" w:before="5"/>
        <w:rPr>
          <w:rFonts w:ascii="宋体" w:hAnsi="宋体" w:cs="宋体" w:eastAsia="宋体" w:hint="default"/>
          <w:sz w:val="24"/>
          <w:szCs w:val="24"/>
        </w:rPr>
      </w:pPr>
    </w:p>
    <w:p>
      <w:pPr>
        <w:pStyle w:val="BodyText"/>
        <w:spacing w:line="244" w:lineRule="auto" w:before="36"/>
        <w:ind w:left="850" w:right="355"/>
        <w:jc w:val="both"/>
      </w:pPr>
      <w:r>
        <w:rPr>
          <w:spacing w:val="-2"/>
        </w:rPr>
        <w:t>本集团的经营业务主要位于中国，绝大部分交易均以人民币为记账本位币。截至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rFonts w:ascii="宋体" w:hAnsi="宋体" w:cs="宋体" w:eastAsia="宋体" w:hint="default"/>
          <w:spacing w:val="-46"/>
        </w:rPr>
        <w:t> </w:t>
      </w:r>
      <w:r>
        <w:rPr/>
        <w:t>月</w:t>
      </w:r>
      <w:r>
        <w:rPr>
          <w:rFonts w:ascii="宋体" w:hAnsi="宋体" w:cs="宋体" w:eastAsia="宋体" w:hint="default"/>
        </w:rPr>
        <w:t>31</w:t>
      </w:r>
      <w:r>
        <w:rPr/>
        <w:t>日，本集团外币借款余额占短期借款和长期借款总额之</w:t>
      </w:r>
      <w:r>
        <w:rPr>
          <w:rFonts w:ascii="宋体" w:hAnsi="宋体" w:cs="宋体" w:eastAsia="宋体" w:hint="default"/>
        </w:rPr>
        <w:t>62%(2014</w:t>
      </w:r>
      <w:r>
        <w:rPr/>
        <w:t>年：</w:t>
      </w:r>
      <w:r>
        <w:rPr>
          <w:rFonts w:ascii="宋体" w:hAnsi="宋体" w:cs="宋体" w:eastAsia="宋体" w:hint="default"/>
        </w:rPr>
        <w:t>0%)</w:t>
      </w:r>
      <w:r>
        <w:rPr/>
        <w:t>，外币货币</w:t>
      </w:r>
      <w:r>
        <w:rPr>
          <w:spacing w:val="-21"/>
        </w:rPr>
        <w:t> </w:t>
      </w:r>
      <w:r>
        <w:rPr>
          <w:spacing w:val="-21"/>
        </w:rPr>
      </w:r>
      <w:r>
        <w:rPr/>
        <w:t>资金占货币资金之</w:t>
      </w:r>
      <w:r>
        <w:rPr>
          <w:rFonts w:ascii="宋体" w:hAnsi="宋体" w:cs="宋体" w:eastAsia="宋体" w:hint="default"/>
        </w:rPr>
        <w:t>1%(2014</w:t>
      </w:r>
      <w:r>
        <w:rPr/>
        <w:t>年：</w:t>
      </w:r>
      <w:r>
        <w:rPr>
          <w:rFonts w:ascii="宋体" w:hAnsi="宋体" w:cs="宋体" w:eastAsia="宋体" w:hint="default"/>
        </w:rPr>
        <w:t>15%)</w:t>
      </w:r>
      <w:r>
        <w:rPr/>
        <w:t>。</w:t>
      </w:r>
    </w:p>
    <w:p>
      <w:pPr>
        <w:spacing w:line="240" w:lineRule="auto" w:before="5"/>
        <w:rPr>
          <w:rFonts w:ascii="宋体" w:hAnsi="宋体" w:cs="宋体" w:eastAsia="宋体" w:hint="default"/>
          <w:sz w:val="21"/>
          <w:szCs w:val="21"/>
        </w:rPr>
      </w:pPr>
    </w:p>
    <w:p>
      <w:pPr>
        <w:pStyle w:val="BodyText"/>
        <w:spacing w:line="244" w:lineRule="auto"/>
        <w:ind w:left="850" w:right="408"/>
        <w:jc w:val="both"/>
      </w:pPr>
      <w:r>
        <w:rPr>
          <w:spacing w:val="-4"/>
        </w:rPr>
        <w:t>下表为汇率风险的敏感性分析，反映了在其他变量不变的假设下，汇率发生合理、可能的</w:t>
      </w:r>
      <w:r>
        <w:rPr>
          <w:spacing w:val="-26"/>
        </w:rPr>
        <w:t> </w:t>
      </w:r>
      <w:r>
        <w:rPr>
          <w:spacing w:val="-26"/>
        </w:rPr>
      </w:r>
      <w:r>
        <w:rPr>
          <w:spacing w:val="2"/>
        </w:rPr>
        <w:t>变动时，将对净损益</w:t>
      </w:r>
      <w:r>
        <w:rPr>
          <w:rFonts w:ascii="宋体" w:hAnsi="宋体" w:cs="宋体" w:eastAsia="宋体" w:hint="default"/>
          <w:spacing w:val="2"/>
        </w:rPr>
        <w:t>(</w:t>
      </w:r>
      <w:r>
        <w:rPr>
          <w:spacing w:val="2"/>
        </w:rPr>
        <w:t>由于货币性资产、交易性金融资产和货币性负债的公允价值变化</w:t>
      </w:r>
      <w:r>
        <w:rPr>
          <w:rFonts w:ascii="宋体" w:hAnsi="宋体" w:cs="宋体" w:eastAsia="宋体" w:hint="default"/>
          <w:spacing w:val="2"/>
        </w:rPr>
        <w:t>)</w:t>
      </w:r>
      <w:r>
        <w:rPr>
          <w:rFonts w:ascii="宋体" w:hAnsi="宋体" w:cs="宋体" w:eastAsia="宋体" w:hint="default"/>
          <w:spacing w:val="-56"/>
        </w:rPr>
        <w:t> </w:t>
      </w:r>
      <w:r>
        <w:rPr/>
        <w:t>和其他综合收益的税后净额产生的影响。</w:t>
      </w:r>
    </w:p>
    <w:p>
      <w:pPr>
        <w:spacing w:line="240" w:lineRule="auto" w:before="2"/>
        <w:rPr>
          <w:rFonts w:ascii="宋体" w:hAnsi="宋体" w:cs="宋体" w:eastAsia="宋体" w:hint="default"/>
          <w:sz w:val="25"/>
          <w:szCs w:val="25"/>
        </w:rPr>
      </w:pPr>
    </w:p>
    <w:tbl>
      <w:tblPr>
        <w:tblW w:w="0" w:type="auto"/>
        <w:jc w:val="left"/>
        <w:tblInd w:w="698" w:type="dxa"/>
        <w:tblLayout w:type="fixed"/>
        <w:tblCellMar>
          <w:top w:w="0" w:type="dxa"/>
          <w:left w:w="0" w:type="dxa"/>
          <w:bottom w:w="0" w:type="dxa"/>
          <w:right w:w="0" w:type="dxa"/>
        </w:tblCellMar>
        <w:tblLook w:val="01E0"/>
      </w:tblPr>
      <w:tblGrid>
        <w:gridCol w:w="2706"/>
        <w:gridCol w:w="1150"/>
        <w:gridCol w:w="159"/>
        <w:gridCol w:w="1207"/>
        <w:gridCol w:w="236"/>
        <w:gridCol w:w="1460"/>
        <w:gridCol w:w="1343"/>
        <w:gridCol w:w="313"/>
      </w:tblGrid>
      <w:tr>
        <w:trPr>
          <w:trHeight w:val="245" w:hRule="exact"/>
        </w:trPr>
        <w:tc>
          <w:tcPr>
            <w:tcW w:w="2706"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11" w:lineRule="exact"/>
              <w:ind w:right="19"/>
              <w:jc w:val="right"/>
              <w:rPr>
                <w:rFonts w:ascii="宋体" w:hAnsi="宋体" w:cs="宋体" w:eastAsia="宋体" w:hint="default"/>
                <w:sz w:val="21"/>
                <w:szCs w:val="21"/>
              </w:rPr>
            </w:pPr>
            <w:r>
              <w:rPr>
                <w:rFonts w:ascii="宋体" w:hAnsi="宋体" w:cs="宋体" w:eastAsia="宋体" w:hint="default"/>
                <w:sz w:val="21"/>
                <w:szCs w:val="21"/>
              </w:rPr>
              <w:t>汇率</w:t>
            </w:r>
          </w:p>
        </w:tc>
        <w:tc>
          <w:tcPr>
            <w:tcW w:w="159"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11" w:lineRule="exact"/>
              <w:ind w:right="19"/>
              <w:jc w:val="right"/>
              <w:rPr>
                <w:rFonts w:ascii="宋体" w:hAnsi="宋体" w:cs="宋体" w:eastAsia="宋体" w:hint="default"/>
                <w:sz w:val="21"/>
                <w:szCs w:val="21"/>
              </w:rPr>
            </w:pPr>
            <w:r>
              <w:rPr>
                <w:rFonts w:ascii="宋体" w:hAnsi="宋体" w:cs="宋体" w:eastAsia="宋体" w:hint="default"/>
                <w:sz w:val="21"/>
                <w:szCs w:val="21"/>
              </w:rPr>
              <w:t>净损益</w:t>
            </w:r>
          </w:p>
        </w:tc>
        <w:tc>
          <w:tcPr>
            <w:tcW w:w="23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11" w:lineRule="exact"/>
              <w:ind w:right="191"/>
              <w:jc w:val="right"/>
              <w:rPr>
                <w:rFonts w:ascii="宋体" w:hAnsi="宋体" w:cs="宋体" w:eastAsia="宋体" w:hint="default"/>
                <w:sz w:val="21"/>
                <w:szCs w:val="21"/>
              </w:rPr>
            </w:pPr>
            <w:r>
              <w:rPr>
                <w:rFonts w:ascii="宋体" w:hAnsi="宋体" w:cs="宋体" w:eastAsia="宋体" w:hint="default"/>
                <w:spacing w:val="-1"/>
                <w:sz w:val="21"/>
                <w:szCs w:val="21"/>
              </w:rPr>
              <w:t>其他综合收益</w:t>
            </w:r>
          </w:p>
        </w:tc>
        <w:tc>
          <w:tcPr>
            <w:tcW w:w="1343" w:type="dxa"/>
            <w:tcBorders>
              <w:top w:val="nil" w:sz="6" w:space="0" w:color="auto"/>
              <w:left w:val="nil" w:sz="6" w:space="0" w:color="auto"/>
              <w:bottom w:val="nil" w:sz="6" w:space="0" w:color="auto"/>
              <w:right w:val="nil" w:sz="6" w:space="0" w:color="auto"/>
            </w:tcBorders>
          </w:tcPr>
          <w:p>
            <w:pPr>
              <w:pStyle w:val="TableParagraph"/>
              <w:spacing w:line="211"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股东权益</w:t>
            </w:r>
          </w:p>
        </w:tc>
        <w:tc>
          <w:tcPr>
            <w:tcW w:w="313" w:type="dxa"/>
            <w:tcBorders>
              <w:top w:val="nil" w:sz="6" w:space="0" w:color="auto"/>
              <w:left w:val="nil" w:sz="6" w:space="0" w:color="auto"/>
              <w:bottom w:val="nil" w:sz="6" w:space="0" w:color="auto"/>
              <w:right w:val="nil" w:sz="6" w:space="0" w:color="auto"/>
            </w:tcBorders>
          </w:tcPr>
          <w:p>
            <w:pPr/>
          </w:p>
        </w:tc>
      </w:tr>
      <w:tr>
        <w:trPr>
          <w:trHeight w:val="280" w:hRule="exact"/>
        </w:trPr>
        <w:tc>
          <w:tcPr>
            <w:tcW w:w="2706"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159"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5" w:lineRule="exact"/>
              <w:ind w:right="191"/>
              <w:jc w:val="right"/>
              <w:rPr>
                <w:rFonts w:ascii="宋体" w:hAnsi="宋体" w:cs="宋体" w:eastAsia="宋体" w:hint="default"/>
                <w:sz w:val="21"/>
                <w:szCs w:val="21"/>
              </w:rPr>
            </w:pPr>
            <w:r>
              <w:rPr>
                <w:rFonts w:ascii="宋体" w:hAnsi="宋体" w:cs="宋体" w:eastAsia="宋体" w:hint="default"/>
                <w:spacing w:val="-1"/>
                <w:sz w:val="21"/>
                <w:szCs w:val="21"/>
              </w:rPr>
              <w:t>的税后净额</w:t>
            </w:r>
          </w:p>
        </w:tc>
        <w:tc>
          <w:tcPr>
            <w:tcW w:w="134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r>
      <w:tr>
        <w:trPr>
          <w:trHeight w:val="281" w:hRule="exact"/>
        </w:trPr>
        <w:tc>
          <w:tcPr>
            <w:tcW w:w="2706"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6" w:lineRule="exact"/>
              <w:ind w:right="7"/>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w:t>
            </w:r>
            <w:r>
              <w:rPr>
                <w:rFonts w:ascii="宋体" w:hAnsi="宋体" w:cs="宋体" w:eastAsia="宋体" w:hint="default"/>
                <w:spacing w:val="-1"/>
                <w:sz w:val="21"/>
                <w:szCs w:val="21"/>
              </w:rPr>
              <w:t>减少</w:t>
            </w:r>
          </w:p>
        </w:tc>
        <w:tc>
          <w:tcPr>
            <w:tcW w:w="159" w:type="dxa"/>
            <w:tcBorders>
              <w:top w:val="nil" w:sz="6" w:space="0" w:color="auto"/>
              <w:left w:val="nil" w:sz="6" w:space="0" w:color="auto"/>
              <w:bottom w:val="nil" w:sz="6" w:space="0" w:color="auto"/>
              <w:right w:val="nil" w:sz="6" w:space="0" w:color="auto"/>
            </w:tcBorders>
          </w:tcPr>
          <w:p>
            <w:pPr>
              <w:pStyle w:val="TableParagraph"/>
              <w:spacing w:line="246" w:lineRule="exact"/>
              <w:ind w:left="9" w:right="0"/>
              <w:jc w:val="left"/>
              <w:rPr>
                <w:rFonts w:ascii="宋体" w:hAnsi="宋体" w:cs="宋体" w:eastAsia="宋体" w:hint="default"/>
                <w:sz w:val="21"/>
                <w:szCs w:val="21"/>
              </w:rPr>
            </w:pPr>
            <w:r>
              <w:rPr>
                <w:rFonts w:ascii="宋体"/>
                <w:w w:val="100"/>
                <w:sz w:val="21"/>
              </w:rPr>
              <w:t>)</w:t>
            </w:r>
          </w:p>
        </w:tc>
        <w:tc>
          <w:tcPr>
            <w:tcW w:w="1207" w:type="dxa"/>
            <w:tcBorders>
              <w:top w:val="nil" w:sz="6" w:space="0" w:color="auto"/>
              <w:left w:val="nil" w:sz="6" w:space="0" w:color="auto"/>
              <w:bottom w:val="nil" w:sz="6" w:space="0" w:color="auto"/>
              <w:right w:val="nil" w:sz="6" w:space="0" w:color="auto"/>
            </w:tcBorders>
          </w:tcPr>
          <w:p>
            <w:pPr>
              <w:pStyle w:val="TableParagraph"/>
              <w:spacing w:line="246"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w:t>
            </w:r>
            <w:r>
              <w:rPr>
                <w:rFonts w:ascii="宋体" w:hAnsi="宋体" w:cs="宋体" w:eastAsia="宋体" w:hint="default"/>
                <w:spacing w:val="-1"/>
                <w:sz w:val="21"/>
                <w:szCs w:val="21"/>
              </w:rPr>
              <w:t>减少</w:t>
            </w:r>
          </w:p>
        </w:tc>
        <w:tc>
          <w:tcPr>
            <w:tcW w:w="236" w:type="dxa"/>
            <w:tcBorders>
              <w:top w:val="nil" w:sz="6" w:space="0" w:color="auto"/>
              <w:left w:val="nil" w:sz="6" w:space="0" w:color="auto"/>
              <w:bottom w:val="nil" w:sz="6" w:space="0" w:color="auto"/>
              <w:right w:val="nil" w:sz="6" w:space="0" w:color="auto"/>
            </w:tcBorders>
          </w:tcPr>
          <w:p>
            <w:pPr>
              <w:pStyle w:val="TableParagraph"/>
              <w:spacing w:line="246" w:lineRule="exact"/>
              <w:ind w:left="7" w:right="0"/>
              <w:jc w:val="left"/>
              <w:rPr>
                <w:rFonts w:ascii="宋体" w:hAnsi="宋体" w:cs="宋体" w:eastAsia="宋体" w:hint="default"/>
                <w:sz w:val="21"/>
                <w:szCs w:val="21"/>
              </w:rPr>
            </w:pPr>
            <w:r>
              <w:rPr>
                <w:rFonts w:ascii="宋体"/>
                <w:w w:val="100"/>
                <w:sz w:val="21"/>
              </w:rPr>
              <w:t>)</w:t>
            </w:r>
          </w:p>
        </w:tc>
        <w:tc>
          <w:tcPr>
            <w:tcW w:w="1460" w:type="dxa"/>
            <w:tcBorders>
              <w:top w:val="nil" w:sz="6" w:space="0" w:color="auto"/>
              <w:left w:val="nil" w:sz="6" w:space="0" w:color="auto"/>
              <w:bottom w:val="nil" w:sz="6" w:space="0" w:color="auto"/>
              <w:right w:val="nil" w:sz="6" w:space="0" w:color="auto"/>
            </w:tcBorders>
          </w:tcPr>
          <w:p>
            <w:pPr>
              <w:pStyle w:val="TableParagraph"/>
              <w:spacing w:line="246" w:lineRule="exact"/>
              <w:ind w:right="176"/>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w:t>
            </w:r>
            <w:r>
              <w:rPr>
                <w:rFonts w:ascii="宋体" w:hAnsi="宋体" w:cs="宋体" w:eastAsia="宋体" w:hint="default"/>
                <w:spacing w:val="-1"/>
                <w:sz w:val="21"/>
                <w:szCs w:val="21"/>
              </w:rPr>
              <w:t>减少</w:t>
            </w:r>
            <w:r>
              <w:rPr>
                <w:rFonts w:ascii="宋体" w:hAnsi="宋体" w:cs="宋体" w:eastAsia="宋体" w:hint="default"/>
                <w:spacing w:val="-1"/>
                <w:sz w:val="21"/>
                <w:szCs w:val="21"/>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6"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w:t>
            </w:r>
            <w:r>
              <w:rPr>
                <w:rFonts w:ascii="宋体" w:hAnsi="宋体" w:cs="宋体" w:eastAsia="宋体" w:hint="default"/>
                <w:spacing w:val="-1"/>
                <w:sz w:val="21"/>
                <w:szCs w:val="21"/>
              </w:rPr>
              <w:t>减少</w:t>
            </w:r>
          </w:p>
        </w:tc>
        <w:tc>
          <w:tcPr>
            <w:tcW w:w="313" w:type="dxa"/>
            <w:tcBorders>
              <w:top w:val="nil" w:sz="6" w:space="0" w:color="auto"/>
              <w:left w:val="nil" w:sz="6" w:space="0" w:color="auto"/>
              <w:bottom w:val="nil" w:sz="6" w:space="0" w:color="auto"/>
              <w:right w:val="nil" w:sz="6" w:space="0" w:color="auto"/>
            </w:tcBorders>
          </w:tcPr>
          <w:p>
            <w:pPr>
              <w:pStyle w:val="TableParagraph"/>
              <w:spacing w:line="246" w:lineRule="exact"/>
              <w:ind w:left="7" w:right="0"/>
              <w:jc w:val="left"/>
              <w:rPr>
                <w:rFonts w:ascii="宋体" w:hAnsi="宋体" w:cs="宋体" w:eastAsia="宋体" w:hint="default"/>
                <w:sz w:val="21"/>
                <w:szCs w:val="21"/>
              </w:rPr>
            </w:pPr>
            <w:r>
              <w:rPr>
                <w:rFonts w:ascii="宋体"/>
                <w:w w:val="100"/>
                <w:sz w:val="21"/>
              </w:rPr>
              <w:t>)</w:t>
            </w:r>
          </w:p>
        </w:tc>
      </w:tr>
      <w:tr>
        <w:trPr>
          <w:trHeight w:val="420"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nil" w:sz="6" w:space="0" w:color="auto"/>
              <w:left w:val="nil" w:sz="6" w:space="0" w:color="auto"/>
              <w:bottom w:val="nil" w:sz="6" w:space="0" w:color="auto"/>
              <w:right w:val="nil" w:sz="6" w:space="0" w:color="auto"/>
            </w:tcBorders>
          </w:tcPr>
          <w:p>
            <w:pPr/>
          </w:p>
        </w:tc>
        <w:tc>
          <w:tcPr>
            <w:tcW w:w="159"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r>
      <w:tr>
        <w:trPr>
          <w:trHeight w:val="420"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宋体" w:hAnsi="宋体" w:cs="宋体" w:eastAsia="宋体" w:hint="default"/>
                <w:sz w:val="21"/>
                <w:szCs w:val="21"/>
              </w:rPr>
            </w:pPr>
            <w:r>
              <w:rPr>
                <w:rFonts w:ascii="宋体" w:hAnsi="宋体" w:cs="宋体" w:eastAsia="宋体" w:hint="default"/>
                <w:sz w:val="21"/>
                <w:szCs w:val="21"/>
              </w:rPr>
              <w:t>人民币对美元贬值</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
              <w:jc w:val="right"/>
              <w:rPr>
                <w:rFonts w:ascii="宋体" w:hAnsi="宋体" w:cs="宋体" w:eastAsia="宋体" w:hint="default"/>
                <w:sz w:val="21"/>
                <w:szCs w:val="21"/>
              </w:rPr>
            </w:pPr>
            <w:r>
              <w:rPr>
                <w:rFonts w:ascii="宋体"/>
                <w:sz w:val="21"/>
              </w:rPr>
              <w:t>3%</w:t>
            </w:r>
          </w:p>
        </w:tc>
        <w:tc>
          <w:tcPr>
            <w:tcW w:w="159"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
              <w:jc w:val="right"/>
              <w:rPr>
                <w:rFonts w:ascii="宋体" w:hAnsi="宋体" w:cs="宋体" w:eastAsia="宋体" w:hint="default"/>
                <w:sz w:val="21"/>
                <w:szCs w:val="21"/>
              </w:rPr>
            </w:pPr>
            <w:r>
              <w:rPr>
                <w:rFonts w:ascii="宋体"/>
                <w:spacing w:val="-1"/>
                <w:sz w:val="21"/>
              </w:rPr>
              <w:t>(1,230,299</w:t>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 w:right="0"/>
              <w:jc w:val="left"/>
              <w:rPr>
                <w:rFonts w:ascii="宋体" w:hAnsi="宋体" w:cs="宋体" w:eastAsia="宋体" w:hint="default"/>
                <w:sz w:val="21"/>
                <w:szCs w:val="21"/>
              </w:rPr>
            </w:pPr>
            <w:r>
              <w:rPr>
                <w:rFonts w:ascii="宋体"/>
                <w:w w:val="100"/>
                <w:sz w:val="21"/>
              </w:rPr>
              <w:t>)</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9"/>
              <w:jc w:val="right"/>
              <w:rPr>
                <w:rFonts w:ascii="宋体" w:hAnsi="宋体" w:cs="宋体" w:eastAsia="宋体" w:hint="default"/>
                <w:sz w:val="21"/>
                <w:szCs w:val="21"/>
              </w:rPr>
            </w:pPr>
            <w:r>
              <w:rPr>
                <w:rFonts w:ascii="宋体"/>
                <w:w w:val="100"/>
                <w:sz w:val="21"/>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
              <w:jc w:val="right"/>
              <w:rPr>
                <w:rFonts w:ascii="宋体" w:hAnsi="宋体" w:cs="宋体" w:eastAsia="宋体" w:hint="default"/>
                <w:sz w:val="21"/>
                <w:szCs w:val="21"/>
              </w:rPr>
            </w:pPr>
            <w:r>
              <w:rPr>
                <w:rFonts w:ascii="宋体"/>
                <w:spacing w:val="-1"/>
                <w:sz w:val="21"/>
              </w:rPr>
              <w:t>(1,230,299</w:t>
            </w: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 w:right="0"/>
              <w:jc w:val="left"/>
              <w:rPr>
                <w:rFonts w:ascii="宋体" w:hAnsi="宋体" w:cs="宋体" w:eastAsia="宋体" w:hint="default"/>
                <w:sz w:val="21"/>
                <w:szCs w:val="21"/>
              </w:rPr>
            </w:pPr>
            <w:r>
              <w:rPr>
                <w:rFonts w:ascii="宋体"/>
                <w:w w:val="100"/>
                <w:sz w:val="21"/>
              </w:rPr>
              <w:t>)</w:t>
            </w:r>
          </w:p>
        </w:tc>
      </w:tr>
      <w:tr>
        <w:trPr>
          <w:trHeight w:val="420"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人民币对美元升值</w:t>
            </w:r>
          </w:p>
        </w:tc>
        <w:tc>
          <w:tcPr>
            <w:tcW w:w="1150" w:type="dxa"/>
            <w:tcBorders>
              <w:top w:val="nil" w:sz="6" w:space="0" w:color="auto"/>
              <w:left w:val="nil" w:sz="6" w:space="0" w:color="auto"/>
              <w:bottom w:val="nil" w:sz="6" w:space="0" w:color="auto"/>
              <w:right w:val="nil" w:sz="6" w:space="0" w:color="auto"/>
            </w:tcBorders>
          </w:tcPr>
          <w:p>
            <w:pPr>
              <w:pStyle w:val="TableParagraph"/>
              <w:spacing w:line="246" w:lineRule="exact"/>
              <w:ind w:right="7"/>
              <w:jc w:val="right"/>
              <w:rPr>
                <w:rFonts w:ascii="宋体" w:hAnsi="宋体" w:cs="宋体" w:eastAsia="宋体" w:hint="default"/>
                <w:sz w:val="21"/>
                <w:szCs w:val="21"/>
              </w:rPr>
            </w:pPr>
            <w:r>
              <w:rPr>
                <w:rFonts w:ascii="宋体"/>
                <w:sz w:val="21"/>
              </w:rPr>
              <w:t>(3%</w:t>
            </w:r>
          </w:p>
        </w:tc>
        <w:tc>
          <w:tcPr>
            <w:tcW w:w="159" w:type="dxa"/>
            <w:tcBorders>
              <w:top w:val="nil" w:sz="6" w:space="0" w:color="auto"/>
              <w:left w:val="nil" w:sz="6" w:space="0" w:color="auto"/>
              <w:bottom w:val="nil" w:sz="6" w:space="0" w:color="auto"/>
              <w:right w:val="nil" w:sz="6" w:space="0" w:color="auto"/>
            </w:tcBorders>
          </w:tcPr>
          <w:p>
            <w:pPr>
              <w:pStyle w:val="TableParagraph"/>
              <w:spacing w:line="246" w:lineRule="exact"/>
              <w:ind w:left="9" w:right="0"/>
              <w:jc w:val="left"/>
              <w:rPr>
                <w:rFonts w:ascii="宋体" w:hAnsi="宋体" w:cs="宋体" w:eastAsia="宋体" w:hint="default"/>
                <w:sz w:val="21"/>
                <w:szCs w:val="21"/>
              </w:rPr>
            </w:pPr>
            <w:r>
              <w:rPr>
                <w:rFonts w:ascii="宋体"/>
                <w:w w:val="100"/>
                <w:sz w:val="21"/>
              </w:rPr>
              <w:t>)</w:t>
            </w:r>
          </w:p>
        </w:tc>
        <w:tc>
          <w:tcPr>
            <w:tcW w:w="1207" w:type="dxa"/>
            <w:tcBorders>
              <w:top w:val="nil" w:sz="6" w:space="0" w:color="auto"/>
              <w:left w:val="nil" w:sz="6" w:space="0" w:color="auto"/>
              <w:bottom w:val="nil" w:sz="6" w:space="0" w:color="auto"/>
              <w:right w:val="nil" w:sz="6" w:space="0" w:color="auto"/>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1,230,299</w:t>
            </w:r>
          </w:p>
        </w:tc>
        <w:tc>
          <w:tcPr>
            <w:tcW w:w="23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6" w:lineRule="exact"/>
              <w:ind w:right="179"/>
              <w:jc w:val="right"/>
              <w:rPr>
                <w:rFonts w:ascii="宋体" w:hAnsi="宋体" w:cs="宋体" w:eastAsia="宋体" w:hint="default"/>
                <w:sz w:val="21"/>
                <w:szCs w:val="21"/>
              </w:rPr>
            </w:pPr>
            <w:r>
              <w:rPr>
                <w:rFonts w:ascii="宋体"/>
                <w:w w:val="100"/>
                <w:sz w:val="21"/>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1,230,299</w:t>
            </w:r>
          </w:p>
        </w:tc>
        <w:tc>
          <w:tcPr>
            <w:tcW w:w="313" w:type="dxa"/>
            <w:tcBorders>
              <w:top w:val="nil" w:sz="6" w:space="0" w:color="auto"/>
              <w:left w:val="nil" w:sz="6" w:space="0" w:color="auto"/>
              <w:bottom w:val="nil" w:sz="6" w:space="0" w:color="auto"/>
              <w:right w:val="nil" w:sz="6" w:space="0" w:color="auto"/>
            </w:tcBorders>
          </w:tcPr>
          <w:p>
            <w:pPr/>
          </w:p>
        </w:tc>
      </w:tr>
      <w:tr>
        <w:trPr>
          <w:trHeight w:val="420"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宋体" w:hAnsi="宋体" w:cs="宋体" w:eastAsia="宋体" w:hint="default"/>
                <w:sz w:val="21"/>
                <w:szCs w:val="21"/>
              </w:rPr>
            </w:pPr>
            <w:r>
              <w:rPr>
                <w:rFonts w:ascii="宋体" w:hAnsi="宋体" w:cs="宋体" w:eastAsia="宋体" w:hint="default"/>
                <w:sz w:val="21"/>
                <w:szCs w:val="21"/>
              </w:rPr>
              <w:t>人民币对港币贬值</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
              <w:jc w:val="right"/>
              <w:rPr>
                <w:rFonts w:ascii="宋体" w:hAnsi="宋体" w:cs="宋体" w:eastAsia="宋体" w:hint="default"/>
                <w:sz w:val="21"/>
                <w:szCs w:val="21"/>
              </w:rPr>
            </w:pPr>
            <w:r>
              <w:rPr>
                <w:rFonts w:ascii="宋体"/>
                <w:sz w:val="21"/>
              </w:rPr>
              <w:t>3%</w:t>
            </w:r>
          </w:p>
        </w:tc>
        <w:tc>
          <w:tcPr>
            <w:tcW w:w="159"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
              <w:jc w:val="right"/>
              <w:rPr>
                <w:rFonts w:ascii="宋体" w:hAnsi="宋体" w:cs="宋体" w:eastAsia="宋体" w:hint="default"/>
                <w:sz w:val="21"/>
                <w:szCs w:val="21"/>
              </w:rPr>
            </w:pPr>
            <w:r>
              <w:rPr>
                <w:rFonts w:ascii="宋体"/>
                <w:spacing w:val="-1"/>
                <w:sz w:val="21"/>
              </w:rPr>
              <w:t>225,213</w:t>
            </w:r>
          </w:p>
        </w:tc>
        <w:tc>
          <w:tcPr>
            <w:tcW w:w="23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9"/>
              <w:jc w:val="right"/>
              <w:rPr>
                <w:rFonts w:ascii="宋体" w:hAnsi="宋体" w:cs="宋体" w:eastAsia="宋体" w:hint="default"/>
                <w:sz w:val="21"/>
                <w:szCs w:val="21"/>
              </w:rPr>
            </w:pPr>
            <w:r>
              <w:rPr>
                <w:rFonts w:ascii="宋体"/>
                <w:w w:val="100"/>
                <w:sz w:val="21"/>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
              <w:jc w:val="right"/>
              <w:rPr>
                <w:rFonts w:ascii="宋体" w:hAnsi="宋体" w:cs="宋体" w:eastAsia="宋体" w:hint="default"/>
                <w:sz w:val="21"/>
                <w:szCs w:val="21"/>
              </w:rPr>
            </w:pPr>
            <w:r>
              <w:rPr>
                <w:rFonts w:ascii="宋体"/>
                <w:spacing w:val="-1"/>
                <w:sz w:val="21"/>
              </w:rPr>
              <w:t>225,213</w:t>
            </w:r>
          </w:p>
        </w:tc>
        <w:tc>
          <w:tcPr>
            <w:tcW w:w="313" w:type="dxa"/>
            <w:tcBorders>
              <w:top w:val="nil" w:sz="6" w:space="0" w:color="auto"/>
              <w:left w:val="nil" w:sz="6" w:space="0" w:color="auto"/>
              <w:bottom w:val="nil" w:sz="6" w:space="0" w:color="auto"/>
              <w:right w:val="nil" w:sz="6" w:space="0" w:color="auto"/>
            </w:tcBorders>
          </w:tcPr>
          <w:p>
            <w:pPr/>
          </w:p>
        </w:tc>
      </w:tr>
      <w:tr>
        <w:trPr>
          <w:trHeight w:val="420"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人民币对港币升值</w:t>
            </w:r>
          </w:p>
        </w:tc>
        <w:tc>
          <w:tcPr>
            <w:tcW w:w="1150" w:type="dxa"/>
            <w:tcBorders>
              <w:top w:val="nil" w:sz="6" w:space="0" w:color="auto"/>
              <w:left w:val="nil" w:sz="6" w:space="0" w:color="auto"/>
              <w:bottom w:val="nil" w:sz="6" w:space="0" w:color="auto"/>
              <w:right w:val="nil" w:sz="6" w:space="0" w:color="auto"/>
            </w:tcBorders>
          </w:tcPr>
          <w:p>
            <w:pPr>
              <w:pStyle w:val="TableParagraph"/>
              <w:spacing w:line="246" w:lineRule="exact"/>
              <w:ind w:right="7"/>
              <w:jc w:val="right"/>
              <w:rPr>
                <w:rFonts w:ascii="宋体" w:hAnsi="宋体" w:cs="宋体" w:eastAsia="宋体" w:hint="default"/>
                <w:sz w:val="21"/>
                <w:szCs w:val="21"/>
              </w:rPr>
            </w:pPr>
            <w:r>
              <w:rPr>
                <w:rFonts w:ascii="宋体"/>
                <w:sz w:val="21"/>
              </w:rPr>
              <w:t>(3%</w:t>
            </w:r>
          </w:p>
        </w:tc>
        <w:tc>
          <w:tcPr>
            <w:tcW w:w="159" w:type="dxa"/>
            <w:tcBorders>
              <w:top w:val="nil" w:sz="6" w:space="0" w:color="auto"/>
              <w:left w:val="nil" w:sz="6" w:space="0" w:color="auto"/>
              <w:bottom w:val="nil" w:sz="6" w:space="0" w:color="auto"/>
              <w:right w:val="nil" w:sz="6" w:space="0" w:color="auto"/>
            </w:tcBorders>
          </w:tcPr>
          <w:p>
            <w:pPr>
              <w:pStyle w:val="TableParagraph"/>
              <w:spacing w:line="246" w:lineRule="exact"/>
              <w:ind w:left="9" w:right="0"/>
              <w:jc w:val="left"/>
              <w:rPr>
                <w:rFonts w:ascii="宋体" w:hAnsi="宋体" w:cs="宋体" w:eastAsia="宋体" w:hint="default"/>
                <w:sz w:val="21"/>
                <w:szCs w:val="21"/>
              </w:rPr>
            </w:pPr>
            <w:r>
              <w:rPr>
                <w:rFonts w:ascii="宋体"/>
                <w:w w:val="100"/>
                <w:sz w:val="21"/>
              </w:rPr>
              <w:t>)</w:t>
            </w:r>
          </w:p>
        </w:tc>
        <w:tc>
          <w:tcPr>
            <w:tcW w:w="1207" w:type="dxa"/>
            <w:tcBorders>
              <w:top w:val="nil" w:sz="6" w:space="0" w:color="auto"/>
              <w:left w:val="nil" w:sz="6" w:space="0" w:color="auto"/>
              <w:bottom w:val="nil" w:sz="6" w:space="0" w:color="auto"/>
              <w:right w:val="nil" w:sz="6" w:space="0" w:color="auto"/>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(225,213</w:t>
            </w:r>
          </w:p>
        </w:tc>
        <w:tc>
          <w:tcPr>
            <w:tcW w:w="236" w:type="dxa"/>
            <w:tcBorders>
              <w:top w:val="nil" w:sz="6" w:space="0" w:color="auto"/>
              <w:left w:val="nil" w:sz="6" w:space="0" w:color="auto"/>
              <w:bottom w:val="nil" w:sz="6" w:space="0" w:color="auto"/>
              <w:right w:val="nil" w:sz="6" w:space="0" w:color="auto"/>
            </w:tcBorders>
          </w:tcPr>
          <w:p>
            <w:pPr>
              <w:pStyle w:val="TableParagraph"/>
              <w:spacing w:line="246" w:lineRule="exact"/>
              <w:ind w:left="7" w:right="0"/>
              <w:jc w:val="left"/>
              <w:rPr>
                <w:rFonts w:ascii="宋体" w:hAnsi="宋体" w:cs="宋体" w:eastAsia="宋体" w:hint="default"/>
                <w:sz w:val="21"/>
                <w:szCs w:val="21"/>
              </w:rPr>
            </w:pPr>
            <w:r>
              <w:rPr>
                <w:rFonts w:ascii="宋体"/>
                <w:w w:val="100"/>
                <w:sz w:val="21"/>
              </w:rPr>
              <w:t>)</w:t>
            </w:r>
          </w:p>
        </w:tc>
        <w:tc>
          <w:tcPr>
            <w:tcW w:w="1460" w:type="dxa"/>
            <w:tcBorders>
              <w:top w:val="nil" w:sz="6" w:space="0" w:color="auto"/>
              <w:left w:val="nil" w:sz="6" w:space="0" w:color="auto"/>
              <w:bottom w:val="nil" w:sz="6" w:space="0" w:color="auto"/>
              <w:right w:val="nil" w:sz="6" w:space="0" w:color="auto"/>
            </w:tcBorders>
          </w:tcPr>
          <w:p>
            <w:pPr>
              <w:pStyle w:val="TableParagraph"/>
              <w:spacing w:line="246" w:lineRule="exact"/>
              <w:ind w:right="179"/>
              <w:jc w:val="right"/>
              <w:rPr>
                <w:rFonts w:ascii="宋体" w:hAnsi="宋体" w:cs="宋体" w:eastAsia="宋体" w:hint="default"/>
                <w:sz w:val="21"/>
                <w:szCs w:val="21"/>
              </w:rPr>
            </w:pPr>
            <w:r>
              <w:rPr>
                <w:rFonts w:ascii="宋体"/>
                <w:w w:val="100"/>
                <w:sz w:val="21"/>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(225,213</w:t>
            </w:r>
          </w:p>
        </w:tc>
        <w:tc>
          <w:tcPr>
            <w:tcW w:w="313" w:type="dxa"/>
            <w:tcBorders>
              <w:top w:val="nil" w:sz="6" w:space="0" w:color="auto"/>
              <w:left w:val="nil" w:sz="6" w:space="0" w:color="auto"/>
              <w:bottom w:val="nil" w:sz="6" w:space="0" w:color="auto"/>
              <w:right w:val="nil" w:sz="6" w:space="0" w:color="auto"/>
            </w:tcBorders>
          </w:tcPr>
          <w:p>
            <w:pPr>
              <w:pStyle w:val="TableParagraph"/>
              <w:spacing w:line="246" w:lineRule="exact"/>
              <w:ind w:left="7" w:right="0"/>
              <w:jc w:val="left"/>
              <w:rPr>
                <w:rFonts w:ascii="宋体" w:hAnsi="宋体" w:cs="宋体" w:eastAsia="宋体" w:hint="default"/>
                <w:sz w:val="21"/>
                <w:szCs w:val="21"/>
              </w:rPr>
            </w:pPr>
            <w:r>
              <w:rPr>
                <w:rFonts w:ascii="宋体"/>
                <w:w w:val="100"/>
                <w:sz w:val="21"/>
              </w:rPr>
              <w:t>)</w:t>
            </w:r>
          </w:p>
        </w:tc>
      </w:tr>
      <w:tr>
        <w:trPr>
          <w:trHeight w:val="420"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宋体" w:hAnsi="宋体" w:cs="宋体" w:eastAsia="宋体" w:hint="default"/>
                <w:sz w:val="21"/>
                <w:szCs w:val="21"/>
              </w:rPr>
            </w:pPr>
            <w:r>
              <w:rPr>
                <w:rFonts w:ascii="宋体" w:hAnsi="宋体" w:cs="宋体" w:eastAsia="宋体" w:hint="default"/>
                <w:sz w:val="21"/>
                <w:szCs w:val="21"/>
              </w:rPr>
              <w:t>人民币对欧元贬值</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
              <w:jc w:val="right"/>
              <w:rPr>
                <w:rFonts w:ascii="宋体" w:hAnsi="宋体" w:cs="宋体" w:eastAsia="宋体" w:hint="default"/>
                <w:sz w:val="21"/>
                <w:szCs w:val="21"/>
              </w:rPr>
            </w:pPr>
            <w:r>
              <w:rPr>
                <w:rFonts w:ascii="宋体"/>
                <w:sz w:val="21"/>
              </w:rPr>
              <w:t>3%</w:t>
            </w:r>
          </w:p>
        </w:tc>
        <w:tc>
          <w:tcPr>
            <w:tcW w:w="159"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
              <w:jc w:val="right"/>
              <w:rPr>
                <w:rFonts w:ascii="宋体" w:hAnsi="宋体" w:cs="宋体" w:eastAsia="宋体" w:hint="default"/>
                <w:sz w:val="21"/>
                <w:szCs w:val="21"/>
              </w:rPr>
            </w:pPr>
            <w:r>
              <w:rPr>
                <w:rFonts w:ascii="宋体"/>
                <w:spacing w:val="-1"/>
                <w:sz w:val="21"/>
              </w:rPr>
              <w:t>(32,256,504</w:t>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 w:right="0"/>
              <w:jc w:val="left"/>
              <w:rPr>
                <w:rFonts w:ascii="宋体" w:hAnsi="宋体" w:cs="宋体" w:eastAsia="宋体" w:hint="default"/>
                <w:sz w:val="21"/>
                <w:szCs w:val="21"/>
              </w:rPr>
            </w:pPr>
            <w:r>
              <w:rPr>
                <w:rFonts w:ascii="宋体"/>
                <w:w w:val="100"/>
                <w:sz w:val="21"/>
              </w:rPr>
              <w:t>)</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9"/>
              <w:jc w:val="right"/>
              <w:rPr>
                <w:rFonts w:ascii="宋体" w:hAnsi="宋体" w:cs="宋体" w:eastAsia="宋体" w:hint="default"/>
                <w:sz w:val="21"/>
                <w:szCs w:val="21"/>
              </w:rPr>
            </w:pPr>
            <w:r>
              <w:rPr>
                <w:rFonts w:ascii="宋体"/>
                <w:w w:val="100"/>
                <w:sz w:val="21"/>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
              <w:jc w:val="right"/>
              <w:rPr>
                <w:rFonts w:ascii="宋体" w:hAnsi="宋体" w:cs="宋体" w:eastAsia="宋体" w:hint="default"/>
                <w:sz w:val="21"/>
                <w:szCs w:val="21"/>
              </w:rPr>
            </w:pPr>
            <w:r>
              <w:rPr>
                <w:rFonts w:ascii="宋体"/>
                <w:spacing w:val="-1"/>
                <w:sz w:val="21"/>
              </w:rPr>
              <w:t>(32,256,504</w:t>
            </w: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 w:right="0"/>
              <w:jc w:val="left"/>
              <w:rPr>
                <w:rFonts w:ascii="宋体" w:hAnsi="宋体" w:cs="宋体" w:eastAsia="宋体" w:hint="default"/>
                <w:sz w:val="21"/>
                <w:szCs w:val="21"/>
              </w:rPr>
            </w:pPr>
            <w:r>
              <w:rPr>
                <w:rFonts w:ascii="宋体"/>
                <w:w w:val="100"/>
                <w:sz w:val="21"/>
              </w:rPr>
              <w:t>)</w:t>
            </w:r>
          </w:p>
        </w:tc>
      </w:tr>
      <w:tr>
        <w:trPr>
          <w:trHeight w:val="420"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人民币对欧元升值</w:t>
            </w:r>
          </w:p>
        </w:tc>
        <w:tc>
          <w:tcPr>
            <w:tcW w:w="1150" w:type="dxa"/>
            <w:tcBorders>
              <w:top w:val="nil" w:sz="6" w:space="0" w:color="auto"/>
              <w:left w:val="nil" w:sz="6" w:space="0" w:color="auto"/>
              <w:bottom w:val="nil" w:sz="6" w:space="0" w:color="auto"/>
              <w:right w:val="nil" w:sz="6" w:space="0" w:color="auto"/>
            </w:tcBorders>
          </w:tcPr>
          <w:p>
            <w:pPr>
              <w:pStyle w:val="TableParagraph"/>
              <w:spacing w:line="246" w:lineRule="exact"/>
              <w:ind w:right="7"/>
              <w:jc w:val="right"/>
              <w:rPr>
                <w:rFonts w:ascii="宋体" w:hAnsi="宋体" w:cs="宋体" w:eastAsia="宋体" w:hint="default"/>
                <w:sz w:val="21"/>
                <w:szCs w:val="21"/>
              </w:rPr>
            </w:pPr>
            <w:r>
              <w:rPr>
                <w:rFonts w:ascii="宋体"/>
                <w:sz w:val="21"/>
              </w:rPr>
              <w:t>(3%</w:t>
            </w:r>
          </w:p>
        </w:tc>
        <w:tc>
          <w:tcPr>
            <w:tcW w:w="159" w:type="dxa"/>
            <w:tcBorders>
              <w:top w:val="nil" w:sz="6" w:space="0" w:color="auto"/>
              <w:left w:val="nil" w:sz="6" w:space="0" w:color="auto"/>
              <w:bottom w:val="nil" w:sz="6" w:space="0" w:color="auto"/>
              <w:right w:val="nil" w:sz="6" w:space="0" w:color="auto"/>
            </w:tcBorders>
          </w:tcPr>
          <w:p>
            <w:pPr>
              <w:pStyle w:val="TableParagraph"/>
              <w:spacing w:line="246" w:lineRule="exact"/>
              <w:ind w:left="9" w:right="0"/>
              <w:jc w:val="left"/>
              <w:rPr>
                <w:rFonts w:ascii="宋体" w:hAnsi="宋体" w:cs="宋体" w:eastAsia="宋体" w:hint="default"/>
                <w:sz w:val="21"/>
                <w:szCs w:val="21"/>
              </w:rPr>
            </w:pPr>
            <w:r>
              <w:rPr>
                <w:rFonts w:ascii="宋体"/>
                <w:w w:val="100"/>
                <w:sz w:val="21"/>
              </w:rPr>
              <w:t>)</w:t>
            </w:r>
          </w:p>
        </w:tc>
        <w:tc>
          <w:tcPr>
            <w:tcW w:w="1207" w:type="dxa"/>
            <w:tcBorders>
              <w:top w:val="nil" w:sz="6" w:space="0" w:color="auto"/>
              <w:left w:val="nil" w:sz="6" w:space="0" w:color="auto"/>
              <w:bottom w:val="nil" w:sz="6" w:space="0" w:color="auto"/>
              <w:right w:val="nil" w:sz="6" w:space="0" w:color="auto"/>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32,256,504</w:t>
            </w:r>
          </w:p>
        </w:tc>
        <w:tc>
          <w:tcPr>
            <w:tcW w:w="23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6" w:lineRule="exact"/>
              <w:ind w:right="179"/>
              <w:jc w:val="right"/>
              <w:rPr>
                <w:rFonts w:ascii="宋体" w:hAnsi="宋体" w:cs="宋体" w:eastAsia="宋体" w:hint="default"/>
                <w:sz w:val="21"/>
                <w:szCs w:val="21"/>
              </w:rPr>
            </w:pPr>
            <w:r>
              <w:rPr>
                <w:rFonts w:ascii="宋体"/>
                <w:w w:val="100"/>
                <w:sz w:val="21"/>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32,256,504</w:t>
            </w:r>
          </w:p>
        </w:tc>
        <w:tc>
          <w:tcPr>
            <w:tcW w:w="313" w:type="dxa"/>
            <w:tcBorders>
              <w:top w:val="nil" w:sz="6" w:space="0" w:color="auto"/>
              <w:left w:val="nil" w:sz="6" w:space="0" w:color="auto"/>
              <w:bottom w:val="nil" w:sz="6" w:space="0" w:color="auto"/>
              <w:right w:val="nil" w:sz="6" w:space="0" w:color="auto"/>
            </w:tcBorders>
          </w:tcPr>
          <w:p>
            <w:pPr/>
          </w:p>
        </w:tc>
      </w:tr>
      <w:tr>
        <w:trPr>
          <w:trHeight w:val="559"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nil" w:sz="6" w:space="0" w:color="auto"/>
              <w:left w:val="nil" w:sz="6" w:space="0" w:color="auto"/>
              <w:bottom w:val="nil" w:sz="6" w:space="0" w:color="auto"/>
              <w:right w:val="nil" w:sz="6" w:space="0" w:color="auto"/>
            </w:tcBorders>
          </w:tcPr>
          <w:p>
            <w:pPr/>
          </w:p>
        </w:tc>
        <w:tc>
          <w:tcPr>
            <w:tcW w:w="159"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r>
      <w:tr>
        <w:trPr>
          <w:trHeight w:val="420"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宋体" w:hAnsi="宋体" w:cs="宋体" w:eastAsia="宋体" w:hint="default"/>
                <w:sz w:val="21"/>
                <w:szCs w:val="21"/>
              </w:rPr>
            </w:pPr>
            <w:r>
              <w:rPr>
                <w:rFonts w:ascii="宋体" w:hAnsi="宋体" w:cs="宋体" w:eastAsia="宋体" w:hint="default"/>
                <w:sz w:val="21"/>
                <w:szCs w:val="21"/>
              </w:rPr>
              <w:t>人民币对美元贬值</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
              <w:jc w:val="right"/>
              <w:rPr>
                <w:rFonts w:ascii="宋体" w:hAnsi="宋体" w:cs="宋体" w:eastAsia="宋体" w:hint="default"/>
                <w:sz w:val="21"/>
                <w:szCs w:val="21"/>
              </w:rPr>
            </w:pPr>
            <w:r>
              <w:rPr>
                <w:rFonts w:ascii="宋体"/>
                <w:sz w:val="21"/>
              </w:rPr>
              <w:t>3%</w:t>
            </w:r>
          </w:p>
        </w:tc>
        <w:tc>
          <w:tcPr>
            <w:tcW w:w="159"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
              <w:jc w:val="right"/>
              <w:rPr>
                <w:rFonts w:ascii="宋体" w:hAnsi="宋体" w:cs="宋体" w:eastAsia="宋体" w:hint="default"/>
                <w:sz w:val="21"/>
                <w:szCs w:val="21"/>
              </w:rPr>
            </w:pPr>
            <w:r>
              <w:rPr>
                <w:rFonts w:ascii="宋体"/>
                <w:spacing w:val="-1"/>
                <w:sz w:val="21"/>
              </w:rPr>
              <w:t>626,291</w:t>
            </w:r>
          </w:p>
        </w:tc>
        <w:tc>
          <w:tcPr>
            <w:tcW w:w="23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9"/>
              <w:jc w:val="right"/>
              <w:rPr>
                <w:rFonts w:ascii="宋体" w:hAnsi="宋体" w:cs="宋体" w:eastAsia="宋体" w:hint="default"/>
                <w:sz w:val="21"/>
                <w:szCs w:val="21"/>
              </w:rPr>
            </w:pPr>
            <w:r>
              <w:rPr>
                <w:rFonts w:ascii="宋体"/>
                <w:w w:val="100"/>
                <w:sz w:val="21"/>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
              <w:jc w:val="right"/>
              <w:rPr>
                <w:rFonts w:ascii="宋体" w:hAnsi="宋体" w:cs="宋体" w:eastAsia="宋体" w:hint="default"/>
                <w:sz w:val="21"/>
                <w:szCs w:val="21"/>
              </w:rPr>
            </w:pPr>
            <w:r>
              <w:rPr>
                <w:rFonts w:ascii="宋体"/>
                <w:spacing w:val="-1"/>
                <w:sz w:val="21"/>
              </w:rPr>
              <w:t>626,291</w:t>
            </w:r>
          </w:p>
        </w:tc>
        <w:tc>
          <w:tcPr>
            <w:tcW w:w="313" w:type="dxa"/>
            <w:tcBorders>
              <w:top w:val="nil" w:sz="6" w:space="0" w:color="auto"/>
              <w:left w:val="nil" w:sz="6" w:space="0" w:color="auto"/>
              <w:bottom w:val="nil" w:sz="6" w:space="0" w:color="auto"/>
              <w:right w:val="nil" w:sz="6" w:space="0" w:color="auto"/>
            </w:tcBorders>
          </w:tcPr>
          <w:p>
            <w:pPr/>
          </w:p>
        </w:tc>
      </w:tr>
      <w:tr>
        <w:trPr>
          <w:trHeight w:val="420"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人民币对美元升值</w:t>
            </w:r>
          </w:p>
        </w:tc>
        <w:tc>
          <w:tcPr>
            <w:tcW w:w="1150" w:type="dxa"/>
            <w:tcBorders>
              <w:top w:val="nil" w:sz="6" w:space="0" w:color="auto"/>
              <w:left w:val="nil" w:sz="6" w:space="0" w:color="auto"/>
              <w:bottom w:val="nil" w:sz="6" w:space="0" w:color="auto"/>
              <w:right w:val="nil" w:sz="6" w:space="0" w:color="auto"/>
            </w:tcBorders>
          </w:tcPr>
          <w:p>
            <w:pPr>
              <w:pStyle w:val="TableParagraph"/>
              <w:spacing w:line="246" w:lineRule="exact"/>
              <w:ind w:right="7"/>
              <w:jc w:val="right"/>
              <w:rPr>
                <w:rFonts w:ascii="宋体" w:hAnsi="宋体" w:cs="宋体" w:eastAsia="宋体" w:hint="default"/>
                <w:sz w:val="21"/>
                <w:szCs w:val="21"/>
              </w:rPr>
            </w:pPr>
            <w:r>
              <w:rPr>
                <w:rFonts w:ascii="宋体"/>
                <w:sz w:val="21"/>
              </w:rPr>
              <w:t>(3%</w:t>
            </w:r>
          </w:p>
        </w:tc>
        <w:tc>
          <w:tcPr>
            <w:tcW w:w="159" w:type="dxa"/>
            <w:tcBorders>
              <w:top w:val="nil" w:sz="6" w:space="0" w:color="auto"/>
              <w:left w:val="nil" w:sz="6" w:space="0" w:color="auto"/>
              <w:bottom w:val="nil" w:sz="6" w:space="0" w:color="auto"/>
              <w:right w:val="nil" w:sz="6" w:space="0" w:color="auto"/>
            </w:tcBorders>
          </w:tcPr>
          <w:p>
            <w:pPr>
              <w:pStyle w:val="TableParagraph"/>
              <w:spacing w:line="246" w:lineRule="exact"/>
              <w:ind w:left="9" w:right="0"/>
              <w:jc w:val="left"/>
              <w:rPr>
                <w:rFonts w:ascii="宋体" w:hAnsi="宋体" w:cs="宋体" w:eastAsia="宋体" w:hint="default"/>
                <w:sz w:val="21"/>
                <w:szCs w:val="21"/>
              </w:rPr>
            </w:pPr>
            <w:r>
              <w:rPr>
                <w:rFonts w:ascii="宋体"/>
                <w:w w:val="100"/>
                <w:sz w:val="21"/>
              </w:rPr>
              <w:t>)</w:t>
            </w:r>
          </w:p>
        </w:tc>
        <w:tc>
          <w:tcPr>
            <w:tcW w:w="1207" w:type="dxa"/>
            <w:tcBorders>
              <w:top w:val="nil" w:sz="6" w:space="0" w:color="auto"/>
              <w:left w:val="nil" w:sz="6" w:space="0" w:color="auto"/>
              <w:bottom w:val="nil" w:sz="6" w:space="0" w:color="auto"/>
              <w:right w:val="nil" w:sz="6" w:space="0" w:color="auto"/>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(626,291</w:t>
            </w:r>
          </w:p>
        </w:tc>
        <w:tc>
          <w:tcPr>
            <w:tcW w:w="23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6" w:lineRule="exact"/>
              <w:ind w:right="179"/>
              <w:jc w:val="right"/>
              <w:rPr>
                <w:rFonts w:ascii="宋体" w:hAnsi="宋体" w:cs="宋体" w:eastAsia="宋体" w:hint="default"/>
                <w:sz w:val="21"/>
                <w:szCs w:val="21"/>
              </w:rPr>
            </w:pPr>
            <w:r>
              <w:rPr>
                <w:rFonts w:ascii="宋体"/>
                <w:w w:val="100"/>
                <w:sz w:val="21"/>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(626,291</w:t>
            </w:r>
          </w:p>
        </w:tc>
        <w:tc>
          <w:tcPr>
            <w:tcW w:w="313" w:type="dxa"/>
            <w:tcBorders>
              <w:top w:val="nil" w:sz="6" w:space="0" w:color="auto"/>
              <w:left w:val="nil" w:sz="6" w:space="0" w:color="auto"/>
              <w:bottom w:val="nil" w:sz="6" w:space="0" w:color="auto"/>
              <w:right w:val="nil" w:sz="6" w:space="0" w:color="auto"/>
            </w:tcBorders>
          </w:tcPr>
          <w:p>
            <w:pPr>
              <w:pStyle w:val="TableParagraph"/>
              <w:spacing w:line="246" w:lineRule="exact"/>
              <w:ind w:left="7" w:right="0"/>
              <w:jc w:val="left"/>
              <w:rPr>
                <w:rFonts w:ascii="宋体" w:hAnsi="宋体" w:cs="宋体" w:eastAsia="宋体" w:hint="default"/>
                <w:sz w:val="21"/>
                <w:szCs w:val="21"/>
              </w:rPr>
            </w:pPr>
            <w:r>
              <w:rPr>
                <w:rFonts w:ascii="宋体"/>
                <w:w w:val="100"/>
                <w:sz w:val="21"/>
              </w:rPr>
              <w:t>)</w:t>
            </w:r>
          </w:p>
        </w:tc>
      </w:tr>
      <w:tr>
        <w:trPr>
          <w:trHeight w:val="420"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宋体" w:hAnsi="宋体" w:cs="宋体" w:eastAsia="宋体" w:hint="default"/>
                <w:sz w:val="21"/>
                <w:szCs w:val="21"/>
              </w:rPr>
            </w:pPr>
            <w:r>
              <w:rPr>
                <w:rFonts w:ascii="宋体" w:hAnsi="宋体" w:cs="宋体" w:eastAsia="宋体" w:hint="default"/>
                <w:sz w:val="21"/>
                <w:szCs w:val="21"/>
              </w:rPr>
              <w:t>人民币对港币贬值</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
              <w:jc w:val="right"/>
              <w:rPr>
                <w:rFonts w:ascii="宋体" w:hAnsi="宋体" w:cs="宋体" w:eastAsia="宋体" w:hint="default"/>
                <w:sz w:val="21"/>
                <w:szCs w:val="21"/>
              </w:rPr>
            </w:pPr>
            <w:r>
              <w:rPr>
                <w:rFonts w:ascii="宋体"/>
                <w:sz w:val="21"/>
              </w:rPr>
              <w:t>3%</w:t>
            </w:r>
          </w:p>
        </w:tc>
        <w:tc>
          <w:tcPr>
            <w:tcW w:w="159"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
              <w:jc w:val="right"/>
              <w:rPr>
                <w:rFonts w:ascii="宋体" w:hAnsi="宋体" w:cs="宋体" w:eastAsia="宋体" w:hint="default"/>
                <w:sz w:val="21"/>
                <w:szCs w:val="21"/>
              </w:rPr>
            </w:pPr>
            <w:r>
              <w:rPr>
                <w:rFonts w:ascii="宋体"/>
                <w:spacing w:val="-1"/>
                <w:sz w:val="21"/>
              </w:rPr>
              <w:t>10,718,675</w:t>
            </w:r>
          </w:p>
        </w:tc>
        <w:tc>
          <w:tcPr>
            <w:tcW w:w="236"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9"/>
              <w:jc w:val="right"/>
              <w:rPr>
                <w:rFonts w:ascii="宋体" w:hAnsi="宋体" w:cs="宋体" w:eastAsia="宋体" w:hint="default"/>
                <w:sz w:val="21"/>
                <w:szCs w:val="21"/>
              </w:rPr>
            </w:pPr>
            <w:r>
              <w:rPr>
                <w:rFonts w:ascii="宋体"/>
                <w:w w:val="100"/>
                <w:sz w:val="21"/>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
              <w:jc w:val="right"/>
              <w:rPr>
                <w:rFonts w:ascii="宋体" w:hAnsi="宋体" w:cs="宋体" w:eastAsia="宋体" w:hint="default"/>
                <w:sz w:val="21"/>
                <w:szCs w:val="21"/>
              </w:rPr>
            </w:pPr>
            <w:r>
              <w:rPr>
                <w:rFonts w:ascii="宋体"/>
                <w:spacing w:val="-1"/>
                <w:sz w:val="21"/>
              </w:rPr>
              <w:t>10,718,675</w:t>
            </w:r>
          </w:p>
        </w:tc>
        <w:tc>
          <w:tcPr>
            <w:tcW w:w="313" w:type="dxa"/>
            <w:tcBorders>
              <w:top w:val="nil" w:sz="6" w:space="0" w:color="auto"/>
              <w:left w:val="nil" w:sz="6" w:space="0" w:color="auto"/>
              <w:bottom w:val="nil" w:sz="6" w:space="0" w:color="auto"/>
              <w:right w:val="nil" w:sz="6" w:space="0" w:color="auto"/>
            </w:tcBorders>
          </w:tcPr>
          <w:p>
            <w:pPr/>
          </w:p>
        </w:tc>
      </w:tr>
      <w:tr>
        <w:trPr>
          <w:trHeight w:val="246"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人民币对港币升值</w:t>
            </w:r>
          </w:p>
        </w:tc>
        <w:tc>
          <w:tcPr>
            <w:tcW w:w="1150" w:type="dxa"/>
            <w:tcBorders>
              <w:top w:val="nil" w:sz="6" w:space="0" w:color="auto"/>
              <w:left w:val="nil" w:sz="6" w:space="0" w:color="auto"/>
              <w:bottom w:val="nil" w:sz="6" w:space="0" w:color="auto"/>
              <w:right w:val="nil" w:sz="6" w:space="0" w:color="auto"/>
            </w:tcBorders>
          </w:tcPr>
          <w:p>
            <w:pPr>
              <w:pStyle w:val="TableParagraph"/>
              <w:spacing w:line="246" w:lineRule="exact"/>
              <w:ind w:right="7"/>
              <w:jc w:val="right"/>
              <w:rPr>
                <w:rFonts w:ascii="宋体" w:hAnsi="宋体" w:cs="宋体" w:eastAsia="宋体" w:hint="default"/>
                <w:sz w:val="21"/>
                <w:szCs w:val="21"/>
              </w:rPr>
            </w:pPr>
            <w:r>
              <w:rPr>
                <w:rFonts w:ascii="宋体"/>
                <w:sz w:val="21"/>
              </w:rPr>
              <w:t>(3%</w:t>
            </w:r>
          </w:p>
        </w:tc>
        <w:tc>
          <w:tcPr>
            <w:tcW w:w="159" w:type="dxa"/>
            <w:tcBorders>
              <w:top w:val="nil" w:sz="6" w:space="0" w:color="auto"/>
              <w:left w:val="nil" w:sz="6" w:space="0" w:color="auto"/>
              <w:bottom w:val="nil" w:sz="6" w:space="0" w:color="auto"/>
              <w:right w:val="nil" w:sz="6" w:space="0" w:color="auto"/>
            </w:tcBorders>
          </w:tcPr>
          <w:p>
            <w:pPr>
              <w:pStyle w:val="TableParagraph"/>
              <w:spacing w:line="246" w:lineRule="exact"/>
              <w:ind w:left="9" w:right="0"/>
              <w:jc w:val="left"/>
              <w:rPr>
                <w:rFonts w:ascii="宋体" w:hAnsi="宋体" w:cs="宋体" w:eastAsia="宋体" w:hint="default"/>
                <w:sz w:val="21"/>
                <w:szCs w:val="21"/>
              </w:rPr>
            </w:pPr>
            <w:r>
              <w:rPr>
                <w:rFonts w:ascii="宋体"/>
                <w:w w:val="100"/>
                <w:sz w:val="21"/>
              </w:rPr>
              <w:t>)</w:t>
            </w:r>
          </w:p>
        </w:tc>
        <w:tc>
          <w:tcPr>
            <w:tcW w:w="1207" w:type="dxa"/>
            <w:tcBorders>
              <w:top w:val="nil" w:sz="6" w:space="0" w:color="auto"/>
              <w:left w:val="nil" w:sz="6" w:space="0" w:color="auto"/>
              <w:bottom w:val="nil" w:sz="6" w:space="0" w:color="auto"/>
              <w:right w:val="nil" w:sz="6" w:space="0" w:color="auto"/>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(10,718,675</w:t>
            </w:r>
          </w:p>
        </w:tc>
        <w:tc>
          <w:tcPr>
            <w:tcW w:w="236" w:type="dxa"/>
            <w:tcBorders>
              <w:top w:val="nil" w:sz="6" w:space="0" w:color="auto"/>
              <w:left w:val="nil" w:sz="6" w:space="0" w:color="auto"/>
              <w:bottom w:val="nil" w:sz="6" w:space="0" w:color="auto"/>
              <w:right w:val="nil" w:sz="6" w:space="0" w:color="auto"/>
            </w:tcBorders>
          </w:tcPr>
          <w:p>
            <w:pPr>
              <w:pStyle w:val="TableParagraph"/>
              <w:spacing w:line="246" w:lineRule="exact"/>
              <w:ind w:left="7" w:right="0"/>
              <w:jc w:val="left"/>
              <w:rPr>
                <w:rFonts w:ascii="宋体" w:hAnsi="宋体" w:cs="宋体" w:eastAsia="宋体" w:hint="default"/>
                <w:sz w:val="21"/>
                <w:szCs w:val="21"/>
              </w:rPr>
            </w:pPr>
            <w:r>
              <w:rPr>
                <w:rFonts w:ascii="宋体"/>
                <w:w w:val="100"/>
                <w:sz w:val="21"/>
              </w:rPr>
              <w:t>)</w:t>
            </w:r>
          </w:p>
        </w:tc>
        <w:tc>
          <w:tcPr>
            <w:tcW w:w="1460" w:type="dxa"/>
            <w:tcBorders>
              <w:top w:val="nil" w:sz="6" w:space="0" w:color="auto"/>
              <w:left w:val="nil" w:sz="6" w:space="0" w:color="auto"/>
              <w:bottom w:val="nil" w:sz="6" w:space="0" w:color="auto"/>
              <w:right w:val="nil" w:sz="6" w:space="0" w:color="auto"/>
            </w:tcBorders>
          </w:tcPr>
          <w:p>
            <w:pPr>
              <w:pStyle w:val="TableParagraph"/>
              <w:spacing w:line="246" w:lineRule="exact"/>
              <w:ind w:right="179"/>
              <w:jc w:val="right"/>
              <w:rPr>
                <w:rFonts w:ascii="宋体" w:hAnsi="宋体" w:cs="宋体" w:eastAsia="宋体" w:hint="default"/>
                <w:sz w:val="21"/>
                <w:szCs w:val="21"/>
              </w:rPr>
            </w:pPr>
            <w:r>
              <w:rPr>
                <w:rFonts w:ascii="宋体"/>
                <w:w w:val="100"/>
                <w:sz w:val="21"/>
              </w:rPr>
              <w:t>-</w:t>
            </w:r>
          </w:p>
        </w:tc>
        <w:tc>
          <w:tcPr>
            <w:tcW w:w="1343" w:type="dxa"/>
            <w:tcBorders>
              <w:top w:val="nil" w:sz="6" w:space="0" w:color="auto"/>
              <w:left w:val="nil" w:sz="6" w:space="0" w:color="auto"/>
              <w:bottom w:val="nil" w:sz="6" w:space="0" w:color="auto"/>
              <w:right w:val="nil" w:sz="6" w:space="0" w:color="auto"/>
            </w:tcBorders>
          </w:tcPr>
          <w:p>
            <w:pPr>
              <w:pStyle w:val="TableParagraph"/>
              <w:spacing w:line="246" w:lineRule="exact"/>
              <w:ind w:right="5"/>
              <w:jc w:val="right"/>
              <w:rPr>
                <w:rFonts w:ascii="宋体" w:hAnsi="宋体" w:cs="宋体" w:eastAsia="宋体" w:hint="default"/>
                <w:sz w:val="21"/>
                <w:szCs w:val="21"/>
              </w:rPr>
            </w:pPr>
            <w:r>
              <w:rPr>
                <w:rFonts w:ascii="宋体"/>
                <w:spacing w:val="-1"/>
                <w:sz w:val="21"/>
              </w:rPr>
              <w:t>(10,718,675</w:t>
            </w:r>
          </w:p>
        </w:tc>
        <w:tc>
          <w:tcPr>
            <w:tcW w:w="313" w:type="dxa"/>
            <w:tcBorders>
              <w:top w:val="nil" w:sz="6" w:space="0" w:color="auto"/>
              <w:left w:val="nil" w:sz="6" w:space="0" w:color="auto"/>
              <w:bottom w:val="nil" w:sz="6" w:space="0" w:color="auto"/>
              <w:right w:val="nil" w:sz="6" w:space="0" w:color="auto"/>
            </w:tcBorders>
          </w:tcPr>
          <w:p>
            <w:pPr>
              <w:pStyle w:val="TableParagraph"/>
              <w:spacing w:line="246" w:lineRule="exact"/>
              <w:ind w:left="7" w:right="0"/>
              <w:jc w:val="left"/>
              <w:rPr>
                <w:rFonts w:ascii="宋体" w:hAnsi="宋体" w:cs="宋体" w:eastAsia="宋体" w:hint="default"/>
                <w:sz w:val="21"/>
                <w:szCs w:val="21"/>
              </w:rPr>
            </w:pPr>
            <w:r>
              <w:rPr>
                <w:rFonts w:ascii="宋体"/>
                <w:w w:val="100"/>
                <w:sz w:val="21"/>
              </w:rPr>
              <w:t>)</w:t>
            </w:r>
          </w:p>
        </w:tc>
      </w:tr>
    </w:tbl>
    <w:p>
      <w:pPr>
        <w:spacing w:line="240" w:lineRule="auto" w:before="3"/>
        <w:rPr>
          <w:rFonts w:ascii="宋体" w:hAnsi="宋体" w:cs="宋体" w:eastAsia="宋体" w:hint="default"/>
          <w:sz w:val="13"/>
          <w:szCs w:val="13"/>
        </w:rPr>
      </w:pPr>
    </w:p>
    <w:p>
      <w:pPr>
        <w:tabs>
          <w:tab w:pos="754" w:val="left" w:leader="none"/>
        </w:tabs>
        <w:spacing w:before="36"/>
        <w:ind w:left="138" w:right="0" w:firstLine="0"/>
        <w:jc w:val="left"/>
        <w:rPr>
          <w:rFonts w:ascii="宋体" w:hAnsi="宋体" w:cs="宋体" w:eastAsia="宋体" w:hint="default"/>
          <w:sz w:val="21"/>
          <w:szCs w:val="21"/>
        </w:rPr>
      </w:pPr>
      <w:r>
        <w:rPr>
          <w:rFonts w:ascii="黑体" w:hAnsi="黑体" w:cs="黑体" w:eastAsia="黑体" w:hint="default"/>
          <w:b/>
          <w:bCs/>
          <w:w w:val="95"/>
          <w:sz w:val="20"/>
          <w:szCs w:val="20"/>
        </w:rPr>
        <w:t>．</w:t>
        <w:tab/>
      </w:r>
      <w:r>
        <w:rPr>
          <w:rFonts w:ascii="宋体" w:hAnsi="宋体" w:cs="宋体" w:eastAsia="宋体" w:hint="default"/>
          <w:b/>
          <w:bCs/>
          <w:sz w:val="21"/>
          <w:szCs w:val="21"/>
        </w:rPr>
        <w:t>3.</w:t>
      </w:r>
      <w:r>
        <w:rPr>
          <w:rFonts w:ascii="宋体" w:hAnsi="宋体" w:cs="宋体" w:eastAsia="宋体" w:hint="default"/>
          <w:b/>
          <w:bCs/>
          <w:sz w:val="21"/>
          <w:szCs w:val="21"/>
        </w:rPr>
        <w:t>资本管理</w:t>
      </w:r>
      <w:r>
        <w:rPr>
          <w:rFonts w:ascii="宋体" w:hAnsi="宋体" w:cs="宋体" w:eastAsia="宋体" w:hint="default"/>
          <w:sz w:val="21"/>
          <w:szCs w:val="21"/>
        </w:rPr>
      </w:r>
    </w:p>
    <w:p>
      <w:pPr>
        <w:spacing w:line="240" w:lineRule="auto" w:before="12"/>
        <w:rPr>
          <w:rFonts w:ascii="宋体" w:hAnsi="宋体" w:cs="宋体" w:eastAsia="宋体" w:hint="default"/>
          <w:b/>
          <w:bCs/>
          <w:sz w:val="19"/>
          <w:szCs w:val="19"/>
        </w:rPr>
      </w:pPr>
    </w:p>
    <w:p>
      <w:pPr>
        <w:pStyle w:val="BodyText"/>
        <w:spacing w:line="244" w:lineRule="auto"/>
        <w:ind w:left="838" w:right="0" w:firstLine="7"/>
        <w:jc w:val="left"/>
      </w:pPr>
      <w:r>
        <w:rPr>
          <w:spacing w:val="-2"/>
        </w:rPr>
        <w:t>本集团资本管理的主要目标是确保本集团持续经营的能力，并保持健康的资本比率，以支</w:t>
      </w:r>
      <w:r>
        <w:rPr>
          <w:spacing w:val="-56"/>
        </w:rPr>
        <w:t> </w:t>
      </w:r>
      <w:r>
        <w:rPr>
          <w:spacing w:val="-56"/>
        </w:rPr>
      </w:r>
      <w:r>
        <w:rPr/>
        <w:t>持业务发展并使股东价值最大化。</w:t>
      </w:r>
    </w:p>
    <w:p>
      <w:pPr>
        <w:spacing w:line="240" w:lineRule="auto" w:before="6"/>
        <w:rPr>
          <w:rFonts w:ascii="宋体" w:hAnsi="宋体" w:cs="宋体" w:eastAsia="宋体" w:hint="default"/>
          <w:sz w:val="21"/>
          <w:szCs w:val="21"/>
        </w:rPr>
      </w:pPr>
    </w:p>
    <w:p>
      <w:pPr>
        <w:pStyle w:val="BodyText"/>
        <w:spacing w:line="244" w:lineRule="auto"/>
        <w:ind w:left="838" w:right="355"/>
        <w:jc w:val="both"/>
      </w:pPr>
      <w:r>
        <w:rPr>
          <w:spacing w:val="-2"/>
        </w:rPr>
        <w:t>本集团管理资本结构并根据经济形势以及相关资产的风险特征的变化对其进行调整。为维</w:t>
      </w:r>
      <w:r>
        <w:rPr>
          <w:spacing w:val="-39"/>
        </w:rPr>
        <w:t> </w:t>
      </w:r>
      <w:r>
        <w:rPr>
          <w:spacing w:val="-39"/>
        </w:rPr>
      </w:r>
      <w:r>
        <w:rPr>
          <w:spacing w:val="-2"/>
        </w:rPr>
        <w:t>持或调整资本结构，本集团可以调整对股东的利润分配、向股东归还资本或发行新股。本</w:t>
      </w:r>
      <w:r>
        <w:rPr>
          <w:spacing w:val="-39"/>
        </w:rPr>
        <w:t> </w:t>
      </w:r>
      <w:r>
        <w:rPr>
          <w:spacing w:val="-39"/>
        </w:rPr>
      </w:r>
      <w:r>
        <w:rPr>
          <w:spacing w:val="-2"/>
        </w:rPr>
        <w:t>集团不受外部强制性资本要求约束。</w:t>
      </w:r>
      <w:r>
        <w:rPr>
          <w:rFonts w:ascii="宋体" w:hAnsi="宋体" w:cs="宋体" w:eastAsia="宋体" w:hint="default"/>
          <w:spacing w:val="-2"/>
        </w:rPr>
        <w:t>2015</w:t>
      </w:r>
      <w:r>
        <w:rPr>
          <w:spacing w:val="-2"/>
        </w:rPr>
        <w:t>年度和</w:t>
      </w:r>
      <w:r>
        <w:rPr>
          <w:rFonts w:ascii="宋体" w:hAnsi="宋体" w:cs="宋体" w:eastAsia="宋体" w:hint="default"/>
          <w:spacing w:val="-2"/>
        </w:rPr>
        <w:t>2014</w:t>
      </w:r>
      <w:r>
        <w:rPr>
          <w:spacing w:val="-2"/>
        </w:rPr>
        <w:t>年度，资本管理目标、政策或程序未</w:t>
      </w:r>
      <w:r>
        <w:rPr>
          <w:spacing w:val="-31"/>
        </w:rPr>
        <w:t> </w:t>
      </w:r>
      <w:r>
        <w:rPr>
          <w:spacing w:val="-31"/>
        </w:rPr>
      </w:r>
      <w:r>
        <w:rPr/>
        <w:t>发生变化。</w:t>
      </w:r>
    </w:p>
    <w:p>
      <w:pPr>
        <w:spacing w:line="240" w:lineRule="auto" w:before="5"/>
        <w:rPr>
          <w:rFonts w:ascii="宋体" w:hAnsi="宋体" w:cs="宋体" w:eastAsia="宋体" w:hint="default"/>
          <w:sz w:val="21"/>
          <w:szCs w:val="21"/>
        </w:rPr>
      </w:pPr>
    </w:p>
    <w:p>
      <w:pPr>
        <w:pStyle w:val="BodyText"/>
        <w:spacing w:line="244" w:lineRule="auto"/>
        <w:ind w:left="865" w:right="0"/>
        <w:jc w:val="left"/>
      </w:pPr>
      <w:r>
        <w:rPr>
          <w:spacing w:val="-3"/>
        </w:rPr>
        <w:t>本集团采用杠杆比率来管理资本，杠杆比率是指净负债和调整后资本加净负债的比率。净</w:t>
      </w:r>
      <w:r>
        <w:rPr>
          <w:spacing w:val="-26"/>
        </w:rPr>
        <w:t> </w:t>
      </w:r>
      <w:r>
        <w:rPr>
          <w:spacing w:val="-26"/>
        </w:rPr>
      </w:r>
      <w:r>
        <w:rPr/>
        <w:t>负债包括所有借款款项、应付账款、应付职工薪酬、除应交所得税之外的其他应交税费、</w:t>
      </w:r>
      <w:r>
        <w:rPr>
          <w:spacing w:val="-37"/>
        </w:rPr>
        <w:t> </w:t>
      </w:r>
      <w:r>
        <w:rPr>
          <w:spacing w:val="-37"/>
        </w:rPr>
      </w:r>
      <w:r>
        <w:rPr>
          <w:spacing w:val="-3"/>
        </w:rPr>
        <w:t>应付利息、其他应付款及应付债券减现金和现金等价物后的净额。资本包括归属于母公司</w:t>
      </w:r>
      <w:r>
        <w:rPr>
          <w:spacing w:val="-27"/>
        </w:rPr>
        <w:t> </w:t>
      </w:r>
      <w:r>
        <w:rPr>
          <w:spacing w:val="-27"/>
        </w:rPr>
      </w:r>
      <w:r>
        <w:rPr/>
        <w:t>股东权益，本集团于资产负债表日的杠杆比率如下：</w:t>
      </w:r>
    </w:p>
    <w:p>
      <w:pPr>
        <w:spacing w:line="240" w:lineRule="auto" w:before="11"/>
        <w:rPr>
          <w:rFonts w:ascii="宋体" w:hAnsi="宋体" w:cs="宋体" w:eastAsia="宋体" w:hint="default"/>
          <w:sz w:val="28"/>
          <w:szCs w:val="28"/>
        </w:rPr>
      </w:pPr>
    </w:p>
    <w:tbl>
      <w:tblPr>
        <w:tblW w:w="0" w:type="auto"/>
        <w:jc w:val="left"/>
        <w:tblInd w:w="638" w:type="dxa"/>
        <w:tblLayout w:type="fixed"/>
        <w:tblCellMar>
          <w:top w:w="0" w:type="dxa"/>
          <w:left w:w="0" w:type="dxa"/>
          <w:bottom w:w="0" w:type="dxa"/>
          <w:right w:w="0" w:type="dxa"/>
        </w:tblCellMar>
        <w:tblLook w:val="01E0"/>
      </w:tblPr>
      <w:tblGrid>
        <w:gridCol w:w="2489"/>
        <w:gridCol w:w="3294"/>
        <w:gridCol w:w="2415"/>
      </w:tblGrid>
      <w:tr>
        <w:trPr>
          <w:trHeight w:val="369" w:hRule="exact"/>
        </w:trPr>
        <w:tc>
          <w:tcPr>
            <w:tcW w:w="2489" w:type="dxa"/>
            <w:tcBorders>
              <w:top w:val="nil" w:sz="6" w:space="0" w:color="auto"/>
              <w:left w:val="nil" w:sz="6" w:space="0" w:color="auto"/>
              <w:bottom w:val="nil" w:sz="6" w:space="0" w:color="auto"/>
              <w:right w:val="nil" w:sz="6" w:space="0" w:color="auto"/>
            </w:tcBorders>
          </w:tcPr>
          <w:p>
            <w:pPr/>
          </w:p>
        </w:tc>
        <w:tc>
          <w:tcPr>
            <w:tcW w:w="3294" w:type="dxa"/>
            <w:tcBorders>
              <w:top w:val="nil" w:sz="6" w:space="0" w:color="auto"/>
              <w:left w:val="nil" w:sz="6" w:space="0" w:color="auto"/>
              <w:bottom w:val="nil" w:sz="6" w:space="0" w:color="auto"/>
              <w:right w:val="nil" w:sz="6" w:space="0" w:color="auto"/>
            </w:tcBorders>
          </w:tcPr>
          <w:p>
            <w:pPr>
              <w:pStyle w:val="TableParagraph"/>
              <w:spacing w:line="211" w:lineRule="exact"/>
              <w:ind w:right="476"/>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15"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31" w:hRule="exact"/>
        </w:trPr>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77"/>
              <w:jc w:val="right"/>
              <w:rPr>
                <w:rFonts w:ascii="宋体" w:hAnsi="宋体" w:cs="宋体" w:eastAsia="宋体" w:hint="default"/>
                <w:sz w:val="21"/>
                <w:szCs w:val="21"/>
              </w:rPr>
            </w:pPr>
            <w:r>
              <w:rPr>
                <w:rFonts w:ascii="宋体"/>
                <w:spacing w:val="-1"/>
                <w:sz w:val="21"/>
              </w:rPr>
              <w:t>1,823,984,362</w:t>
            </w: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98"/>
              <w:jc w:val="right"/>
              <w:rPr>
                <w:rFonts w:ascii="宋体" w:hAnsi="宋体" w:cs="宋体" w:eastAsia="宋体" w:hint="default"/>
                <w:sz w:val="21"/>
                <w:szCs w:val="21"/>
              </w:rPr>
            </w:pPr>
            <w:r>
              <w:rPr>
                <w:rFonts w:ascii="宋体"/>
                <w:spacing w:val="-1"/>
                <w:sz w:val="21"/>
              </w:rPr>
              <w:t>1,268,000,000</w:t>
            </w:r>
          </w:p>
        </w:tc>
      </w:tr>
      <w:tr>
        <w:trPr>
          <w:trHeight w:val="245" w:hRule="exact"/>
        </w:trPr>
        <w:tc>
          <w:tcPr>
            <w:tcW w:w="2489"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94" w:type="dxa"/>
            <w:tcBorders>
              <w:top w:val="nil" w:sz="6" w:space="0" w:color="auto"/>
              <w:left w:val="nil" w:sz="6" w:space="0" w:color="auto"/>
              <w:bottom w:val="nil" w:sz="6" w:space="0" w:color="auto"/>
              <w:right w:val="nil" w:sz="6" w:space="0" w:color="auto"/>
            </w:tcBorders>
          </w:tcPr>
          <w:p>
            <w:pPr>
              <w:pStyle w:val="TableParagraph"/>
              <w:spacing w:line="245" w:lineRule="exact"/>
              <w:ind w:right="476"/>
              <w:jc w:val="right"/>
              <w:rPr>
                <w:rFonts w:ascii="宋体" w:hAnsi="宋体" w:cs="宋体" w:eastAsia="宋体" w:hint="default"/>
                <w:sz w:val="21"/>
                <w:szCs w:val="21"/>
              </w:rPr>
            </w:pPr>
            <w:r>
              <w:rPr>
                <w:rFonts w:ascii="宋体"/>
                <w:spacing w:val="-1"/>
                <w:sz w:val="21"/>
              </w:rPr>
              <w:t>402,105,982</w:t>
            </w:r>
          </w:p>
        </w:tc>
        <w:tc>
          <w:tcPr>
            <w:tcW w:w="2415" w:type="dxa"/>
            <w:tcBorders>
              <w:top w:val="nil" w:sz="6" w:space="0" w:color="auto"/>
              <w:left w:val="nil" w:sz="6" w:space="0" w:color="auto"/>
              <w:bottom w:val="nil" w:sz="6" w:space="0" w:color="auto"/>
              <w:right w:val="nil" w:sz="6" w:space="0" w:color="auto"/>
            </w:tcBorders>
          </w:tcPr>
          <w:p>
            <w:pPr>
              <w:pStyle w:val="TableParagraph"/>
              <w:spacing w:line="245" w:lineRule="exact"/>
              <w:ind w:right="198"/>
              <w:jc w:val="right"/>
              <w:rPr>
                <w:rFonts w:ascii="宋体" w:hAnsi="宋体" w:cs="宋体" w:eastAsia="宋体" w:hint="default"/>
                <w:sz w:val="21"/>
                <w:szCs w:val="21"/>
              </w:rPr>
            </w:pPr>
            <w:r>
              <w:rPr>
                <w:rFonts w:ascii="宋体"/>
                <w:spacing w:val="-1"/>
                <w:sz w:val="21"/>
              </w:rPr>
              <w:t>400,369,531</w:t>
            </w:r>
          </w:p>
        </w:tc>
      </w:tr>
    </w:tbl>
    <w:p>
      <w:pPr>
        <w:spacing w:after="0" w:line="245" w:lineRule="exact"/>
        <w:jc w:val="right"/>
        <w:rPr>
          <w:rFonts w:ascii="宋体" w:hAnsi="宋体" w:cs="宋体" w:eastAsia="宋体" w:hint="default"/>
          <w:sz w:val="21"/>
          <w:szCs w:val="21"/>
        </w:rPr>
        <w:sectPr>
          <w:pgSz w:w="11910" w:h="16840"/>
          <w:pgMar w:header="0" w:footer="1335" w:top="1120" w:bottom="1520" w:left="1660" w:right="8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638" w:type="dxa"/>
        <w:tblLayout w:type="fixed"/>
        <w:tblCellMar>
          <w:top w:w="0" w:type="dxa"/>
          <w:left w:w="0" w:type="dxa"/>
          <w:bottom w:w="0" w:type="dxa"/>
          <w:right w:w="0" w:type="dxa"/>
        </w:tblCellMar>
        <w:tblLook w:val="01E0"/>
      </w:tblPr>
      <w:tblGrid>
        <w:gridCol w:w="3430"/>
        <w:gridCol w:w="2536"/>
        <w:gridCol w:w="2231"/>
      </w:tblGrid>
      <w:tr>
        <w:trPr>
          <w:trHeight w:val="244" w:hRule="exact"/>
        </w:trPr>
        <w:tc>
          <w:tcPr>
            <w:tcW w:w="3430"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536" w:type="dxa"/>
            <w:tcBorders>
              <w:top w:val="nil" w:sz="6" w:space="0" w:color="auto"/>
              <w:left w:val="nil" w:sz="6" w:space="0" w:color="auto"/>
              <w:bottom w:val="nil" w:sz="6" w:space="0" w:color="auto"/>
              <w:right w:val="nil" w:sz="6" w:space="0" w:color="auto"/>
            </w:tcBorders>
          </w:tcPr>
          <w:p>
            <w:pPr>
              <w:pStyle w:val="TableParagraph"/>
              <w:spacing w:line="211" w:lineRule="exact"/>
              <w:ind w:right="663"/>
              <w:jc w:val="right"/>
              <w:rPr>
                <w:rFonts w:ascii="宋体" w:hAnsi="宋体" w:cs="宋体" w:eastAsia="宋体" w:hint="default"/>
                <w:sz w:val="21"/>
                <w:szCs w:val="21"/>
              </w:rPr>
            </w:pPr>
            <w:r>
              <w:rPr>
                <w:rFonts w:ascii="宋体"/>
                <w:spacing w:val="-1"/>
                <w:sz w:val="21"/>
              </w:rPr>
              <w:t>552,085,343</w:t>
            </w:r>
          </w:p>
        </w:tc>
        <w:tc>
          <w:tcPr>
            <w:tcW w:w="2231"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spacing w:val="-1"/>
                <w:sz w:val="21"/>
              </w:rPr>
              <w:t>505,607,403</w:t>
            </w:r>
          </w:p>
        </w:tc>
      </w:tr>
      <w:tr>
        <w:trPr>
          <w:trHeight w:val="277" w:hRule="exact"/>
        </w:trPr>
        <w:tc>
          <w:tcPr>
            <w:tcW w:w="3430" w:type="dxa"/>
            <w:tcBorders>
              <w:top w:val="nil" w:sz="6" w:space="0" w:color="auto"/>
              <w:left w:val="nil" w:sz="6" w:space="0" w:color="auto"/>
              <w:bottom w:val="nil" w:sz="6" w:space="0" w:color="auto"/>
              <w:right w:val="nil" w:sz="6" w:space="0" w:color="auto"/>
            </w:tcBorders>
          </w:tcPr>
          <w:p>
            <w:pPr>
              <w:pStyle w:val="TableParagraph"/>
              <w:spacing w:line="243" w:lineRule="exact"/>
              <w:ind w:left="200" w:right="0"/>
              <w:jc w:val="left"/>
              <w:rPr>
                <w:rFonts w:ascii="宋体" w:hAnsi="宋体" w:cs="宋体" w:eastAsia="宋体" w:hint="default"/>
                <w:sz w:val="21"/>
                <w:szCs w:val="21"/>
              </w:rPr>
            </w:pPr>
            <w:r>
              <w:rPr>
                <w:rFonts w:ascii="宋体" w:hAnsi="宋体" w:cs="宋体" w:eastAsia="宋体" w:hint="default"/>
                <w:sz w:val="21"/>
                <w:szCs w:val="21"/>
              </w:rPr>
              <w:t>应交税费（不含应交所得税）</w:t>
            </w:r>
          </w:p>
        </w:tc>
        <w:tc>
          <w:tcPr>
            <w:tcW w:w="2536" w:type="dxa"/>
            <w:tcBorders>
              <w:top w:val="nil" w:sz="6" w:space="0" w:color="auto"/>
              <w:left w:val="nil" w:sz="6" w:space="0" w:color="auto"/>
              <w:bottom w:val="nil" w:sz="6" w:space="0" w:color="auto"/>
              <w:right w:val="nil" w:sz="6" w:space="0" w:color="auto"/>
            </w:tcBorders>
          </w:tcPr>
          <w:p>
            <w:pPr>
              <w:pStyle w:val="TableParagraph"/>
              <w:spacing w:line="243" w:lineRule="exact"/>
              <w:ind w:right="660"/>
              <w:jc w:val="right"/>
              <w:rPr>
                <w:rFonts w:ascii="宋体" w:hAnsi="宋体" w:cs="宋体" w:eastAsia="宋体" w:hint="default"/>
                <w:sz w:val="21"/>
                <w:szCs w:val="21"/>
              </w:rPr>
            </w:pPr>
            <w:r>
              <w:rPr>
                <w:rFonts w:ascii="宋体"/>
                <w:spacing w:val="-1"/>
                <w:sz w:val="21"/>
              </w:rPr>
              <w:t>184,483,071</w:t>
            </w:r>
          </w:p>
        </w:tc>
        <w:tc>
          <w:tcPr>
            <w:tcW w:w="2231" w:type="dxa"/>
            <w:tcBorders>
              <w:top w:val="nil" w:sz="6" w:space="0" w:color="auto"/>
              <w:left w:val="nil" w:sz="6" w:space="0" w:color="auto"/>
              <w:bottom w:val="nil" w:sz="6" w:space="0" w:color="auto"/>
              <w:right w:val="nil" w:sz="6" w:space="0" w:color="auto"/>
            </w:tcBorders>
          </w:tcPr>
          <w:p>
            <w:pPr>
              <w:pStyle w:val="TableParagraph"/>
              <w:spacing w:line="243" w:lineRule="exact"/>
              <w:ind w:right="198"/>
              <w:jc w:val="right"/>
              <w:rPr>
                <w:rFonts w:ascii="宋体" w:hAnsi="宋体" w:cs="宋体" w:eastAsia="宋体" w:hint="default"/>
                <w:sz w:val="21"/>
                <w:szCs w:val="21"/>
              </w:rPr>
            </w:pPr>
            <w:r>
              <w:rPr>
                <w:rFonts w:ascii="宋体"/>
                <w:spacing w:val="-1"/>
                <w:sz w:val="21"/>
              </w:rPr>
              <w:t>187,237,524</w:t>
            </w:r>
          </w:p>
        </w:tc>
      </w:tr>
      <w:tr>
        <w:trPr>
          <w:trHeight w:val="278" w:hRule="exact"/>
        </w:trPr>
        <w:tc>
          <w:tcPr>
            <w:tcW w:w="343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限制性股票</w:t>
            </w:r>
            <w:r>
              <w:rPr>
                <w:rFonts w:ascii="宋体" w:hAnsi="宋体" w:cs="宋体" w:eastAsia="宋体" w:hint="default"/>
                <w:sz w:val="21"/>
                <w:szCs w:val="21"/>
              </w:rPr>
              <w:t>)</w:t>
            </w:r>
          </w:p>
        </w:tc>
        <w:tc>
          <w:tcPr>
            <w:tcW w:w="2536" w:type="dxa"/>
            <w:tcBorders>
              <w:top w:val="nil" w:sz="6" w:space="0" w:color="auto"/>
              <w:left w:val="nil" w:sz="6" w:space="0" w:color="auto"/>
              <w:bottom w:val="nil" w:sz="6" w:space="0" w:color="auto"/>
              <w:right w:val="nil" w:sz="6" w:space="0" w:color="auto"/>
            </w:tcBorders>
          </w:tcPr>
          <w:p>
            <w:pPr>
              <w:pStyle w:val="TableParagraph"/>
              <w:spacing w:line="245" w:lineRule="exact"/>
              <w:ind w:right="660"/>
              <w:jc w:val="right"/>
              <w:rPr>
                <w:rFonts w:ascii="宋体" w:hAnsi="宋体" w:cs="宋体" w:eastAsia="宋体" w:hint="default"/>
                <w:sz w:val="21"/>
                <w:szCs w:val="21"/>
              </w:rPr>
            </w:pPr>
            <w:r>
              <w:rPr>
                <w:rFonts w:ascii="宋体"/>
                <w:spacing w:val="-1"/>
                <w:sz w:val="21"/>
              </w:rPr>
              <w:t>676,375</w:t>
            </w:r>
          </w:p>
        </w:tc>
        <w:tc>
          <w:tcPr>
            <w:tcW w:w="2231" w:type="dxa"/>
            <w:tcBorders>
              <w:top w:val="nil" w:sz="6" w:space="0" w:color="auto"/>
              <w:left w:val="nil" w:sz="6" w:space="0" w:color="auto"/>
              <w:bottom w:val="nil" w:sz="6" w:space="0" w:color="auto"/>
              <w:right w:val="nil" w:sz="6" w:space="0" w:color="auto"/>
            </w:tcBorders>
          </w:tcPr>
          <w:p>
            <w:pPr/>
          </w:p>
        </w:tc>
      </w:tr>
      <w:tr>
        <w:trPr>
          <w:trHeight w:val="278" w:hRule="exact"/>
        </w:trPr>
        <w:tc>
          <w:tcPr>
            <w:tcW w:w="343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536" w:type="dxa"/>
            <w:tcBorders>
              <w:top w:val="nil" w:sz="6" w:space="0" w:color="auto"/>
              <w:left w:val="nil" w:sz="6" w:space="0" w:color="auto"/>
              <w:bottom w:val="nil" w:sz="6" w:space="0" w:color="auto"/>
              <w:right w:val="nil" w:sz="6" w:space="0" w:color="auto"/>
            </w:tcBorders>
          </w:tcPr>
          <w:p>
            <w:pPr>
              <w:pStyle w:val="TableParagraph"/>
              <w:spacing w:line="245" w:lineRule="exact"/>
              <w:ind w:right="660"/>
              <w:jc w:val="right"/>
              <w:rPr>
                <w:rFonts w:ascii="宋体" w:hAnsi="宋体" w:cs="宋体" w:eastAsia="宋体" w:hint="default"/>
                <w:sz w:val="21"/>
                <w:szCs w:val="21"/>
              </w:rPr>
            </w:pPr>
            <w:r>
              <w:rPr>
                <w:rFonts w:ascii="宋体"/>
                <w:spacing w:val="-1"/>
                <w:sz w:val="21"/>
              </w:rPr>
              <w:t>21,137,671</w:t>
            </w:r>
          </w:p>
        </w:tc>
        <w:tc>
          <w:tcPr>
            <w:tcW w:w="2231" w:type="dxa"/>
            <w:tcBorders>
              <w:top w:val="nil" w:sz="6" w:space="0" w:color="auto"/>
              <w:left w:val="nil" w:sz="6" w:space="0" w:color="auto"/>
              <w:bottom w:val="nil" w:sz="6" w:space="0" w:color="auto"/>
              <w:right w:val="nil" w:sz="6" w:space="0" w:color="auto"/>
            </w:tcBorders>
          </w:tcPr>
          <w:p>
            <w:pPr>
              <w:pStyle w:val="TableParagraph"/>
              <w:spacing w:line="245" w:lineRule="exact"/>
              <w:ind w:right="198"/>
              <w:jc w:val="right"/>
              <w:rPr>
                <w:rFonts w:ascii="宋体" w:hAnsi="宋体" w:cs="宋体" w:eastAsia="宋体" w:hint="default"/>
                <w:sz w:val="21"/>
                <w:szCs w:val="21"/>
              </w:rPr>
            </w:pPr>
            <w:r>
              <w:rPr>
                <w:rFonts w:ascii="宋体"/>
                <w:spacing w:val="-1"/>
                <w:sz w:val="21"/>
              </w:rPr>
              <w:t>21,137,671</w:t>
            </w:r>
          </w:p>
        </w:tc>
      </w:tr>
      <w:tr>
        <w:trPr>
          <w:trHeight w:val="278" w:hRule="exact"/>
        </w:trPr>
        <w:tc>
          <w:tcPr>
            <w:tcW w:w="343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36" w:type="dxa"/>
            <w:tcBorders>
              <w:top w:val="nil" w:sz="6" w:space="0" w:color="auto"/>
              <w:left w:val="nil" w:sz="6" w:space="0" w:color="auto"/>
              <w:bottom w:val="nil" w:sz="6" w:space="0" w:color="auto"/>
              <w:right w:val="nil" w:sz="6" w:space="0" w:color="auto"/>
            </w:tcBorders>
          </w:tcPr>
          <w:p>
            <w:pPr>
              <w:pStyle w:val="TableParagraph"/>
              <w:spacing w:line="245" w:lineRule="exact"/>
              <w:ind w:right="660"/>
              <w:jc w:val="right"/>
              <w:rPr>
                <w:rFonts w:ascii="宋体" w:hAnsi="宋体" w:cs="宋体" w:eastAsia="宋体" w:hint="default"/>
                <w:sz w:val="21"/>
                <w:szCs w:val="21"/>
              </w:rPr>
            </w:pPr>
            <w:r>
              <w:rPr>
                <w:rFonts w:ascii="宋体"/>
                <w:spacing w:val="-1"/>
                <w:sz w:val="21"/>
              </w:rPr>
              <w:t>291,364,472</w:t>
            </w:r>
          </w:p>
        </w:tc>
        <w:tc>
          <w:tcPr>
            <w:tcW w:w="2231" w:type="dxa"/>
            <w:tcBorders>
              <w:top w:val="nil" w:sz="6" w:space="0" w:color="auto"/>
              <w:left w:val="nil" w:sz="6" w:space="0" w:color="auto"/>
              <w:bottom w:val="nil" w:sz="6" w:space="0" w:color="auto"/>
              <w:right w:val="nil" w:sz="6" w:space="0" w:color="auto"/>
            </w:tcBorders>
          </w:tcPr>
          <w:p>
            <w:pPr>
              <w:pStyle w:val="TableParagraph"/>
              <w:spacing w:line="245" w:lineRule="exact"/>
              <w:ind w:right="198"/>
              <w:jc w:val="right"/>
              <w:rPr>
                <w:rFonts w:ascii="宋体" w:hAnsi="宋体" w:cs="宋体" w:eastAsia="宋体" w:hint="default"/>
                <w:sz w:val="21"/>
                <w:szCs w:val="21"/>
              </w:rPr>
            </w:pPr>
            <w:r>
              <w:rPr>
                <w:rFonts w:ascii="宋体"/>
                <w:spacing w:val="-1"/>
                <w:sz w:val="21"/>
              </w:rPr>
              <w:t>249,530,113</w:t>
            </w:r>
          </w:p>
        </w:tc>
      </w:tr>
      <w:tr>
        <w:trPr>
          <w:trHeight w:val="278" w:hRule="exact"/>
        </w:trPr>
        <w:tc>
          <w:tcPr>
            <w:tcW w:w="343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长期借款（含一年内到期）</w:t>
            </w:r>
          </w:p>
        </w:tc>
        <w:tc>
          <w:tcPr>
            <w:tcW w:w="2536" w:type="dxa"/>
            <w:tcBorders>
              <w:top w:val="nil" w:sz="6" w:space="0" w:color="auto"/>
              <w:left w:val="nil" w:sz="6" w:space="0" w:color="auto"/>
              <w:bottom w:val="nil" w:sz="6" w:space="0" w:color="auto"/>
              <w:right w:val="nil" w:sz="6" w:space="0" w:color="auto"/>
            </w:tcBorders>
          </w:tcPr>
          <w:p>
            <w:pPr>
              <w:pStyle w:val="TableParagraph"/>
              <w:spacing w:line="245" w:lineRule="exact"/>
              <w:ind w:right="663"/>
              <w:jc w:val="right"/>
              <w:rPr>
                <w:rFonts w:ascii="宋体" w:hAnsi="宋体" w:cs="宋体" w:eastAsia="宋体" w:hint="default"/>
                <w:sz w:val="21"/>
                <w:szCs w:val="21"/>
              </w:rPr>
            </w:pPr>
            <w:r>
              <w:rPr>
                <w:rFonts w:ascii="宋体"/>
                <w:spacing w:val="-1"/>
                <w:sz w:val="21"/>
              </w:rPr>
              <w:t>192,391,408</w:t>
            </w:r>
          </w:p>
        </w:tc>
        <w:tc>
          <w:tcPr>
            <w:tcW w:w="2231" w:type="dxa"/>
            <w:tcBorders>
              <w:top w:val="nil" w:sz="6" w:space="0" w:color="auto"/>
              <w:left w:val="nil" w:sz="6" w:space="0" w:color="auto"/>
              <w:bottom w:val="nil" w:sz="6" w:space="0" w:color="auto"/>
              <w:right w:val="nil" w:sz="6" w:space="0" w:color="auto"/>
            </w:tcBorders>
          </w:tcPr>
          <w:p>
            <w:pPr>
              <w:pStyle w:val="TableParagraph"/>
              <w:spacing w:line="245" w:lineRule="exact"/>
              <w:ind w:right="198"/>
              <w:jc w:val="right"/>
              <w:rPr>
                <w:rFonts w:ascii="宋体" w:hAnsi="宋体" w:cs="宋体" w:eastAsia="宋体" w:hint="default"/>
                <w:sz w:val="21"/>
                <w:szCs w:val="21"/>
              </w:rPr>
            </w:pPr>
            <w:r>
              <w:rPr>
                <w:rFonts w:ascii="宋体"/>
                <w:spacing w:val="-1"/>
                <w:sz w:val="21"/>
              </w:rPr>
              <w:t>433,549,395</w:t>
            </w:r>
          </w:p>
        </w:tc>
      </w:tr>
      <w:tr>
        <w:trPr>
          <w:trHeight w:val="277" w:hRule="exact"/>
        </w:trPr>
        <w:tc>
          <w:tcPr>
            <w:tcW w:w="343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应付债券（非一年内到期）</w:t>
            </w:r>
          </w:p>
        </w:tc>
        <w:tc>
          <w:tcPr>
            <w:tcW w:w="2536" w:type="dxa"/>
            <w:tcBorders>
              <w:top w:val="nil" w:sz="6" w:space="0" w:color="auto"/>
              <w:left w:val="nil" w:sz="6" w:space="0" w:color="auto"/>
              <w:bottom w:val="nil" w:sz="6" w:space="0" w:color="auto"/>
              <w:right w:val="nil" w:sz="6" w:space="0" w:color="auto"/>
            </w:tcBorders>
          </w:tcPr>
          <w:p>
            <w:pPr>
              <w:pStyle w:val="TableParagraph"/>
              <w:spacing w:line="245" w:lineRule="exact"/>
              <w:ind w:right="663"/>
              <w:jc w:val="right"/>
              <w:rPr>
                <w:rFonts w:ascii="宋体" w:hAnsi="宋体" w:cs="宋体" w:eastAsia="宋体" w:hint="default"/>
                <w:sz w:val="21"/>
                <w:szCs w:val="21"/>
              </w:rPr>
            </w:pPr>
            <w:r>
              <w:rPr>
                <w:rFonts w:ascii="宋体"/>
                <w:w w:val="100"/>
                <w:sz w:val="21"/>
              </w:rPr>
              <w:t>-</w:t>
            </w:r>
          </w:p>
        </w:tc>
        <w:tc>
          <w:tcPr>
            <w:tcW w:w="2231" w:type="dxa"/>
            <w:tcBorders>
              <w:top w:val="nil" w:sz="6" w:space="0" w:color="auto"/>
              <w:left w:val="nil" w:sz="6" w:space="0" w:color="auto"/>
              <w:bottom w:val="nil" w:sz="6" w:space="0" w:color="auto"/>
              <w:right w:val="nil" w:sz="6" w:space="0" w:color="auto"/>
            </w:tcBorders>
          </w:tcPr>
          <w:p>
            <w:pPr>
              <w:pStyle w:val="TableParagraph"/>
              <w:spacing w:line="245" w:lineRule="exact"/>
              <w:ind w:right="198"/>
              <w:jc w:val="right"/>
              <w:rPr>
                <w:rFonts w:ascii="宋体" w:hAnsi="宋体" w:cs="宋体" w:eastAsia="宋体" w:hint="default"/>
                <w:sz w:val="21"/>
                <w:szCs w:val="21"/>
              </w:rPr>
            </w:pPr>
            <w:r>
              <w:rPr>
                <w:rFonts w:ascii="宋体"/>
                <w:spacing w:val="-1"/>
                <w:sz w:val="21"/>
              </w:rPr>
              <w:t>498,082,310</w:t>
            </w:r>
          </w:p>
        </w:tc>
      </w:tr>
      <w:tr>
        <w:trPr>
          <w:trHeight w:val="277" w:hRule="exact"/>
        </w:trPr>
        <w:tc>
          <w:tcPr>
            <w:tcW w:w="3430" w:type="dxa"/>
            <w:tcBorders>
              <w:top w:val="nil" w:sz="6" w:space="0" w:color="auto"/>
              <w:left w:val="nil" w:sz="6" w:space="0" w:color="auto"/>
              <w:bottom w:val="nil" w:sz="6" w:space="0" w:color="auto"/>
              <w:right w:val="nil" w:sz="6" w:space="0" w:color="auto"/>
            </w:tcBorders>
          </w:tcPr>
          <w:p>
            <w:pPr>
              <w:pStyle w:val="TableParagraph"/>
              <w:spacing w:line="243"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应付债券（一年内到期）</w:t>
            </w:r>
          </w:p>
        </w:tc>
        <w:tc>
          <w:tcPr>
            <w:tcW w:w="2536" w:type="dxa"/>
            <w:tcBorders>
              <w:top w:val="nil" w:sz="6" w:space="0" w:color="auto"/>
              <w:left w:val="nil" w:sz="6" w:space="0" w:color="auto"/>
              <w:bottom w:val="nil" w:sz="6" w:space="0" w:color="auto"/>
              <w:right w:val="nil" w:sz="6" w:space="0" w:color="auto"/>
            </w:tcBorders>
          </w:tcPr>
          <w:p>
            <w:pPr>
              <w:pStyle w:val="TableParagraph"/>
              <w:spacing w:line="243" w:lineRule="exact"/>
              <w:ind w:right="660"/>
              <w:jc w:val="right"/>
              <w:rPr>
                <w:rFonts w:ascii="宋体" w:hAnsi="宋体" w:cs="宋体" w:eastAsia="宋体" w:hint="default"/>
                <w:sz w:val="21"/>
                <w:szCs w:val="21"/>
              </w:rPr>
            </w:pPr>
            <w:r>
              <w:rPr>
                <w:rFonts w:ascii="宋体"/>
                <w:spacing w:val="-1"/>
                <w:sz w:val="21"/>
              </w:rPr>
              <w:t>499,648,984</w:t>
            </w:r>
          </w:p>
        </w:tc>
        <w:tc>
          <w:tcPr>
            <w:tcW w:w="2231" w:type="dxa"/>
            <w:tcBorders>
              <w:top w:val="nil" w:sz="6" w:space="0" w:color="auto"/>
              <w:left w:val="nil" w:sz="6" w:space="0" w:color="auto"/>
              <w:bottom w:val="nil" w:sz="6" w:space="0" w:color="auto"/>
              <w:right w:val="nil" w:sz="6" w:space="0" w:color="auto"/>
            </w:tcBorders>
          </w:tcPr>
          <w:p>
            <w:pPr>
              <w:pStyle w:val="TableParagraph"/>
              <w:spacing w:line="243" w:lineRule="exact"/>
              <w:ind w:right="200"/>
              <w:jc w:val="right"/>
              <w:rPr>
                <w:rFonts w:ascii="宋体" w:hAnsi="宋体" w:cs="宋体" w:eastAsia="宋体" w:hint="default"/>
                <w:sz w:val="21"/>
                <w:szCs w:val="21"/>
              </w:rPr>
            </w:pPr>
            <w:r>
              <w:rPr>
                <w:rFonts w:ascii="宋体"/>
                <w:w w:val="100"/>
                <w:sz w:val="21"/>
              </w:rPr>
              <w:t>-</w:t>
            </w:r>
          </w:p>
        </w:tc>
      </w:tr>
      <w:tr>
        <w:trPr>
          <w:trHeight w:val="278" w:hRule="exact"/>
        </w:trPr>
        <w:tc>
          <w:tcPr>
            <w:tcW w:w="343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减：现金和现金等价物</w:t>
            </w:r>
          </w:p>
        </w:tc>
        <w:tc>
          <w:tcPr>
            <w:tcW w:w="2536" w:type="dxa"/>
            <w:tcBorders>
              <w:top w:val="nil" w:sz="6" w:space="0" w:color="auto"/>
              <w:left w:val="nil" w:sz="6" w:space="0" w:color="auto"/>
              <w:bottom w:val="nil" w:sz="6" w:space="0" w:color="auto"/>
              <w:right w:val="nil" w:sz="6" w:space="0" w:color="auto"/>
            </w:tcBorders>
          </w:tcPr>
          <w:p>
            <w:pPr>
              <w:pStyle w:val="TableParagraph"/>
              <w:spacing w:line="245" w:lineRule="exact"/>
              <w:ind w:right="668"/>
              <w:jc w:val="right"/>
              <w:rPr>
                <w:rFonts w:ascii="宋体" w:hAnsi="宋体" w:cs="宋体" w:eastAsia="宋体" w:hint="default"/>
                <w:sz w:val="21"/>
                <w:szCs w:val="21"/>
              </w:rPr>
            </w:pPr>
            <w:r>
              <w:rPr>
                <w:rFonts w:ascii="宋体"/>
                <w:w w:val="100"/>
                <w:sz w:val="21"/>
              </w:rPr>
            </w:r>
            <w:r>
              <w:rPr>
                <w:rFonts w:ascii="宋体"/>
                <w:spacing w:val="-1"/>
                <w:sz w:val="21"/>
                <w:u w:val="single" w:color="000000"/>
              </w:rPr>
              <w:t>3,879,048,001</w:t>
            </w:r>
            <w:r>
              <w:rPr>
                <w:rFonts w:ascii="宋体"/>
                <w:spacing w:val="-1"/>
                <w:sz w:val="21"/>
              </w:rPr>
            </w:r>
          </w:p>
        </w:tc>
        <w:tc>
          <w:tcPr>
            <w:tcW w:w="2231" w:type="dxa"/>
            <w:tcBorders>
              <w:top w:val="nil" w:sz="6" w:space="0" w:color="auto"/>
              <w:left w:val="nil" w:sz="6" w:space="0" w:color="auto"/>
              <w:bottom w:val="nil" w:sz="6" w:space="0" w:color="auto"/>
              <w:right w:val="nil" w:sz="6" w:space="0" w:color="auto"/>
            </w:tcBorders>
          </w:tcPr>
          <w:p>
            <w:pPr>
              <w:pStyle w:val="TableParagraph"/>
              <w:spacing w:line="245" w:lineRule="exact"/>
              <w:ind w:right="198"/>
              <w:jc w:val="right"/>
              <w:rPr>
                <w:rFonts w:ascii="宋体" w:hAnsi="宋体" w:cs="宋体" w:eastAsia="宋体" w:hint="default"/>
                <w:sz w:val="21"/>
                <w:szCs w:val="21"/>
              </w:rPr>
            </w:pPr>
            <w:r>
              <w:rPr>
                <w:rFonts w:ascii="宋体"/>
                <w:w w:val="100"/>
                <w:sz w:val="21"/>
              </w:rPr>
            </w:r>
            <w:r>
              <w:rPr>
                <w:rFonts w:ascii="宋体"/>
                <w:spacing w:val="-1"/>
                <w:sz w:val="21"/>
                <w:u w:val="single" w:color="000000"/>
              </w:rPr>
              <w:t>2,963,403,868</w:t>
            </w:r>
            <w:r>
              <w:rPr>
                <w:rFonts w:ascii="宋体"/>
                <w:spacing w:val="-1"/>
                <w:sz w:val="21"/>
              </w:rPr>
            </w:r>
          </w:p>
        </w:tc>
      </w:tr>
      <w:tr>
        <w:trPr>
          <w:trHeight w:val="274" w:hRule="exact"/>
        </w:trPr>
        <w:tc>
          <w:tcPr>
            <w:tcW w:w="343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净负债</w:t>
            </w:r>
          </w:p>
        </w:tc>
        <w:tc>
          <w:tcPr>
            <w:tcW w:w="2536" w:type="dxa"/>
            <w:tcBorders>
              <w:top w:val="nil" w:sz="6" w:space="0" w:color="auto"/>
              <w:left w:val="nil" w:sz="6" w:space="0" w:color="auto"/>
              <w:bottom w:val="nil" w:sz="6" w:space="0" w:color="auto"/>
              <w:right w:val="nil" w:sz="6" w:space="0" w:color="auto"/>
            </w:tcBorders>
          </w:tcPr>
          <w:p>
            <w:pPr>
              <w:pStyle w:val="TableParagraph"/>
              <w:tabs>
                <w:tab w:pos="317" w:val="left" w:leader="none"/>
              </w:tabs>
              <w:spacing w:line="245" w:lineRule="exact"/>
              <w:ind w:right="660"/>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ab/>
            </w:r>
            <w:r>
              <w:rPr>
                <w:rFonts w:ascii="宋体"/>
                <w:spacing w:val="-1"/>
                <w:sz w:val="21"/>
                <w:u w:val="single" w:color="000000"/>
              </w:rPr>
              <w:t>88,829,667</w:t>
            </w:r>
            <w:r>
              <w:rPr>
                <w:rFonts w:ascii="宋体"/>
                <w:spacing w:val="-1"/>
                <w:sz w:val="21"/>
              </w:rPr>
            </w:r>
          </w:p>
        </w:tc>
        <w:tc>
          <w:tcPr>
            <w:tcW w:w="2231" w:type="dxa"/>
            <w:tcBorders>
              <w:top w:val="nil" w:sz="6" w:space="0" w:color="auto"/>
              <w:left w:val="nil" w:sz="6" w:space="0" w:color="auto"/>
              <w:bottom w:val="nil" w:sz="6" w:space="0" w:color="auto"/>
              <w:right w:val="nil" w:sz="6" w:space="0" w:color="auto"/>
            </w:tcBorders>
          </w:tcPr>
          <w:p>
            <w:pPr>
              <w:pStyle w:val="TableParagraph"/>
              <w:spacing w:line="245" w:lineRule="exact"/>
              <w:ind w:right="198"/>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pacing w:val="-1"/>
                <w:sz w:val="21"/>
                <w:u w:val="single" w:color="000000"/>
              </w:rPr>
              <w:t>600,110,079</w:t>
            </w:r>
            <w:r>
              <w:rPr>
                <w:rFonts w:ascii="宋体"/>
                <w:spacing w:val="-1"/>
                <w:sz w:val="21"/>
              </w:rPr>
            </w:r>
          </w:p>
        </w:tc>
      </w:tr>
      <w:tr>
        <w:trPr>
          <w:trHeight w:val="269" w:hRule="exact"/>
        </w:trPr>
        <w:tc>
          <w:tcPr>
            <w:tcW w:w="343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归属於母公司的股东权益</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exact"/>
              <w:ind w:right="661"/>
              <w:jc w:val="right"/>
              <w:rPr>
                <w:rFonts w:ascii="宋体" w:hAnsi="宋体" w:cs="宋体" w:eastAsia="宋体" w:hint="default"/>
                <w:sz w:val="21"/>
                <w:szCs w:val="21"/>
              </w:rPr>
            </w:pPr>
            <w:r>
              <w:rPr>
                <w:rFonts w:ascii="宋体"/>
                <w:w w:val="100"/>
                <w:sz w:val="21"/>
              </w:rPr>
            </w:r>
            <w:r>
              <w:rPr>
                <w:rFonts w:ascii="宋体"/>
                <w:spacing w:val="-1"/>
                <w:sz w:val="21"/>
                <w:u w:val="single" w:color="000000"/>
              </w:rPr>
              <w:t>5,518,891,298</w:t>
            </w:r>
            <w:r>
              <w:rPr>
                <w:rFonts w:ascii="宋体"/>
                <w:spacing w:val="-1"/>
                <w:sz w:val="21"/>
              </w:rPr>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宋体" w:hAnsi="宋体" w:cs="宋体" w:eastAsia="宋体" w:hint="default"/>
                <w:sz w:val="21"/>
                <w:szCs w:val="21"/>
              </w:rPr>
            </w:pPr>
            <w:r>
              <w:rPr>
                <w:rFonts w:ascii="宋体"/>
                <w:w w:val="100"/>
                <w:sz w:val="21"/>
              </w:rPr>
            </w:r>
            <w:r>
              <w:rPr>
                <w:rFonts w:ascii="宋体"/>
                <w:spacing w:val="-1"/>
                <w:sz w:val="21"/>
                <w:u w:val="single" w:color="000000"/>
              </w:rPr>
              <w:t>3,938,456,906</w:t>
            </w:r>
            <w:r>
              <w:rPr>
                <w:rFonts w:ascii="宋体"/>
                <w:spacing w:val="-1"/>
                <w:sz w:val="21"/>
              </w:rPr>
            </w:r>
          </w:p>
        </w:tc>
      </w:tr>
      <w:tr>
        <w:trPr>
          <w:trHeight w:val="269" w:hRule="exact"/>
        </w:trPr>
        <w:tc>
          <w:tcPr>
            <w:tcW w:w="343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资本和净负债</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exact"/>
              <w:ind w:right="661"/>
              <w:jc w:val="right"/>
              <w:rPr>
                <w:rFonts w:ascii="宋体" w:hAnsi="宋体" w:cs="宋体" w:eastAsia="宋体" w:hint="default"/>
                <w:sz w:val="21"/>
                <w:szCs w:val="21"/>
              </w:rPr>
            </w:pPr>
            <w:r>
              <w:rPr>
                <w:rFonts w:ascii="宋体"/>
                <w:w w:val="100"/>
                <w:sz w:val="21"/>
              </w:rPr>
            </w:r>
            <w:r>
              <w:rPr>
                <w:rFonts w:ascii="宋体"/>
                <w:spacing w:val="-1"/>
                <w:sz w:val="21"/>
                <w:u w:val="single" w:color="000000"/>
              </w:rPr>
              <w:t>5,607,720,965</w:t>
            </w:r>
            <w:r>
              <w:rPr>
                <w:rFonts w:ascii="宋体"/>
                <w:spacing w:val="-1"/>
                <w:sz w:val="21"/>
              </w:rPr>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宋体" w:hAnsi="宋体" w:cs="宋体" w:eastAsia="宋体" w:hint="default"/>
                <w:sz w:val="21"/>
                <w:szCs w:val="21"/>
              </w:rPr>
            </w:pPr>
            <w:r>
              <w:rPr>
                <w:rFonts w:ascii="宋体"/>
                <w:w w:val="100"/>
                <w:sz w:val="21"/>
              </w:rPr>
            </w:r>
            <w:r>
              <w:rPr>
                <w:rFonts w:ascii="宋体"/>
                <w:spacing w:val="-1"/>
                <w:sz w:val="21"/>
                <w:u w:val="single" w:color="000000"/>
              </w:rPr>
              <w:t>4,538,566,985</w:t>
            </w:r>
            <w:r>
              <w:rPr>
                <w:rFonts w:ascii="宋体"/>
                <w:spacing w:val="-1"/>
                <w:sz w:val="21"/>
              </w:rPr>
            </w:r>
          </w:p>
        </w:tc>
      </w:tr>
      <w:tr>
        <w:trPr>
          <w:trHeight w:val="240" w:hRule="exact"/>
        </w:trPr>
        <w:tc>
          <w:tcPr>
            <w:tcW w:w="343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杠杆比率</w:t>
            </w:r>
          </w:p>
        </w:tc>
        <w:tc>
          <w:tcPr>
            <w:tcW w:w="2536" w:type="dxa"/>
            <w:tcBorders>
              <w:top w:val="nil" w:sz="6" w:space="0" w:color="auto"/>
              <w:left w:val="nil" w:sz="6" w:space="0" w:color="auto"/>
              <w:bottom w:val="nil" w:sz="6" w:space="0" w:color="auto"/>
              <w:right w:val="nil" w:sz="6" w:space="0" w:color="auto"/>
            </w:tcBorders>
          </w:tcPr>
          <w:p>
            <w:pPr>
              <w:pStyle w:val="TableParagraph"/>
              <w:tabs>
                <w:tab w:pos="737" w:val="left" w:leader="none"/>
              </w:tabs>
              <w:spacing w:line="240" w:lineRule="exact"/>
              <w:ind w:right="660"/>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ab/>
            </w:r>
            <w:r>
              <w:rPr>
                <w:rFonts w:ascii="宋体"/>
                <w:spacing w:val="-1"/>
                <w:sz w:val="21"/>
                <w:u w:val="single" w:color="000000"/>
              </w:rPr>
              <w:t>1.58%</w:t>
            </w:r>
            <w:r>
              <w:rPr>
                <w:rFonts w:ascii="宋体"/>
                <w:spacing w:val="-1"/>
                <w:sz w:val="21"/>
              </w:rPr>
            </w:r>
          </w:p>
        </w:tc>
        <w:tc>
          <w:tcPr>
            <w:tcW w:w="2231"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40" w:lineRule="exact"/>
              <w:ind w:right="198"/>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ab/>
            </w:r>
            <w:r>
              <w:rPr>
                <w:rFonts w:ascii="宋体"/>
                <w:spacing w:val="-1"/>
                <w:sz w:val="21"/>
                <w:u w:val="single" w:color="000000"/>
              </w:rPr>
              <w:t>13.22%</w:t>
            </w:r>
            <w:r>
              <w:rPr>
                <w:rFonts w:ascii="宋体"/>
                <w:spacing w:val="-1"/>
                <w:sz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81"/>
          <w:pgSz w:w="11910" w:h="16840"/>
          <w:pgMar w:header="926" w:footer="1335" w:top="1120" w:bottom="1520" w:left="1660" w:right="1120"/>
        </w:sectPr>
      </w:pPr>
    </w:p>
    <w:p>
      <w:pPr>
        <w:pStyle w:val="Heading2"/>
        <w:tabs>
          <w:tab w:pos="977" w:val="left" w:leader="none"/>
        </w:tabs>
        <w:spacing w:line="240" w:lineRule="auto"/>
        <w:ind w:left="138" w:right="-17"/>
        <w:jc w:val="left"/>
        <w:rPr>
          <w:b w:val="0"/>
          <w:bCs w:val="0"/>
        </w:rPr>
      </w:pPr>
      <w:r>
        <w:rPr/>
        <w:t>十一、</w:t>
        <w:tab/>
        <w:t>公允价值的披露</w:t>
      </w:r>
      <w:r>
        <w:rPr>
          <w:b w:val="0"/>
          <w:bCs w:val="0"/>
        </w:rPr>
      </w:r>
    </w:p>
    <w:p>
      <w:pPr>
        <w:pStyle w:val="BodyText"/>
        <w:spacing w:line="240" w:lineRule="auto" w:before="56"/>
        <w:ind w:right="-17"/>
        <w:jc w:val="left"/>
      </w:pPr>
      <w:r>
        <w:rPr/>
        <w:t>√适用</w:t>
      </w:r>
      <w:r>
        <w:rPr>
          <w:spacing w:val="-1"/>
        </w:rPr>
        <w:t> </w:t>
      </w:r>
      <w:r>
        <w:rPr/>
        <w:t>□不适用</w:t>
      </w:r>
    </w:p>
    <w:p>
      <w:pPr>
        <w:pStyle w:val="Heading2"/>
        <w:spacing w:line="240" w:lineRule="auto" w:before="58"/>
        <w:ind w:left="138" w:right="-17"/>
        <w:jc w:val="left"/>
        <w:rPr>
          <w:b w:val="0"/>
          <w:bCs w:val="0"/>
        </w:rPr>
      </w:pPr>
      <w:r>
        <w:rPr>
          <w:rFonts w:ascii="宋体" w:hAnsi="宋体" w:cs="宋体" w:eastAsia="宋体" w:hint="default"/>
          <w:sz w:val="20"/>
          <w:szCs w:val="20"/>
        </w:rPr>
        <w:t>1</w:t>
      </w:r>
      <w:r>
        <w:rPr>
          <w:sz w:val="20"/>
          <w:szCs w:val="20"/>
        </w:rPr>
        <w:t>、</w:t>
      </w:r>
      <w:r>
        <w:rPr>
          <w:spacing w:val="22"/>
          <w:sz w:val="20"/>
          <w:szCs w:val="20"/>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08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520" w:left="1660" w:right="1120"/>
          <w:cols w:num="2" w:equalWidth="0">
            <w:col w:w="4783" w:space="1950"/>
            <w:col w:w="239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1"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7"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7"/>
              <w:ind w:left="23" w:right="31"/>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58,794,001</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58,794,001</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58,794,001</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58,794,001</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58,794,001</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58,794,001</w:t>
            </w: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指定以公允价值计量</w:t>
            </w:r>
          </w:p>
          <w:p>
            <w:pPr>
              <w:pStyle w:val="TableParagraph"/>
              <w:spacing w:line="240" w:lineRule="auto"/>
              <w:ind w:left="23" w:right="31"/>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52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sz w:val="21"/>
              </w:rPr>
              <w:t>58,794,001</w:t>
            </w: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sz w:val="21"/>
              </w:rPr>
              <w:t>58,794,001</w:t>
            </w:r>
          </w:p>
        </w:tc>
      </w:tr>
      <w:tr>
        <w:trPr>
          <w:trHeight w:val="30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72" w:lineRule="exact" w:before="27"/>
              <w:ind w:left="23" w:right="31"/>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left="138" w:right="144"/>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138" w:right="144"/>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138" w:right="144"/>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72" w:lineRule="exact" w:before="64"/>
        <w:ind w:left="562" w:right="13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spacing w:line="240" w:lineRule="auto" w:before="7"/>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0"/>
          <w:szCs w:val="20"/>
        </w:rPr>
      </w:pPr>
    </w:p>
    <w:p>
      <w:pPr>
        <w:pStyle w:val="Heading2"/>
        <w:spacing w:line="240" w:lineRule="auto"/>
        <w:ind w:left="562" w:right="13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138" w:right="144"/>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6" w:footer="1335" w:top="1120" w:bottom="1520" w:left="1660" w:right="1120"/>
        </w:sectPr>
      </w:pPr>
    </w:p>
    <w:p>
      <w:pPr>
        <w:spacing w:line="240" w:lineRule="auto" w:before="1"/>
        <w:rPr>
          <w:rFonts w:ascii="宋体" w:hAnsi="宋体" w:cs="宋体" w:eastAsia="宋体" w:hint="default"/>
          <w:b/>
          <w:bCs/>
          <w:sz w:val="25"/>
          <w:szCs w:val="25"/>
        </w:rPr>
      </w:pPr>
    </w:p>
    <w:p>
      <w:pPr>
        <w:pStyle w:val="Heading2"/>
        <w:spacing w:line="240" w:lineRule="auto"/>
        <w:ind w:left="678" w:right="2599"/>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spacing w:line="240" w:lineRule="auto" w:before="6"/>
        <w:rPr>
          <w:rFonts w:ascii="宋体" w:hAnsi="宋体" w:cs="宋体" w:eastAsia="宋体" w:hint="default"/>
          <w:b/>
          <w:bCs/>
          <w:sz w:val="25"/>
          <w:szCs w:val="25"/>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678" w:right="2599"/>
        <w:jc w:val="left"/>
        <w:rPr>
          <w:b w:val="0"/>
          <w:bCs w:val="0"/>
        </w:rPr>
      </w:pPr>
      <w:r>
        <w:rPr>
          <w:rFonts w:ascii="宋体" w:hAnsi="宋体" w:cs="宋体" w:eastAsia="宋体" w:hint="default"/>
        </w:rPr>
        <w:t>9</w:t>
      </w:r>
      <w:r>
        <w:rPr/>
        <w:t>、</w:t>
      </w:r>
      <w:r>
        <w:rPr>
          <w:spacing w:val="2"/>
        </w:rPr>
        <w:t> </w:t>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6" w:footer="1335" w:top="1120" w:bottom="1520" w:left="1120" w:right="1040"/>
        </w:sectPr>
      </w:pPr>
    </w:p>
    <w:p>
      <w:pPr>
        <w:pStyle w:val="Heading2"/>
        <w:tabs>
          <w:tab w:pos="1517" w:val="left" w:leader="none"/>
        </w:tabs>
        <w:spacing w:line="290" w:lineRule="auto" w:before="39"/>
        <w:ind w:left="678"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520" w:left="1120" w:right="1040"/>
          <w:cols w:num="2" w:equalWidth="0">
            <w:col w:w="3208" w:space="3314"/>
            <w:col w:w="322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851"/>
        <w:gridCol w:w="989"/>
        <w:gridCol w:w="2549"/>
        <w:gridCol w:w="1416"/>
        <w:gridCol w:w="1419"/>
        <w:gridCol w:w="1286"/>
      </w:tblGrid>
      <w:tr>
        <w:trPr>
          <w:trHeight w:val="853"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177" w:right="176"/>
              <w:jc w:val="center"/>
              <w:rPr>
                <w:rFonts w:ascii="宋体" w:hAnsi="宋体" w:cs="宋体" w:eastAsia="宋体" w:hint="default"/>
                <w:sz w:val="21"/>
                <w:szCs w:val="21"/>
              </w:rPr>
            </w:pPr>
            <w:r>
              <w:rPr>
                <w:rFonts w:ascii="宋体" w:hAnsi="宋体" w:cs="宋体" w:eastAsia="宋体" w:hint="default"/>
                <w:sz w:val="21"/>
                <w:szCs w:val="21"/>
              </w:rPr>
              <w:t>母公司对本</w:t>
            </w:r>
            <w:r>
              <w:rPr>
                <w:rFonts w:ascii="宋体" w:hAnsi="宋体" w:cs="宋体" w:eastAsia="宋体" w:hint="default"/>
                <w:w w:val="100"/>
                <w:sz w:val="21"/>
                <w:szCs w:val="21"/>
              </w:rPr>
              <w:t> </w:t>
            </w:r>
            <w:r>
              <w:rPr>
                <w:rFonts w:ascii="宋体" w:hAnsi="宋体" w:cs="宋体" w:eastAsia="宋体" w:hint="default"/>
                <w:sz w:val="21"/>
                <w:szCs w:val="21"/>
              </w:rPr>
              <w:t>企业的持股</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112" w:right="108"/>
              <w:jc w:val="left"/>
              <w:rPr>
                <w:rFonts w:ascii="宋体" w:hAnsi="宋体" w:cs="宋体" w:eastAsia="宋体" w:hint="default"/>
                <w:sz w:val="21"/>
                <w:szCs w:val="21"/>
              </w:rPr>
            </w:pPr>
            <w:r>
              <w:rPr>
                <w:rFonts w:ascii="宋体" w:hAnsi="宋体" w:cs="宋体" w:eastAsia="宋体" w:hint="default"/>
                <w:sz w:val="21"/>
                <w:szCs w:val="21"/>
              </w:rPr>
              <w:t>母公司对本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企业的表决</w:t>
            </w:r>
          </w:p>
          <w:p>
            <w:pPr>
              <w:pStyle w:val="TableParagraph"/>
              <w:spacing w:line="249" w:lineRule="exact"/>
              <w:ind w:left="165" w:right="0"/>
              <w:jc w:val="left"/>
              <w:rPr>
                <w:rFonts w:ascii="宋体" w:hAnsi="宋体" w:cs="宋体" w:eastAsia="宋体" w:hint="default"/>
                <w:sz w:val="21"/>
                <w:szCs w:val="21"/>
              </w:rPr>
            </w:pPr>
            <w:r>
              <w:rPr>
                <w:rFonts w:ascii="宋体" w:hAnsi="宋体" w:cs="宋体" w:eastAsia="宋体" w:hint="default"/>
                <w:sz w:val="21"/>
                <w:szCs w:val="21"/>
              </w:rPr>
              <w:t>权比例</w:t>
            </w:r>
            <w:r>
              <w:rPr>
                <w:rFonts w:ascii="宋体" w:hAnsi="宋体" w:cs="宋体" w:eastAsia="宋体" w:hint="default"/>
                <w:sz w:val="21"/>
                <w:szCs w:val="21"/>
              </w:rPr>
              <w:t>(%)</w:t>
            </w:r>
          </w:p>
        </w:tc>
      </w:tr>
      <w:tr>
        <w:trPr>
          <w:trHeight w:val="943"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38"/>
              <w:ind w:left="101" w:right="113"/>
              <w:jc w:val="left"/>
              <w:rPr>
                <w:rFonts w:ascii="Calibri" w:hAnsi="Calibri" w:cs="Calibri" w:eastAsia="Calibri" w:hint="default"/>
                <w:sz w:val="21"/>
                <w:szCs w:val="21"/>
              </w:rPr>
            </w:pPr>
            <w:r>
              <w:rPr>
                <w:rFonts w:ascii="宋体" w:hAnsi="宋体" w:cs="宋体" w:eastAsia="宋体" w:hint="default"/>
                <w:sz w:val="21"/>
                <w:szCs w:val="21"/>
              </w:rPr>
              <w:t>北京用友科技有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r>
              <w:rPr>
                <w:rFonts w:ascii="Calibri" w:hAnsi="Calibri" w:cs="Calibri" w:eastAsia="Calibri" w:hint="default"/>
                <w:sz w:val="21"/>
                <w:szCs w:val="21"/>
              </w:rPr>
              <w:t>(</w:t>
            </w:r>
            <w:r>
              <w:rPr>
                <w:rFonts w:ascii="宋体" w:hAnsi="宋体" w:cs="宋体" w:eastAsia="宋体" w:hint="default"/>
                <w:sz w:val="21"/>
                <w:szCs w:val="21"/>
              </w:rPr>
              <w:t>以下简称</w:t>
            </w:r>
            <w:r>
              <w:rPr>
                <w:rFonts w:ascii="Calibri" w:hAnsi="Calibri" w:cs="Calibri" w:eastAsia="Calibri" w:hint="default"/>
                <w:sz w:val="21"/>
                <w:szCs w:val="21"/>
              </w:rPr>
              <w:t>”</w:t>
            </w:r>
            <w:r>
              <w:rPr>
                <w:rFonts w:ascii="Calibri" w:hAnsi="Calibri" w:cs="Calibri" w:eastAsia="Calibri" w:hint="default"/>
                <w:w w:val="100"/>
                <w:sz w:val="21"/>
                <w:szCs w:val="21"/>
              </w:rPr>
              <w:t> </w:t>
            </w:r>
            <w:r>
              <w:rPr>
                <w:rFonts w:ascii="宋体" w:hAnsi="宋体" w:cs="宋体" w:eastAsia="宋体" w:hint="default"/>
                <w:sz w:val="21"/>
                <w:szCs w:val="21"/>
              </w:rPr>
              <w:t>用友科技</w:t>
            </w:r>
            <w:r>
              <w:rPr>
                <w:rFonts w:ascii="Calibri" w:hAnsi="Calibri" w:cs="Calibri" w:eastAsia="Calibri" w:hint="default"/>
                <w:sz w:val="21"/>
                <w:szCs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技术开发、技术转让、技术咨</w:t>
            </w:r>
          </w:p>
          <w:p>
            <w:pPr>
              <w:pStyle w:val="TableParagraph"/>
              <w:spacing w:line="232" w:lineRule="exact" w:before="24"/>
              <w:ind w:left="100" w:right="12"/>
              <w:jc w:val="left"/>
              <w:rPr>
                <w:rFonts w:ascii="宋体" w:hAnsi="宋体" w:cs="宋体" w:eastAsia="宋体" w:hint="default"/>
                <w:sz w:val="18"/>
                <w:szCs w:val="18"/>
              </w:rPr>
            </w:pPr>
            <w:r>
              <w:rPr>
                <w:rFonts w:ascii="宋体" w:hAnsi="宋体" w:cs="宋体" w:eastAsia="宋体" w:hint="default"/>
                <w:spacing w:val="-7"/>
                <w:sz w:val="18"/>
                <w:szCs w:val="18"/>
              </w:rPr>
              <w:t>询、技术服务、企业管理咨询、</w:t>
            </w:r>
            <w:r>
              <w:rPr>
                <w:rFonts w:ascii="宋体" w:hAnsi="宋体" w:cs="宋体" w:eastAsia="宋体" w:hint="default"/>
                <w:sz w:val="18"/>
                <w:szCs w:val="18"/>
              </w:rPr>
              <w:t> 经济信息咨询、项目投资、投 资管理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sz w:val="21"/>
              </w:rPr>
              <w:t>85,000,000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28.63%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28.63%</w:t>
            </w:r>
          </w:p>
        </w:tc>
      </w:tr>
      <w:tr>
        <w:trPr>
          <w:trHeight w:val="1102"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上海用友科技咨</w:t>
            </w:r>
          </w:p>
          <w:p>
            <w:pPr>
              <w:pStyle w:val="TableParagraph"/>
              <w:tabs>
                <w:tab w:pos="924" w:val="left" w:leader="none"/>
              </w:tabs>
              <w:spacing w:line="216" w:lineRule="auto" w:before="22"/>
              <w:ind w:left="101" w:right="204"/>
              <w:jc w:val="left"/>
              <w:rPr>
                <w:rFonts w:ascii="Calibri" w:hAnsi="Calibri" w:cs="Calibri" w:eastAsia="Calibri" w:hint="default"/>
                <w:sz w:val="21"/>
                <w:szCs w:val="21"/>
              </w:rPr>
            </w:pPr>
            <w:r>
              <w:rPr>
                <w:rFonts w:ascii="宋体" w:hAnsi="宋体" w:cs="宋体" w:eastAsia="宋体" w:hint="default"/>
                <w:spacing w:val="-2"/>
                <w:sz w:val="21"/>
                <w:szCs w:val="21"/>
              </w:rPr>
              <w:t>询有限公司</w:t>
            </w:r>
            <w:r>
              <w:rPr>
                <w:rFonts w:ascii="Calibri" w:hAnsi="Calibri" w:cs="Calibri" w:eastAsia="Calibri" w:hint="default"/>
                <w:spacing w:val="-2"/>
                <w:sz w:val="21"/>
                <w:szCs w:val="21"/>
              </w:rPr>
              <w:t>(</w:t>
            </w:r>
            <w:r>
              <w:rPr>
                <w:rFonts w:ascii="宋体" w:hAnsi="宋体" w:cs="宋体" w:eastAsia="宋体" w:hint="default"/>
                <w:spacing w:val="-2"/>
                <w:sz w:val="21"/>
                <w:szCs w:val="21"/>
              </w:rPr>
              <w:t>以下</w:t>
            </w:r>
            <w:r>
              <w:rPr>
                <w:rFonts w:ascii="宋体" w:hAnsi="宋体" w:cs="宋体" w:eastAsia="宋体" w:hint="default"/>
                <w:spacing w:val="-93"/>
                <w:sz w:val="21"/>
                <w:szCs w:val="21"/>
              </w:rPr>
              <w:t> </w:t>
            </w:r>
            <w:r>
              <w:rPr>
                <w:rFonts w:ascii="宋体" w:hAnsi="宋体" w:cs="宋体" w:eastAsia="宋体" w:hint="default"/>
                <w:sz w:val="21"/>
                <w:szCs w:val="21"/>
              </w:rPr>
              <w:t>简称</w:t>
            </w:r>
            <w:r>
              <w:rPr>
                <w:rFonts w:ascii="Calibri" w:hAnsi="Calibri" w:cs="Calibri" w:eastAsia="Calibri" w:hint="default"/>
                <w:sz w:val="21"/>
                <w:szCs w:val="21"/>
              </w:rPr>
              <w:t>”</w:t>
              <w:tab/>
            </w:r>
            <w:r>
              <w:rPr>
                <w:rFonts w:ascii="宋体" w:hAnsi="宋体" w:cs="宋体" w:eastAsia="宋体" w:hint="default"/>
                <w:sz w:val="21"/>
                <w:szCs w:val="21"/>
              </w:rPr>
              <w:t>上海用</w:t>
            </w:r>
            <w:r>
              <w:rPr>
                <w:rFonts w:ascii="宋体" w:hAnsi="宋体" w:cs="宋体" w:eastAsia="宋体" w:hint="default"/>
                <w:w w:val="100"/>
                <w:sz w:val="21"/>
                <w:szCs w:val="21"/>
              </w:rPr>
              <w:t> </w:t>
            </w:r>
            <w:r>
              <w:rPr>
                <w:rFonts w:ascii="宋体" w:hAnsi="宋体" w:cs="宋体" w:eastAsia="宋体" w:hint="default"/>
                <w:sz w:val="21"/>
                <w:szCs w:val="21"/>
              </w:rPr>
              <w:t>友科技咨询</w:t>
            </w:r>
            <w:r>
              <w:rPr>
                <w:rFonts w:ascii="Calibri" w:hAnsi="Calibri" w:cs="Calibri" w:eastAsia="Calibri" w:hint="default"/>
                <w:sz w:val="21"/>
                <w:szCs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计算机软硬件的技术开发、技</w:t>
            </w:r>
          </w:p>
          <w:p>
            <w:pPr>
              <w:pStyle w:val="TableParagraph"/>
              <w:spacing w:line="232" w:lineRule="exact" w:before="23"/>
              <w:ind w:left="100" w:right="12"/>
              <w:jc w:val="left"/>
              <w:rPr>
                <w:rFonts w:ascii="宋体" w:hAnsi="宋体" w:cs="宋体" w:eastAsia="宋体" w:hint="default"/>
                <w:sz w:val="18"/>
                <w:szCs w:val="18"/>
              </w:rPr>
            </w:pPr>
            <w:r>
              <w:rPr>
                <w:rFonts w:ascii="宋体" w:hAnsi="宋体" w:cs="宋体" w:eastAsia="宋体" w:hint="default"/>
                <w:spacing w:val="-7"/>
                <w:sz w:val="18"/>
                <w:szCs w:val="18"/>
              </w:rPr>
              <w:t>术转让、技术咨询、技术服务、</w:t>
            </w:r>
            <w:r>
              <w:rPr>
                <w:rFonts w:ascii="宋体" w:hAnsi="宋体" w:cs="宋体" w:eastAsia="宋体" w:hint="default"/>
                <w:sz w:val="18"/>
                <w:szCs w:val="18"/>
              </w:rPr>
              <w:t> 企业管理咨询，投资管理、实 业投资、计算机软硬件的销售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1" w:right="0"/>
              <w:jc w:val="left"/>
              <w:rPr>
                <w:rFonts w:ascii="宋体" w:hAnsi="宋体" w:cs="宋体" w:eastAsia="宋体" w:hint="default"/>
                <w:sz w:val="21"/>
                <w:szCs w:val="21"/>
              </w:rPr>
            </w:pPr>
            <w:r>
              <w:rPr>
                <w:rFonts w:ascii="宋体"/>
                <w:sz w:val="21"/>
              </w:rPr>
              <w:t>22,932,980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12.18%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12.18%</w:t>
            </w:r>
          </w:p>
        </w:tc>
      </w:tr>
      <w:tr>
        <w:trPr>
          <w:trHeight w:val="2110"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30" w:lineRule="auto" w:before="192"/>
              <w:ind w:left="101" w:right="113"/>
              <w:jc w:val="left"/>
              <w:rPr>
                <w:rFonts w:ascii="Calibri" w:hAnsi="Calibri" w:cs="Calibri" w:eastAsia="Calibri" w:hint="default"/>
                <w:sz w:val="21"/>
                <w:szCs w:val="21"/>
              </w:rPr>
            </w:pPr>
            <w:r>
              <w:rPr>
                <w:rFonts w:ascii="宋体" w:hAnsi="宋体" w:cs="宋体" w:eastAsia="宋体" w:hint="default"/>
                <w:sz w:val="21"/>
                <w:szCs w:val="21"/>
              </w:rPr>
              <w:t>北京用友企业管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理研究所有限公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r>
              <w:rPr>
                <w:rFonts w:ascii="Calibri" w:hAnsi="Calibri" w:cs="Calibri" w:eastAsia="Calibri" w:hint="default"/>
                <w:sz w:val="21"/>
                <w:szCs w:val="21"/>
              </w:rPr>
              <w:t>(</w:t>
            </w:r>
            <w:r>
              <w:rPr>
                <w:rFonts w:ascii="宋体" w:hAnsi="宋体" w:cs="宋体" w:eastAsia="宋体" w:hint="default"/>
                <w:sz w:val="21"/>
                <w:szCs w:val="21"/>
              </w:rPr>
              <w:t>以下简称</w:t>
            </w:r>
            <w:r>
              <w:rPr>
                <w:rFonts w:ascii="Calibri" w:hAnsi="Calibri" w:cs="Calibri" w:eastAsia="Calibri" w:hint="default"/>
                <w:sz w:val="21"/>
                <w:szCs w:val="21"/>
              </w:rPr>
              <w:t>”</w:t>
            </w:r>
            <w:r>
              <w:rPr>
                <w:rFonts w:ascii="宋体" w:hAnsi="宋体" w:cs="宋体" w:eastAsia="宋体" w:hint="default"/>
                <w:sz w:val="21"/>
                <w:szCs w:val="21"/>
              </w:rPr>
              <w:t>用友</w:t>
            </w:r>
            <w:r>
              <w:rPr>
                <w:rFonts w:ascii="宋体" w:hAnsi="宋体" w:cs="宋体" w:eastAsia="宋体" w:hint="default"/>
                <w:w w:val="100"/>
                <w:sz w:val="21"/>
                <w:szCs w:val="21"/>
              </w:rPr>
              <w:t> </w:t>
            </w:r>
            <w:r>
              <w:rPr>
                <w:rFonts w:ascii="宋体" w:hAnsi="宋体" w:cs="宋体" w:eastAsia="宋体" w:hint="default"/>
                <w:sz w:val="21"/>
                <w:szCs w:val="21"/>
              </w:rPr>
              <w:t>研究所</w:t>
            </w:r>
            <w:r>
              <w:rPr>
                <w:rFonts w:ascii="Calibri" w:hAnsi="Calibri" w:cs="Calibri" w:eastAsia="Calibri" w:hint="default"/>
                <w:sz w:val="21"/>
                <w:szCs w:val="21"/>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法律、行政法规、国务院决定</w:t>
            </w:r>
          </w:p>
          <w:p>
            <w:pPr>
              <w:pStyle w:val="TableParagraph"/>
              <w:spacing w:line="237" w:lineRule="auto"/>
              <w:ind w:left="100" w:right="12"/>
              <w:jc w:val="left"/>
              <w:rPr>
                <w:rFonts w:ascii="宋体" w:hAnsi="宋体" w:cs="宋体" w:eastAsia="宋体" w:hint="default"/>
                <w:sz w:val="18"/>
                <w:szCs w:val="18"/>
              </w:rPr>
            </w:pPr>
            <w:r>
              <w:rPr>
                <w:rFonts w:ascii="宋体" w:hAnsi="宋体" w:cs="宋体" w:eastAsia="宋体" w:hint="default"/>
                <w:sz w:val="18"/>
                <w:szCs w:val="18"/>
              </w:rPr>
              <w:t>禁止的，不得经营；法律、行 政法规、国务院决定规定应该 许可的，经审批机关批准并经 工商行政管理机关登记注册 </w:t>
            </w:r>
            <w:r>
              <w:rPr>
                <w:rFonts w:ascii="宋体" w:hAnsi="宋体" w:cs="宋体" w:eastAsia="宋体" w:hint="default"/>
                <w:spacing w:val="-7"/>
                <w:sz w:val="18"/>
                <w:szCs w:val="18"/>
              </w:rPr>
              <w:t>后方可经营；法律、行政法规、</w:t>
            </w:r>
            <w:r>
              <w:rPr>
                <w:rFonts w:ascii="宋体" w:hAnsi="宋体" w:cs="宋体" w:eastAsia="宋体" w:hint="default"/>
                <w:sz w:val="18"/>
                <w:szCs w:val="18"/>
              </w:rPr>
              <w:t> 国务院决定未规定许可的，自 主选择经营项目开展经营活</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sz w:val="21"/>
              </w:rPr>
              <w:t>25,000,000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w:t>
            </w:r>
          </w:p>
        </w:tc>
      </w:tr>
    </w:tbl>
    <w:p>
      <w:pPr>
        <w:spacing w:line="240" w:lineRule="auto" w:before="7"/>
        <w:rPr>
          <w:rFonts w:ascii="宋体" w:hAnsi="宋体" w:cs="宋体" w:eastAsia="宋体" w:hint="default"/>
          <w:sz w:val="15"/>
          <w:szCs w:val="15"/>
        </w:rPr>
      </w:pPr>
    </w:p>
    <w:p>
      <w:pPr>
        <w:pStyle w:val="BodyText"/>
        <w:spacing w:line="240" w:lineRule="auto" w:before="36"/>
        <w:ind w:left="678" w:right="2599"/>
        <w:jc w:val="left"/>
      </w:pPr>
      <w:r>
        <w:rPr/>
        <w:t>本企业的母公司情况的说明</w:t>
      </w:r>
    </w:p>
    <w:p>
      <w:pPr>
        <w:spacing w:line="240" w:lineRule="auto" w:before="9"/>
        <w:rPr>
          <w:rFonts w:ascii="宋体" w:hAnsi="宋体" w:cs="宋体" w:eastAsia="宋体" w:hint="default"/>
          <w:sz w:val="20"/>
          <w:szCs w:val="20"/>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BodyText"/>
        <w:spacing w:line="272" w:lineRule="exact" w:before="7"/>
        <w:ind w:left="678" w:right="5859"/>
        <w:jc w:val="left"/>
      </w:pPr>
      <w:r>
        <w:rPr>
          <w:spacing w:val="-2"/>
        </w:rPr>
        <w:t>本企业最终控制方是王文京</w:t>
      </w:r>
      <w:r>
        <w:rPr>
          <w:spacing w:val="-82"/>
        </w:rPr>
        <w:t> </w:t>
      </w:r>
      <w:r>
        <w:rPr>
          <w:spacing w:val="-82"/>
        </w:rPr>
      </w:r>
      <w:r>
        <w:rPr/>
        <w:t>其他说明：</w:t>
      </w:r>
    </w:p>
    <w:p>
      <w:pPr>
        <w:spacing w:line="240" w:lineRule="auto" w:before="12"/>
        <w:rPr>
          <w:rFonts w:ascii="宋体" w:hAnsi="宋体" w:cs="宋体" w:eastAsia="宋体" w:hint="default"/>
          <w:sz w:val="18"/>
          <w:szCs w:val="18"/>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Heading2"/>
        <w:spacing w:line="240" w:lineRule="auto" w:before="37"/>
        <w:ind w:left="678" w:right="2599"/>
        <w:jc w:val="left"/>
        <w:rPr>
          <w:b w:val="0"/>
          <w:bCs w:val="0"/>
        </w:rPr>
      </w:pPr>
      <w:r>
        <w:rPr>
          <w:rFonts w:ascii="宋体" w:hAnsi="宋体" w:cs="宋体" w:eastAsia="宋体" w:hint="default"/>
        </w:rPr>
        <w:t>2</w:t>
      </w:r>
      <w:r>
        <w:rPr/>
        <w:t>、</w:t>
      </w:r>
      <w:r>
        <w:rPr>
          <w:spacing w:val="5"/>
        </w:rPr>
        <w:t> </w:t>
      </w:r>
      <w:r>
        <w:rPr/>
        <w:t>本企业的子公司情况</w:t>
      </w:r>
      <w:r>
        <w:rPr>
          <w:b w:val="0"/>
          <w:bCs w:val="0"/>
        </w:rPr>
      </w:r>
    </w:p>
    <w:p>
      <w:pPr>
        <w:pStyle w:val="BodyText"/>
        <w:spacing w:line="272" w:lineRule="exact" w:before="86"/>
        <w:ind w:left="678" w:right="5859"/>
        <w:jc w:val="left"/>
        <w:rPr>
          <w:rFonts w:ascii="宋体" w:hAnsi="宋体" w:cs="宋体" w:eastAsia="宋体" w:hint="default"/>
        </w:rPr>
      </w:pPr>
      <w:r>
        <w:rPr>
          <w:spacing w:val="-2"/>
        </w:rPr>
        <w:t>本企业子公司的情况详见附注</w:t>
      </w:r>
      <w:r>
        <w:rPr>
          <w:spacing w:val="-79"/>
        </w:rPr>
        <w:t> </w:t>
      </w:r>
      <w:r>
        <w:rPr>
          <w:spacing w:val="-79"/>
        </w:rPr>
      </w:r>
      <w:r>
        <w:rPr/>
        <w:t>九、</w:t>
      </w:r>
      <w:r>
        <w:rPr>
          <w:rFonts w:ascii="宋体" w:hAnsi="宋体" w:cs="宋体" w:eastAsia="宋体" w:hint="default"/>
        </w:rPr>
        <w:t>1</w:t>
      </w:r>
    </w:p>
    <w:p>
      <w:pPr>
        <w:spacing w:line="240" w:lineRule="auto" w:before="4"/>
        <w:rPr>
          <w:rFonts w:ascii="宋体" w:hAnsi="宋体" w:cs="宋体" w:eastAsia="宋体" w:hint="default"/>
          <w:sz w:val="23"/>
          <w:szCs w:val="23"/>
        </w:rPr>
      </w:pPr>
    </w:p>
    <w:p>
      <w:pPr>
        <w:spacing w:line="290" w:lineRule="auto" w:before="0"/>
        <w:ind w:left="678" w:right="259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spacing w:line="240" w:lineRule="auto" w:before="6"/>
        <w:rPr>
          <w:rFonts w:ascii="宋体" w:hAnsi="宋体" w:cs="宋体" w:eastAsia="宋体" w:hint="default"/>
          <w:sz w:val="17"/>
          <w:szCs w:val="17"/>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BodyText"/>
        <w:spacing w:line="274" w:lineRule="exact" w:before="3"/>
        <w:ind w:left="678" w:right="0"/>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6" w:lineRule="exact"/>
        <w:ind w:left="678" w:right="259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致远协创</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西玛商用表单</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pStyle w:val="BodyText"/>
        <w:spacing w:line="241" w:lineRule="exact"/>
        <w:ind w:left="678" w:right="2599"/>
        <w:jc w:val="left"/>
      </w:pPr>
      <w:r>
        <w:rPr/>
        <w:t>其他说明</w:t>
      </w:r>
    </w:p>
    <w:p>
      <w:pPr>
        <w:spacing w:line="240" w:lineRule="auto" w:before="9"/>
        <w:rPr>
          <w:rFonts w:ascii="宋体" w:hAnsi="宋体" w:cs="宋体" w:eastAsia="宋体" w:hint="default"/>
          <w:sz w:val="20"/>
          <w:szCs w:val="20"/>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520" w:left="112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5"/>
        <w:ind w:left="218" w:right="2465" w:firstLine="0"/>
        <w:jc w:val="left"/>
        <w:rPr>
          <w:rFonts w:ascii="宋体" w:hAnsi="宋体" w:cs="宋体" w:eastAsia="宋体" w:hint="default"/>
          <w:sz w:val="21"/>
          <w:szCs w:val="21"/>
        </w:rPr>
      </w:pPr>
      <w:r>
        <w:rPr>
          <w:rFonts w:ascii="宋体" w:hAnsi="宋体" w:cs="宋体" w:eastAsia="宋体" w:hint="default"/>
          <w:b/>
          <w:bCs/>
          <w:sz w:val="20"/>
          <w:szCs w:val="20"/>
        </w:rPr>
        <w:t>4</w:t>
      </w:r>
      <w:r>
        <w:rPr>
          <w:rFonts w:ascii="宋体" w:hAnsi="宋体" w:cs="宋体" w:eastAsia="宋体" w:hint="default"/>
          <w:b/>
          <w:bCs/>
          <w:sz w:val="20"/>
          <w:szCs w:val="20"/>
        </w:rPr>
        <w:t>、</w:t>
      </w:r>
      <w:r>
        <w:rPr>
          <w:rFonts w:ascii="宋体" w:hAnsi="宋体" w:cs="宋体" w:eastAsia="宋体" w:hint="default"/>
          <w:b/>
          <w:bCs/>
          <w:spacing w:val="23"/>
          <w:sz w:val="20"/>
          <w:szCs w:val="20"/>
        </w:rPr>
        <w:t> </w:t>
      </w:r>
      <w:r>
        <w:rPr>
          <w:rFonts w:ascii="宋体" w:hAnsi="宋体" w:cs="宋体" w:eastAsia="宋体" w:hint="default"/>
          <w:b/>
          <w:bCs/>
          <w:sz w:val="21"/>
          <w:szCs w:val="21"/>
        </w:rPr>
        <w:t>其他关联方情况</w:t>
      </w:r>
      <w:r>
        <w:rPr>
          <w:rFonts w:ascii="宋体" w:hAnsi="宋体" w:cs="宋体" w:eastAsia="宋体" w:hint="default"/>
          <w:sz w:val="21"/>
          <w:szCs w:val="21"/>
        </w:rPr>
      </w:r>
    </w:p>
    <w:p>
      <w:pPr>
        <w:pStyle w:val="BodyText"/>
        <w:spacing w:line="240" w:lineRule="auto" w:before="56"/>
        <w:ind w:left="218" w:right="246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557"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上海益倍管理咨询有限公司</w:t>
            </w:r>
            <w:r>
              <w:rPr>
                <w:rFonts w:ascii="宋体" w:hAnsi="宋体" w:cs="宋体" w:eastAsia="宋体" w:hint="default"/>
                <w:sz w:val="21"/>
                <w:szCs w:val="21"/>
              </w:rPr>
              <w:t>(</w:t>
            </w:r>
            <w:r>
              <w:rPr>
                <w:rFonts w:ascii="宋体" w:hAnsi="宋体" w:cs="宋体" w:eastAsia="宋体" w:hint="default"/>
                <w:sz w:val="21"/>
                <w:szCs w:val="21"/>
              </w:rPr>
              <w:t>以下简称”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上海益倍”)</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上海优富信息咨询有限公司</w:t>
            </w:r>
            <w:r>
              <w:rPr>
                <w:rFonts w:ascii="宋体" w:hAnsi="宋体" w:cs="宋体" w:eastAsia="宋体" w:hint="default"/>
                <w:sz w:val="21"/>
                <w:szCs w:val="21"/>
              </w:rPr>
              <w:t>(</w:t>
            </w:r>
            <w:r>
              <w:rPr>
                <w:rFonts w:ascii="宋体" w:hAnsi="宋体" w:cs="宋体" w:eastAsia="宋体" w:hint="default"/>
                <w:sz w:val="21"/>
                <w:szCs w:val="21"/>
              </w:rPr>
              <w:t>以下简称”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上海优富”)</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北京伟库</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p>
        </w:tc>
      </w:tr>
    </w:tbl>
    <w:p>
      <w:pPr>
        <w:spacing w:line="240" w:lineRule="auto" w:before="5"/>
        <w:rPr>
          <w:rFonts w:ascii="宋体" w:hAnsi="宋体" w:cs="宋体" w:eastAsia="宋体" w:hint="default"/>
          <w:sz w:val="15"/>
          <w:szCs w:val="15"/>
        </w:rPr>
      </w:pPr>
    </w:p>
    <w:p>
      <w:pPr>
        <w:pStyle w:val="BodyText"/>
        <w:spacing w:line="240" w:lineRule="auto" w:before="36"/>
        <w:ind w:left="218"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6" w:footer="1335" w:top="1120" w:bottom="1520" w:left="1580" w:right="1040"/>
        </w:sectPr>
      </w:pPr>
    </w:p>
    <w:p>
      <w:pPr>
        <w:pStyle w:val="Heading2"/>
        <w:spacing w:line="240" w:lineRule="auto"/>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40" w:lineRule="auto" w:before="56"/>
        <w:ind w:left="218" w:right="258"/>
        <w:jc w:val="left"/>
      </w:pPr>
      <w:r>
        <w:rPr/>
        <w:t>√适用</w:t>
      </w:r>
      <w:r>
        <w:rPr>
          <w:spacing w:val="-2"/>
        </w:rPr>
        <w:t> </w:t>
      </w:r>
      <w:r>
        <w:rPr/>
        <w:t>□不适用</w:t>
      </w:r>
      <w:r>
        <w:rPr>
          <w:w w:val="100"/>
        </w:rPr>
        <w:t> </w:t>
      </w: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4421" w:space="210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致远协创</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购买商品和接受劳务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4,045,087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7,790,264</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西玛商用表单</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购买商品和接受劳务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410,542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280,059</w:t>
            </w:r>
          </w:p>
        </w:tc>
      </w:tr>
    </w:tbl>
    <w:p>
      <w:pPr>
        <w:spacing w:line="240" w:lineRule="auto" w:before="7"/>
        <w:rPr>
          <w:rFonts w:ascii="宋体" w:hAnsi="宋体" w:cs="宋体" w:eastAsia="宋体" w:hint="default"/>
          <w:sz w:val="15"/>
          <w:szCs w:val="15"/>
        </w:rPr>
      </w:pPr>
    </w:p>
    <w:p>
      <w:pPr>
        <w:pStyle w:val="BodyText"/>
        <w:spacing w:line="273" w:lineRule="exact" w:before="36"/>
        <w:ind w:left="218" w:right="2465"/>
        <w:jc w:val="left"/>
      </w:pPr>
      <w:r>
        <w:rPr/>
        <w:t>出售商品</w:t>
      </w:r>
      <w:r>
        <w:rPr>
          <w:rFonts w:ascii="宋体" w:hAnsi="宋体" w:cs="宋体" w:eastAsia="宋体" w:hint="default"/>
        </w:rPr>
        <w:t>/</w:t>
      </w:r>
      <w:r>
        <w:rPr/>
        <w:t>提供劳务情况表</w:t>
      </w:r>
    </w:p>
    <w:p>
      <w:pPr>
        <w:pStyle w:val="BodyText"/>
        <w:tabs>
          <w:tab w:pos="1051" w:val="left" w:leader="none"/>
        </w:tabs>
        <w:spacing w:line="273"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218" w:right="2465"/>
        <w:jc w:val="left"/>
      </w:pPr>
      <w:r>
        <w:rPr/>
        <w:t>购销商品、提供和接受劳务的关联交易说明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tabs>
          <w:tab w:pos="834" w:val="left" w:leader="none"/>
        </w:tabs>
        <w:spacing w:before="36"/>
        <w:ind w:left="218" w:right="2465" w:firstLine="0"/>
        <w:jc w:val="left"/>
        <w:rPr>
          <w:rFonts w:ascii="宋体" w:hAnsi="宋体" w:cs="宋体" w:eastAsia="宋体" w:hint="default"/>
          <w:sz w:val="21"/>
          <w:szCs w:val="21"/>
        </w:rPr>
      </w:pPr>
      <w:r>
        <w:rPr>
          <w:rFonts w:ascii="宋体" w:hAnsi="宋体" w:cs="宋体" w:eastAsia="宋体" w:hint="default"/>
          <w:b/>
          <w:bCs/>
          <w:w w:val="95"/>
          <w:sz w:val="20"/>
          <w:szCs w:val="20"/>
        </w:rPr>
        <w:t>(2).</w:t>
        <w:tab/>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pStyle w:val="BodyText"/>
        <w:spacing w:line="240" w:lineRule="auto" w:before="41"/>
        <w:ind w:left="218" w:right="2465"/>
        <w:jc w:val="left"/>
      </w:pPr>
      <w:r>
        <w:rPr/>
        <w:t>□适用</w:t>
      </w:r>
      <w:r>
        <w:rPr>
          <w:spacing w:val="-1"/>
        </w:rPr>
        <w:t> </w:t>
      </w:r>
      <w:r>
        <w:rPr/>
        <w:t>√不适用</w:t>
      </w: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520" w:left="1580" w:right="1040"/>
        </w:sectPr>
      </w:pPr>
    </w:p>
    <w:p>
      <w:pPr>
        <w:tabs>
          <w:tab w:pos="834" w:val="left" w:leader="none"/>
        </w:tabs>
        <w:spacing w:before="36"/>
        <w:ind w:left="218" w:right="-7" w:firstLine="0"/>
        <w:jc w:val="left"/>
        <w:rPr>
          <w:rFonts w:ascii="宋体" w:hAnsi="宋体" w:cs="宋体" w:eastAsia="宋体" w:hint="default"/>
          <w:sz w:val="21"/>
          <w:szCs w:val="21"/>
        </w:rPr>
      </w:pPr>
      <w:r>
        <w:rPr>
          <w:rFonts w:ascii="宋体" w:hAnsi="宋体" w:cs="宋体" w:eastAsia="宋体" w:hint="default"/>
          <w:b/>
          <w:bCs/>
          <w:w w:val="95"/>
          <w:sz w:val="20"/>
          <w:szCs w:val="20"/>
        </w:rPr>
        <w:t>(3).</w:t>
        <w:tab/>
      </w:r>
      <w:r>
        <w:rPr>
          <w:rFonts w:ascii="宋体" w:hAnsi="宋体" w:cs="宋体" w:eastAsia="宋体" w:hint="default"/>
          <w:b/>
          <w:bCs/>
          <w:sz w:val="21"/>
          <w:szCs w:val="21"/>
        </w:rPr>
        <w:t>关联租赁情况</w:t>
      </w:r>
      <w:r>
        <w:rPr>
          <w:rFonts w:ascii="宋体" w:hAnsi="宋体" w:cs="宋体" w:eastAsia="宋体" w:hint="default"/>
          <w:sz w:val="21"/>
          <w:szCs w:val="21"/>
        </w:rPr>
      </w:r>
    </w:p>
    <w:p>
      <w:pPr>
        <w:pStyle w:val="BodyText"/>
        <w:spacing w:line="272" w:lineRule="exact" w:before="86"/>
        <w:ind w:left="218" w:right="-8"/>
        <w:jc w:val="left"/>
      </w:pPr>
      <w:r>
        <w:rPr/>
        <w:t>√适用</w:t>
      </w:r>
      <w:r>
        <w:rPr>
          <w:spacing w:val="-2"/>
        </w:rPr>
        <w:t> </w:t>
      </w:r>
      <w:r>
        <w:rPr/>
        <w:t>□不适用</w:t>
      </w:r>
      <w:r>
        <w:rPr>
          <w:w w:val="100"/>
        </w:rPr>
        <w:t> </w:t>
      </w:r>
      <w:r>
        <w:rPr>
          <w:spacing w:val="-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2112" w:space="4409"/>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用友伟库</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center"/>
              <w:rPr>
                <w:rFonts w:ascii="宋体" w:hAnsi="宋体" w:cs="宋体" w:eastAsia="宋体" w:hint="default"/>
                <w:sz w:val="21"/>
                <w:szCs w:val="21"/>
              </w:rPr>
            </w:pPr>
            <w:r>
              <w:rPr>
                <w:rFonts w:ascii="宋体" w:hAnsi="宋体" w:cs="宋体" w:eastAsia="宋体" w:hint="default"/>
                <w:sz w:val="21"/>
                <w:szCs w:val="21"/>
              </w:rPr>
              <w:t>用友软件园办公用房</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882,121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786,153</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用友研究所</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用友软件园办公用房</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82,716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46,845</w:t>
            </w:r>
          </w:p>
        </w:tc>
      </w:tr>
    </w:tbl>
    <w:p>
      <w:pPr>
        <w:spacing w:line="240" w:lineRule="auto" w:before="5"/>
        <w:rPr>
          <w:rFonts w:ascii="宋体" w:hAnsi="宋体" w:cs="宋体" w:eastAsia="宋体" w:hint="default"/>
          <w:sz w:val="15"/>
          <w:szCs w:val="15"/>
        </w:rPr>
      </w:pPr>
    </w:p>
    <w:p>
      <w:pPr>
        <w:pStyle w:val="BodyText"/>
        <w:spacing w:line="274" w:lineRule="exact" w:before="36"/>
        <w:ind w:left="218" w:right="2465"/>
        <w:jc w:val="left"/>
      </w:pPr>
      <w:r>
        <w:rPr/>
        <w:t>本公司作为承租方：</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66"/>
        <w:gridCol w:w="2005"/>
        <w:gridCol w:w="2460"/>
        <w:gridCol w:w="2665"/>
      </w:tblGrid>
      <w:tr>
        <w:trPr>
          <w:trHeight w:val="322"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1" w:hRule="exact"/>
        </w:trPr>
        <w:tc>
          <w:tcPr>
            <w:tcW w:w="1766" w:type="dxa"/>
            <w:tcBorders>
              <w:top w:val="single" w:sz="4" w:space="0" w:color="000000"/>
              <w:left w:val="single" w:sz="4" w:space="0" w:color="000000"/>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52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before="36"/>
        <w:ind w:left="218" w:right="2465"/>
        <w:jc w:val="left"/>
      </w:pPr>
      <w:r>
        <w:rPr/>
        <w:t>关联租赁情况说明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6" w:footer="1335" w:top="1120" w:bottom="1520" w:left="1580" w:right="1040"/>
        </w:sectPr>
      </w:pPr>
    </w:p>
    <w:p>
      <w:pPr>
        <w:tabs>
          <w:tab w:pos="834" w:val="left" w:leader="none"/>
        </w:tabs>
        <w:spacing w:before="36"/>
        <w:ind w:left="218" w:right="-17" w:firstLine="0"/>
        <w:jc w:val="left"/>
        <w:rPr>
          <w:rFonts w:ascii="宋体" w:hAnsi="宋体" w:cs="宋体" w:eastAsia="宋体" w:hint="default"/>
          <w:sz w:val="21"/>
          <w:szCs w:val="21"/>
        </w:rPr>
      </w:pPr>
      <w:r>
        <w:rPr>
          <w:rFonts w:ascii="宋体" w:hAnsi="宋体" w:cs="宋体" w:eastAsia="宋体" w:hint="default"/>
          <w:b/>
          <w:bCs/>
          <w:w w:val="95"/>
          <w:sz w:val="20"/>
          <w:szCs w:val="20"/>
        </w:rPr>
        <w:t>(4).</w:t>
        <w:tab/>
      </w:r>
      <w:r>
        <w:rPr>
          <w:rFonts w:ascii="宋体" w:hAnsi="宋体" w:cs="宋体" w:eastAsia="宋体" w:hint="default"/>
          <w:b/>
          <w:bCs/>
          <w:sz w:val="21"/>
          <w:szCs w:val="21"/>
        </w:rPr>
        <w:t>关联担保情况</w:t>
      </w:r>
      <w:r>
        <w:rPr>
          <w:rFonts w:ascii="宋体" w:hAnsi="宋体" w:cs="宋体" w:eastAsia="宋体" w:hint="default"/>
          <w:sz w:val="21"/>
          <w:szCs w:val="21"/>
        </w:rPr>
      </w:r>
    </w:p>
    <w:p>
      <w:pPr>
        <w:pStyle w:val="BodyText"/>
        <w:spacing w:line="272" w:lineRule="exact" w:before="86"/>
        <w:ind w:left="218" w:right="-17"/>
        <w:jc w:val="left"/>
      </w:pPr>
      <w:r>
        <w:rPr/>
        <w:t>√适用</w:t>
      </w:r>
      <w:r>
        <w:rPr>
          <w:spacing w:val="-2"/>
        </w:rPr>
        <w:t> </w:t>
      </w:r>
      <w:r>
        <w:rPr/>
        <w:t>□不适用</w:t>
      </w:r>
      <w:r>
        <w:rPr>
          <w:w w:val="100"/>
        </w:rPr>
        <w:t> </w:t>
      </w:r>
      <w:r>
        <w:rPr>
          <w:spacing w:val="-2"/>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7"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520" w:left="1580" w:right="1040"/>
          <w:cols w:num="2" w:equalWidth="0">
            <w:col w:w="2103" w:space="441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77"/>
        <w:gridCol w:w="1657"/>
        <w:gridCol w:w="1800"/>
        <w:gridCol w:w="1790"/>
        <w:gridCol w:w="2072"/>
      </w:tblGrid>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577"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218" w:right="2465"/>
        <w:jc w:val="left"/>
      </w:pPr>
      <w:r>
        <w:rPr/>
        <w:t>本公司作为被担保方</w:t>
      </w:r>
    </w:p>
    <w:p>
      <w:pPr>
        <w:pStyle w:val="BodyText"/>
        <w:tabs>
          <w:tab w:pos="1049" w:val="left" w:leader="none"/>
        </w:tabs>
        <w:spacing w:line="274" w:lineRule="exact"/>
        <w:ind w:left="0" w:right="230"/>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用友科技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用友科技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用友科技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用友科技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7"/>
        <w:rPr>
          <w:rFonts w:ascii="宋体" w:hAnsi="宋体" w:cs="宋体" w:eastAsia="宋体" w:hint="default"/>
          <w:sz w:val="15"/>
          <w:szCs w:val="15"/>
        </w:rPr>
      </w:pPr>
    </w:p>
    <w:p>
      <w:pPr>
        <w:pStyle w:val="BodyText"/>
        <w:spacing w:line="240" w:lineRule="auto" w:before="36"/>
        <w:ind w:left="218" w:right="2465"/>
        <w:jc w:val="left"/>
      </w:pPr>
      <w:r>
        <w:rPr/>
        <w:t>关联担保情况说明</w:t>
      </w:r>
    </w:p>
    <w:p>
      <w:pPr>
        <w:spacing w:line="240" w:lineRule="auto" w:before="8"/>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520" w:left="1580" w:right="1040"/>
        </w:sectPr>
      </w:pPr>
    </w:p>
    <w:p>
      <w:pPr>
        <w:tabs>
          <w:tab w:pos="834" w:val="left" w:leader="none"/>
        </w:tabs>
        <w:spacing w:before="36"/>
        <w:ind w:left="218" w:right="-5" w:firstLine="0"/>
        <w:jc w:val="left"/>
        <w:rPr>
          <w:rFonts w:ascii="宋体" w:hAnsi="宋体" w:cs="宋体" w:eastAsia="宋体" w:hint="default"/>
          <w:sz w:val="21"/>
          <w:szCs w:val="21"/>
        </w:rPr>
      </w:pPr>
      <w:r>
        <w:rPr>
          <w:rFonts w:ascii="宋体" w:hAnsi="宋体" w:cs="宋体" w:eastAsia="宋体" w:hint="default"/>
          <w:b/>
          <w:bCs/>
          <w:w w:val="95"/>
          <w:sz w:val="20"/>
          <w:szCs w:val="20"/>
        </w:rPr>
        <w:t>(5).</w:t>
        <w:tab/>
      </w:r>
      <w:r>
        <w:rPr>
          <w:rFonts w:ascii="宋体" w:hAnsi="宋体" w:cs="宋体" w:eastAsia="宋体" w:hint="default"/>
          <w:b/>
          <w:bCs/>
          <w:sz w:val="21"/>
          <w:szCs w:val="21"/>
        </w:rPr>
        <w:t>关联方资金拆借</w:t>
      </w:r>
      <w:r>
        <w:rPr>
          <w:rFonts w:ascii="宋体" w:hAnsi="宋体" w:cs="宋体" w:eastAsia="宋体" w:hint="default"/>
          <w:sz w:val="21"/>
          <w:szCs w:val="21"/>
        </w:rPr>
      </w:r>
    </w:p>
    <w:p>
      <w:pPr>
        <w:pStyle w:val="BodyText"/>
        <w:spacing w:line="240" w:lineRule="auto" w:before="58"/>
        <w:ind w:left="218" w:right="-5"/>
        <w:jc w:val="left"/>
      </w:pPr>
      <w:r>
        <w:rPr/>
        <w:t>□适用</w:t>
      </w:r>
      <w:r>
        <w:rPr>
          <w:spacing w:val="-1"/>
        </w:rPr>
        <w:t> </w:t>
      </w:r>
      <w:r>
        <w:rPr/>
        <w:t>√不适用</w:t>
      </w:r>
    </w:p>
    <w:p>
      <w:pPr>
        <w:tabs>
          <w:tab w:pos="834" w:val="left" w:leader="none"/>
        </w:tabs>
        <w:spacing w:before="56"/>
        <w:ind w:left="218" w:right="-5" w:firstLine="0"/>
        <w:jc w:val="left"/>
        <w:rPr>
          <w:rFonts w:ascii="宋体" w:hAnsi="宋体" w:cs="宋体" w:eastAsia="宋体" w:hint="default"/>
          <w:sz w:val="21"/>
          <w:szCs w:val="21"/>
        </w:rPr>
      </w:pPr>
      <w:r>
        <w:rPr>
          <w:rFonts w:ascii="宋体" w:hAnsi="宋体" w:cs="宋体" w:eastAsia="宋体" w:hint="default"/>
          <w:b/>
          <w:bCs/>
          <w:w w:val="95"/>
          <w:sz w:val="20"/>
          <w:szCs w:val="20"/>
        </w:rPr>
        <w:t>(6).</w:t>
        <w:tab/>
      </w:r>
      <w:r>
        <w:rPr>
          <w:rFonts w:ascii="宋体" w:hAnsi="宋体" w:cs="宋体" w:eastAsia="宋体" w:hint="default"/>
          <w:b/>
          <w:bCs/>
          <w:spacing w:val="-1"/>
          <w:sz w:val="21"/>
          <w:szCs w:val="21"/>
        </w:rPr>
        <w:t>关联方资产转让、债务重组情况</w:t>
      </w:r>
      <w:r>
        <w:rPr>
          <w:rFonts w:ascii="宋体" w:hAnsi="宋体" w:cs="宋体" w:eastAsia="宋体" w:hint="default"/>
          <w:spacing w:val="-1"/>
          <w:sz w:val="21"/>
          <w:szCs w:val="21"/>
        </w:rPr>
      </w:r>
    </w:p>
    <w:p>
      <w:pPr>
        <w:pStyle w:val="BodyText"/>
        <w:spacing w:line="240" w:lineRule="auto" w:before="58"/>
        <w:ind w:left="218" w:right="-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3787" w:space="2734"/>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北京用友企业管理研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究所有限公司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转让股权</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281" w:right="0"/>
              <w:jc w:val="left"/>
              <w:rPr>
                <w:rFonts w:ascii="Arial" w:hAnsi="Arial" w:cs="Arial" w:eastAsia="Arial" w:hint="default"/>
                <w:sz w:val="20"/>
                <w:szCs w:val="20"/>
              </w:rPr>
            </w:pPr>
            <w:r>
              <w:rPr>
                <w:rFonts w:ascii="Arial"/>
                <w:sz w:val="20"/>
              </w:rPr>
              <w:t>6,700,000</w:t>
            </w: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520" w:left="1580" w:right="1040"/>
        </w:sectPr>
      </w:pPr>
    </w:p>
    <w:p>
      <w:pPr>
        <w:tabs>
          <w:tab w:pos="834" w:val="left" w:leader="none"/>
        </w:tabs>
        <w:spacing w:before="36"/>
        <w:ind w:left="218" w:right="-17" w:firstLine="0"/>
        <w:jc w:val="left"/>
        <w:rPr>
          <w:rFonts w:ascii="宋体" w:hAnsi="宋体" w:cs="宋体" w:eastAsia="宋体" w:hint="default"/>
          <w:sz w:val="21"/>
          <w:szCs w:val="21"/>
        </w:rPr>
      </w:pPr>
      <w:r>
        <w:rPr>
          <w:rFonts w:ascii="宋体" w:hAnsi="宋体" w:cs="宋体" w:eastAsia="宋体" w:hint="default"/>
          <w:b/>
          <w:bCs/>
          <w:w w:val="95"/>
          <w:sz w:val="20"/>
          <w:szCs w:val="20"/>
        </w:rPr>
        <w:t>(7).</w:t>
        <w:tab/>
      </w:r>
      <w:r>
        <w:rPr>
          <w:rFonts w:ascii="宋体" w:hAnsi="宋体" w:cs="宋体" w:eastAsia="宋体" w:hint="default"/>
          <w:b/>
          <w:bCs/>
          <w:sz w:val="21"/>
          <w:szCs w:val="21"/>
        </w:rPr>
        <w:t>关键管理人员报酬</w:t>
      </w:r>
      <w:r>
        <w:rPr>
          <w:rFonts w:ascii="宋体" w:hAnsi="宋体" w:cs="宋体" w:eastAsia="宋体" w:hint="default"/>
          <w:sz w:val="21"/>
          <w:szCs w:val="21"/>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520" w:left="1580" w:right="1040"/>
          <w:cols w:num="2" w:equalWidth="0">
            <w:col w:w="2525" w:space="399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26,350,091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26,439,127</w:t>
            </w:r>
          </w:p>
        </w:tc>
      </w:tr>
      <w:tr>
        <w:trPr>
          <w:trHeight w:val="55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及</w:t>
            </w:r>
            <w:r>
              <w:rPr>
                <w:rFonts w:ascii="宋体" w:hAnsi="宋体" w:cs="宋体" w:eastAsia="宋体" w:hint="default"/>
                <w:w w:val="100"/>
                <w:sz w:val="21"/>
                <w:szCs w:val="21"/>
              </w:rPr>
              <w:t>关</w:t>
            </w:r>
            <w:r>
              <w:rPr>
                <w:rFonts w:ascii="宋体" w:hAnsi="宋体" w:cs="宋体" w:eastAsia="宋体" w:hint="default"/>
                <w:spacing w:val="-3"/>
                <w:w w:val="100"/>
                <w:sz w:val="21"/>
                <w:szCs w:val="21"/>
              </w:rPr>
              <w:t>键</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人</w:t>
            </w:r>
            <w:r>
              <w:rPr>
                <w:rFonts w:ascii="宋体" w:hAnsi="宋体" w:cs="宋体" w:eastAsia="宋体" w:hint="default"/>
                <w:spacing w:val="-3"/>
                <w:w w:val="100"/>
                <w:sz w:val="21"/>
                <w:szCs w:val="21"/>
              </w:rPr>
              <w:t>员</w:t>
            </w:r>
            <w:r>
              <w:rPr>
                <w:rFonts w:ascii="宋体" w:hAnsi="宋体" w:cs="宋体" w:eastAsia="宋体" w:hint="default"/>
                <w:w w:val="100"/>
                <w:sz w:val="21"/>
                <w:szCs w:val="21"/>
              </w:rPr>
              <w:t>获授股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权激励股数</w:t>
            </w:r>
          </w:p>
        </w:tc>
        <w:tc>
          <w:tcPr>
            <w:tcW w:w="3274"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60,000</w:t>
            </w:r>
          </w:p>
        </w:tc>
      </w:tr>
      <w:tr>
        <w:trPr>
          <w:trHeight w:val="55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及</w:t>
            </w:r>
            <w:r>
              <w:rPr>
                <w:rFonts w:ascii="宋体" w:hAnsi="宋体" w:cs="宋体" w:eastAsia="宋体" w:hint="default"/>
                <w:w w:val="100"/>
                <w:sz w:val="21"/>
                <w:szCs w:val="21"/>
              </w:rPr>
              <w:t>关</w:t>
            </w:r>
            <w:r>
              <w:rPr>
                <w:rFonts w:ascii="宋体" w:hAnsi="宋体" w:cs="宋体" w:eastAsia="宋体" w:hint="default"/>
                <w:spacing w:val="-3"/>
                <w:w w:val="100"/>
                <w:sz w:val="21"/>
                <w:szCs w:val="21"/>
              </w:rPr>
              <w:t>键</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人</w:t>
            </w:r>
            <w:r>
              <w:rPr>
                <w:rFonts w:ascii="宋体" w:hAnsi="宋体" w:cs="宋体" w:eastAsia="宋体" w:hint="default"/>
                <w:spacing w:val="-3"/>
                <w:w w:val="100"/>
                <w:sz w:val="21"/>
                <w:szCs w:val="21"/>
              </w:rPr>
              <w:t>员</w:t>
            </w:r>
            <w:r>
              <w:rPr>
                <w:rFonts w:ascii="宋体" w:hAnsi="宋体" w:cs="宋体" w:eastAsia="宋体" w:hint="default"/>
                <w:w w:val="100"/>
                <w:sz w:val="21"/>
                <w:szCs w:val="21"/>
              </w:rPr>
              <w:t>获授其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他权益激励</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2,034,364</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52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spacing w:line="240" w:lineRule="auto" w:before="175"/>
        <w:ind w:right="2465"/>
        <w:jc w:val="left"/>
        <w:rPr>
          <w:b w:val="0"/>
          <w:bCs w:val="0"/>
        </w:rPr>
      </w:pPr>
      <w:r>
        <w:rPr>
          <w:rFonts w:ascii="宋体" w:hAnsi="宋体" w:cs="宋体" w:eastAsia="宋体" w:hint="default"/>
        </w:rPr>
        <w:t>6</w:t>
      </w:r>
      <w:r>
        <w:rPr/>
        <w:t>、</w:t>
      </w:r>
      <w:r>
        <w:rPr>
          <w:spacing w:val="5"/>
        </w:rPr>
        <w:t> </w:t>
      </w:r>
      <w:r>
        <w:rPr/>
        <w:t>关联方应收应付款项</w:t>
      </w:r>
      <w:r>
        <w:rPr>
          <w:b w:val="0"/>
          <w:bCs w:val="0"/>
        </w:rPr>
      </w:r>
    </w:p>
    <w:p>
      <w:pPr>
        <w:pStyle w:val="BodyText"/>
        <w:spacing w:line="269" w:lineRule="exact" w:before="56"/>
        <w:ind w:left="218" w:right="2465"/>
        <w:jc w:val="left"/>
      </w:pPr>
      <w:r>
        <w:rPr/>
        <w:t>□适用</w:t>
      </w:r>
      <w:r>
        <w:rPr>
          <w:spacing w:val="-1"/>
        </w:rPr>
        <w:t> </w:t>
      </w:r>
      <w:r>
        <w:rPr/>
        <w:t>√不适用</w:t>
      </w:r>
    </w:p>
    <w:p>
      <w:pPr>
        <w:pStyle w:val="BodyText"/>
        <w:spacing w:line="436" w:lineRule="auto"/>
        <w:ind w:left="887" w:right="2465"/>
        <w:jc w:val="left"/>
      </w:pPr>
      <w:r>
        <w:rPr>
          <w:spacing w:val="-2"/>
        </w:rPr>
        <w:t>应收及应付关联方款项均不计利息、无抵押、且无固定还款期。</w:t>
      </w:r>
      <w:r>
        <w:rPr>
          <w:spacing w:val="-52"/>
        </w:rPr>
        <w:t> </w:t>
      </w:r>
      <w:r>
        <w:rPr>
          <w:spacing w:val="-52"/>
        </w:rPr>
      </w:r>
      <w:r>
        <w:rPr/>
        <w:t>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日，本集团无重大关联方往来款余额。</w:t>
      </w:r>
    </w:p>
    <w:p>
      <w:pPr>
        <w:pStyle w:val="Heading2"/>
        <w:spacing w:line="240" w:lineRule="auto" w:before="174"/>
        <w:ind w:right="2465"/>
        <w:jc w:val="left"/>
        <w:rPr>
          <w:b w:val="0"/>
          <w:bCs w:val="0"/>
        </w:rPr>
      </w:pPr>
      <w:r>
        <w:rPr>
          <w:rFonts w:ascii="宋体" w:hAnsi="宋体" w:cs="宋体" w:eastAsia="宋体" w:hint="default"/>
        </w:rPr>
        <w:t>7</w:t>
      </w:r>
      <w:r>
        <w:rPr/>
        <w:t>、</w:t>
      </w:r>
      <w:r>
        <w:rPr>
          <w:spacing w:val="4"/>
        </w:rPr>
        <w:t> </w:t>
      </w:r>
      <w:r>
        <w:rPr/>
        <w:t>关联方承诺</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18"/>
          <w:szCs w:val="18"/>
        </w:rPr>
      </w:pPr>
    </w:p>
    <w:p>
      <w:pPr>
        <w:pStyle w:val="Heading2"/>
        <w:spacing w:line="240" w:lineRule="auto"/>
        <w:ind w:right="2465"/>
        <w:jc w:val="left"/>
        <w:rPr>
          <w:b w:val="0"/>
          <w:bCs w:val="0"/>
        </w:rPr>
      </w:pPr>
      <w:r>
        <w:rPr>
          <w:rFonts w:ascii="宋体" w:hAnsi="宋体" w:cs="宋体" w:eastAsia="宋体" w:hint="default"/>
        </w:rPr>
        <w:t>8</w:t>
      </w:r>
      <w:r>
        <w:rPr/>
        <w:t>、</w:t>
      </w:r>
      <w:r>
        <w:rPr>
          <w:spacing w:val="2"/>
        </w:rPr>
        <w:t> </w:t>
      </w:r>
      <w:r>
        <w:rPr/>
        <w:t>其他</w:t>
      </w:r>
      <w:r>
        <w:rPr>
          <w:b w:val="0"/>
          <w:bCs w:val="0"/>
        </w:rPr>
      </w:r>
    </w:p>
    <w:p>
      <w:pPr>
        <w:spacing w:line="240" w:lineRule="auto" w:before="8"/>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footerReference w:type="default" r:id="rId82"/>
          <w:pgSz w:w="11910" w:h="16840"/>
          <w:pgMar w:footer="1335" w:header="926" w:top="1120" w:bottom="1520" w:left="1580" w:right="1040"/>
          <w:pgNumType w:start="110"/>
        </w:sectPr>
      </w:pPr>
    </w:p>
    <w:p>
      <w:pPr>
        <w:pStyle w:val="Heading2"/>
        <w:tabs>
          <w:tab w:pos="1057" w:val="left" w:leader="none"/>
        </w:tabs>
        <w:spacing w:line="240" w:lineRule="auto"/>
        <w:ind w:right="-19"/>
        <w:jc w:val="left"/>
        <w:rPr>
          <w:b w:val="0"/>
          <w:bCs w:val="0"/>
        </w:rPr>
      </w:pPr>
      <w:r>
        <w:rPr/>
        <w:t>十三、</w:t>
        <w:tab/>
        <w:t>股份支付</w:t>
      </w:r>
      <w:r>
        <w:rPr>
          <w:b w:val="0"/>
          <w:bCs w:val="0"/>
        </w:rPr>
      </w:r>
    </w:p>
    <w:p>
      <w:pPr>
        <w:pStyle w:val="Heading2"/>
        <w:spacing w:line="240" w:lineRule="auto" w:before="56"/>
        <w:ind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单位：股</w:t>
        <w:tab/>
      </w:r>
      <w:r>
        <w:rPr>
          <w:spacing w:val="-2"/>
        </w:rPr>
        <w:t>币种：人民币</w:t>
      </w:r>
    </w:p>
    <w:p>
      <w:pPr>
        <w:spacing w:after="0" w:line="240" w:lineRule="auto"/>
        <w:jc w:val="left"/>
        <w:sectPr>
          <w:type w:val="continuous"/>
          <w:pgSz w:w="11910" w:h="16840"/>
          <w:pgMar w:top="1120" w:bottom="152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5,500,910</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811,443</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8.31~14.98</w:t>
            </w:r>
            <w:r>
              <w:rPr>
                <w:rFonts w:ascii="宋体" w:hAnsi="宋体" w:cs="宋体" w:eastAsia="宋体" w:hint="default"/>
                <w:sz w:val="21"/>
                <w:szCs w:val="21"/>
              </w:rPr>
              <w:t>、</w:t>
            </w:r>
            <w:r>
              <w:rPr>
                <w:rFonts w:ascii="宋体" w:hAnsi="宋体" w:cs="宋体" w:eastAsia="宋体" w:hint="default"/>
                <w:sz w:val="21"/>
                <w:szCs w:val="21"/>
              </w:rPr>
              <w:t>1.87~2.85</w:t>
            </w:r>
            <w:r>
              <w:rPr>
                <w:rFonts w:ascii="宋体" w:hAnsi="宋体" w:cs="宋体" w:eastAsia="宋体" w:hint="default"/>
                <w:spacing w:val="-54"/>
                <w:sz w:val="21"/>
                <w:szCs w:val="21"/>
              </w:rPr>
              <w:t> </w:t>
            </w:r>
            <w:r>
              <w:rPr>
                <w:rFonts w:ascii="宋体" w:hAnsi="宋体" w:cs="宋体" w:eastAsia="宋体" w:hint="default"/>
                <w:sz w:val="21"/>
                <w:szCs w:val="21"/>
              </w:rPr>
              <w:t>年</w:t>
            </w:r>
          </w:p>
        </w:tc>
      </w:tr>
      <w:tr>
        <w:trPr>
          <w:trHeight w:val="55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18"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520" w:left="1580" w:right="1040"/>
        </w:sectPr>
      </w:pPr>
    </w:p>
    <w:p>
      <w:pPr>
        <w:pStyle w:val="Heading2"/>
        <w:spacing w:line="240" w:lineRule="auto" w:before="39"/>
        <w:ind w:right="-17"/>
        <w:jc w:val="left"/>
        <w:rPr>
          <w:b w:val="0"/>
          <w:bCs w:val="0"/>
        </w:rPr>
      </w:pPr>
      <w:r>
        <w:rPr>
          <w:rFonts w:ascii="宋体" w:hAnsi="宋体" w:cs="宋体" w:eastAsia="宋体" w:hint="default"/>
          <w:sz w:val="20"/>
          <w:szCs w:val="20"/>
        </w:rPr>
        <w:t>2</w:t>
      </w:r>
      <w:r>
        <w:rPr>
          <w:sz w:val="20"/>
          <w:szCs w:val="20"/>
        </w:rPr>
        <w:t>、</w:t>
      </w:r>
      <w:r>
        <w:rPr>
          <w:spacing w:val="19"/>
          <w:sz w:val="20"/>
          <w:szCs w:val="20"/>
        </w:rPr>
        <w:t> </w:t>
      </w:r>
      <w:r>
        <w:rPr/>
        <w:t>以权益结算的股份支付情况</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3173" w:space="334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182,494,116</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14,390,735</w:t>
            </w:r>
          </w:p>
        </w:tc>
      </w:tr>
    </w:tbl>
    <w:p>
      <w:pPr>
        <w:pStyle w:val="BodyText"/>
        <w:spacing w:line="241" w:lineRule="exact"/>
        <w:ind w:left="218" w:right="2465"/>
        <w:jc w:val="left"/>
      </w:pPr>
      <w:r>
        <w:rPr/>
        <w:t>其他说明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right="2465"/>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95" w:lineRule="auto"/>
        <w:ind w:left="930" w:right="225" w:hanging="713"/>
        <w:jc w:val="left"/>
      </w:pPr>
      <w:r>
        <w:rPr>
          <w:rFonts w:ascii="宋体" w:hAnsi="宋体" w:cs="宋体" w:eastAsia="宋体" w:hint="default"/>
          <w:b/>
          <w:bCs/>
        </w:rPr>
        <w:t>4</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股份支付的修改、终止情况</w:t>
      </w:r>
      <w:r>
        <w:rPr>
          <w:rFonts w:ascii="宋体" w:hAnsi="宋体" w:cs="宋体" w:eastAsia="宋体" w:hint="default"/>
          <w:b/>
          <w:bCs/>
          <w:w w:val="100"/>
        </w:rPr>
        <w:t> </w:t>
      </w:r>
      <w:r>
        <w:rPr>
          <w:spacing w:val="-1"/>
        </w:rPr>
        <w:t>本公司于</w:t>
      </w:r>
      <w:r>
        <w:rPr>
          <w:rFonts w:ascii="宋体" w:hAnsi="宋体" w:cs="宋体" w:eastAsia="宋体" w:hint="default"/>
          <w:spacing w:val="-1"/>
        </w:rPr>
        <w:t>2013</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16</w:t>
      </w:r>
      <w:r>
        <w:rPr>
          <w:spacing w:val="-1"/>
        </w:rPr>
        <w:t>日召开第五届董事会</w:t>
      </w:r>
      <w:r>
        <w:rPr>
          <w:rFonts w:ascii="宋体" w:hAnsi="宋体" w:cs="宋体" w:eastAsia="宋体" w:hint="default"/>
          <w:spacing w:val="-1"/>
        </w:rPr>
        <w:t>2013</w:t>
      </w:r>
      <w:r>
        <w:rPr>
          <w:spacing w:val="-1"/>
        </w:rPr>
        <w:t>年第十一次会议，审议通过《公司股票期</w:t>
      </w:r>
      <w:r>
        <w:rPr>
          <w:w w:val="100"/>
        </w:rPr>
        <w:t> </w:t>
      </w:r>
      <w:r>
        <w:rPr>
          <w:spacing w:val="-3"/>
        </w:rPr>
        <w:t>权与限制性股票激励计划</w:t>
      </w:r>
      <w:r>
        <w:rPr>
          <w:rFonts w:ascii="宋体" w:hAnsi="宋体" w:cs="宋体" w:eastAsia="宋体" w:hint="default"/>
          <w:spacing w:val="-3"/>
        </w:rPr>
        <w:t>(</w:t>
      </w:r>
      <w:r>
        <w:rPr>
          <w:spacing w:val="-3"/>
        </w:rPr>
        <w:t>草案</w:t>
      </w:r>
      <w:r>
        <w:rPr>
          <w:rFonts w:ascii="宋体" w:hAnsi="宋体" w:cs="宋体" w:eastAsia="宋体" w:hint="default"/>
          <w:spacing w:val="-3"/>
        </w:rPr>
        <w:t>)</w:t>
      </w:r>
      <w:r>
        <w:rPr>
          <w:spacing w:val="-3"/>
        </w:rPr>
        <w:t>》并出具公告，并于</w:t>
      </w:r>
      <w:r>
        <w:rPr>
          <w:rFonts w:ascii="宋体" w:hAnsi="宋体" w:cs="宋体" w:eastAsia="宋体" w:hint="default"/>
          <w:spacing w:val="-3"/>
        </w:rPr>
        <w:t>2013</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18</w:t>
      </w:r>
      <w:r>
        <w:rPr>
          <w:spacing w:val="-3"/>
        </w:rPr>
        <w:t>日获得中国证监会备案</w:t>
      </w:r>
      <w:r>
        <w:rPr>
          <w:w w:val="100"/>
        </w:rPr>
        <w:t> </w:t>
      </w:r>
      <w:r>
        <w:rPr>
          <w:spacing w:val="-3"/>
        </w:rPr>
        <w:t>无异议公告。</w:t>
      </w:r>
      <w:r>
        <w:rPr>
          <w:rFonts w:ascii="宋体" w:hAnsi="宋体" w:cs="宋体" w:eastAsia="宋体" w:hint="default"/>
          <w:spacing w:val="-3"/>
        </w:rPr>
        <w:t>2013</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12</w:t>
      </w:r>
      <w:r>
        <w:rPr>
          <w:spacing w:val="-3"/>
        </w:rPr>
        <w:t>日，本公司</w:t>
      </w:r>
      <w:r>
        <w:rPr>
          <w:rFonts w:ascii="宋体" w:hAnsi="宋体" w:cs="宋体" w:eastAsia="宋体" w:hint="default"/>
          <w:spacing w:val="-3"/>
        </w:rPr>
        <w:t>2013</w:t>
      </w:r>
      <w:r>
        <w:rPr>
          <w:spacing w:val="-3"/>
        </w:rPr>
        <w:t>年第二次临时股东大会审议通过了《股权激励</w:t>
      </w:r>
      <w:r>
        <w:rPr>
          <w:w w:val="100"/>
        </w:rPr>
        <w:t> </w:t>
      </w:r>
      <w:r>
        <w:rPr>
          <w:spacing w:val="-1"/>
        </w:rPr>
        <w:t>计划</w:t>
      </w:r>
      <w:r>
        <w:rPr>
          <w:rFonts w:ascii="宋体" w:hAnsi="宋体" w:cs="宋体" w:eastAsia="宋体" w:hint="default"/>
          <w:spacing w:val="-1"/>
        </w:rPr>
        <w:t>(</w:t>
      </w:r>
      <w:r>
        <w:rPr>
          <w:spacing w:val="-1"/>
        </w:rPr>
        <w:t>草案修订稿</w:t>
      </w:r>
      <w:r>
        <w:rPr>
          <w:rFonts w:ascii="宋体" w:hAnsi="宋体" w:cs="宋体" w:eastAsia="宋体" w:hint="default"/>
          <w:spacing w:val="-1"/>
        </w:rPr>
        <w:t>)</w:t>
      </w:r>
      <w:r>
        <w:rPr>
          <w:spacing w:val="-1"/>
        </w:rPr>
        <w:t>》</w:t>
      </w:r>
      <w:r>
        <w:rPr>
          <w:rFonts w:ascii="宋体" w:hAnsi="宋体" w:cs="宋体" w:eastAsia="宋体" w:hint="default"/>
          <w:spacing w:val="-1"/>
        </w:rPr>
        <w:t>(</w:t>
      </w:r>
      <w:r>
        <w:rPr>
          <w:spacing w:val="-1"/>
        </w:rPr>
        <w:t>以下简称“首次授予计划”</w:t>
      </w:r>
      <w:r>
        <w:rPr>
          <w:rFonts w:ascii="宋体" w:hAnsi="宋体" w:cs="宋体" w:eastAsia="宋体" w:hint="default"/>
          <w:spacing w:val="-1"/>
        </w:rPr>
        <w:t>)</w:t>
      </w:r>
      <w:r>
        <w:rPr>
          <w:spacing w:val="-1"/>
        </w:rPr>
        <w:t>。本公司于</w:t>
      </w:r>
      <w:r>
        <w:rPr>
          <w:rFonts w:ascii="宋体" w:hAnsi="宋体" w:cs="宋体" w:eastAsia="宋体" w:hint="default"/>
          <w:spacing w:val="-1"/>
        </w:rPr>
        <w:t>2014</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5</w:t>
      </w:r>
      <w:r>
        <w:rPr>
          <w:spacing w:val="-1"/>
        </w:rPr>
        <w:t>日召开第六届</w:t>
      </w:r>
    </w:p>
    <w:p>
      <w:pPr>
        <w:spacing w:after="0" w:line="295" w:lineRule="auto"/>
        <w:jc w:val="left"/>
        <w:sectPr>
          <w:type w:val="continuous"/>
          <w:pgSz w:w="11910" w:h="16840"/>
          <w:pgMar w:top="1120" w:bottom="1520" w:left="1580" w:right="1040"/>
        </w:sectPr>
      </w:pPr>
    </w:p>
    <w:p>
      <w:pPr>
        <w:spacing w:line="240" w:lineRule="auto" w:before="12"/>
        <w:rPr>
          <w:rFonts w:ascii="宋体" w:hAnsi="宋体" w:cs="宋体" w:eastAsia="宋体" w:hint="default"/>
          <w:sz w:val="24"/>
          <w:szCs w:val="24"/>
        </w:rPr>
      </w:pPr>
    </w:p>
    <w:p>
      <w:pPr>
        <w:pStyle w:val="BodyText"/>
        <w:spacing w:line="297" w:lineRule="auto" w:before="36"/>
        <w:ind w:left="850" w:right="103"/>
        <w:jc w:val="left"/>
      </w:pPr>
      <w:r>
        <w:rPr>
          <w:spacing w:val="-6"/>
          <w:w w:val="100"/>
        </w:rPr>
        <w:t>董事会</w:t>
      </w:r>
      <w:r>
        <w:rPr>
          <w:rFonts w:ascii="宋体" w:hAnsi="宋体" w:cs="宋体" w:eastAsia="宋体" w:hint="default"/>
          <w:spacing w:val="-6"/>
          <w:w w:val="100"/>
        </w:rPr>
        <w:t>2014</w:t>
      </w:r>
      <w:r>
        <w:rPr>
          <w:spacing w:val="-6"/>
          <w:w w:val="100"/>
        </w:rPr>
        <w:t>年第七次会议，审议通过了《公司关于授予预留股票期权与限制性股票的议案》</w:t>
      </w:r>
      <w:r>
        <w:rPr>
          <w:spacing w:val="-86"/>
          <w:w w:val="100"/>
        </w:rPr>
        <w:t> </w:t>
      </w:r>
      <w:r>
        <w:rPr>
          <w:spacing w:val="-86"/>
          <w:w w:val="100"/>
        </w:rPr>
      </w:r>
      <w:r>
        <w:rPr>
          <w:rFonts w:ascii="宋体" w:hAnsi="宋体" w:cs="宋体" w:eastAsia="宋体" w:hint="default"/>
        </w:rPr>
        <w:t>(</w:t>
      </w:r>
      <w:r>
        <w:rPr/>
        <w:t>以下简称“预留授予计划”</w:t>
      </w:r>
      <w:r>
        <w:rPr>
          <w:rFonts w:ascii="宋体" w:hAnsi="宋体" w:cs="宋体" w:eastAsia="宋体" w:hint="default"/>
        </w:rPr>
        <w:t>)</w:t>
      </w:r>
      <w:r>
        <w:rPr/>
        <w:t>。</w:t>
      </w:r>
    </w:p>
    <w:p>
      <w:pPr>
        <w:spacing w:line="240" w:lineRule="auto" w:before="3"/>
        <w:rPr>
          <w:rFonts w:ascii="宋体" w:hAnsi="宋体" w:cs="宋体" w:eastAsia="宋体" w:hint="default"/>
          <w:sz w:val="27"/>
          <w:szCs w:val="27"/>
        </w:rPr>
      </w:pPr>
    </w:p>
    <w:p>
      <w:pPr>
        <w:pStyle w:val="BodyText"/>
        <w:spacing w:line="297" w:lineRule="auto"/>
        <w:ind w:left="865" w:right="210"/>
        <w:jc w:val="both"/>
      </w:pPr>
      <w:r>
        <w:rPr>
          <w:spacing w:val="-4"/>
          <w:w w:val="100"/>
        </w:rPr>
        <w:t>本公司首次授予计划的授予日为</w:t>
      </w:r>
      <w:r>
        <w:rPr>
          <w:rFonts w:ascii="宋体" w:hAnsi="宋体" w:cs="宋体" w:eastAsia="宋体" w:hint="default"/>
          <w:spacing w:val="-4"/>
          <w:w w:val="100"/>
        </w:rPr>
        <w:t>2013</w:t>
      </w:r>
      <w:r>
        <w:rPr>
          <w:spacing w:val="-4"/>
          <w:w w:val="100"/>
        </w:rPr>
        <w:t>年</w:t>
      </w:r>
      <w:r>
        <w:rPr>
          <w:rFonts w:ascii="宋体" w:hAnsi="宋体" w:cs="宋体" w:eastAsia="宋体" w:hint="default"/>
          <w:spacing w:val="-4"/>
          <w:w w:val="100"/>
        </w:rPr>
        <w:t>11</w:t>
      </w:r>
      <w:r>
        <w:rPr>
          <w:spacing w:val="-4"/>
          <w:w w:val="100"/>
        </w:rPr>
        <w:t>月</w:t>
      </w:r>
      <w:r>
        <w:rPr>
          <w:rFonts w:ascii="宋体" w:hAnsi="宋体" w:cs="宋体" w:eastAsia="宋体" w:hint="default"/>
          <w:spacing w:val="-4"/>
          <w:w w:val="100"/>
        </w:rPr>
        <w:t>12</w:t>
      </w:r>
      <w:r>
        <w:rPr>
          <w:spacing w:val="-4"/>
          <w:w w:val="100"/>
        </w:rPr>
        <w:t>日，本公司预留授予计划授予日为</w:t>
      </w:r>
      <w:r>
        <w:rPr>
          <w:rFonts w:ascii="宋体" w:hAnsi="宋体" w:cs="宋体" w:eastAsia="宋体" w:hint="default"/>
          <w:spacing w:val="-4"/>
          <w:w w:val="100"/>
        </w:rPr>
        <w:t>2014</w:t>
      </w:r>
      <w:r>
        <w:rPr>
          <w:spacing w:val="-4"/>
          <w:w w:val="100"/>
        </w:rPr>
        <w:t>年</w:t>
      </w:r>
      <w:r>
        <w:rPr>
          <w:rFonts w:ascii="宋体" w:hAnsi="宋体" w:cs="宋体" w:eastAsia="宋体" w:hint="default"/>
          <w:spacing w:val="-4"/>
          <w:w w:val="100"/>
        </w:rPr>
        <w:t>11</w:t>
      </w:r>
      <w:r>
        <w:rPr>
          <w:rFonts w:ascii="宋体" w:hAnsi="宋体" w:cs="宋体" w:eastAsia="宋体" w:hint="default"/>
          <w:spacing w:val="-64"/>
          <w:w w:val="100"/>
        </w:rPr>
        <w:t> </w:t>
      </w:r>
      <w:r>
        <w:rPr/>
        <w:t>月</w:t>
      </w:r>
      <w:r>
        <w:rPr>
          <w:rFonts w:ascii="宋体" w:hAnsi="宋体" w:cs="宋体" w:eastAsia="宋体" w:hint="default"/>
        </w:rPr>
        <w:t>6</w:t>
      </w:r>
      <w:r>
        <w:rPr/>
        <w:t>日。</w:t>
      </w:r>
    </w:p>
    <w:p>
      <w:pPr>
        <w:spacing w:line="240" w:lineRule="auto" w:before="1"/>
        <w:rPr>
          <w:rFonts w:ascii="宋体" w:hAnsi="宋体" w:cs="宋体" w:eastAsia="宋体" w:hint="default"/>
          <w:sz w:val="27"/>
          <w:szCs w:val="27"/>
        </w:rPr>
      </w:pPr>
    </w:p>
    <w:p>
      <w:pPr>
        <w:pStyle w:val="BodyText"/>
        <w:spacing w:line="297" w:lineRule="auto"/>
        <w:ind w:left="865" w:right="209"/>
        <w:jc w:val="both"/>
      </w:pPr>
      <w:r>
        <w:rPr/>
        <w:t>本公司实行的上述股票期权激励计划的激励对象包括本公司的高级管理人员及经认定的</w:t>
      </w:r>
      <w:r>
        <w:rPr>
          <w:spacing w:val="10"/>
        </w:rPr>
        <w:t> </w:t>
      </w:r>
      <w:r>
        <w:rPr>
          <w:spacing w:val="10"/>
        </w:rPr>
      </w:r>
      <w:r>
        <w:rPr/>
        <w:t>本公司及其子公司的核心员工。</w:t>
      </w:r>
    </w:p>
    <w:p>
      <w:pPr>
        <w:pStyle w:val="BodyText"/>
        <w:spacing w:line="240" w:lineRule="auto" w:before="15"/>
        <w:ind w:left="838" w:right="0"/>
        <w:jc w:val="both"/>
      </w:pPr>
      <w:r>
        <w:rPr>
          <w:rFonts w:ascii="宋体" w:hAnsi="宋体" w:cs="宋体" w:eastAsia="宋体" w:hint="default"/>
        </w:rPr>
        <w:t>(1)</w:t>
      </w:r>
      <w:r>
        <w:rPr/>
        <w:t>限制性股票激励计划</w:t>
      </w:r>
    </w:p>
    <w:p>
      <w:pPr>
        <w:spacing w:line="240" w:lineRule="auto" w:before="0"/>
        <w:rPr>
          <w:rFonts w:ascii="宋体" w:hAnsi="宋体" w:cs="宋体" w:eastAsia="宋体" w:hint="default"/>
          <w:sz w:val="20"/>
          <w:szCs w:val="20"/>
        </w:rPr>
      </w:pPr>
    </w:p>
    <w:p>
      <w:pPr>
        <w:pStyle w:val="BodyText"/>
        <w:spacing w:line="297" w:lineRule="auto" w:before="145"/>
        <w:ind w:left="846" w:right="207" w:firstLine="4"/>
        <w:jc w:val="both"/>
      </w:pPr>
      <w:r>
        <w:rPr>
          <w:spacing w:val="-3"/>
        </w:rPr>
        <w:t>本公司</w:t>
      </w:r>
      <w:r>
        <w:rPr>
          <w:rFonts w:ascii="宋体" w:hAnsi="宋体" w:cs="宋体" w:eastAsia="宋体" w:hint="default"/>
          <w:spacing w:val="-3"/>
        </w:rPr>
        <w:t>2013</w:t>
      </w:r>
      <w:r>
        <w:rPr>
          <w:spacing w:val="-3"/>
        </w:rPr>
        <w:t>年首次授予计划中限制性股票的授予价格为人民币</w:t>
      </w:r>
      <w:r>
        <w:rPr>
          <w:rFonts w:ascii="宋体" w:hAnsi="宋体" w:cs="宋体" w:eastAsia="宋体" w:hint="default"/>
          <w:spacing w:val="-3"/>
        </w:rPr>
        <w:t>6.76</w:t>
      </w:r>
      <w:r>
        <w:rPr>
          <w:spacing w:val="-3"/>
        </w:rPr>
        <w:t>元，</w:t>
      </w:r>
      <w:r>
        <w:rPr>
          <w:rFonts w:ascii="宋体" w:hAnsi="宋体" w:cs="宋体" w:eastAsia="宋体" w:hint="default"/>
          <w:spacing w:val="-3"/>
        </w:rPr>
        <w:t>2014</w:t>
      </w:r>
      <w:r>
        <w:rPr>
          <w:spacing w:val="-3"/>
        </w:rPr>
        <w:t>年预留授予计</w:t>
      </w:r>
      <w:r>
        <w:rPr>
          <w:spacing w:val="-50"/>
        </w:rPr>
        <w:t> </w:t>
      </w:r>
      <w:r>
        <w:rPr>
          <w:spacing w:val="-50"/>
        </w:rPr>
      </w:r>
      <w:r>
        <w:rPr>
          <w:spacing w:val="-1"/>
        </w:rPr>
        <w:t>划中限制性股票的授予价格为人民币</w:t>
      </w:r>
      <w:r>
        <w:rPr>
          <w:rFonts w:ascii="宋体" w:hAnsi="宋体" w:cs="宋体" w:eastAsia="宋体" w:hint="default"/>
          <w:spacing w:val="-1"/>
        </w:rPr>
        <w:t>10.51</w:t>
      </w:r>
      <w:r>
        <w:rPr>
          <w:spacing w:val="-1"/>
        </w:rPr>
        <w:t>元。授予的限制性股票激励对象均应在授予日</w:t>
      </w:r>
      <w:r>
        <w:rPr>
          <w:spacing w:val="-30"/>
        </w:rPr>
        <w:t> </w:t>
      </w:r>
      <w:r>
        <w:rPr>
          <w:spacing w:val="-30"/>
        </w:rPr>
      </w:r>
      <w:r>
        <w:rPr/>
        <w:t>起满</w:t>
      </w:r>
      <w:r>
        <w:rPr>
          <w:rFonts w:ascii="宋体" w:hAnsi="宋体" w:cs="宋体" w:eastAsia="宋体" w:hint="default"/>
        </w:rPr>
        <w:t>12</w:t>
      </w:r>
      <w:r>
        <w:rPr/>
        <w:t>个月后的未来</w:t>
      </w:r>
      <w:r>
        <w:rPr>
          <w:rFonts w:ascii="宋体" w:hAnsi="宋体" w:cs="宋体" w:eastAsia="宋体" w:hint="default"/>
        </w:rPr>
        <w:t>36</w:t>
      </w:r>
      <w:r>
        <w:rPr/>
        <w:t>个月内分三期解锁。</w:t>
      </w:r>
    </w:p>
    <w:p>
      <w:pPr>
        <w:spacing w:line="240" w:lineRule="auto" w:before="1"/>
        <w:rPr>
          <w:rFonts w:ascii="宋体" w:hAnsi="宋体" w:cs="宋体" w:eastAsia="宋体" w:hint="default"/>
          <w:sz w:val="27"/>
          <w:szCs w:val="27"/>
        </w:rPr>
      </w:pPr>
    </w:p>
    <w:p>
      <w:pPr>
        <w:pStyle w:val="BodyText"/>
        <w:spacing w:line="240" w:lineRule="auto"/>
        <w:ind w:left="846" w:right="0"/>
        <w:jc w:val="both"/>
      </w:pPr>
      <w:r>
        <w:rPr/>
        <w:t>本公司</w:t>
      </w:r>
      <w:r>
        <w:rPr>
          <w:rFonts w:ascii="宋体" w:hAnsi="宋体" w:cs="宋体" w:eastAsia="宋体" w:hint="default"/>
        </w:rPr>
        <w:t>2015</w:t>
      </w:r>
      <w:r>
        <w:rPr/>
        <w:t>年未发行新限制性股票激励计划。</w:t>
      </w:r>
    </w:p>
    <w:p>
      <w:pPr>
        <w:spacing w:line="240" w:lineRule="auto" w:before="0"/>
        <w:rPr>
          <w:rFonts w:ascii="宋体" w:hAnsi="宋体" w:cs="宋体" w:eastAsia="宋体" w:hint="default"/>
          <w:sz w:val="20"/>
          <w:szCs w:val="20"/>
        </w:rPr>
      </w:pPr>
    </w:p>
    <w:p>
      <w:pPr>
        <w:pStyle w:val="BodyText"/>
        <w:spacing w:line="297" w:lineRule="auto" w:before="145"/>
        <w:ind w:left="846" w:right="208"/>
        <w:jc w:val="both"/>
      </w:pPr>
      <w:r>
        <w:rPr>
          <w:spacing w:val="2"/>
        </w:rPr>
        <w:t>公司预计本年业绩情况将无法满足首次授予计划第三期和预留授予计划第二期的解锁条</w:t>
      </w:r>
      <w:r>
        <w:rPr>
          <w:spacing w:val="-54"/>
        </w:rPr>
        <w:t> </w:t>
      </w:r>
      <w:r>
        <w:rPr>
          <w:spacing w:val="-54"/>
        </w:rPr>
      </w:r>
      <w:r>
        <w:rPr>
          <w:spacing w:val="-3"/>
        </w:rPr>
        <w:t>件，因此本年冲回</w:t>
      </w:r>
      <w:r>
        <w:rPr>
          <w:rFonts w:ascii="宋体" w:hAnsi="宋体" w:cs="宋体" w:eastAsia="宋体" w:hint="default"/>
          <w:spacing w:val="-3"/>
        </w:rPr>
        <w:t>2013</w:t>
      </w:r>
      <w:r>
        <w:rPr>
          <w:spacing w:val="-3"/>
        </w:rPr>
        <w:t>年度及</w:t>
      </w:r>
      <w:r>
        <w:rPr>
          <w:rFonts w:ascii="宋体" w:hAnsi="宋体" w:cs="宋体" w:eastAsia="宋体" w:hint="default"/>
          <w:spacing w:val="-3"/>
        </w:rPr>
        <w:t>2014</w:t>
      </w:r>
      <w:r>
        <w:rPr>
          <w:spacing w:val="-3"/>
        </w:rPr>
        <w:t>年度确认的首次授予计划第三期和预留授予计划第二期</w:t>
      </w:r>
      <w:r>
        <w:rPr>
          <w:spacing w:val="-48"/>
        </w:rPr>
        <w:t> </w:t>
      </w:r>
      <w:r>
        <w:rPr>
          <w:spacing w:val="-48"/>
        </w:rPr>
      </w:r>
      <w:r>
        <w:rPr>
          <w:spacing w:val="-3"/>
        </w:rPr>
        <w:t>限制性股票费用人民币</w:t>
      </w:r>
      <w:r>
        <w:rPr>
          <w:rFonts w:ascii="宋体" w:hAnsi="宋体" w:cs="宋体" w:eastAsia="宋体" w:hint="default"/>
          <w:spacing w:val="-3"/>
        </w:rPr>
        <w:t>21,952,865</w:t>
      </w:r>
      <w:r>
        <w:rPr>
          <w:spacing w:val="-3"/>
        </w:rPr>
        <w:t>元。冲回后，本年确认的首次授予计划和预留授予计划</w:t>
      </w:r>
      <w:r>
        <w:rPr>
          <w:spacing w:val="-45"/>
        </w:rPr>
        <w:t> </w:t>
      </w:r>
      <w:r>
        <w:rPr>
          <w:spacing w:val="-45"/>
        </w:rPr>
      </w:r>
      <w:r>
        <w:rPr/>
        <w:t>的限制性股票费用合计为人民币</w:t>
      </w:r>
      <w:r>
        <w:rPr>
          <w:rFonts w:ascii="宋体" w:hAnsi="宋体" w:cs="宋体" w:eastAsia="宋体" w:hint="default"/>
        </w:rPr>
        <w:t>14,390,735</w:t>
      </w:r>
      <w:r>
        <w:rPr/>
        <w:t>元</w:t>
      </w:r>
      <w:r>
        <w:rPr>
          <w:rFonts w:ascii="宋体" w:hAnsi="宋体" w:cs="宋体" w:eastAsia="宋体" w:hint="default"/>
        </w:rPr>
        <w:t>(2014</w:t>
      </w:r>
      <w:r>
        <w:rPr/>
        <w:t>年：人民币</w:t>
      </w:r>
      <w:r>
        <w:rPr>
          <w:rFonts w:ascii="宋体" w:hAnsi="宋体" w:cs="宋体" w:eastAsia="宋体" w:hint="default"/>
        </w:rPr>
        <w:t>69,131,600</w:t>
      </w:r>
      <w:r>
        <w:rPr/>
        <w:t>元</w:t>
      </w:r>
      <w:r>
        <w:rPr>
          <w:rFonts w:ascii="宋体" w:hAnsi="宋体" w:cs="宋体" w:eastAsia="宋体" w:hint="default"/>
        </w:rPr>
        <w:t>)</w:t>
      </w:r>
      <w:r>
        <w:rPr/>
        <w:t>。</w:t>
      </w:r>
    </w:p>
    <w:p>
      <w:pPr>
        <w:spacing w:line="240" w:lineRule="auto" w:before="3"/>
        <w:rPr>
          <w:rFonts w:ascii="宋体" w:hAnsi="宋体" w:cs="宋体" w:eastAsia="宋体" w:hint="default"/>
          <w:sz w:val="27"/>
          <w:szCs w:val="27"/>
        </w:rPr>
      </w:pPr>
    </w:p>
    <w:p>
      <w:pPr>
        <w:pStyle w:val="BodyText"/>
        <w:spacing w:line="297" w:lineRule="auto"/>
        <w:ind w:left="846" w:right="210"/>
        <w:jc w:val="both"/>
      </w:pPr>
      <w:r>
        <w:rPr>
          <w:spacing w:val="3"/>
        </w:rPr>
        <w:t>截止</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日，首次授予计划和预留授予计划的限制性股票合计为</w:t>
      </w:r>
      <w:r>
        <w:rPr>
          <w:rFonts w:ascii="宋体" w:hAnsi="宋体" w:cs="宋体" w:eastAsia="宋体" w:hint="default"/>
          <w:spacing w:val="3"/>
        </w:rPr>
        <w:t>4,509,170</w:t>
      </w:r>
      <w:r>
        <w:rPr>
          <w:spacing w:val="3"/>
        </w:rPr>
        <w:t>股</w:t>
      </w:r>
      <w:r>
        <w:rPr>
          <w:spacing w:val="-16"/>
        </w:rPr>
        <w:t> </w:t>
      </w:r>
      <w:r>
        <w:rPr>
          <w:rFonts w:ascii="宋体" w:hAnsi="宋体" w:cs="宋体" w:eastAsia="宋体" w:hint="default"/>
        </w:rPr>
        <w:t>(2014</w:t>
      </w:r>
      <w:r>
        <w:rPr/>
        <w:t>年：</w:t>
      </w:r>
      <w:r>
        <w:rPr>
          <w:rFonts w:ascii="宋体" w:hAnsi="宋体" w:cs="宋体" w:eastAsia="宋体" w:hint="default"/>
        </w:rPr>
        <w:t>7,164,657</w:t>
      </w:r>
      <w:r>
        <w:rPr/>
        <w:t>股</w:t>
      </w:r>
      <w:r>
        <w:rPr>
          <w:rFonts w:ascii="宋体" w:hAnsi="宋体" w:cs="宋体" w:eastAsia="宋体" w:hint="default"/>
        </w:rPr>
        <w:t>)</w:t>
      </w:r>
      <w:r>
        <w:rPr/>
        <w:t>。</w:t>
      </w:r>
    </w:p>
    <w:p>
      <w:pPr>
        <w:spacing w:line="240" w:lineRule="auto" w:before="3"/>
        <w:rPr>
          <w:rFonts w:ascii="宋体" w:hAnsi="宋体" w:cs="宋体" w:eastAsia="宋体" w:hint="default"/>
          <w:sz w:val="27"/>
          <w:szCs w:val="27"/>
        </w:rPr>
      </w:pPr>
    </w:p>
    <w:p>
      <w:pPr>
        <w:pStyle w:val="BodyText"/>
        <w:spacing w:line="297" w:lineRule="auto"/>
        <w:ind w:left="850" w:right="207"/>
        <w:jc w:val="both"/>
      </w:pPr>
      <w:r>
        <w:rPr>
          <w:spacing w:val="-3"/>
        </w:rPr>
        <w:t>根据</w:t>
      </w:r>
      <w:r>
        <w:rPr>
          <w:rFonts w:ascii="宋体" w:hAnsi="宋体" w:cs="宋体" w:eastAsia="宋体" w:hint="default"/>
          <w:spacing w:val="-3"/>
        </w:rPr>
        <w:t>2015</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12</w:t>
      </w:r>
      <w:r>
        <w:rPr>
          <w:spacing w:val="-3"/>
        </w:rPr>
        <w:t>日召开的公司第六届董事会第二十六次会议审议通过的《公司关于股权</w:t>
      </w:r>
      <w:r>
        <w:rPr>
          <w:spacing w:val="-52"/>
        </w:rPr>
        <w:t> </w:t>
      </w:r>
      <w:r>
        <w:rPr>
          <w:spacing w:val="-52"/>
        </w:rPr>
      </w:r>
      <w:r>
        <w:rPr>
          <w:spacing w:val="-3"/>
        </w:rPr>
        <w:t>激励计划限制性股票符合解锁条件的议案》，</w:t>
      </w:r>
      <w:r>
        <w:rPr>
          <w:rFonts w:ascii="宋体" w:hAnsi="宋体" w:cs="宋体" w:eastAsia="宋体" w:hint="default"/>
          <w:spacing w:val="-3"/>
        </w:rPr>
        <w:t>2015</w:t>
      </w:r>
      <w:r>
        <w:rPr>
          <w:spacing w:val="-3"/>
        </w:rPr>
        <w:t>年解锁首次授予计划的第二期限制性股</w:t>
      </w:r>
      <w:r>
        <w:rPr>
          <w:spacing w:val="-58"/>
        </w:rPr>
        <w:t> </w:t>
      </w:r>
      <w:r>
        <w:rPr>
          <w:spacing w:val="-58"/>
        </w:rPr>
      </w:r>
      <w:r>
        <w:rPr>
          <w:spacing w:val="-3"/>
        </w:rPr>
        <w:t>票</w:t>
      </w:r>
      <w:r>
        <w:rPr>
          <w:rFonts w:ascii="宋体" w:hAnsi="宋体" w:cs="宋体" w:eastAsia="宋体" w:hint="default"/>
          <w:spacing w:val="-3"/>
        </w:rPr>
        <w:t>2,960,190</w:t>
      </w:r>
      <w:r>
        <w:rPr>
          <w:spacing w:val="-3"/>
        </w:rPr>
        <w:t>股，预留授予计划第一期限制性股票</w:t>
      </w:r>
      <w:r>
        <w:rPr>
          <w:rFonts w:ascii="宋体" w:hAnsi="宋体" w:cs="宋体" w:eastAsia="宋体" w:hint="default"/>
          <w:spacing w:val="-3"/>
        </w:rPr>
        <w:t>1,128,228</w:t>
      </w:r>
      <w:r>
        <w:rPr>
          <w:spacing w:val="-3"/>
        </w:rPr>
        <w:t>股。</w:t>
      </w:r>
      <w:r>
        <w:rPr>
          <w:rFonts w:ascii="宋体" w:hAnsi="宋体" w:cs="宋体" w:eastAsia="宋体" w:hint="default"/>
          <w:spacing w:val="-3"/>
        </w:rPr>
        <w:t>2015</w:t>
      </w:r>
      <w:r>
        <w:rPr>
          <w:spacing w:val="-3"/>
        </w:rPr>
        <w:t>年合计解锁限制性股</w:t>
      </w:r>
      <w:r>
        <w:rPr>
          <w:spacing w:val="-32"/>
        </w:rPr>
        <w:t> </w:t>
      </w:r>
      <w:r>
        <w:rPr>
          <w:spacing w:val="-32"/>
        </w:rPr>
      </w:r>
      <w:r>
        <w:rPr/>
        <w:t>票</w:t>
      </w:r>
      <w:r>
        <w:rPr>
          <w:rFonts w:ascii="宋体" w:hAnsi="宋体" w:cs="宋体" w:eastAsia="宋体" w:hint="default"/>
        </w:rPr>
        <w:t>4,088,418</w:t>
      </w:r>
      <w:r>
        <w:rPr/>
        <w:t>股，参见附注七、</w:t>
      </w:r>
      <w:r>
        <w:rPr>
          <w:rFonts w:ascii="宋体" w:hAnsi="宋体" w:cs="宋体" w:eastAsia="宋体" w:hint="default"/>
        </w:rPr>
        <w:t>53</w:t>
      </w:r>
      <w:r>
        <w:rPr/>
        <w:t>。</w:t>
      </w:r>
    </w:p>
    <w:p>
      <w:pPr>
        <w:spacing w:line="240" w:lineRule="auto" w:before="6"/>
        <w:rPr>
          <w:rFonts w:ascii="宋体" w:hAnsi="宋体" w:cs="宋体" w:eastAsia="宋体" w:hint="default"/>
          <w:sz w:val="27"/>
          <w:szCs w:val="27"/>
        </w:rPr>
      </w:pPr>
    </w:p>
    <w:p>
      <w:pPr>
        <w:pStyle w:val="BodyText"/>
        <w:spacing w:line="240" w:lineRule="auto"/>
        <w:ind w:left="850" w:right="0"/>
        <w:jc w:val="both"/>
      </w:pPr>
      <w:r>
        <w:rPr>
          <w:rFonts w:ascii="宋体" w:hAnsi="宋体" w:cs="宋体" w:eastAsia="宋体" w:hint="default"/>
        </w:rPr>
        <w:t>(2)</w:t>
      </w:r>
      <w:r>
        <w:rPr>
          <w:rFonts w:ascii="宋体" w:hAnsi="宋体" w:cs="宋体" w:eastAsia="宋体" w:hint="default"/>
          <w:spacing w:val="-1"/>
        </w:rPr>
        <w:t> </w:t>
      </w:r>
      <w:r>
        <w:rPr/>
        <w:t>股票期权激励计划</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97" w:lineRule="auto"/>
        <w:ind w:left="846" w:right="207" w:firstLine="4"/>
        <w:jc w:val="both"/>
      </w:pPr>
      <w:r>
        <w:rPr>
          <w:spacing w:val="-1"/>
        </w:rPr>
        <w:t>本公司</w:t>
      </w:r>
      <w:r>
        <w:rPr>
          <w:rFonts w:ascii="宋体" w:hAnsi="宋体" w:cs="宋体" w:eastAsia="宋体" w:hint="default"/>
          <w:spacing w:val="-1"/>
        </w:rPr>
        <w:t>2013</w:t>
      </w:r>
      <w:r>
        <w:rPr>
          <w:spacing w:val="-1"/>
        </w:rPr>
        <w:t>年首次授予计划中股票期权的行权价格为人民币</w:t>
      </w:r>
      <w:r>
        <w:rPr>
          <w:rFonts w:ascii="宋体" w:hAnsi="宋体" w:cs="宋体" w:eastAsia="宋体" w:hint="default"/>
          <w:spacing w:val="-1"/>
        </w:rPr>
        <w:t>12.63</w:t>
      </w:r>
      <w:r>
        <w:rPr>
          <w:spacing w:val="-1"/>
        </w:rPr>
        <w:t>元，</w:t>
      </w:r>
      <w:r>
        <w:rPr>
          <w:rFonts w:ascii="宋体" w:hAnsi="宋体" w:cs="宋体" w:eastAsia="宋体" w:hint="default"/>
          <w:spacing w:val="-1"/>
        </w:rPr>
        <w:t>2014</w:t>
      </w:r>
      <w:r>
        <w:rPr>
          <w:spacing w:val="-1"/>
        </w:rPr>
        <w:t>年预留授予计</w:t>
      </w:r>
      <w:r>
        <w:rPr>
          <w:spacing w:val="-29"/>
        </w:rPr>
        <w:t> </w:t>
      </w:r>
      <w:r>
        <w:rPr>
          <w:spacing w:val="-29"/>
        </w:rPr>
      </w:r>
      <w:r>
        <w:rPr>
          <w:spacing w:val="-1"/>
        </w:rPr>
        <w:t>划中股票期权的行权价格为人民币</w:t>
      </w:r>
      <w:r>
        <w:rPr>
          <w:rFonts w:ascii="宋体" w:hAnsi="宋体" w:cs="宋体" w:eastAsia="宋体" w:hint="default"/>
          <w:spacing w:val="-1"/>
        </w:rPr>
        <w:t>18.28</w:t>
      </w:r>
      <w:r>
        <w:rPr>
          <w:spacing w:val="-1"/>
        </w:rPr>
        <w:t>元。首次授予计划和预留授予计划的有效期为自</w:t>
      </w:r>
      <w:r>
        <w:rPr>
          <w:spacing w:val="-30"/>
        </w:rPr>
        <w:t> </w:t>
      </w:r>
      <w:r>
        <w:rPr>
          <w:spacing w:val="-30"/>
        </w:rPr>
      </w:r>
      <w:r>
        <w:rPr>
          <w:spacing w:val="-4"/>
        </w:rPr>
        <w:t>股票期权授予日起</w:t>
      </w:r>
      <w:r>
        <w:rPr>
          <w:rFonts w:ascii="宋体" w:hAnsi="宋体" w:cs="宋体" w:eastAsia="宋体" w:hint="default"/>
          <w:spacing w:val="-4"/>
        </w:rPr>
        <w:t>48</w:t>
      </w:r>
      <w:r>
        <w:rPr>
          <w:spacing w:val="-4"/>
        </w:rPr>
        <w:t>个月。首次授予计划和预留授予计划有效期结束后，已获授但尚未行</w:t>
      </w:r>
      <w:r>
        <w:rPr>
          <w:spacing w:val="-21"/>
        </w:rPr>
        <w:t> </w:t>
      </w:r>
      <w:r>
        <w:rPr>
          <w:spacing w:val="-21"/>
        </w:rPr>
      </w:r>
      <w:r>
        <w:rPr/>
        <w:t>权的股票期权不得行权。</w:t>
      </w:r>
    </w:p>
    <w:p>
      <w:pPr>
        <w:pStyle w:val="BodyText"/>
        <w:spacing w:line="240" w:lineRule="auto" w:before="75"/>
        <w:ind w:left="846" w:right="0"/>
        <w:jc w:val="both"/>
      </w:pPr>
      <w:r>
        <w:rPr/>
        <w:t>首次授予计划和预留授予计划授予股票期权的行权期及各期行权时间安排如下表所示：</w:t>
      </w:r>
    </w:p>
    <w:p>
      <w:pPr>
        <w:spacing w:line="240" w:lineRule="auto" w:before="10"/>
        <w:rPr>
          <w:rFonts w:ascii="宋体" w:hAnsi="宋体" w:cs="宋体" w:eastAsia="宋体" w:hint="default"/>
          <w:sz w:val="26"/>
          <w:szCs w:val="26"/>
        </w:rPr>
      </w:pPr>
    </w:p>
    <w:tbl>
      <w:tblPr>
        <w:tblW w:w="0" w:type="auto"/>
        <w:jc w:val="left"/>
        <w:tblInd w:w="1293" w:type="dxa"/>
        <w:tblLayout w:type="fixed"/>
        <w:tblCellMar>
          <w:top w:w="0" w:type="dxa"/>
          <w:left w:w="0" w:type="dxa"/>
          <w:bottom w:w="0" w:type="dxa"/>
          <w:right w:w="0" w:type="dxa"/>
        </w:tblCellMar>
        <w:tblLook w:val="01E0"/>
      </w:tblPr>
      <w:tblGrid>
        <w:gridCol w:w="1987"/>
        <w:gridCol w:w="2931"/>
        <w:gridCol w:w="2609"/>
      </w:tblGrid>
      <w:tr>
        <w:trPr>
          <w:trHeight w:val="451"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行权期</w:t>
            </w:r>
          </w:p>
        </w:tc>
        <w:tc>
          <w:tcPr>
            <w:tcW w:w="2931" w:type="dxa"/>
            <w:tcBorders>
              <w:top w:val="nil" w:sz="6" w:space="0" w:color="auto"/>
              <w:left w:val="nil" w:sz="6" w:space="0" w:color="auto"/>
              <w:bottom w:val="nil" w:sz="6" w:space="0" w:color="auto"/>
              <w:right w:val="nil" w:sz="6" w:space="0" w:color="auto"/>
            </w:tcBorders>
          </w:tcPr>
          <w:p>
            <w:pPr>
              <w:pStyle w:val="TableParagraph"/>
              <w:spacing w:line="211" w:lineRule="exact"/>
              <w:ind w:left="1153" w:right="0"/>
              <w:jc w:val="left"/>
              <w:rPr>
                <w:rFonts w:ascii="宋体" w:hAnsi="宋体" w:cs="宋体" w:eastAsia="宋体" w:hint="default"/>
                <w:sz w:val="21"/>
                <w:szCs w:val="21"/>
              </w:rPr>
            </w:pPr>
            <w:r>
              <w:rPr>
                <w:rFonts w:ascii="宋体" w:hAnsi="宋体" w:cs="宋体" w:eastAsia="宋体" w:hint="default"/>
                <w:sz w:val="21"/>
                <w:szCs w:val="21"/>
              </w:rPr>
              <w:t>行权时间</w:t>
            </w:r>
          </w:p>
        </w:tc>
        <w:tc>
          <w:tcPr>
            <w:tcW w:w="2609" w:type="dxa"/>
            <w:tcBorders>
              <w:top w:val="nil" w:sz="6" w:space="0" w:color="auto"/>
              <w:left w:val="nil" w:sz="6" w:space="0" w:color="auto"/>
              <w:bottom w:val="nil" w:sz="6" w:space="0" w:color="auto"/>
              <w:right w:val="nil" w:sz="6" w:space="0" w:color="auto"/>
            </w:tcBorders>
          </w:tcPr>
          <w:p>
            <w:pPr>
              <w:pStyle w:val="TableParagraph"/>
              <w:spacing w:line="194" w:lineRule="exact"/>
              <w:ind w:left="934" w:right="0"/>
              <w:jc w:val="left"/>
              <w:rPr>
                <w:rFonts w:ascii="宋体" w:hAnsi="宋体" w:cs="宋体" w:eastAsia="宋体" w:hint="default"/>
                <w:sz w:val="21"/>
                <w:szCs w:val="21"/>
              </w:rPr>
            </w:pPr>
            <w:r>
              <w:rPr>
                <w:rFonts w:ascii="宋体" w:hAnsi="宋体" w:cs="宋体" w:eastAsia="宋体" w:hint="default"/>
                <w:sz w:val="21"/>
                <w:szCs w:val="21"/>
              </w:rPr>
              <w:t>可行权数量占获</w:t>
            </w:r>
          </w:p>
          <w:p>
            <w:pPr>
              <w:pStyle w:val="TableParagraph"/>
              <w:spacing w:line="257" w:lineRule="exact"/>
              <w:ind w:left="934" w:right="0"/>
              <w:jc w:val="left"/>
              <w:rPr>
                <w:rFonts w:ascii="宋体" w:hAnsi="宋体" w:cs="宋体" w:eastAsia="宋体" w:hint="default"/>
                <w:sz w:val="21"/>
                <w:szCs w:val="21"/>
              </w:rPr>
            </w:pPr>
            <w:r>
              <w:rPr>
                <w:rFonts w:ascii="宋体" w:hAnsi="宋体" w:cs="宋体" w:eastAsia="宋体" w:hint="default"/>
                <w:sz w:val="21"/>
                <w:szCs w:val="21"/>
              </w:rPr>
              <w:t>授期权数量比例</w:t>
            </w:r>
          </w:p>
        </w:tc>
      </w:tr>
    </w:tbl>
    <w:p>
      <w:pPr>
        <w:spacing w:after="0" w:line="257" w:lineRule="exact"/>
        <w:jc w:val="left"/>
        <w:rPr>
          <w:rFonts w:ascii="宋体" w:hAnsi="宋体" w:cs="宋体" w:eastAsia="宋体" w:hint="default"/>
          <w:sz w:val="21"/>
          <w:szCs w:val="21"/>
        </w:rPr>
        <w:sectPr>
          <w:pgSz w:w="11910" w:h="16840"/>
          <w:pgMar w:header="926" w:footer="1335" w:top="1120" w:bottom="1520" w:left="1660" w:right="1060"/>
        </w:sectPr>
      </w:pPr>
    </w:p>
    <w:p>
      <w:pPr>
        <w:spacing w:line="240" w:lineRule="auto" w:before="1"/>
        <w:rPr>
          <w:rFonts w:ascii="宋体" w:hAnsi="宋体" w:cs="宋体" w:eastAsia="宋体" w:hint="default"/>
          <w:sz w:val="6"/>
          <w:szCs w:val="6"/>
        </w:rPr>
      </w:pPr>
      <w:r>
        <w:rPr/>
        <w:pict>
          <v:group style="position:absolute;margin-left:88.463997pt;margin-top:55.919983pt;width:444.55pt;height:.1pt;mso-position-horizontal-relative:page;mso-position-vertical-relative:page;z-index:-1072624" coordorigin="1769,1118" coordsize="8891,2">
            <v:shape style="position:absolute;left:1769;top:1118;width:8891;height:2" coordorigin="1769,1118" coordsize="8891,0" path="m1769,1118l10660,1118e" filled="false" stroked="true" strokeweight=".72pt" strokecolor="#000000">
              <v:path arrowok="t"/>
            </v:shape>
            <w10:wrap type="none"/>
          </v:group>
        </w:pict>
      </w:r>
    </w:p>
    <w:tbl>
      <w:tblPr>
        <w:tblW w:w="0" w:type="auto"/>
        <w:jc w:val="left"/>
        <w:tblInd w:w="694" w:type="dxa"/>
        <w:tblLayout w:type="fixed"/>
        <w:tblCellMar>
          <w:top w:w="0" w:type="dxa"/>
          <w:left w:w="0" w:type="dxa"/>
          <w:bottom w:w="0" w:type="dxa"/>
          <w:right w:w="0" w:type="dxa"/>
        </w:tblCellMar>
        <w:tblLook w:val="01E0"/>
      </w:tblPr>
      <w:tblGrid>
        <w:gridCol w:w="1810"/>
        <w:gridCol w:w="4773"/>
        <w:gridCol w:w="949"/>
      </w:tblGrid>
      <w:tr>
        <w:trPr>
          <w:trHeight w:val="1122"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第一个行权期</w:t>
            </w:r>
          </w:p>
        </w:tc>
        <w:tc>
          <w:tcPr>
            <w:tcW w:w="4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exact" w:before="144"/>
              <w:ind w:left="347" w:right="430"/>
              <w:jc w:val="both"/>
              <w:rPr>
                <w:rFonts w:ascii="宋体" w:hAnsi="宋体" w:cs="宋体" w:eastAsia="宋体" w:hint="default"/>
                <w:sz w:val="21"/>
                <w:szCs w:val="21"/>
              </w:rPr>
            </w:pPr>
            <w:r>
              <w:rPr>
                <w:rFonts w:ascii="宋体" w:hAnsi="宋体" w:cs="宋体" w:eastAsia="宋体" w:hint="default"/>
                <w:spacing w:val="-2"/>
                <w:sz w:val="21"/>
                <w:szCs w:val="21"/>
              </w:rPr>
              <w:t>自授予日起</w:t>
            </w:r>
            <w:r>
              <w:rPr>
                <w:rFonts w:ascii="宋体" w:hAnsi="宋体" w:cs="宋体" w:eastAsia="宋体" w:hint="default"/>
                <w:spacing w:val="-2"/>
                <w:sz w:val="21"/>
                <w:szCs w:val="21"/>
              </w:rPr>
              <w:t>12</w:t>
            </w:r>
            <w:r>
              <w:rPr>
                <w:rFonts w:ascii="宋体" w:hAnsi="宋体" w:cs="宋体" w:eastAsia="宋体" w:hint="default"/>
                <w:spacing w:val="-2"/>
                <w:sz w:val="21"/>
                <w:szCs w:val="21"/>
              </w:rPr>
              <w:t>个月后的首个交易日起至相应</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的授予日起</w:t>
            </w:r>
            <w:r>
              <w:rPr>
                <w:rFonts w:ascii="宋体" w:hAnsi="宋体" w:cs="宋体" w:eastAsia="宋体" w:hint="default"/>
                <w:spacing w:val="-2"/>
                <w:sz w:val="21"/>
                <w:szCs w:val="21"/>
              </w:rPr>
              <w:t>24</w:t>
            </w:r>
            <w:r>
              <w:rPr>
                <w:rFonts w:ascii="宋体" w:hAnsi="宋体" w:cs="宋体" w:eastAsia="宋体" w:hint="default"/>
                <w:spacing w:val="-2"/>
                <w:sz w:val="21"/>
                <w:szCs w:val="21"/>
              </w:rPr>
              <w:t>个月内的最后一个交易日当日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止</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98"/>
              <w:jc w:val="right"/>
              <w:rPr>
                <w:rFonts w:ascii="宋体" w:hAnsi="宋体" w:cs="宋体" w:eastAsia="宋体" w:hint="default"/>
                <w:sz w:val="21"/>
                <w:szCs w:val="21"/>
              </w:rPr>
            </w:pPr>
            <w:r>
              <w:rPr>
                <w:rFonts w:ascii="宋体"/>
                <w:sz w:val="21"/>
              </w:rPr>
              <w:t>40%</w:t>
            </w:r>
          </w:p>
        </w:tc>
      </w:tr>
      <w:tr>
        <w:trPr>
          <w:trHeight w:val="720"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25" w:lineRule="exact"/>
              <w:ind w:left="200" w:right="0"/>
              <w:jc w:val="left"/>
              <w:rPr>
                <w:rFonts w:ascii="宋体" w:hAnsi="宋体" w:cs="宋体" w:eastAsia="宋体" w:hint="default"/>
                <w:sz w:val="21"/>
                <w:szCs w:val="21"/>
              </w:rPr>
            </w:pPr>
            <w:r>
              <w:rPr>
                <w:rFonts w:ascii="宋体" w:hAnsi="宋体" w:cs="宋体" w:eastAsia="宋体" w:hint="default"/>
                <w:sz w:val="21"/>
                <w:szCs w:val="21"/>
              </w:rPr>
              <w:t>第二个行权期</w:t>
            </w:r>
          </w:p>
        </w:tc>
        <w:tc>
          <w:tcPr>
            <w:tcW w:w="4773" w:type="dxa"/>
            <w:tcBorders>
              <w:top w:val="nil" w:sz="6" w:space="0" w:color="auto"/>
              <w:left w:val="nil" w:sz="6" w:space="0" w:color="auto"/>
              <w:bottom w:val="nil" w:sz="6" w:space="0" w:color="auto"/>
              <w:right w:val="nil" w:sz="6" w:space="0" w:color="auto"/>
            </w:tcBorders>
          </w:tcPr>
          <w:p>
            <w:pPr>
              <w:pStyle w:val="TableParagraph"/>
              <w:spacing w:line="240" w:lineRule="exact" w:before="4"/>
              <w:ind w:left="347" w:right="430"/>
              <w:jc w:val="both"/>
              <w:rPr>
                <w:rFonts w:ascii="宋体" w:hAnsi="宋体" w:cs="宋体" w:eastAsia="宋体" w:hint="default"/>
                <w:sz w:val="21"/>
                <w:szCs w:val="21"/>
              </w:rPr>
            </w:pPr>
            <w:r>
              <w:rPr>
                <w:rFonts w:ascii="宋体" w:hAnsi="宋体" w:cs="宋体" w:eastAsia="宋体" w:hint="default"/>
                <w:spacing w:val="-2"/>
                <w:sz w:val="21"/>
                <w:szCs w:val="21"/>
              </w:rPr>
              <w:t>自授予日起</w:t>
            </w:r>
            <w:r>
              <w:rPr>
                <w:rFonts w:ascii="宋体" w:hAnsi="宋体" w:cs="宋体" w:eastAsia="宋体" w:hint="default"/>
                <w:spacing w:val="-2"/>
                <w:sz w:val="21"/>
                <w:szCs w:val="21"/>
              </w:rPr>
              <w:t>24</w:t>
            </w:r>
            <w:r>
              <w:rPr>
                <w:rFonts w:ascii="宋体" w:hAnsi="宋体" w:cs="宋体" w:eastAsia="宋体" w:hint="default"/>
                <w:spacing w:val="-2"/>
                <w:sz w:val="21"/>
                <w:szCs w:val="21"/>
              </w:rPr>
              <w:t>个月后的首个交易日起至相应</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的授予日起</w:t>
            </w:r>
            <w:r>
              <w:rPr>
                <w:rFonts w:ascii="宋体" w:hAnsi="宋体" w:cs="宋体" w:eastAsia="宋体" w:hint="default"/>
                <w:spacing w:val="-2"/>
                <w:sz w:val="21"/>
                <w:szCs w:val="21"/>
              </w:rPr>
              <w:t>36</w:t>
            </w:r>
            <w:r>
              <w:rPr>
                <w:rFonts w:ascii="宋体" w:hAnsi="宋体" w:cs="宋体" w:eastAsia="宋体" w:hint="default"/>
                <w:spacing w:val="-2"/>
                <w:sz w:val="21"/>
                <w:szCs w:val="21"/>
              </w:rPr>
              <w:t>个月内的最后一个交易日当日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止</w:t>
            </w:r>
          </w:p>
        </w:tc>
        <w:tc>
          <w:tcPr>
            <w:tcW w:w="949" w:type="dxa"/>
            <w:tcBorders>
              <w:top w:val="nil" w:sz="6" w:space="0" w:color="auto"/>
              <w:left w:val="nil" w:sz="6" w:space="0" w:color="auto"/>
              <w:bottom w:val="nil" w:sz="6" w:space="0" w:color="auto"/>
              <w:right w:val="nil" w:sz="6" w:space="0" w:color="auto"/>
            </w:tcBorders>
          </w:tcPr>
          <w:p>
            <w:pPr>
              <w:pStyle w:val="TableParagraph"/>
              <w:spacing w:line="225" w:lineRule="exact"/>
              <w:ind w:right="198"/>
              <w:jc w:val="right"/>
              <w:rPr>
                <w:rFonts w:ascii="宋体" w:hAnsi="宋体" w:cs="宋体" w:eastAsia="宋体" w:hint="default"/>
                <w:sz w:val="21"/>
                <w:szCs w:val="21"/>
              </w:rPr>
            </w:pPr>
            <w:r>
              <w:rPr>
                <w:rFonts w:ascii="宋体"/>
                <w:sz w:val="21"/>
              </w:rPr>
              <w:t>30%</w:t>
            </w:r>
          </w:p>
        </w:tc>
      </w:tr>
      <w:tr>
        <w:trPr>
          <w:trHeight w:val="706"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25" w:lineRule="exact"/>
              <w:ind w:left="200" w:right="0"/>
              <w:jc w:val="left"/>
              <w:rPr>
                <w:rFonts w:ascii="宋体" w:hAnsi="宋体" w:cs="宋体" w:eastAsia="宋体" w:hint="default"/>
                <w:sz w:val="21"/>
                <w:szCs w:val="21"/>
              </w:rPr>
            </w:pPr>
            <w:r>
              <w:rPr>
                <w:rFonts w:ascii="宋体" w:hAnsi="宋体" w:cs="宋体" w:eastAsia="宋体" w:hint="default"/>
                <w:sz w:val="21"/>
                <w:szCs w:val="21"/>
              </w:rPr>
              <w:t>第三个行权期</w:t>
            </w:r>
          </w:p>
        </w:tc>
        <w:tc>
          <w:tcPr>
            <w:tcW w:w="4773" w:type="dxa"/>
            <w:tcBorders>
              <w:top w:val="nil" w:sz="6" w:space="0" w:color="auto"/>
              <w:left w:val="nil" w:sz="6" w:space="0" w:color="auto"/>
              <w:bottom w:val="nil" w:sz="6" w:space="0" w:color="auto"/>
              <w:right w:val="nil" w:sz="6" w:space="0" w:color="auto"/>
            </w:tcBorders>
          </w:tcPr>
          <w:p>
            <w:pPr>
              <w:pStyle w:val="TableParagraph"/>
              <w:spacing w:line="240" w:lineRule="exact" w:before="4"/>
              <w:ind w:left="347" w:right="430"/>
              <w:jc w:val="both"/>
              <w:rPr>
                <w:rFonts w:ascii="宋体" w:hAnsi="宋体" w:cs="宋体" w:eastAsia="宋体" w:hint="default"/>
                <w:sz w:val="21"/>
                <w:szCs w:val="21"/>
              </w:rPr>
            </w:pPr>
            <w:r>
              <w:rPr>
                <w:rFonts w:ascii="宋体" w:hAnsi="宋体" w:cs="宋体" w:eastAsia="宋体" w:hint="default"/>
                <w:spacing w:val="-2"/>
                <w:sz w:val="21"/>
                <w:szCs w:val="21"/>
              </w:rPr>
              <w:t>自授予日起</w:t>
            </w:r>
            <w:r>
              <w:rPr>
                <w:rFonts w:ascii="宋体" w:hAnsi="宋体" w:cs="宋体" w:eastAsia="宋体" w:hint="default"/>
                <w:spacing w:val="-2"/>
                <w:sz w:val="21"/>
                <w:szCs w:val="21"/>
              </w:rPr>
              <w:t>36</w:t>
            </w:r>
            <w:r>
              <w:rPr>
                <w:rFonts w:ascii="宋体" w:hAnsi="宋体" w:cs="宋体" w:eastAsia="宋体" w:hint="default"/>
                <w:spacing w:val="-2"/>
                <w:sz w:val="21"/>
                <w:szCs w:val="21"/>
              </w:rPr>
              <w:t>个月后的首个交易日起至相应</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的授予日起</w:t>
            </w:r>
            <w:r>
              <w:rPr>
                <w:rFonts w:ascii="宋体" w:hAnsi="宋体" w:cs="宋体" w:eastAsia="宋体" w:hint="default"/>
                <w:spacing w:val="-2"/>
                <w:sz w:val="21"/>
                <w:szCs w:val="21"/>
              </w:rPr>
              <w:t>48</w:t>
            </w:r>
            <w:r>
              <w:rPr>
                <w:rFonts w:ascii="宋体" w:hAnsi="宋体" w:cs="宋体" w:eastAsia="宋体" w:hint="default"/>
                <w:spacing w:val="-2"/>
                <w:sz w:val="21"/>
                <w:szCs w:val="21"/>
              </w:rPr>
              <w:t>个月内的最后一个交易日当日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止</w:t>
            </w:r>
          </w:p>
        </w:tc>
        <w:tc>
          <w:tcPr>
            <w:tcW w:w="949" w:type="dxa"/>
            <w:tcBorders>
              <w:top w:val="nil" w:sz="6" w:space="0" w:color="auto"/>
              <w:left w:val="nil" w:sz="6" w:space="0" w:color="auto"/>
              <w:bottom w:val="nil" w:sz="6" w:space="0" w:color="auto"/>
              <w:right w:val="nil" w:sz="6" w:space="0" w:color="auto"/>
            </w:tcBorders>
          </w:tcPr>
          <w:p>
            <w:pPr>
              <w:pStyle w:val="TableParagraph"/>
              <w:spacing w:line="225" w:lineRule="exact"/>
              <w:ind w:right="198"/>
              <w:jc w:val="right"/>
              <w:rPr>
                <w:rFonts w:ascii="宋体" w:hAnsi="宋体" w:cs="宋体" w:eastAsia="宋体" w:hint="default"/>
                <w:sz w:val="21"/>
                <w:szCs w:val="21"/>
              </w:rPr>
            </w:pPr>
            <w:r>
              <w:rPr>
                <w:rFonts w:ascii="宋体"/>
                <w:sz w:val="21"/>
              </w:rPr>
              <w:t>30%</w:t>
            </w:r>
          </w:p>
        </w:tc>
      </w:tr>
    </w:tbl>
    <w:p>
      <w:pPr>
        <w:spacing w:line="240" w:lineRule="auto" w:before="5"/>
        <w:rPr>
          <w:rFonts w:ascii="宋体" w:hAnsi="宋体" w:cs="宋体" w:eastAsia="宋体" w:hint="default"/>
          <w:sz w:val="14"/>
          <w:szCs w:val="14"/>
        </w:rPr>
      </w:pPr>
    </w:p>
    <w:p>
      <w:pPr>
        <w:pStyle w:val="BodyText"/>
        <w:spacing w:line="297" w:lineRule="auto" w:before="36"/>
        <w:ind w:left="879" w:right="0"/>
        <w:jc w:val="left"/>
      </w:pPr>
      <w:r>
        <w:rPr/>
        <w:t>在行权期内，如达到相应的行权期规定的行权条件，则激励对象可以在该行权期内行权；</w:t>
      </w:r>
      <w:r>
        <w:rPr>
          <w:spacing w:val="-46"/>
        </w:rPr>
        <w:t> </w:t>
      </w:r>
      <w:r>
        <w:rPr>
          <w:spacing w:val="-46"/>
        </w:rPr>
      </w:r>
      <w:r>
        <w:rPr/>
        <w:t>如未达到行权条件或激励对象在行权期内未行权，该部分股票期权由本公司注销。</w:t>
      </w:r>
    </w:p>
    <w:p>
      <w:pPr>
        <w:spacing w:line="240" w:lineRule="auto" w:before="4"/>
        <w:rPr>
          <w:rFonts w:ascii="宋体" w:hAnsi="宋体" w:cs="宋体" w:eastAsia="宋体" w:hint="default"/>
          <w:sz w:val="27"/>
          <w:szCs w:val="27"/>
        </w:rPr>
      </w:pPr>
    </w:p>
    <w:p>
      <w:pPr>
        <w:pStyle w:val="BodyText"/>
        <w:spacing w:line="297" w:lineRule="auto"/>
        <w:ind w:left="879" w:right="0"/>
        <w:jc w:val="left"/>
      </w:pPr>
      <w:r>
        <w:rPr>
          <w:spacing w:val="-2"/>
        </w:rPr>
        <w:t>授予的以权益结算的股份支付于授予日的公允价值，采用布莱克</w:t>
      </w:r>
      <w:r>
        <w:rPr>
          <w:rFonts w:ascii="宋体" w:hAnsi="宋体" w:cs="宋体" w:eastAsia="宋体" w:hint="default"/>
          <w:spacing w:val="-2"/>
        </w:rPr>
        <w:t>-</w:t>
      </w:r>
      <w:r>
        <w:rPr>
          <w:spacing w:val="-2"/>
        </w:rPr>
        <w:t>斯科尔斯模型，结合授</w:t>
      </w:r>
      <w:r>
        <w:rPr>
          <w:spacing w:val="-32"/>
        </w:rPr>
        <w:t> </w:t>
      </w:r>
      <w:r>
        <w:rPr>
          <w:spacing w:val="-32"/>
        </w:rPr>
      </w:r>
      <w:r>
        <w:rPr/>
        <w:t>予股份的条款和条件，作出估计。下表列示了所用模型的输入变量：</w:t>
      </w:r>
    </w:p>
    <w:p>
      <w:pPr>
        <w:spacing w:line="240" w:lineRule="auto" w:before="12"/>
        <w:rPr>
          <w:rFonts w:ascii="宋体" w:hAnsi="宋体" w:cs="宋体" w:eastAsia="宋体" w:hint="default"/>
          <w:sz w:val="22"/>
          <w:szCs w:val="22"/>
        </w:rPr>
      </w:pPr>
    </w:p>
    <w:tbl>
      <w:tblPr>
        <w:tblW w:w="0" w:type="auto"/>
        <w:jc w:val="left"/>
        <w:tblInd w:w="677" w:type="dxa"/>
        <w:tblLayout w:type="fixed"/>
        <w:tblCellMar>
          <w:top w:w="0" w:type="dxa"/>
          <w:left w:w="0" w:type="dxa"/>
          <w:bottom w:w="0" w:type="dxa"/>
          <w:right w:w="0" w:type="dxa"/>
        </w:tblCellMar>
        <w:tblLook w:val="01E0"/>
      </w:tblPr>
      <w:tblGrid>
        <w:gridCol w:w="4254"/>
        <w:gridCol w:w="2951"/>
        <w:gridCol w:w="1356"/>
      </w:tblGrid>
      <w:tr>
        <w:trPr>
          <w:trHeight w:val="240" w:hRule="exact"/>
        </w:trPr>
        <w:tc>
          <w:tcPr>
            <w:tcW w:w="4254" w:type="dxa"/>
            <w:tcBorders>
              <w:top w:val="nil" w:sz="6" w:space="0" w:color="auto"/>
              <w:left w:val="nil" w:sz="6" w:space="0" w:color="auto"/>
              <w:bottom w:val="nil" w:sz="6" w:space="0" w:color="auto"/>
              <w:right w:val="nil" w:sz="6" w:space="0" w:color="auto"/>
            </w:tcBorders>
          </w:tcPr>
          <w:p>
            <w:pPr/>
          </w:p>
        </w:tc>
        <w:tc>
          <w:tcPr>
            <w:tcW w:w="2951" w:type="dxa"/>
            <w:tcBorders>
              <w:top w:val="nil" w:sz="6" w:space="0" w:color="auto"/>
              <w:left w:val="nil" w:sz="6" w:space="0" w:color="auto"/>
              <w:bottom w:val="nil" w:sz="6" w:space="0" w:color="auto"/>
              <w:right w:val="nil" w:sz="6" w:space="0" w:color="auto"/>
            </w:tcBorders>
          </w:tcPr>
          <w:p>
            <w:pPr>
              <w:pStyle w:val="TableParagraph"/>
              <w:spacing w:line="211" w:lineRule="exact"/>
              <w:ind w:right="46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56"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6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股利率</w:t>
            </w:r>
            <w:r>
              <w:rPr>
                <w:rFonts w:ascii="宋体" w:hAnsi="宋体" w:cs="宋体" w:eastAsia="宋体" w:hint="default"/>
                <w:sz w:val="21"/>
                <w:szCs w:val="21"/>
              </w:rPr>
              <w:t>(%)</w:t>
            </w:r>
          </w:p>
        </w:tc>
        <w:tc>
          <w:tcPr>
            <w:tcW w:w="2951" w:type="dxa"/>
            <w:tcBorders>
              <w:top w:val="nil" w:sz="6" w:space="0" w:color="auto"/>
              <w:left w:val="nil" w:sz="6" w:space="0" w:color="auto"/>
              <w:bottom w:val="nil" w:sz="6" w:space="0" w:color="auto"/>
              <w:right w:val="nil" w:sz="6" w:space="0" w:color="auto"/>
            </w:tcBorders>
          </w:tcPr>
          <w:p>
            <w:pPr>
              <w:pStyle w:val="TableParagraph"/>
              <w:spacing w:line="240" w:lineRule="exact"/>
              <w:ind w:right="469"/>
              <w:jc w:val="right"/>
              <w:rPr>
                <w:rFonts w:ascii="宋体" w:hAnsi="宋体" w:cs="宋体" w:eastAsia="宋体" w:hint="default"/>
                <w:sz w:val="21"/>
                <w:szCs w:val="21"/>
              </w:rPr>
            </w:pPr>
            <w:r>
              <w:rPr>
                <w:rFonts w:ascii="宋体"/>
                <w:sz w:val="21"/>
              </w:rPr>
              <w:t>1.7</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宋体" w:hAnsi="宋体" w:cs="宋体" w:eastAsia="宋体" w:hint="default"/>
                <w:sz w:val="21"/>
                <w:szCs w:val="21"/>
              </w:rPr>
            </w:pPr>
            <w:r>
              <w:rPr>
                <w:rFonts w:ascii="宋体"/>
                <w:sz w:val="21"/>
              </w:rPr>
              <w:t>1.7</w:t>
            </w:r>
          </w:p>
        </w:tc>
      </w:tr>
      <w:tr>
        <w:trPr>
          <w:trHeight w:val="256"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21"/>
                <w:szCs w:val="21"/>
              </w:rPr>
            </w:pPr>
            <w:r>
              <w:rPr>
                <w:rFonts w:ascii="宋体" w:hAnsi="宋体" w:cs="宋体" w:eastAsia="宋体" w:hint="default"/>
                <w:sz w:val="21"/>
                <w:szCs w:val="21"/>
              </w:rPr>
              <w:t>预计波动率</w:t>
            </w:r>
            <w:r>
              <w:rPr>
                <w:rFonts w:ascii="宋体" w:hAnsi="宋体" w:cs="宋体" w:eastAsia="宋体" w:hint="default"/>
                <w:sz w:val="21"/>
                <w:szCs w:val="21"/>
              </w:rPr>
              <w:t>(%)</w:t>
            </w:r>
          </w:p>
        </w:tc>
        <w:tc>
          <w:tcPr>
            <w:tcW w:w="2951" w:type="dxa"/>
            <w:tcBorders>
              <w:top w:val="nil" w:sz="6" w:space="0" w:color="auto"/>
              <w:left w:val="nil" w:sz="6" w:space="0" w:color="auto"/>
              <w:bottom w:val="nil" w:sz="6" w:space="0" w:color="auto"/>
              <w:right w:val="nil" w:sz="6" w:space="0" w:color="auto"/>
            </w:tcBorders>
          </w:tcPr>
          <w:p>
            <w:pPr>
              <w:pStyle w:val="TableParagraph"/>
              <w:spacing w:line="233" w:lineRule="exact"/>
              <w:ind w:right="469"/>
              <w:jc w:val="right"/>
              <w:rPr>
                <w:rFonts w:ascii="宋体" w:hAnsi="宋体" w:cs="宋体" w:eastAsia="宋体" w:hint="default"/>
                <w:sz w:val="21"/>
                <w:szCs w:val="21"/>
              </w:rPr>
            </w:pPr>
            <w:r>
              <w:rPr>
                <w:rFonts w:ascii="宋体"/>
                <w:sz w:val="21"/>
              </w:rPr>
              <w:t>51.10</w:t>
            </w:r>
          </w:p>
        </w:tc>
        <w:tc>
          <w:tcPr>
            <w:tcW w:w="1356" w:type="dxa"/>
            <w:tcBorders>
              <w:top w:val="nil" w:sz="6" w:space="0" w:color="auto"/>
              <w:left w:val="nil" w:sz="6" w:space="0" w:color="auto"/>
              <w:bottom w:val="nil" w:sz="6" w:space="0" w:color="auto"/>
              <w:right w:val="nil" w:sz="6" w:space="0" w:color="auto"/>
            </w:tcBorders>
          </w:tcPr>
          <w:p>
            <w:pPr>
              <w:pStyle w:val="TableParagraph"/>
              <w:spacing w:line="233" w:lineRule="exact"/>
              <w:ind w:right="198"/>
              <w:jc w:val="right"/>
              <w:rPr>
                <w:rFonts w:ascii="宋体" w:hAnsi="宋体" w:cs="宋体" w:eastAsia="宋体" w:hint="default"/>
                <w:sz w:val="21"/>
                <w:szCs w:val="21"/>
              </w:rPr>
            </w:pPr>
            <w:r>
              <w:rPr>
                <w:rFonts w:ascii="宋体"/>
                <w:sz w:val="21"/>
              </w:rPr>
              <w:t>41.53</w:t>
            </w:r>
          </w:p>
        </w:tc>
      </w:tr>
      <w:tr>
        <w:trPr>
          <w:trHeight w:val="256"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34" w:lineRule="exact"/>
              <w:ind w:left="200" w:right="0"/>
              <w:jc w:val="left"/>
              <w:rPr>
                <w:rFonts w:ascii="宋体" w:hAnsi="宋体" w:cs="宋体" w:eastAsia="宋体" w:hint="default"/>
                <w:sz w:val="21"/>
                <w:szCs w:val="21"/>
              </w:rPr>
            </w:pPr>
            <w:r>
              <w:rPr>
                <w:rFonts w:ascii="宋体" w:hAnsi="宋体" w:cs="宋体" w:eastAsia="宋体" w:hint="default"/>
                <w:sz w:val="21"/>
                <w:szCs w:val="21"/>
              </w:rPr>
              <w:t>历史波动率</w:t>
            </w:r>
            <w:r>
              <w:rPr>
                <w:rFonts w:ascii="宋体" w:hAnsi="宋体" w:cs="宋体" w:eastAsia="宋体" w:hint="default"/>
                <w:sz w:val="21"/>
                <w:szCs w:val="21"/>
              </w:rPr>
              <w:t>(%)</w:t>
            </w:r>
          </w:p>
        </w:tc>
        <w:tc>
          <w:tcPr>
            <w:tcW w:w="2951" w:type="dxa"/>
            <w:tcBorders>
              <w:top w:val="nil" w:sz="6" w:space="0" w:color="auto"/>
              <w:left w:val="nil" w:sz="6" w:space="0" w:color="auto"/>
              <w:bottom w:val="nil" w:sz="6" w:space="0" w:color="auto"/>
              <w:right w:val="nil" w:sz="6" w:space="0" w:color="auto"/>
            </w:tcBorders>
          </w:tcPr>
          <w:p>
            <w:pPr>
              <w:pStyle w:val="TableParagraph"/>
              <w:spacing w:line="234" w:lineRule="exact"/>
              <w:ind w:right="469"/>
              <w:jc w:val="right"/>
              <w:rPr>
                <w:rFonts w:ascii="宋体" w:hAnsi="宋体" w:cs="宋体" w:eastAsia="宋体" w:hint="default"/>
                <w:sz w:val="21"/>
                <w:szCs w:val="21"/>
              </w:rPr>
            </w:pPr>
            <w:r>
              <w:rPr>
                <w:rFonts w:ascii="宋体"/>
                <w:sz w:val="21"/>
              </w:rPr>
              <w:t>51.10</w:t>
            </w:r>
          </w:p>
        </w:tc>
        <w:tc>
          <w:tcPr>
            <w:tcW w:w="1356" w:type="dxa"/>
            <w:tcBorders>
              <w:top w:val="nil" w:sz="6" w:space="0" w:color="auto"/>
              <w:left w:val="nil" w:sz="6" w:space="0" w:color="auto"/>
              <w:bottom w:val="nil" w:sz="6" w:space="0" w:color="auto"/>
              <w:right w:val="nil" w:sz="6" w:space="0" w:color="auto"/>
            </w:tcBorders>
          </w:tcPr>
          <w:p>
            <w:pPr>
              <w:pStyle w:val="TableParagraph"/>
              <w:spacing w:line="234" w:lineRule="exact"/>
              <w:ind w:right="198"/>
              <w:jc w:val="right"/>
              <w:rPr>
                <w:rFonts w:ascii="宋体" w:hAnsi="宋体" w:cs="宋体" w:eastAsia="宋体" w:hint="default"/>
                <w:sz w:val="21"/>
                <w:szCs w:val="21"/>
              </w:rPr>
            </w:pPr>
            <w:r>
              <w:rPr>
                <w:rFonts w:ascii="宋体"/>
                <w:sz w:val="21"/>
              </w:rPr>
              <w:t>41.53</w:t>
            </w:r>
          </w:p>
        </w:tc>
      </w:tr>
      <w:tr>
        <w:trPr>
          <w:trHeight w:val="254"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21"/>
                <w:szCs w:val="21"/>
              </w:rPr>
            </w:pPr>
            <w:r>
              <w:rPr>
                <w:rFonts w:ascii="宋体" w:hAnsi="宋体" w:cs="宋体" w:eastAsia="宋体" w:hint="default"/>
                <w:sz w:val="21"/>
                <w:szCs w:val="21"/>
              </w:rPr>
              <w:t>无风险利率</w:t>
            </w:r>
            <w:r>
              <w:rPr>
                <w:rFonts w:ascii="宋体" w:hAnsi="宋体" w:cs="宋体" w:eastAsia="宋体" w:hint="default"/>
                <w:sz w:val="21"/>
                <w:szCs w:val="21"/>
              </w:rPr>
              <w:t>(%)</w:t>
            </w:r>
          </w:p>
        </w:tc>
        <w:tc>
          <w:tcPr>
            <w:tcW w:w="2951" w:type="dxa"/>
            <w:tcBorders>
              <w:top w:val="nil" w:sz="6" w:space="0" w:color="auto"/>
              <w:left w:val="nil" w:sz="6" w:space="0" w:color="auto"/>
              <w:bottom w:val="nil" w:sz="6" w:space="0" w:color="auto"/>
              <w:right w:val="nil" w:sz="6" w:space="0" w:color="auto"/>
            </w:tcBorders>
          </w:tcPr>
          <w:p>
            <w:pPr>
              <w:pStyle w:val="TableParagraph"/>
              <w:spacing w:line="233" w:lineRule="exact"/>
              <w:ind w:right="469"/>
              <w:jc w:val="right"/>
              <w:rPr>
                <w:rFonts w:ascii="宋体" w:hAnsi="宋体" w:cs="宋体" w:eastAsia="宋体" w:hint="default"/>
                <w:sz w:val="21"/>
                <w:szCs w:val="21"/>
              </w:rPr>
            </w:pPr>
            <w:r>
              <w:rPr>
                <w:rFonts w:ascii="宋体"/>
                <w:sz w:val="21"/>
              </w:rPr>
              <w:t>3.35</w:t>
            </w:r>
          </w:p>
        </w:tc>
        <w:tc>
          <w:tcPr>
            <w:tcW w:w="1356" w:type="dxa"/>
            <w:tcBorders>
              <w:top w:val="nil" w:sz="6" w:space="0" w:color="auto"/>
              <w:left w:val="nil" w:sz="6" w:space="0" w:color="auto"/>
              <w:bottom w:val="nil" w:sz="6" w:space="0" w:color="auto"/>
              <w:right w:val="nil" w:sz="6" w:space="0" w:color="auto"/>
            </w:tcBorders>
          </w:tcPr>
          <w:p>
            <w:pPr>
              <w:pStyle w:val="TableParagraph"/>
              <w:spacing w:line="233" w:lineRule="exact"/>
              <w:ind w:right="198"/>
              <w:jc w:val="right"/>
              <w:rPr>
                <w:rFonts w:ascii="宋体" w:hAnsi="宋体" w:cs="宋体" w:eastAsia="宋体" w:hint="default"/>
                <w:sz w:val="21"/>
                <w:szCs w:val="21"/>
              </w:rPr>
            </w:pPr>
            <w:r>
              <w:rPr>
                <w:rFonts w:ascii="宋体"/>
                <w:sz w:val="21"/>
              </w:rPr>
              <w:t>4.25</w:t>
            </w:r>
          </w:p>
        </w:tc>
      </w:tr>
      <w:tr>
        <w:trPr>
          <w:trHeight w:val="254"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21"/>
                <w:szCs w:val="21"/>
              </w:rPr>
            </w:pPr>
            <w:r>
              <w:rPr>
                <w:rFonts w:ascii="宋体" w:hAnsi="宋体" w:cs="宋体" w:eastAsia="宋体" w:hint="default"/>
                <w:sz w:val="21"/>
                <w:szCs w:val="21"/>
              </w:rPr>
              <w:t>股份期权预计期限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c>
          <w:tcPr>
            <w:tcW w:w="2951" w:type="dxa"/>
            <w:tcBorders>
              <w:top w:val="nil" w:sz="6" w:space="0" w:color="auto"/>
              <w:left w:val="nil" w:sz="6" w:space="0" w:color="auto"/>
              <w:bottom w:val="nil" w:sz="6" w:space="0" w:color="auto"/>
              <w:right w:val="nil" w:sz="6" w:space="0" w:color="auto"/>
            </w:tcBorders>
          </w:tcPr>
          <w:p>
            <w:pPr>
              <w:pStyle w:val="TableParagraph"/>
              <w:spacing w:line="233" w:lineRule="exact"/>
              <w:ind w:right="472"/>
              <w:jc w:val="right"/>
              <w:rPr>
                <w:rFonts w:ascii="宋体" w:hAnsi="宋体" w:cs="宋体" w:eastAsia="宋体" w:hint="default"/>
                <w:sz w:val="21"/>
                <w:szCs w:val="21"/>
              </w:rPr>
            </w:pPr>
            <w:r>
              <w:rPr>
                <w:rFonts w:ascii="宋体"/>
                <w:sz w:val="21"/>
              </w:rPr>
              <w:t>2.95</w:t>
            </w:r>
          </w:p>
        </w:tc>
        <w:tc>
          <w:tcPr>
            <w:tcW w:w="1356" w:type="dxa"/>
            <w:tcBorders>
              <w:top w:val="nil" w:sz="6" w:space="0" w:color="auto"/>
              <w:left w:val="nil" w:sz="6" w:space="0" w:color="auto"/>
              <w:bottom w:val="nil" w:sz="6" w:space="0" w:color="auto"/>
              <w:right w:val="nil" w:sz="6" w:space="0" w:color="auto"/>
            </w:tcBorders>
          </w:tcPr>
          <w:p>
            <w:pPr>
              <w:pStyle w:val="TableParagraph"/>
              <w:spacing w:line="233" w:lineRule="exact"/>
              <w:ind w:right="200"/>
              <w:jc w:val="right"/>
              <w:rPr>
                <w:rFonts w:ascii="宋体" w:hAnsi="宋体" w:cs="宋体" w:eastAsia="宋体" w:hint="default"/>
                <w:sz w:val="21"/>
                <w:szCs w:val="21"/>
              </w:rPr>
            </w:pPr>
            <w:r>
              <w:rPr>
                <w:rFonts w:ascii="宋体"/>
                <w:sz w:val="21"/>
              </w:rPr>
              <w:t>2.95</w:t>
            </w:r>
          </w:p>
        </w:tc>
      </w:tr>
      <w:tr>
        <w:trPr>
          <w:trHeight w:val="233"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21"/>
                <w:szCs w:val="21"/>
              </w:rPr>
            </w:pPr>
            <w:r>
              <w:rPr>
                <w:rFonts w:ascii="宋体" w:hAnsi="宋体" w:cs="宋体" w:eastAsia="宋体" w:hint="default"/>
                <w:sz w:val="21"/>
                <w:szCs w:val="21"/>
              </w:rPr>
              <w:t>授予日股价</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2951" w:type="dxa"/>
            <w:tcBorders>
              <w:top w:val="nil" w:sz="6" w:space="0" w:color="auto"/>
              <w:left w:val="nil" w:sz="6" w:space="0" w:color="auto"/>
              <w:bottom w:val="nil" w:sz="6" w:space="0" w:color="auto"/>
              <w:right w:val="nil" w:sz="6" w:space="0" w:color="auto"/>
            </w:tcBorders>
          </w:tcPr>
          <w:p>
            <w:pPr>
              <w:pStyle w:val="TableParagraph"/>
              <w:spacing w:line="233" w:lineRule="exact"/>
              <w:ind w:right="469"/>
              <w:jc w:val="right"/>
              <w:rPr>
                <w:rFonts w:ascii="宋体" w:hAnsi="宋体" w:cs="宋体" w:eastAsia="宋体" w:hint="default"/>
                <w:sz w:val="21"/>
                <w:szCs w:val="21"/>
              </w:rPr>
            </w:pPr>
            <w:r>
              <w:rPr>
                <w:rFonts w:ascii="宋体"/>
                <w:sz w:val="21"/>
              </w:rPr>
              <w:t>10.51</w:t>
            </w:r>
          </w:p>
        </w:tc>
        <w:tc>
          <w:tcPr>
            <w:tcW w:w="1356" w:type="dxa"/>
            <w:tcBorders>
              <w:top w:val="nil" w:sz="6" w:space="0" w:color="auto"/>
              <w:left w:val="nil" w:sz="6" w:space="0" w:color="auto"/>
              <w:bottom w:val="nil" w:sz="6" w:space="0" w:color="auto"/>
              <w:right w:val="nil" w:sz="6" w:space="0" w:color="auto"/>
            </w:tcBorders>
          </w:tcPr>
          <w:p>
            <w:pPr>
              <w:pStyle w:val="TableParagraph"/>
              <w:spacing w:line="233" w:lineRule="exact"/>
              <w:ind w:right="198"/>
              <w:jc w:val="right"/>
              <w:rPr>
                <w:rFonts w:ascii="宋体" w:hAnsi="宋体" w:cs="宋体" w:eastAsia="宋体" w:hint="default"/>
                <w:sz w:val="21"/>
                <w:szCs w:val="21"/>
              </w:rPr>
            </w:pPr>
            <w:r>
              <w:rPr>
                <w:rFonts w:ascii="宋体"/>
                <w:sz w:val="21"/>
              </w:rPr>
              <w:t>12.05</w:t>
            </w:r>
          </w:p>
        </w:tc>
      </w:tr>
    </w:tbl>
    <w:p>
      <w:pPr>
        <w:spacing w:line="240" w:lineRule="auto" w:before="5"/>
        <w:rPr>
          <w:rFonts w:ascii="宋体" w:hAnsi="宋体" w:cs="宋体" w:eastAsia="宋体" w:hint="default"/>
          <w:sz w:val="14"/>
          <w:szCs w:val="14"/>
        </w:rPr>
      </w:pPr>
    </w:p>
    <w:p>
      <w:pPr>
        <w:pStyle w:val="BodyText"/>
        <w:spacing w:line="297" w:lineRule="auto" w:before="36"/>
        <w:ind w:left="879" w:right="0"/>
        <w:jc w:val="left"/>
      </w:pPr>
      <w:r>
        <w:rPr/>
        <w:t>股票期权的预计期限是根据对未来股票价格波动所可能引致的员工行权时间为基础确定</w:t>
      </w:r>
      <w:r>
        <w:rPr>
          <w:w w:val="100"/>
        </w:rPr>
        <w:t> </w:t>
      </w:r>
      <w:r>
        <w:rPr>
          <w:spacing w:val="-3"/>
        </w:rPr>
        <w:t>的，其反映的行权模式并不一定是未来可能出现的行权模式。预计波动率是基于历史波动</w:t>
      </w:r>
      <w:r>
        <w:rPr>
          <w:spacing w:val="-31"/>
        </w:rPr>
        <w:t> </w:t>
      </w:r>
      <w:r>
        <w:rPr>
          <w:spacing w:val="-31"/>
        </w:rPr>
      </w:r>
      <w:r>
        <w:rPr/>
        <w:t>率能反映出未来趋势的假设，但并不一定是实际的结果。</w:t>
      </w:r>
    </w:p>
    <w:p>
      <w:pPr>
        <w:spacing w:line="240" w:lineRule="auto" w:before="3"/>
        <w:rPr>
          <w:rFonts w:ascii="宋体" w:hAnsi="宋体" w:cs="宋体" w:eastAsia="宋体" w:hint="default"/>
          <w:sz w:val="27"/>
          <w:szCs w:val="27"/>
        </w:rPr>
      </w:pPr>
    </w:p>
    <w:p>
      <w:pPr>
        <w:pStyle w:val="BodyText"/>
        <w:spacing w:line="295" w:lineRule="auto"/>
        <w:ind w:left="810" w:right="787" w:firstLine="69"/>
        <w:jc w:val="left"/>
      </w:pPr>
      <w:r>
        <w:rPr>
          <w:spacing w:val="-2"/>
        </w:rPr>
        <w:t>公允价值未考虑所授予股票期权的其他特征。</w:t>
      </w:r>
      <w:r>
        <w:rPr>
          <w:w w:val="100"/>
        </w:rPr>
        <w:t> </w:t>
      </w:r>
      <w:r>
        <w:rPr/>
        <w:t>按照本计划，发行在外的股票期权如下：</w:t>
      </w:r>
    </w:p>
    <w:p>
      <w:pPr>
        <w:spacing w:line="240" w:lineRule="auto" w:before="1"/>
        <w:rPr>
          <w:rFonts w:ascii="宋体" w:hAnsi="宋体" w:cs="宋体" w:eastAsia="宋体" w:hint="default"/>
          <w:sz w:val="6"/>
          <w:szCs w:val="6"/>
        </w:rPr>
      </w:pPr>
    </w:p>
    <w:tbl>
      <w:tblPr>
        <w:tblW w:w="0" w:type="auto"/>
        <w:jc w:val="left"/>
        <w:tblInd w:w="636" w:type="dxa"/>
        <w:tblLayout w:type="fixed"/>
        <w:tblCellMar>
          <w:top w:w="0" w:type="dxa"/>
          <w:left w:w="0" w:type="dxa"/>
          <w:bottom w:w="0" w:type="dxa"/>
          <w:right w:w="0" w:type="dxa"/>
        </w:tblCellMar>
        <w:tblLook w:val="01E0"/>
      </w:tblPr>
      <w:tblGrid>
        <w:gridCol w:w="2829"/>
        <w:gridCol w:w="1215"/>
        <w:gridCol w:w="1210"/>
        <w:gridCol w:w="640"/>
        <w:gridCol w:w="1322"/>
        <w:gridCol w:w="1616"/>
      </w:tblGrid>
      <w:tr>
        <w:trPr>
          <w:trHeight w:val="509" w:hRule="exact"/>
        </w:trPr>
        <w:tc>
          <w:tcPr>
            <w:tcW w:w="4043" w:type="dxa"/>
            <w:gridSpan w:val="2"/>
            <w:tcBorders>
              <w:top w:val="nil" w:sz="6" w:space="0" w:color="auto"/>
              <w:left w:val="nil" w:sz="6" w:space="0" w:color="auto"/>
              <w:bottom w:val="nil" w:sz="6" w:space="0" w:color="auto"/>
              <w:right w:val="nil" w:sz="6" w:space="0" w:color="auto"/>
            </w:tcBorders>
          </w:tcPr>
          <w:p>
            <w:pPr>
              <w:pStyle w:val="TableParagraph"/>
              <w:spacing w:line="204" w:lineRule="exact"/>
              <w:ind w:right="50"/>
              <w:jc w:val="right"/>
              <w:rPr>
                <w:rFonts w:ascii="宋体" w:hAnsi="宋体" w:cs="宋体" w:eastAsia="宋体" w:hint="default"/>
                <w:sz w:val="21"/>
                <w:szCs w:val="21"/>
              </w:rPr>
            </w:pPr>
            <w:r>
              <w:rPr>
                <w:rFonts w:ascii="宋体" w:hAnsi="宋体" w:cs="宋体" w:eastAsia="宋体" w:hint="default"/>
                <w:spacing w:val="-1"/>
                <w:sz w:val="21"/>
                <w:szCs w:val="21"/>
              </w:rPr>
              <w:t>2015</w:t>
            </w:r>
            <w:r>
              <w:rPr>
                <w:rFonts w:ascii="宋体" w:hAnsi="宋体" w:cs="宋体" w:eastAsia="宋体" w:hint="default"/>
                <w:spacing w:val="-1"/>
                <w:sz w:val="21"/>
                <w:szCs w:val="21"/>
              </w:rPr>
              <w:t>年加权平</w:t>
            </w:r>
          </w:p>
          <w:p>
            <w:pPr>
              <w:pStyle w:val="TableParagraph"/>
              <w:spacing w:line="268" w:lineRule="exact"/>
              <w:ind w:right="52"/>
              <w:jc w:val="right"/>
              <w:rPr>
                <w:rFonts w:ascii="宋体" w:hAnsi="宋体" w:cs="宋体" w:eastAsia="宋体" w:hint="default"/>
                <w:sz w:val="21"/>
                <w:szCs w:val="21"/>
              </w:rPr>
            </w:pPr>
            <w:r>
              <w:rPr>
                <w:rFonts w:ascii="宋体" w:hAnsi="宋体" w:cs="宋体" w:eastAsia="宋体" w:hint="default"/>
                <w:spacing w:val="-1"/>
                <w:sz w:val="21"/>
                <w:szCs w:val="21"/>
              </w:rPr>
              <w:t>均行权价格</w:t>
            </w:r>
          </w:p>
        </w:tc>
        <w:tc>
          <w:tcPr>
            <w:tcW w:w="1210" w:type="dxa"/>
            <w:tcBorders>
              <w:top w:val="nil" w:sz="6" w:space="0" w:color="auto"/>
              <w:left w:val="nil" w:sz="6" w:space="0" w:color="auto"/>
              <w:bottom w:val="nil" w:sz="6" w:space="0" w:color="auto"/>
              <w:right w:val="nil" w:sz="6" w:space="0" w:color="auto"/>
            </w:tcBorders>
          </w:tcPr>
          <w:p>
            <w:pPr>
              <w:pStyle w:val="TableParagraph"/>
              <w:spacing w:line="204" w:lineRule="exact"/>
              <w:ind w:left="576" w:right="0"/>
              <w:jc w:val="left"/>
              <w:rPr>
                <w:rFonts w:ascii="宋体" w:hAnsi="宋体" w:cs="宋体" w:eastAsia="宋体" w:hint="default"/>
                <w:sz w:val="21"/>
                <w:szCs w:val="21"/>
              </w:rPr>
            </w:pPr>
            <w:r>
              <w:rPr>
                <w:rFonts w:ascii="宋体" w:hAnsi="宋体" w:cs="宋体" w:eastAsia="宋体" w:hint="default"/>
                <w:sz w:val="21"/>
                <w:szCs w:val="21"/>
              </w:rPr>
              <w:t>股票期</w:t>
            </w:r>
          </w:p>
          <w:p>
            <w:pPr>
              <w:pStyle w:val="TableParagraph"/>
              <w:spacing w:line="268" w:lineRule="exact"/>
              <w:ind w:left="576" w:right="0"/>
              <w:jc w:val="left"/>
              <w:rPr>
                <w:rFonts w:ascii="宋体" w:hAnsi="宋体" w:cs="宋体" w:eastAsia="宋体" w:hint="default"/>
                <w:sz w:val="21"/>
                <w:szCs w:val="21"/>
              </w:rPr>
            </w:pPr>
            <w:r>
              <w:rPr>
                <w:rFonts w:ascii="宋体" w:hAnsi="宋体" w:cs="宋体" w:eastAsia="宋体" w:hint="default"/>
                <w:sz w:val="21"/>
                <w:szCs w:val="21"/>
              </w:rPr>
              <w:t>权数量</w:t>
            </w:r>
          </w:p>
        </w:tc>
        <w:tc>
          <w:tcPr>
            <w:tcW w:w="1961" w:type="dxa"/>
            <w:gridSpan w:val="2"/>
            <w:tcBorders>
              <w:top w:val="nil" w:sz="6" w:space="0" w:color="auto"/>
              <w:left w:val="nil" w:sz="6" w:space="0" w:color="auto"/>
              <w:bottom w:val="nil" w:sz="6" w:space="0" w:color="auto"/>
              <w:right w:val="nil" w:sz="6" w:space="0" w:color="auto"/>
            </w:tcBorders>
          </w:tcPr>
          <w:p>
            <w:pPr>
              <w:pStyle w:val="TableParagraph"/>
              <w:spacing w:line="204" w:lineRule="exact"/>
              <w:ind w:left="33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年加权平均</w:t>
            </w:r>
          </w:p>
          <w:p>
            <w:pPr>
              <w:pStyle w:val="TableParagraph"/>
              <w:spacing w:line="268" w:lineRule="exact"/>
              <w:ind w:left="964" w:right="0"/>
              <w:jc w:val="left"/>
              <w:rPr>
                <w:rFonts w:ascii="宋体" w:hAnsi="宋体" w:cs="宋体" w:eastAsia="宋体" w:hint="default"/>
                <w:sz w:val="21"/>
                <w:szCs w:val="21"/>
              </w:rPr>
            </w:pPr>
            <w:r>
              <w:rPr>
                <w:rFonts w:ascii="宋体" w:hAnsi="宋体" w:cs="宋体" w:eastAsia="宋体" w:hint="default"/>
                <w:sz w:val="21"/>
                <w:szCs w:val="21"/>
              </w:rPr>
              <w:t>行权价格</w:t>
            </w:r>
          </w:p>
        </w:tc>
        <w:tc>
          <w:tcPr>
            <w:tcW w:w="1616" w:type="dxa"/>
            <w:tcBorders>
              <w:top w:val="nil" w:sz="6" w:space="0" w:color="auto"/>
              <w:left w:val="nil" w:sz="6" w:space="0" w:color="auto"/>
              <w:bottom w:val="nil" w:sz="6" w:space="0" w:color="auto"/>
              <w:right w:val="nil" w:sz="6" w:space="0" w:color="auto"/>
            </w:tcBorders>
          </w:tcPr>
          <w:p>
            <w:pPr>
              <w:pStyle w:val="TableParagraph"/>
              <w:spacing w:line="204" w:lineRule="exact"/>
              <w:ind w:left="573" w:right="0" w:firstLine="420"/>
              <w:jc w:val="left"/>
              <w:rPr>
                <w:rFonts w:ascii="宋体" w:hAnsi="宋体" w:cs="宋体" w:eastAsia="宋体" w:hint="default"/>
                <w:sz w:val="21"/>
                <w:szCs w:val="21"/>
              </w:rPr>
            </w:pPr>
            <w:r>
              <w:rPr>
                <w:rFonts w:ascii="宋体" w:hAnsi="宋体" w:cs="宋体" w:eastAsia="宋体" w:hint="default"/>
                <w:sz w:val="21"/>
                <w:szCs w:val="21"/>
              </w:rPr>
              <w:t>股票</w:t>
            </w:r>
          </w:p>
          <w:p>
            <w:pPr>
              <w:pStyle w:val="TableParagraph"/>
              <w:spacing w:line="268" w:lineRule="exact"/>
              <w:ind w:left="573" w:right="0"/>
              <w:jc w:val="left"/>
              <w:rPr>
                <w:rFonts w:ascii="宋体" w:hAnsi="宋体" w:cs="宋体" w:eastAsia="宋体" w:hint="default"/>
                <w:sz w:val="21"/>
                <w:szCs w:val="21"/>
              </w:rPr>
            </w:pPr>
            <w:r>
              <w:rPr>
                <w:rFonts w:ascii="宋体" w:hAnsi="宋体" w:cs="宋体" w:eastAsia="宋体" w:hint="default"/>
                <w:sz w:val="21"/>
                <w:szCs w:val="21"/>
              </w:rPr>
              <w:t>期权数量</w:t>
            </w:r>
          </w:p>
        </w:tc>
      </w:tr>
      <w:tr>
        <w:trPr>
          <w:trHeight w:val="402" w:hRule="exact"/>
        </w:trPr>
        <w:tc>
          <w:tcPr>
            <w:tcW w:w="2829"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Style w:val="TableParagraph"/>
              <w:spacing w:line="247" w:lineRule="exact"/>
              <w:ind w:left="4" w:right="0"/>
              <w:jc w:val="left"/>
              <w:rPr>
                <w:rFonts w:ascii="宋体" w:hAnsi="宋体" w:cs="宋体" w:eastAsia="宋体" w:hint="default"/>
                <w:sz w:val="21"/>
                <w:szCs w:val="21"/>
              </w:rPr>
            </w:pPr>
            <w:r>
              <w:rPr>
                <w:rFonts w:ascii="宋体" w:hAnsi="宋体" w:cs="宋体" w:eastAsia="宋体" w:hint="default"/>
                <w:sz w:val="21"/>
                <w:szCs w:val="21"/>
              </w:rPr>
              <w:t>人民币元</w:t>
            </w:r>
            <w:r>
              <w:rPr>
                <w:rFonts w:ascii="宋体" w:hAnsi="宋体" w:cs="宋体" w:eastAsia="宋体" w:hint="default"/>
                <w:sz w:val="21"/>
                <w:szCs w:val="21"/>
              </w:rPr>
              <w:t>/</w:t>
            </w:r>
            <w:r>
              <w:rPr>
                <w:rFonts w:ascii="宋体" w:hAnsi="宋体" w:cs="宋体" w:eastAsia="宋体" w:hint="default"/>
                <w:sz w:val="21"/>
                <w:szCs w:val="21"/>
              </w:rPr>
              <w:t>股</w:t>
            </w:r>
          </w:p>
        </w:tc>
        <w:tc>
          <w:tcPr>
            <w:tcW w:w="1210"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right"/>
              <w:rPr>
                <w:rFonts w:ascii="宋体" w:hAnsi="宋体" w:cs="宋体" w:eastAsia="宋体" w:hint="default"/>
                <w:sz w:val="21"/>
                <w:szCs w:val="21"/>
              </w:rPr>
            </w:pPr>
            <w:r>
              <w:rPr>
                <w:rFonts w:ascii="宋体" w:hAnsi="宋体" w:cs="宋体" w:eastAsia="宋体" w:hint="default"/>
                <w:w w:val="100"/>
                <w:sz w:val="21"/>
                <w:szCs w:val="21"/>
              </w:rPr>
              <w:t>份</w:t>
            </w:r>
          </w:p>
        </w:tc>
        <w:tc>
          <w:tcPr>
            <w:tcW w:w="640"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7" w:lineRule="exact"/>
              <w:ind w:right="151"/>
              <w:jc w:val="right"/>
              <w:rPr>
                <w:rFonts w:ascii="宋体" w:hAnsi="宋体" w:cs="宋体" w:eastAsia="宋体" w:hint="default"/>
                <w:sz w:val="21"/>
                <w:szCs w:val="21"/>
              </w:rPr>
            </w:pPr>
            <w:r>
              <w:rPr>
                <w:rFonts w:ascii="宋体" w:hAnsi="宋体" w:cs="宋体" w:eastAsia="宋体" w:hint="default"/>
                <w:spacing w:val="-1"/>
                <w:sz w:val="21"/>
                <w:szCs w:val="21"/>
              </w:rPr>
              <w:t>人民币元</w:t>
            </w:r>
            <w:r>
              <w:rPr>
                <w:rFonts w:ascii="宋体" w:hAnsi="宋体" w:cs="宋体" w:eastAsia="宋体" w:hint="default"/>
                <w:spacing w:val="-1"/>
                <w:sz w:val="21"/>
                <w:szCs w:val="21"/>
              </w:rPr>
              <w:t>/</w:t>
            </w:r>
            <w:r>
              <w:rPr>
                <w:rFonts w:ascii="宋体" w:hAnsi="宋体" w:cs="宋体" w:eastAsia="宋体" w:hint="default"/>
                <w:spacing w:val="-1"/>
                <w:sz w:val="21"/>
                <w:szCs w:val="21"/>
              </w:rPr>
              <w:t>股</w:t>
            </w:r>
          </w:p>
        </w:tc>
        <w:tc>
          <w:tcPr>
            <w:tcW w:w="1616" w:type="dxa"/>
            <w:tcBorders>
              <w:top w:val="nil" w:sz="6" w:space="0" w:color="auto"/>
              <w:left w:val="nil" w:sz="6" w:space="0" w:color="auto"/>
              <w:bottom w:val="nil" w:sz="6" w:space="0" w:color="auto"/>
              <w:right w:val="nil" w:sz="6" w:space="0" w:color="auto"/>
            </w:tcBorders>
          </w:tcPr>
          <w:p>
            <w:pPr>
              <w:pStyle w:val="TableParagraph"/>
              <w:spacing w:line="247" w:lineRule="exact"/>
              <w:ind w:right="200"/>
              <w:jc w:val="right"/>
              <w:rPr>
                <w:rFonts w:ascii="宋体" w:hAnsi="宋体" w:cs="宋体" w:eastAsia="宋体" w:hint="default"/>
                <w:sz w:val="21"/>
                <w:szCs w:val="21"/>
              </w:rPr>
            </w:pPr>
            <w:r>
              <w:rPr>
                <w:rFonts w:ascii="宋体" w:hAnsi="宋体" w:cs="宋体" w:eastAsia="宋体" w:hint="default"/>
                <w:w w:val="100"/>
                <w:sz w:val="21"/>
                <w:szCs w:val="21"/>
              </w:rPr>
              <w:t>份</w:t>
            </w:r>
          </w:p>
        </w:tc>
      </w:tr>
      <w:tr>
        <w:trPr>
          <w:trHeight w:val="390"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25" w:right="0"/>
              <w:jc w:val="left"/>
              <w:rPr>
                <w:rFonts w:ascii="宋体" w:hAnsi="宋体" w:cs="宋体" w:eastAsia="宋体" w:hint="default"/>
                <w:sz w:val="21"/>
                <w:szCs w:val="21"/>
              </w:rPr>
            </w:pPr>
            <w:r>
              <w:rPr>
                <w:rFonts w:ascii="宋体"/>
                <w:sz w:val="21"/>
              </w:rPr>
              <w:t>14.26</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
              <w:jc w:val="right"/>
              <w:rPr>
                <w:rFonts w:ascii="宋体" w:hAnsi="宋体" w:cs="宋体" w:eastAsia="宋体" w:hint="default"/>
                <w:sz w:val="21"/>
                <w:szCs w:val="21"/>
              </w:rPr>
            </w:pPr>
            <w:r>
              <w:rPr>
                <w:rFonts w:ascii="宋体"/>
                <w:spacing w:val="-1"/>
                <w:sz w:val="21"/>
              </w:rPr>
              <w:t>10,532,017</w:t>
            </w:r>
          </w:p>
        </w:tc>
        <w:tc>
          <w:tcPr>
            <w:tcW w:w="640"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2"/>
              <w:jc w:val="right"/>
              <w:rPr>
                <w:rFonts w:ascii="宋体" w:hAnsi="宋体" w:cs="宋体" w:eastAsia="宋体" w:hint="default"/>
                <w:sz w:val="21"/>
                <w:szCs w:val="21"/>
              </w:rPr>
            </w:pPr>
            <w:r>
              <w:rPr>
                <w:rFonts w:ascii="宋体"/>
                <w:sz w:val="21"/>
              </w:rPr>
              <w:t>12.63</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8"/>
              <w:jc w:val="right"/>
              <w:rPr>
                <w:rFonts w:ascii="宋体" w:hAnsi="宋体" w:cs="宋体" w:eastAsia="宋体" w:hint="default"/>
                <w:sz w:val="21"/>
                <w:szCs w:val="21"/>
              </w:rPr>
            </w:pPr>
            <w:r>
              <w:rPr>
                <w:rFonts w:ascii="宋体"/>
                <w:spacing w:val="-1"/>
                <w:sz w:val="21"/>
              </w:rPr>
              <w:t>12,429,800</w:t>
            </w:r>
          </w:p>
        </w:tc>
      </w:tr>
      <w:tr>
        <w:trPr>
          <w:trHeight w:val="520"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宋体" w:hAnsi="宋体" w:cs="宋体" w:eastAsia="宋体" w:hint="default"/>
                <w:sz w:val="21"/>
                <w:szCs w:val="21"/>
              </w:rPr>
            </w:pPr>
            <w:r>
              <w:rPr>
                <w:rFonts w:ascii="宋体" w:hAnsi="宋体" w:cs="宋体" w:eastAsia="宋体" w:hint="default"/>
                <w:sz w:val="21"/>
                <w:szCs w:val="21"/>
              </w:rPr>
              <w:t>调整增加</w:t>
            </w:r>
            <w:r>
              <w:rPr>
                <w:rFonts w:ascii="宋体" w:hAnsi="宋体" w:cs="宋体" w:eastAsia="宋体" w:hint="default"/>
                <w:sz w:val="21"/>
                <w:szCs w:val="21"/>
              </w:rPr>
              <w:t>-</w:t>
            </w:r>
            <w:r>
              <w:rPr>
                <w:rFonts w:ascii="宋体" w:hAnsi="宋体" w:cs="宋体" w:eastAsia="宋体" w:hint="default"/>
                <w:sz w:val="21"/>
                <w:szCs w:val="21"/>
              </w:rPr>
              <w:t>首次授予</w:t>
            </w:r>
            <w:r>
              <w:rPr>
                <w:rFonts w:ascii="宋体" w:hAnsi="宋体" w:cs="宋体" w:eastAsia="宋体" w:hint="default"/>
                <w:sz w:val="21"/>
                <w:szCs w:val="21"/>
              </w:rPr>
              <w:t>(</w:t>
            </w:r>
            <w:r>
              <w:rPr>
                <w:rFonts w:ascii="宋体" w:hAnsi="宋体" w:cs="宋体" w:eastAsia="宋体" w:hint="default"/>
                <w:sz w:val="21"/>
                <w:szCs w:val="21"/>
              </w:rPr>
              <w:t>注</w:t>
            </w:r>
          </w:p>
          <w:p>
            <w:pPr>
              <w:pStyle w:val="TableParagraph"/>
              <w:spacing w:line="267" w:lineRule="exact"/>
              <w:ind w:left="228" w:right="0"/>
              <w:jc w:val="left"/>
              <w:rPr>
                <w:rFonts w:ascii="宋体" w:hAnsi="宋体" w:cs="宋体" w:eastAsia="宋体" w:hint="default"/>
                <w:sz w:val="21"/>
                <w:szCs w:val="21"/>
              </w:rPr>
            </w:pPr>
            <w:r>
              <w:rPr>
                <w:rFonts w:ascii="宋体"/>
                <w:sz w:val="21"/>
              </w:rPr>
              <w:t>1)</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31" w:right="0"/>
              <w:jc w:val="left"/>
              <w:rPr>
                <w:rFonts w:ascii="宋体" w:hAnsi="宋体" w:cs="宋体" w:eastAsia="宋体" w:hint="default"/>
                <w:sz w:val="21"/>
                <w:szCs w:val="21"/>
              </w:rPr>
            </w:pPr>
            <w:r>
              <w:rPr>
                <w:rFonts w:ascii="宋体"/>
                <w:sz w:val="21"/>
              </w:rPr>
              <w:t>8.31</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1,765,497</w:t>
            </w:r>
          </w:p>
        </w:tc>
        <w:tc>
          <w:tcPr>
            <w:tcW w:w="640"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52"/>
              <w:jc w:val="right"/>
              <w:rPr>
                <w:rFonts w:ascii="宋体" w:hAnsi="宋体" w:cs="宋体" w:eastAsia="宋体" w:hint="default"/>
                <w:sz w:val="21"/>
                <w:szCs w:val="21"/>
              </w:rPr>
            </w:pPr>
            <w:r>
              <w:rPr>
                <w:rFonts w:ascii="宋体"/>
                <w:sz w:val="21"/>
              </w:rPr>
              <w:t>10.275</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98"/>
              <w:jc w:val="right"/>
              <w:rPr>
                <w:rFonts w:ascii="宋体" w:hAnsi="宋体" w:cs="宋体" w:eastAsia="宋体" w:hint="default"/>
                <w:sz w:val="21"/>
                <w:szCs w:val="21"/>
              </w:rPr>
            </w:pPr>
            <w:r>
              <w:rPr>
                <w:rFonts w:ascii="宋体"/>
                <w:spacing w:val="-1"/>
                <w:sz w:val="21"/>
              </w:rPr>
              <w:t>2,485,960</w:t>
            </w:r>
          </w:p>
        </w:tc>
      </w:tr>
      <w:tr>
        <w:trPr>
          <w:trHeight w:val="520"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宋体" w:hAnsi="宋体" w:cs="宋体" w:eastAsia="宋体" w:hint="default"/>
                <w:sz w:val="21"/>
                <w:szCs w:val="21"/>
              </w:rPr>
            </w:pPr>
            <w:r>
              <w:rPr>
                <w:rFonts w:ascii="宋体" w:hAnsi="宋体" w:cs="宋体" w:eastAsia="宋体" w:hint="default"/>
                <w:sz w:val="21"/>
                <w:szCs w:val="21"/>
              </w:rPr>
              <w:t>调整增加</w:t>
            </w:r>
            <w:r>
              <w:rPr>
                <w:rFonts w:ascii="宋体" w:hAnsi="宋体" w:cs="宋体" w:eastAsia="宋体" w:hint="default"/>
                <w:sz w:val="21"/>
                <w:szCs w:val="21"/>
              </w:rPr>
              <w:t>-</w:t>
            </w:r>
            <w:r>
              <w:rPr>
                <w:rFonts w:ascii="宋体" w:hAnsi="宋体" w:cs="宋体" w:eastAsia="宋体" w:hint="default"/>
                <w:sz w:val="21"/>
                <w:szCs w:val="21"/>
              </w:rPr>
              <w:t>预留授予</w:t>
            </w:r>
            <w:r>
              <w:rPr>
                <w:rFonts w:ascii="宋体" w:hAnsi="宋体" w:cs="宋体" w:eastAsia="宋体" w:hint="default"/>
                <w:sz w:val="21"/>
                <w:szCs w:val="21"/>
              </w:rPr>
              <w:t>(</w:t>
            </w:r>
            <w:r>
              <w:rPr>
                <w:rFonts w:ascii="宋体" w:hAnsi="宋体" w:cs="宋体" w:eastAsia="宋体" w:hint="default"/>
                <w:sz w:val="21"/>
                <w:szCs w:val="21"/>
              </w:rPr>
              <w:t>注</w:t>
            </w:r>
          </w:p>
          <w:p>
            <w:pPr>
              <w:pStyle w:val="TableParagraph"/>
              <w:spacing w:line="267" w:lineRule="exact"/>
              <w:ind w:left="228" w:right="0"/>
              <w:jc w:val="left"/>
              <w:rPr>
                <w:rFonts w:ascii="宋体" w:hAnsi="宋体" w:cs="宋体" w:eastAsia="宋体" w:hint="default"/>
                <w:sz w:val="21"/>
                <w:szCs w:val="21"/>
              </w:rPr>
            </w:pPr>
            <w:r>
              <w:rPr>
                <w:rFonts w:ascii="宋体"/>
                <w:sz w:val="21"/>
              </w:rPr>
              <w:t>1)</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25" w:right="0"/>
              <w:jc w:val="left"/>
              <w:rPr>
                <w:rFonts w:ascii="宋体" w:hAnsi="宋体" w:cs="宋体" w:eastAsia="宋体" w:hint="default"/>
                <w:sz w:val="21"/>
                <w:szCs w:val="21"/>
              </w:rPr>
            </w:pPr>
            <w:r>
              <w:rPr>
                <w:rFonts w:ascii="宋体"/>
                <w:sz w:val="21"/>
              </w:rPr>
              <w:t>14.98</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340,907</w:t>
            </w:r>
          </w:p>
        </w:tc>
        <w:tc>
          <w:tcPr>
            <w:tcW w:w="640"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55"/>
              <w:jc w:val="right"/>
              <w:rPr>
                <w:rFonts w:ascii="宋体" w:hAnsi="宋体" w:cs="宋体" w:eastAsia="宋体" w:hint="default"/>
                <w:sz w:val="21"/>
                <w:szCs w:val="21"/>
              </w:rPr>
            </w:pPr>
            <w:r>
              <w:rPr>
                <w:rFonts w:ascii="宋体"/>
                <w:w w:val="100"/>
                <w:sz w:val="21"/>
              </w:rPr>
              <w:t>-</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0"/>
              <w:jc w:val="right"/>
              <w:rPr>
                <w:rFonts w:ascii="宋体" w:hAnsi="宋体" w:cs="宋体" w:eastAsia="宋体" w:hint="default"/>
                <w:sz w:val="21"/>
                <w:szCs w:val="21"/>
              </w:rPr>
            </w:pPr>
            <w:r>
              <w:rPr>
                <w:rFonts w:ascii="宋体"/>
                <w:w w:val="100"/>
                <w:sz w:val="21"/>
              </w:rPr>
              <w:t>-</w:t>
            </w:r>
          </w:p>
        </w:tc>
      </w:tr>
      <w:tr>
        <w:trPr>
          <w:trHeight w:val="260"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授予</w:t>
            </w:r>
          </w:p>
        </w:tc>
        <w:tc>
          <w:tcPr>
            <w:tcW w:w="1215" w:type="dxa"/>
            <w:tcBorders>
              <w:top w:val="nil" w:sz="6" w:space="0" w:color="auto"/>
              <w:left w:val="nil" w:sz="6" w:space="0" w:color="auto"/>
              <w:bottom w:val="nil" w:sz="6" w:space="0" w:color="auto"/>
              <w:right w:val="nil" w:sz="6" w:space="0" w:color="auto"/>
            </w:tcBorders>
          </w:tcPr>
          <w:p>
            <w:pPr>
              <w:pStyle w:val="TableParagraph"/>
              <w:spacing w:line="235" w:lineRule="exact"/>
              <w:ind w:right="161"/>
              <w:jc w:val="right"/>
              <w:rPr>
                <w:rFonts w:ascii="宋体" w:hAnsi="宋体" w:cs="宋体" w:eastAsia="宋体" w:hint="default"/>
                <w:sz w:val="21"/>
                <w:szCs w:val="21"/>
              </w:rPr>
            </w:pPr>
            <w:r>
              <w:rPr>
                <w:rFonts w:ascii="宋体"/>
                <w:w w:val="100"/>
                <w:sz w:val="21"/>
              </w:rPr>
              <w:t>-</w:t>
            </w:r>
          </w:p>
        </w:tc>
        <w:tc>
          <w:tcPr>
            <w:tcW w:w="1210" w:type="dxa"/>
            <w:tcBorders>
              <w:top w:val="nil" w:sz="6" w:space="0" w:color="auto"/>
              <w:left w:val="nil" w:sz="6" w:space="0" w:color="auto"/>
              <w:bottom w:val="nil" w:sz="6" w:space="0" w:color="auto"/>
              <w:right w:val="nil" w:sz="6" w:space="0" w:color="auto"/>
            </w:tcBorders>
          </w:tcPr>
          <w:p>
            <w:pPr>
              <w:pStyle w:val="TableParagraph"/>
              <w:spacing w:line="235" w:lineRule="exact"/>
              <w:ind w:right="0"/>
              <w:jc w:val="right"/>
              <w:rPr>
                <w:rFonts w:ascii="宋体" w:hAnsi="宋体" w:cs="宋体" w:eastAsia="宋体" w:hint="default"/>
                <w:sz w:val="21"/>
                <w:szCs w:val="21"/>
              </w:rPr>
            </w:pPr>
            <w:r>
              <w:rPr>
                <w:rFonts w:ascii="宋体"/>
                <w:w w:val="100"/>
                <w:sz w:val="21"/>
              </w:rPr>
              <w:t>-</w:t>
            </w:r>
          </w:p>
        </w:tc>
        <w:tc>
          <w:tcPr>
            <w:tcW w:w="640"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35" w:lineRule="exact"/>
              <w:ind w:right="152"/>
              <w:jc w:val="right"/>
              <w:rPr>
                <w:rFonts w:ascii="宋体" w:hAnsi="宋体" w:cs="宋体" w:eastAsia="宋体" w:hint="default"/>
                <w:sz w:val="21"/>
                <w:szCs w:val="21"/>
              </w:rPr>
            </w:pPr>
            <w:r>
              <w:rPr>
                <w:rFonts w:ascii="宋体"/>
                <w:sz w:val="21"/>
              </w:rPr>
              <w:t>18.28</w:t>
            </w:r>
          </w:p>
        </w:tc>
        <w:tc>
          <w:tcPr>
            <w:tcW w:w="1616" w:type="dxa"/>
            <w:tcBorders>
              <w:top w:val="nil" w:sz="6" w:space="0" w:color="auto"/>
              <w:left w:val="nil" w:sz="6" w:space="0" w:color="auto"/>
              <w:bottom w:val="nil" w:sz="6" w:space="0" w:color="auto"/>
              <w:right w:val="nil" w:sz="6" w:space="0" w:color="auto"/>
            </w:tcBorders>
          </w:tcPr>
          <w:p>
            <w:pPr>
              <w:pStyle w:val="TableParagraph"/>
              <w:spacing w:line="235" w:lineRule="exact"/>
              <w:ind w:right="198"/>
              <w:jc w:val="right"/>
              <w:rPr>
                <w:rFonts w:ascii="宋体" w:hAnsi="宋体" w:cs="宋体" w:eastAsia="宋体" w:hint="default"/>
                <w:sz w:val="21"/>
                <w:szCs w:val="21"/>
              </w:rPr>
            </w:pPr>
            <w:r>
              <w:rPr>
                <w:rFonts w:ascii="宋体"/>
                <w:spacing w:val="-1"/>
                <w:sz w:val="21"/>
              </w:rPr>
              <w:t>1,704,533</w:t>
            </w:r>
          </w:p>
        </w:tc>
      </w:tr>
      <w:tr>
        <w:trPr>
          <w:trHeight w:val="260"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宋体" w:hAnsi="宋体" w:cs="宋体" w:eastAsia="宋体" w:hint="default"/>
                <w:sz w:val="21"/>
                <w:szCs w:val="21"/>
              </w:rPr>
            </w:pPr>
            <w:r>
              <w:rPr>
                <w:rFonts w:ascii="宋体" w:hAnsi="宋体" w:cs="宋体" w:eastAsia="宋体" w:hint="default"/>
                <w:sz w:val="21"/>
                <w:szCs w:val="21"/>
              </w:rPr>
              <w:t>失效</w:t>
            </w:r>
            <w:r>
              <w:rPr>
                <w:rFonts w:ascii="宋体" w:hAnsi="宋体" w:cs="宋体" w:eastAsia="宋体" w:hint="default"/>
                <w:sz w:val="21"/>
                <w:szCs w:val="21"/>
              </w:rPr>
              <w:t>-</w:t>
            </w:r>
            <w:r>
              <w:rPr>
                <w:rFonts w:ascii="宋体" w:hAnsi="宋体" w:cs="宋体" w:eastAsia="宋体" w:hint="default"/>
                <w:sz w:val="21"/>
                <w:szCs w:val="21"/>
              </w:rPr>
              <w:t>首次授予</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2)</w:t>
            </w:r>
          </w:p>
        </w:tc>
        <w:tc>
          <w:tcPr>
            <w:tcW w:w="1215" w:type="dxa"/>
            <w:tcBorders>
              <w:top w:val="nil" w:sz="6" w:space="0" w:color="auto"/>
              <w:left w:val="nil" w:sz="6" w:space="0" w:color="auto"/>
              <w:bottom w:val="nil" w:sz="6" w:space="0" w:color="auto"/>
              <w:right w:val="nil" w:sz="6" w:space="0" w:color="auto"/>
            </w:tcBorders>
          </w:tcPr>
          <w:p>
            <w:pPr>
              <w:pStyle w:val="TableParagraph"/>
              <w:spacing w:line="236" w:lineRule="exact"/>
              <w:ind w:left="631" w:right="0"/>
              <w:jc w:val="left"/>
              <w:rPr>
                <w:rFonts w:ascii="宋体" w:hAnsi="宋体" w:cs="宋体" w:eastAsia="宋体" w:hint="default"/>
                <w:sz w:val="21"/>
                <w:szCs w:val="21"/>
              </w:rPr>
            </w:pPr>
            <w:r>
              <w:rPr>
                <w:rFonts w:ascii="宋体"/>
                <w:sz w:val="21"/>
              </w:rPr>
              <w:t>8.31</w:t>
            </w:r>
          </w:p>
        </w:tc>
        <w:tc>
          <w:tcPr>
            <w:tcW w:w="1210" w:type="dxa"/>
            <w:tcBorders>
              <w:top w:val="nil" w:sz="6" w:space="0" w:color="auto"/>
              <w:left w:val="nil" w:sz="6" w:space="0" w:color="auto"/>
              <w:bottom w:val="nil" w:sz="6" w:space="0" w:color="auto"/>
              <w:right w:val="nil" w:sz="6" w:space="0" w:color="auto"/>
            </w:tcBorders>
          </w:tcPr>
          <w:p>
            <w:pPr>
              <w:pStyle w:val="TableParagraph"/>
              <w:tabs>
                <w:tab w:pos="316" w:val="left" w:leader="none"/>
              </w:tabs>
              <w:spacing w:line="236" w:lineRule="exact"/>
              <w:ind w:right="21"/>
              <w:jc w:val="right"/>
              <w:rPr>
                <w:rFonts w:ascii="宋体" w:hAnsi="宋体" w:cs="宋体" w:eastAsia="宋体" w:hint="default"/>
                <w:sz w:val="21"/>
                <w:szCs w:val="21"/>
              </w:rPr>
            </w:pPr>
            <w:r>
              <w:rPr>
                <w:rFonts w:ascii="宋体"/>
                <w:sz w:val="21"/>
              </w:rPr>
              <w:t>(</w:t>
              <w:tab/>
            </w:r>
            <w:r>
              <w:rPr>
                <w:rFonts w:ascii="宋体"/>
                <w:spacing w:val="-1"/>
                <w:sz w:val="21"/>
              </w:rPr>
              <w:t>774,203</w:t>
            </w:r>
          </w:p>
        </w:tc>
        <w:tc>
          <w:tcPr>
            <w:tcW w:w="640" w:type="dxa"/>
            <w:tcBorders>
              <w:top w:val="nil" w:sz="6" w:space="0" w:color="auto"/>
              <w:left w:val="nil" w:sz="6" w:space="0" w:color="auto"/>
              <w:bottom w:val="nil" w:sz="6" w:space="0" w:color="auto"/>
              <w:right w:val="nil" w:sz="6" w:space="0" w:color="auto"/>
            </w:tcBorders>
          </w:tcPr>
          <w:p>
            <w:pPr>
              <w:pStyle w:val="TableParagraph"/>
              <w:spacing w:line="236" w:lineRule="exact"/>
              <w:ind w:left="-1" w:right="0"/>
              <w:jc w:val="left"/>
              <w:rPr>
                <w:rFonts w:ascii="宋体" w:hAnsi="宋体" w:cs="宋体" w:eastAsia="宋体" w:hint="default"/>
                <w:sz w:val="21"/>
                <w:szCs w:val="21"/>
              </w:rPr>
            </w:pPr>
            <w:r>
              <w:rPr>
                <w:rFonts w:ascii="宋体"/>
                <w:w w:val="100"/>
                <w:sz w:val="21"/>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36" w:lineRule="exact"/>
              <w:ind w:right="152"/>
              <w:jc w:val="right"/>
              <w:rPr>
                <w:rFonts w:ascii="宋体" w:hAnsi="宋体" w:cs="宋体" w:eastAsia="宋体" w:hint="default"/>
                <w:sz w:val="21"/>
                <w:szCs w:val="21"/>
              </w:rPr>
            </w:pPr>
            <w:r>
              <w:rPr>
                <w:rFonts w:ascii="宋体"/>
                <w:sz w:val="21"/>
              </w:rPr>
              <w:t>10.275</w:t>
            </w:r>
          </w:p>
        </w:tc>
        <w:tc>
          <w:tcPr>
            <w:tcW w:w="1616"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36" w:lineRule="exact"/>
              <w:ind w:right="198"/>
              <w:jc w:val="right"/>
              <w:rPr>
                <w:rFonts w:ascii="宋体" w:hAnsi="宋体" w:cs="宋体" w:eastAsia="宋体" w:hint="default"/>
                <w:sz w:val="21"/>
                <w:szCs w:val="21"/>
              </w:rPr>
            </w:pPr>
            <w:r>
              <w:rPr>
                <w:rFonts w:ascii="宋体"/>
                <w:sz w:val="21"/>
              </w:rPr>
              <w:t>(</w:t>
              <w:tab/>
            </w:r>
            <w:r>
              <w:rPr>
                <w:rFonts w:ascii="宋体"/>
                <w:spacing w:val="-1"/>
                <w:sz w:val="21"/>
              </w:rPr>
              <w:t>956,220)</w:t>
            </w:r>
          </w:p>
        </w:tc>
      </w:tr>
      <w:tr>
        <w:trPr>
          <w:trHeight w:val="259"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失效</w:t>
            </w:r>
            <w:r>
              <w:rPr>
                <w:rFonts w:ascii="宋体" w:hAnsi="宋体" w:cs="宋体" w:eastAsia="宋体" w:hint="default"/>
                <w:sz w:val="21"/>
                <w:szCs w:val="21"/>
              </w:rPr>
              <w:t>-</w:t>
            </w:r>
            <w:r>
              <w:rPr>
                <w:rFonts w:ascii="宋体" w:hAnsi="宋体" w:cs="宋体" w:eastAsia="宋体" w:hint="default"/>
                <w:sz w:val="21"/>
                <w:szCs w:val="21"/>
              </w:rPr>
              <w:t>预留授予</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2)</w:t>
            </w:r>
          </w:p>
        </w:tc>
        <w:tc>
          <w:tcPr>
            <w:tcW w:w="1215" w:type="dxa"/>
            <w:tcBorders>
              <w:top w:val="nil" w:sz="6" w:space="0" w:color="auto"/>
              <w:left w:val="nil" w:sz="6" w:space="0" w:color="auto"/>
              <w:bottom w:val="nil" w:sz="6" w:space="0" w:color="auto"/>
              <w:right w:val="nil" w:sz="6" w:space="0" w:color="auto"/>
            </w:tcBorders>
          </w:tcPr>
          <w:p>
            <w:pPr>
              <w:pStyle w:val="TableParagraph"/>
              <w:spacing w:line="235" w:lineRule="exact"/>
              <w:ind w:left="525" w:right="0"/>
              <w:jc w:val="left"/>
              <w:rPr>
                <w:rFonts w:ascii="宋体" w:hAnsi="宋体" w:cs="宋体" w:eastAsia="宋体" w:hint="default"/>
                <w:sz w:val="21"/>
                <w:szCs w:val="21"/>
              </w:rPr>
            </w:pPr>
            <w:r>
              <w:rPr>
                <w:rFonts w:ascii="宋体"/>
                <w:sz w:val="21"/>
              </w:rPr>
              <w:t>14.98</w:t>
            </w:r>
          </w:p>
        </w:tc>
        <w:tc>
          <w:tcPr>
            <w:tcW w:w="1210"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35" w:lineRule="exact"/>
              <w:ind w:right="-1"/>
              <w:jc w:val="right"/>
              <w:rPr>
                <w:rFonts w:ascii="宋体" w:hAnsi="宋体" w:cs="宋体" w:eastAsia="宋体" w:hint="default"/>
                <w:sz w:val="21"/>
                <w:szCs w:val="21"/>
              </w:rPr>
            </w:pPr>
            <w:r>
              <w:rPr>
                <w:rFonts w:ascii="宋体"/>
                <w:sz w:val="21"/>
              </w:rPr>
              <w:t>(</w:t>
              <w:tab/>
            </w:r>
            <w:r>
              <w:rPr>
                <w:rFonts w:ascii="宋体"/>
                <w:spacing w:val="-1"/>
                <w:sz w:val="21"/>
              </w:rPr>
              <w:t>37,240</w:t>
            </w:r>
          </w:p>
        </w:tc>
        <w:tc>
          <w:tcPr>
            <w:tcW w:w="640" w:type="dxa"/>
            <w:tcBorders>
              <w:top w:val="nil" w:sz="6" w:space="0" w:color="auto"/>
              <w:left w:val="nil" w:sz="6" w:space="0" w:color="auto"/>
              <w:bottom w:val="nil" w:sz="6" w:space="0" w:color="auto"/>
              <w:right w:val="nil" w:sz="6" w:space="0" w:color="auto"/>
            </w:tcBorders>
          </w:tcPr>
          <w:p>
            <w:pPr>
              <w:pStyle w:val="TableParagraph"/>
              <w:spacing w:line="235" w:lineRule="exact"/>
              <w:ind w:left="-1" w:right="0"/>
              <w:jc w:val="left"/>
              <w:rPr>
                <w:rFonts w:ascii="宋体" w:hAnsi="宋体" w:cs="宋体" w:eastAsia="宋体" w:hint="default"/>
                <w:sz w:val="21"/>
                <w:szCs w:val="21"/>
              </w:rPr>
            </w:pPr>
            <w:r>
              <w:rPr>
                <w:rFonts w:ascii="宋体"/>
                <w:w w:val="100"/>
                <w:sz w:val="21"/>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35" w:lineRule="exact"/>
              <w:ind w:right="155"/>
              <w:jc w:val="right"/>
              <w:rPr>
                <w:rFonts w:ascii="宋体" w:hAnsi="宋体" w:cs="宋体" w:eastAsia="宋体" w:hint="default"/>
                <w:sz w:val="21"/>
                <w:szCs w:val="21"/>
              </w:rPr>
            </w:pPr>
            <w:r>
              <w:rPr>
                <w:rFonts w:ascii="宋体"/>
                <w:w w:val="100"/>
                <w:sz w:val="21"/>
              </w:rPr>
              <w:t>-</w:t>
            </w:r>
          </w:p>
        </w:tc>
        <w:tc>
          <w:tcPr>
            <w:tcW w:w="1616" w:type="dxa"/>
            <w:tcBorders>
              <w:top w:val="nil" w:sz="6" w:space="0" w:color="auto"/>
              <w:left w:val="nil" w:sz="6" w:space="0" w:color="auto"/>
              <w:bottom w:val="nil" w:sz="6" w:space="0" w:color="auto"/>
              <w:right w:val="nil" w:sz="6" w:space="0" w:color="auto"/>
            </w:tcBorders>
          </w:tcPr>
          <w:p>
            <w:pPr>
              <w:pStyle w:val="TableParagraph"/>
              <w:spacing w:line="235" w:lineRule="exact"/>
              <w:ind w:right="200"/>
              <w:jc w:val="right"/>
              <w:rPr>
                <w:rFonts w:ascii="宋体" w:hAnsi="宋体" w:cs="宋体" w:eastAsia="宋体" w:hint="default"/>
                <w:sz w:val="21"/>
                <w:szCs w:val="21"/>
              </w:rPr>
            </w:pPr>
            <w:r>
              <w:rPr>
                <w:rFonts w:ascii="宋体"/>
                <w:w w:val="100"/>
                <w:sz w:val="21"/>
              </w:rPr>
              <w:t>-</w:t>
            </w:r>
          </w:p>
        </w:tc>
      </w:tr>
      <w:tr>
        <w:trPr>
          <w:trHeight w:val="260"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行权</w:t>
            </w:r>
            <w:r>
              <w:rPr>
                <w:rFonts w:ascii="宋体" w:hAnsi="宋体" w:cs="宋体" w:eastAsia="宋体" w:hint="default"/>
                <w:sz w:val="21"/>
                <w:szCs w:val="21"/>
              </w:rPr>
              <w:t>-</w:t>
            </w:r>
            <w:r>
              <w:rPr>
                <w:rFonts w:ascii="宋体" w:hAnsi="宋体" w:cs="宋体" w:eastAsia="宋体" w:hint="default"/>
                <w:sz w:val="21"/>
                <w:szCs w:val="21"/>
              </w:rPr>
              <w:t>首次授予</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3)</w:t>
            </w:r>
          </w:p>
        </w:tc>
        <w:tc>
          <w:tcPr>
            <w:tcW w:w="1215" w:type="dxa"/>
            <w:tcBorders>
              <w:top w:val="nil" w:sz="6" w:space="0" w:color="auto"/>
              <w:left w:val="nil" w:sz="6" w:space="0" w:color="auto"/>
              <w:bottom w:val="nil" w:sz="6" w:space="0" w:color="auto"/>
              <w:right w:val="nil" w:sz="6" w:space="0" w:color="auto"/>
            </w:tcBorders>
          </w:tcPr>
          <w:p>
            <w:pPr>
              <w:pStyle w:val="TableParagraph"/>
              <w:spacing w:line="235" w:lineRule="exact"/>
              <w:ind w:left="631" w:right="0"/>
              <w:jc w:val="left"/>
              <w:rPr>
                <w:rFonts w:ascii="宋体" w:hAnsi="宋体" w:cs="宋体" w:eastAsia="宋体" w:hint="default"/>
                <w:sz w:val="21"/>
                <w:szCs w:val="21"/>
              </w:rPr>
            </w:pPr>
            <w:r>
              <w:rPr>
                <w:rFonts w:ascii="宋体"/>
                <w:sz w:val="21"/>
              </w:rPr>
              <w:t>8.31</w:t>
            </w:r>
          </w:p>
        </w:tc>
        <w:tc>
          <w:tcPr>
            <w:tcW w:w="1210" w:type="dxa"/>
            <w:tcBorders>
              <w:top w:val="nil" w:sz="6" w:space="0" w:color="auto"/>
              <w:left w:val="nil" w:sz="6" w:space="0" w:color="auto"/>
              <w:bottom w:val="nil" w:sz="6" w:space="0" w:color="auto"/>
              <w:right w:val="nil" w:sz="6" w:space="0" w:color="auto"/>
            </w:tcBorders>
          </w:tcPr>
          <w:p>
            <w:pPr>
              <w:pStyle w:val="TableParagraph"/>
              <w:spacing w:line="235" w:lineRule="exact"/>
              <w:ind w:right="-1"/>
              <w:jc w:val="right"/>
              <w:rPr>
                <w:rFonts w:ascii="宋体" w:hAnsi="宋体" w:cs="宋体" w:eastAsia="宋体" w:hint="default"/>
                <w:sz w:val="21"/>
                <w:szCs w:val="21"/>
              </w:rPr>
            </w:pPr>
            <w:r>
              <w:rPr>
                <w:rFonts w:ascii="宋体"/>
                <w:sz w:val="21"/>
              </w:rPr>
              <w:t>( 4,747,559</w:t>
            </w:r>
          </w:p>
        </w:tc>
        <w:tc>
          <w:tcPr>
            <w:tcW w:w="640" w:type="dxa"/>
            <w:tcBorders>
              <w:top w:val="nil" w:sz="6" w:space="0" w:color="auto"/>
              <w:left w:val="nil" w:sz="6" w:space="0" w:color="auto"/>
              <w:bottom w:val="nil" w:sz="6" w:space="0" w:color="auto"/>
              <w:right w:val="nil" w:sz="6" w:space="0" w:color="auto"/>
            </w:tcBorders>
          </w:tcPr>
          <w:p>
            <w:pPr>
              <w:pStyle w:val="TableParagraph"/>
              <w:spacing w:line="235" w:lineRule="exact"/>
              <w:ind w:left="-1" w:right="0"/>
              <w:jc w:val="left"/>
              <w:rPr>
                <w:rFonts w:ascii="宋体" w:hAnsi="宋体" w:cs="宋体" w:eastAsia="宋体" w:hint="default"/>
                <w:sz w:val="21"/>
                <w:szCs w:val="21"/>
              </w:rPr>
            </w:pPr>
            <w:r>
              <w:rPr>
                <w:rFonts w:ascii="宋体"/>
                <w:w w:val="100"/>
                <w:sz w:val="21"/>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35" w:lineRule="exact"/>
              <w:ind w:right="152"/>
              <w:jc w:val="right"/>
              <w:rPr>
                <w:rFonts w:ascii="宋体" w:hAnsi="宋体" w:cs="宋体" w:eastAsia="宋体" w:hint="default"/>
                <w:sz w:val="21"/>
                <w:szCs w:val="21"/>
              </w:rPr>
            </w:pPr>
            <w:r>
              <w:rPr>
                <w:rFonts w:ascii="宋体"/>
                <w:sz w:val="21"/>
              </w:rPr>
              <w:t>10.275</w:t>
            </w:r>
          </w:p>
        </w:tc>
        <w:tc>
          <w:tcPr>
            <w:tcW w:w="1616" w:type="dxa"/>
            <w:tcBorders>
              <w:top w:val="nil" w:sz="6" w:space="0" w:color="auto"/>
              <w:left w:val="nil" w:sz="6" w:space="0" w:color="auto"/>
              <w:bottom w:val="nil" w:sz="6" w:space="0" w:color="auto"/>
              <w:right w:val="nil" w:sz="6" w:space="0" w:color="auto"/>
            </w:tcBorders>
          </w:tcPr>
          <w:p>
            <w:pPr>
              <w:pStyle w:val="TableParagraph"/>
              <w:spacing w:line="235" w:lineRule="exact"/>
              <w:ind w:right="198"/>
              <w:jc w:val="right"/>
              <w:rPr>
                <w:rFonts w:ascii="宋体" w:hAnsi="宋体" w:cs="宋体" w:eastAsia="宋体" w:hint="default"/>
                <w:sz w:val="21"/>
                <w:szCs w:val="21"/>
              </w:rPr>
            </w:pPr>
            <w:r>
              <w:rPr>
                <w:rFonts w:ascii="宋体"/>
                <w:sz w:val="21"/>
              </w:rPr>
              <w:t>( 5,132,056)</w:t>
            </w:r>
          </w:p>
        </w:tc>
      </w:tr>
      <w:tr>
        <w:trPr>
          <w:trHeight w:val="390"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宋体" w:hAnsi="宋体" w:cs="宋体" w:eastAsia="宋体" w:hint="default"/>
                <w:sz w:val="21"/>
                <w:szCs w:val="21"/>
              </w:rPr>
            </w:pPr>
            <w:r>
              <w:rPr>
                <w:rFonts w:ascii="宋体" w:hAnsi="宋体" w:cs="宋体" w:eastAsia="宋体" w:hint="default"/>
                <w:sz w:val="21"/>
                <w:szCs w:val="21"/>
              </w:rPr>
              <w:t>行权</w:t>
            </w:r>
            <w:r>
              <w:rPr>
                <w:rFonts w:ascii="宋体" w:hAnsi="宋体" w:cs="宋体" w:eastAsia="宋体" w:hint="default"/>
                <w:sz w:val="21"/>
                <w:szCs w:val="21"/>
              </w:rPr>
              <w:t>-</w:t>
            </w:r>
            <w:r>
              <w:rPr>
                <w:rFonts w:ascii="宋体" w:hAnsi="宋体" w:cs="宋体" w:eastAsia="宋体" w:hint="default"/>
                <w:sz w:val="21"/>
                <w:szCs w:val="21"/>
              </w:rPr>
              <w:t>预留授予</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3)</w:t>
            </w:r>
          </w:p>
        </w:tc>
        <w:tc>
          <w:tcPr>
            <w:tcW w:w="1215" w:type="dxa"/>
            <w:tcBorders>
              <w:top w:val="nil" w:sz="6" w:space="0" w:color="auto"/>
              <w:left w:val="nil" w:sz="6" w:space="0" w:color="auto"/>
              <w:bottom w:val="nil" w:sz="6" w:space="0" w:color="auto"/>
              <w:right w:val="nil" w:sz="6" w:space="0" w:color="auto"/>
            </w:tcBorders>
          </w:tcPr>
          <w:p>
            <w:pPr>
              <w:pStyle w:val="TableParagraph"/>
              <w:spacing w:line="236" w:lineRule="exact"/>
              <w:ind w:left="525" w:right="0"/>
              <w:jc w:val="left"/>
              <w:rPr>
                <w:rFonts w:ascii="宋体" w:hAnsi="宋体" w:cs="宋体" w:eastAsia="宋体" w:hint="default"/>
                <w:sz w:val="21"/>
                <w:szCs w:val="21"/>
              </w:rPr>
            </w:pPr>
            <w:r>
              <w:rPr>
                <w:rFonts w:ascii="宋体"/>
                <w:w w:val="100"/>
                <w:sz w:val="21"/>
              </w:rPr>
            </w:r>
            <w:r>
              <w:rPr>
                <w:rFonts w:ascii="宋体"/>
                <w:sz w:val="21"/>
                <w:u w:val="single" w:color="000000"/>
              </w:rPr>
              <w:t>14.98</w:t>
            </w:r>
            <w:r>
              <w:rPr>
                <w:rFonts w:ascii="宋体"/>
                <w:sz w:val="21"/>
              </w:rPr>
            </w:r>
          </w:p>
        </w:tc>
        <w:tc>
          <w:tcPr>
            <w:tcW w:w="1210" w:type="dxa"/>
            <w:tcBorders>
              <w:top w:val="nil" w:sz="6" w:space="0" w:color="auto"/>
              <w:left w:val="nil" w:sz="6" w:space="0" w:color="auto"/>
              <w:bottom w:val="nil" w:sz="6" w:space="0" w:color="auto"/>
              <w:right w:val="nil" w:sz="6" w:space="0" w:color="auto"/>
            </w:tcBorders>
          </w:tcPr>
          <w:p>
            <w:pPr>
              <w:pStyle w:val="TableParagraph"/>
              <w:spacing w:line="236" w:lineRule="exact"/>
              <w:ind w:right="-1"/>
              <w:jc w:val="right"/>
              <w:rPr>
                <w:rFonts w:ascii="宋体" w:hAnsi="宋体" w:cs="宋体" w:eastAsia="宋体" w:hint="default"/>
                <w:sz w:val="21"/>
                <w:szCs w:val="21"/>
              </w:rPr>
            </w:pPr>
            <w:r>
              <w:rPr>
                <w:rFonts w:ascii="宋体"/>
                <w:sz w:val="21"/>
              </w:rPr>
              <w:t>( </w:t>
            </w:r>
            <w:r>
              <w:rPr>
                <w:rFonts w:ascii="宋体"/>
                <w:spacing w:val="2"/>
                <w:sz w:val="21"/>
              </w:rPr>
              <w:t> </w:t>
            </w:r>
            <w:r>
              <w:rPr>
                <w:rFonts w:ascii="宋体"/>
                <w:spacing w:val="2"/>
                <w:sz w:val="21"/>
                <w:u w:val="single" w:color="000000"/>
              </w:rPr>
              <w:t> </w:t>
            </w:r>
            <w:r>
              <w:rPr>
                <w:rFonts w:ascii="宋体"/>
                <w:sz w:val="21"/>
                <w:u w:val="single" w:color="000000"/>
              </w:rPr>
              <w:t>753,351</w:t>
            </w:r>
            <w:r>
              <w:rPr>
                <w:rFonts w:ascii="宋体"/>
                <w:sz w:val="21"/>
              </w:rPr>
            </w:r>
          </w:p>
        </w:tc>
        <w:tc>
          <w:tcPr>
            <w:tcW w:w="640" w:type="dxa"/>
            <w:tcBorders>
              <w:top w:val="nil" w:sz="6" w:space="0" w:color="auto"/>
              <w:left w:val="nil" w:sz="6" w:space="0" w:color="auto"/>
              <w:bottom w:val="nil" w:sz="6" w:space="0" w:color="auto"/>
              <w:right w:val="nil" w:sz="6" w:space="0" w:color="auto"/>
            </w:tcBorders>
          </w:tcPr>
          <w:p>
            <w:pPr>
              <w:pStyle w:val="TableParagraph"/>
              <w:spacing w:line="236" w:lineRule="exact"/>
              <w:ind w:left="-1" w:right="0"/>
              <w:jc w:val="left"/>
              <w:rPr>
                <w:rFonts w:ascii="宋体" w:hAnsi="宋体" w:cs="宋体" w:eastAsia="宋体" w:hint="default"/>
                <w:sz w:val="21"/>
                <w:szCs w:val="21"/>
              </w:rPr>
            </w:pPr>
            <w:r>
              <w:rPr>
                <w:rFonts w:ascii="宋体"/>
                <w:w w:val="100"/>
                <w:sz w:val="21"/>
              </w:rPr>
              <w:t>)</w:t>
            </w:r>
          </w:p>
        </w:tc>
        <w:tc>
          <w:tcPr>
            <w:tcW w:w="1322" w:type="dxa"/>
            <w:tcBorders>
              <w:top w:val="nil" w:sz="6" w:space="0" w:color="auto"/>
              <w:left w:val="nil" w:sz="6" w:space="0" w:color="auto"/>
              <w:bottom w:val="nil" w:sz="6" w:space="0" w:color="auto"/>
              <w:right w:val="nil" w:sz="6" w:space="0" w:color="auto"/>
            </w:tcBorders>
          </w:tcPr>
          <w:p>
            <w:pPr>
              <w:pStyle w:val="TableParagraph"/>
              <w:tabs>
                <w:tab w:pos="528" w:val="left" w:leader="none"/>
              </w:tabs>
              <w:spacing w:line="236" w:lineRule="exact"/>
              <w:ind w:right="151"/>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ab/>
              <w:t>-</w:t>
            </w:r>
            <w:r>
              <w:rPr>
                <w:rFonts w:ascii="宋体"/>
                <w:sz w:val="21"/>
              </w:rPr>
            </w:r>
          </w:p>
        </w:tc>
        <w:tc>
          <w:tcPr>
            <w:tcW w:w="1616" w:type="dxa"/>
            <w:tcBorders>
              <w:top w:val="nil" w:sz="6" w:space="0" w:color="auto"/>
              <w:left w:val="nil" w:sz="6" w:space="0" w:color="auto"/>
              <w:bottom w:val="nil" w:sz="6" w:space="0" w:color="auto"/>
              <w:right w:val="nil" w:sz="6" w:space="0" w:color="auto"/>
            </w:tcBorders>
          </w:tcPr>
          <w:p>
            <w:pPr>
              <w:pStyle w:val="TableParagraph"/>
              <w:tabs>
                <w:tab w:pos="1051" w:val="left" w:leader="none"/>
              </w:tabs>
              <w:spacing w:line="236" w:lineRule="exact"/>
              <w:ind w:right="198"/>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ab/>
              <w:t>-</w:t>
            </w:r>
            <w:r>
              <w:rPr>
                <w:rFonts w:ascii="宋体"/>
                <w:sz w:val="21"/>
              </w:rPr>
            </w:r>
          </w:p>
        </w:tc>
      </w:tr>
      <w:tr>
        <w:trPr>
          <w:trHeight w:val="365"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525" w:right="0"/>
              <w:jc w:val="left"/>
              <w:rPr>
                <w:rFonts w:ascii="宋体" w:hAnsi="宋体" w:cs="宋体" w:eastAsia="宋体" w:hint="default"/>
                <w:sz w:val="21"/>
                <w:szCs w:val="21"/>
              </w:rPr>
            </w:pPr>
            <w:r>
              <w:rPr>
                <w:rFonts w:ascii="宋体"/>
                <w:w w:val="100"/>
                <w:sz w:val="21"/>
              </w:rPr>
            </w:r>
            <w:r>
              <w:rPr>
                <w:rFonts w:ascii="宋体"/>
                <w:sz w:val="21"/>
                <w:u w:val="single" w:color="000000"/>
              </w:rPr>
              <w:t>18.31</w:t>
            </w:r>
            <w:r>
              <w:rPr>
                <w:rFonts w:ascii="宋体"/>
                <w:sz w:val="21"/>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pacing w:val="-1"/>
                <w:sz w:val="21"/>
                <w:u w:val="single" w:color="000000"/>
              </w:rPr>
              <w:t>6,326,068</w:t>
            </w:r>
            <w:r>
              <w:rPr>
                <w:rFonts w:ascii="宋体"/>
                <w:spacing w:val="-1"/>
                <w:sz w:val="21"/>
              </w:rPr>
            </w:r>
          </w:p>
        </w:tc>
        <w:tc>
          <w:tcPr>
            <w:tcW w:w="640"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52"/>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14.26</w:t>
            </w:r>
            <w:r>
              <w:rPr>
                <w:rFonts w:ascii="宋体"/>
                <w:sz w:val="21"/>
              </w:rPr>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8"/>
              <w:jc w:val="right"/>
              <w:rPr>
                <w:rFonts w:ascii="宋体" w:hAnsi="宋体" w:cs="宋体" w:eastAsia="宋体" w:hint="default"/>
                <w:sz w:val="21"/>
                <w:szCs w:val="21"/>
              </w:rPr>
            </w:pPr>
            <w:r>
              <w:rPr>
                <w:rFonts w:ascii="宋体"/>
                <w:w w:val="100"/>
                <w:sz w:val="21"/>
              </w:rPr>
            </w:r>
            <w:r>
              <w:rPr>
                <w:rFonts w:ascii="宋体"/>
                <w:spacing w:val="-1"/>
                <w:sz w:val="21"/>
                <w:u w:val="single" w:color="000000"/>
              </w:rPr>
              <w:t>10,532,017</w:t>
            </w:r>
            <w:r>
              <w:rPr>
                <w:rFonts w:ascii="宋体"/>
                <w:spacing w:val="-1"/>
                <w:sz w:val="21"/>
              </w:rPr>
            </w:r>
          </w:p>
        </w:tc>
      </w:tr>
    </w:tbl>
    <w:p>
      <w:pPr>
        <w:spacing w:line="240" w:lineRule="auto" w:before="8"/>
        <w:rPr>
          <w:rFonts w:ascii="宋体" w:hAnsi="宋体" w:cs="宋体" w:eastAsia="宋体" w:hint="default"/>
          <w:sz w:val="11"/>
          <w:szCs w:val="11"/>
        </w:rPr>
      </w:pPr>
    </w:p>
    <w:p>
      <w:pPr>
        <w:pStyle w:val="BodyText"/>
        <w:spacing w:line="240" w:lineRule="auto" w:before="36"/>
        <w:ind w:left="846" w:right="0"/>
        <w:jc w:val="left"/>
      </w:pPr>
      <w:r>
        <w:rPr/>
        <w:t>注</w:t>
      </w:r>
      <w:r>
        <w:rPr>
          <w:rFonts w:ascii="宋体" w:hAnsi="宋体" w:cs="宋体" w:eastAsia="宋体" w:hint="default"/>
        </w:rPr>
        <w:t>1</w:t>
      </w:r>
      <w:r>
        <w:rPr/>
        <w:t>．详情参见附注七、</w:t>
      </w:r>
      <w:r>
        <w:rPr>
          <w:rFonts w:ascii="宋体" w:hAnsi="宋体" w:cs="宋体" w:eastAsia="宋体" w:hint="default"/>
        </w:rPr>
        <w:t>53</w:t>
      </w:r>
      <w:r>
        <w:rPr/>
        <w:t>。</w:t>
      </w:r>
    </w:p>
    <w:p>
      <w:pPr>
        <w:spacing w:after="0" w:line="240" w:lineRule="auto"/>
        <w:jc w:val="left"/>
        <w:sectPr>
          <w:headerReference w:type="default" r:id="rId83"/>
          <w:footerReference w:type="default" r:id="rId84"/>
          <w:pgSz w:w="11910" w:h="16840"/>
          <w:pgMar w:header="0" w:footer="1335" w:top="1020" w:bottom="1520" w:left="1660" w:right="660"/>
          <w:pgNumType w:start="112"/>
        </w:sectPr>
      </w:pPr>
    </w:p>
    <w:p>
      <w:pPr>
        <w:spacing w:line="240" w:lineRule="auto" w:before="7"/>
        <w:rPr>
          <w:rFonts w:ascii="宋体" w:hAnsi="宋体" w:cs="宋体" w:eastAsia="宋体" w:hint="default"/>
          <w:sz w:val="5"/>
          <w:szCs w:val="5"/>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5.3pt;height:.75pt;mso-position-horizontal-relative:char;mso-position-vertical-relative:line" coordorigin="0,0" coordsize="8906,15">
            <v:group style="position:absolute;left:7;top:7;width:8891;height:2" coordorigin="7,7" coordsize="8891,2">
              <v:shape style="position:absolute;left:7;top:7;width:8891;height:2" coordorigin="7,7" coordsize="8891,0" path="m7,7l8898,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4"/>
          <w:szCs w:val="24"/>
        </w:rPr>
      </w:pPr>
    </w:p>
    <w:p>
      <w:pPr>
        <w:pStyle w:val="BodyText"/>
        <w:spacing w:line="297" w:lineRule="auto" w:before="36"/>
        <w:ind w:left="846" w:right="0"/>
        <w:jc w:val="left"/>
      </w:pPr>
      <w:r>
        <w:rPr>
          <w:spacing w:val="-4"/>
        </w:rPr>
        <w:t>注</w:t>
      </w:r>
      <w:r>
        <w:rPr>
          <w:rFonts w:ascii="宋体" w:hAnsi="宋体" w:cs="宋体" w:eastAsia="宋体" w:hint="default"/>
          <w:spacing w:val="-4"/>
        </w:rPr>
        <w:t>2</w:t>
      </w:r>
      <w:r>
        <w:rPr>
          <w:spacing w:val="-4"/>
        </w:rPr>
        <w:t>．失效部分主要包括作废的股票期权、未行权视同放弃的股票期权及部分放弃行权的股票</w:t>
      </w:r>
      <w:r>
        <w:rPr>
          <w:spacing w:val="-46"/>
        </w:rPr>
        <w:t> </w:t>
      </w:r>
      <w:r>
        <w:rPr>
          <w:spacing w:val="-46"/>
        </w:rPr>
      </w:r>
      <w:r>
        <w:rPr/>
        <w:t>期权。</w:t>
      </w:r>
    </w:p>
    <w:p>
      <w:pPr>
        <w:spacing w:line="240" w:lineRule="auto" w:before="3"/>
        <w:rPr>
          <w:rFonts w:ascii="宋体" w:hAnsi="宋体" w:cs="宋体" w:eastAsia="宋体" w:hint="default"/>
          <w:sz w:val="27"/>
          <w:szCs w:val="27"/>
        </w:rPr>
      </w:pPr>
    </w:p>
    <w:p>
      <w:pPr>
        <w:pStyle w:val="BodyText"/>
        <w:spacing w:line="297" w:lineRule="auto"/>
        <w:ind w:left="810" w:right="0" w:firstLine="36"/>
        <w:jc w:val="left"/>
      </w:pPr>
      <w:r>
        <w:rPr>
          <w:spacing w:val="-1"/>
        </w:rPr>
        <w:t>注</w:t>
      </w:r>
      <w:r>
        <w:rPr>
          <w:rFonts w:ascii="宋体" w:hAnsi="宋体" w:cs="宋体" w:eastAsia="宋体" w:hint="default"/>
          <w:spacing w:val="-1"/>
        </w:rPr>
        <w:t>3</w:t>
      </w:r>
      <w:r>
        <w:rPr>
          <w:spacing w:val="-1"/>
        </w:rPr>
        <w:t>．</w:t>
      </w:r>
      <w:r>
        <w:rPr>
          <w:rFonts w:ascii="宋体" w:hAnsi="宋体" w:cs="宋体" w:eastAsia="宋体" w:hint="default"/>
          <w:spacing w:val="-1"/>
        </w:rPr>
        <w:t>2015</w:t>
      </w:r>
      <w:r>
        <w:rPr>
          <w:spacing w:val="-1"/>
        </w:rPr>
        <w:t>年，结转已行权的股票期权相关股权激励成本人民币</w:t>
      </w:r>
      <w:r>
        <w:rPr>
          <w:rFonts w:ascii="宋体" w:hAnsi="宋体" w:cs="宋体" w:eastAsia="宋体" w:hint="default"/>
          <w:spacing w:val="-1"/>
        </w:rPr>
        <w:t>9,511,446</w:t>
      </w:r>
      <w:r>
        <w:rPr>
          <w:spacing w:val="-1"/>
        </w:rPr>
        <w:t>元</w:t>
      </w:r>
      <w:r>
        <w:rPr>
          <w:rFonts w:ascii="宋体" w:hAnsi="宋体" w:cs="宋体" w:eastAsia="宋体" w:hint="default"/>
          <w:spacing w:val="-1"/>
        </w:rPr>
        <w:t>(2014</w:t>
      </w:r>
      <w:r>
        <w:rPr>
          <w:spacing w:val="-1"/>
        </w:rPr>
        <w:t>年：人</w:t>
      </w:r>
      <w:r>
        <w:rPr>
          <w:spacing w:val="-57"/>
        </w:rPr>
        <w:t> </w:t>
      </w:r>
      <w:r>
        <w:rPr/>
        <w:t>民币</w:t>
      </w:r>
      <w:r>
        <w:rPr>
          <w:rFonts w:ascii="宋体" w:hAnsi="宋体" w:cs="宋体" w:eastAsia="宋体" w:hint="default"/>
        </w:rPr>
        <w:t>44,678,312</w:t>
      </w:r>
      <w:r>
        <w:rPr/>
        <w:t>元</w:t>
      </w:r>
      <w:r>
        <w:rPr>
          <w:rFonts w:ascii="宋体" w:hAnsi="宋体" w:cs="宋体" w:eastAsia="宋体" w:hint="default"/>
        </w:rPr>
        <w:t>)</w:t>
      </w:r>
      <w:r>
        <w:rPr/>
        <w:t>。参见附注七、</w:t>
      </w:r>
      <w:r>
        <w:rPr>
          <w:rFonts w:ascii="宋体" w:hAnsi="宋体" w:cs="宋体" w:eastAsia="宋体" w:hint="default"/>
        </w:rPr>
        <w:t>55</w:t>
      </w:r>
      <w:r>
        <w:rPr/>
        <w:t>。</w:t>
      </w:r>
    </w:p>
    <w:p>
      <w:pPr>
        <w:spacing w:line="240" w:lineRule="auto" w:before="1"/>
        <w:rPr>
          <w:rFonts w:ascii="宋体" w:hAnsi="宋体" w:cs="宋体" w:eastAsia="宋体" w:hint="default"/>
          <w:sz w:val="27"/>
          <w:szCs w:val="27"/>
        </w:rPr>
      </w:pPr>
    </w:p>
    <w:p>
      <w:pPr>
        <w:pStyle w:val="BodyText"/>
        <w:spacing w:line="240" w:lineRule="auto"/>
        <w:ind w:left="810" w:right="0"/>
        <w:jc w:val="left"/>
      </w:pPr>
      <w:r>
        <w:rPr/>
        <w:t>截至资产负债表日，发行在外的股票期权的行权价格和行权有效期如下：</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754" w:type="dxa"/>
        <w:tblLayout w:type="fixed"/>
        <w:tblCellMar>
          <w:top w:w="0" w:type="dxa"/>
          <w:left w:w="0" w:type="dxa"/>
          <w:bottom w:w="0" w:type="dxa"/>
          <w:right w:w="0" w:type="dxa"/>
        </w:tblCellMar>
        <w:tblLook w:val="01E0"/>
      </w:tblPr>
      <w:tblGrid>
        <w:gridCol w:w="1543"/>
        <w:gridCol w:w="2117"/>
        <w:gridCol w:w="1492"/>
        <w:gridCol w:w="3544"/>
      </w:tblGrid>
      <w:tr>
        <w:trPr>
          <w:trHeight w:val="235" w:hRule="exact"/>
        </w:trPr>
        <w:tc>
          <w:tcPr>
            <w:tcW w:w="1543" w:type="dxa"/>
            <w:tcBorders>
              <w:top w:val="nil" w:sz="6" w:space="0" w:color="auto"/>
              <w:left w:val="nil" w:sz="6" w:space="0" w:color="auto"/>
              <w:bottom w:val="nil" w:sz="6" w:space="0" w:color="auto"/>
              <w:right w:val="nil" w:sz="6" w:space="0" w:color="auto"/>
            </w:tcBorders>
          </w:tcPr>
          <w:p>
            <w:pPr>
              <w:pStyle w:val="TableParagraph"/>
              <w:spacing w:line="211" w:lineRule="exact"/>
              <w:ind w:right="78"/>
              <w:jc w:val="right"/>
              <w:rPr>
                <w:rFonts w:ascii="宋体" w:hAnsi="宋体" w:cs="宋体" w:eastAsia="宋体" w:hint="default"/>
                <w:sz w:val="21"/>
                <w:szCs w:val="21"/>
              </w:rPr>
            </w:pPr>
            <w:r>
              <w:rPr>
                <w:rFonts w:ascii="宋体" w:hAnsi="宋体" w:cs="宋体" w:eastAsia="宋体" w:hint="default"/>
                <w:spacing w:val="-1"/>
                <w:sz w:val="21"/>
                <w:szCs w:val="21"/>
              </w:rPr>
              <w:t>股票期权数量</w:t>
            </w:r>
          </w:p>
        </w:tc>
        <w:tc>
          <w:tcPr>
            <w:tcW w:w="2117" w:type="dxa"/>
            <w:tcBorders>
              <w:top w:val="nil" w:sz="6" w:space="0" w:color="auto"/>
              <w:left w:val="nil" w:sz="6" w:space="0" w:color="auto"/>
              <w:bottom w:val="nil" w:sz="6" w:space="0" w:color="auto"/>
              <w:right w:val="nil" w:sz="6" w:space="0" w:color="auto"/>
            </w:tcBorders>
          </w:tcPr>
          <w:p>
            <w:pPr>
              <w:pStyle w:val="TableParagraph"/>
              <w:spacing w:line="211" w:lineRule="exact"/>
              <w:ind w:right="140"/>
              <w:jc w:val="right"/>
              <w:rPr>
                <w:rFonts w:ascii="宋体" w:hAnsi="宋体" w:cs="宋体" w:eastAsia="宋体" w:hint="default"/>
                <w:sz w:val="21"/>
                <w:szCs w:val="21"/>
              </w:rPr>
            </w:pPr>
            <w:r>
              <w:rPr>
                <w:rFonts w:ascii="宋体" w:hAnsi="宋体" w:cs="宋体" w:eastAsia="宋体" w:hint="default"/>
                <w:spacing w:val="-1"/>
                <w:sz w:val="21"/>
                <w:szCs w:val="21"/>
              </w:rPr>
              <w:t>预计</w:t>
            </w:r>
            <w:r>
              <w:rPr>
                <w:rFonts w:ascii="宋体" w:hAnsi="宋体" w:cs="宋体" w:eastAsia="宋体" w:hint="default"/>
                <w:spacing w:val="-1"/>
                <w:sz w:val="21"/>
                <w:szCs w:val="21"/>
              </w:rPr>
              <w:t>2016</w:t>
            </w:r>
            <w:r>
              <w:rPr>
                <w:rFonts w:ascii="宋体" w:hAnsi="宋体" w:cs="宋体" w:eastAsia="宋体" w:hint="default"/>
                <w:spacing w:val="-1"/>
                <w:sz w:val="21"/>
                <w:szCs w:val="21"/>
              </w:rPr>
              <w:t>年失效数量</w:t>
            </w:r>
          </w:p>
        </w:tc>
        <w:tc>
          <w:tcPr>
            <w:tcW w:w="1492" w:type="dxa"/>
            <w:tcBorders>
              <w:top w:val="nil" w:sz="6" w:space="0" w:color="auto"/>
              <w:left w:val="nil" w:sz="6" w:space="0" w:color="auto"/>
              <w:bottom w:val="nil" w:sz="6" w:space="0" w:color="auto"/>
              <w:right w:val="nil" w:sz="6" w:space="0" w:color="auto"/>
            </w:tcBorders>
          </w:tcPr>
          <w:p>
            <w:pPr>
              <w:pStyle w:val="TableParagraph"/>
              <w:spacing w:line="211" w:lineRule="exact"/>
              <w:ind w:right="190"/>
              <w:jc w:val="right"/>
              <w:rPr>
                <w:rFonts w:ascii="宋体" w:hAnsi="宋体" w:cs="宋体" w:eastAsia="宋体" w:hint="default"/>
                <w:sz w:val="21"/>
                <w:szCs w:val="21"/>
              </w:rPr>
            </w:pPr>
            <w:r>
              <w:rPr>
                <w:rFonts w:ascii="宋体" w:hAnsi="宋体" w:cs="宋体" w:eastAsia="宋体" w:hint="default"/>
                <w:spacing w:val="-1"/>
                <w:sz w:val="21"/>
                <w:szCs w:val="21"/>
              </w:rPr>
              <w:t>行权价格</w:t>
            </w:r>
            <w:r>
              <w:rPr>
                <w:rFonts w:ascii="宋体" w:hAnsi="宋体" w:cs="宋体" w:eastAsia="宋体" w:hint="default"/>
                <w:spacing w:val="-1"/>
                <w:sz w:val="21"/>
                <w:szCs w:val="21"/>
              </w:rPr>
              <w:t>*</w:t>
            </w:r>
          </w:p>
        </w:tc>
        <w:tc>
          <w:tcPr>
            <w:tcW w:w="3544"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hAnsi="宋体" w:cs="宋体" w:eastAsia="宋体" w:hint="default"/>
                <w:spacing w:val="-1"/>
                <w:sz w:val="21"/>
                <w:szCs w:val="21"/>
              </w:rPr>
              <w:t>行权有效期</w:t>
            </w:r>
          </w:p>
        </w:tc>
      </w:tr>
      <w:tr>
        <w:trPr>
          <w:trHeight w:val="390" w:hRule="exact"/>
        </w:trPr>
        <w:tc>
          <w:tcPr>
            <w:tcW w:w="1543" w:type="dxa"/>
            <w:tcBorders>
              <w:top w:val="nil" w:sz="6" w:space="0" w:color="auto"/>
              <w:left w:val="nil" w:sz="6" w:space="0" w:color="auto"/>
              <w:bottom w:val="nil" w:sz="6" w:space="0" w:color="auto"/>
              <w:right w:val="nil" w:sz="6" w:space="0" w:color="auto"/>
            </w:tcBorders>
          </w:tcPr>
          <w:p>
            <w:pPr>
              <w:pStyle w:val="TableParagraph"/>
              <w:spacing w:line="235" w:lineRule="exact"/>
              <w:ind w:right="78"/>
              <w:jc w:val="right"/>
              <w:rPr>
                <w:rFonts w:ascii="宋体" w:hAnsi="宋体" w:cs="宋体" w:eastAsia="宋体" w:hint="default"/>
                <w:sz w:val="21"/>
                <w:szCs w:val="21"/>
              </w:rPr>
            </w:pPr>
            <w:r>
              <w:rPr>
                <w:rFonts w:ascii="宋体" w:hAnsi="宋体" w:cs="宋体" w:eastAsia="宋体" w:hint="default"/>
                <w:w w:val="100"/>
                <w:sz w:val="21"/>
                <w:szCs w:val="21"/>
              </w:rPr>
              <w:t>份</w:t>
            </w:r>
          </w:p>
        </w:tc>
        <w:tc>
          <w:tcPr>
            <w:tcW w:w="2117" w:type="dxa"/>
            <w:tcBorders>
              <w:top w:val="nil" w:sz="6" w:space="0" w:color="auto"/>
              <w:left w:val="nil" w:sz="6" w:space="0" w:color="auto"/>
              <w:bottom w:val="nil" w:sz="6" w:space="0" w:color="auto"/>
              <w:right w:val="nil" w:sz="6" w:space="0" w:color="auto"/>
            </w:tcBorders>
          </w:tcPr>
          <w:p>
            <w:pPr>
              <w:pStyle w:val="TableParagraph"/>
              <w:spacing w:line="235" w:lineRule="exact"/>
              <w:ind w:right="143"/>
              <w:jc w:val="right"/>
              <w:rPr>
                <w:rFonts w:ascii="宋体" w:hAnsi="宋体" w:cs="宋体" w:eastAsia="宋体" w:hint="default"/>
                <w:sz w:val="21"/>
                <w:szCs w:val="21"/>
              </w:rPr>
            </w:pPr>
            <w:r>
              <w:rPr>
                <w:rFonts w:ascii="宋体" w:hAnsi="宋体" w:cs="宋体" w:eastAsia="宋体" w:hint="default"/>
                <w:w w:val="100"/>
                <w:sz w:val="21"/>
                <w:szCs w:val="21"/>
              </w:rPr>
              <w:t>份</w:t>
            </w:r>
          </w:p>
        </w:tc>
        <w:tc>
          <w:tcPr>
            <w:tcW w:w="1492" w:type="dxa"/>
            <w:tcBorders>
              <w:top w:val="nil" w:sz="6" w:space="0" w:color="auto"/>
              <w:left w:val="nil" w:sz="6" w:space="0" w:color="auto"/>
              <w:bottom w:val="nil" w:sz="6" w:space="0" w:color="auto"/>
              <w:right w:val="nil" w:sz="6" w:space="0" w:color="auto"/>
            </w:tcBorders>
          </w:tcPr>
          <w:p>
            <w:pPr>
              <w:pStyle w:val="TableParagraph"/>
              <w:spacing w:line="235" w:lineRule="exact"/>
              <w:ind w:right="190"/>
              <w:jc w:val="right"/>
              <w:rPr>
                <w:rFonts w:ascii="宋体" w:hAnsi="宋体" w:cs="宋体" w:eastAsia="宋体" w:hint="default"/>
                <w:sz w:val="21"/>
                <w:szCs w:val="21"/>
              </w:rPr>
            </w:pPr>
            <w:r>
              <w:rPr>
                <w:rFonts w:ascii="宋体" w:hAnsi="宋体" w:cs="宋体" w:eastAsia="宋体" w:hint="default"/>
                <w:spacing w:val="-1"/>
                <w:sz w:val="21"/>
                <w:szCs w:val="21"/>
              </w:rPr>
              <w:t>人民币元</w:t>
            </w:r>
            <w:r>
              <w:rPr>
                <w:rFonts w:ascii="宋体" w:hAnsi="宋体" w:cs="宋体" w:eastAsia="宋体" w:hint="default"/>
                <w:spacing w:val="-1"/>
                <w:sz w:val="21"/>
                <w:szCs w:val="21"/>
              </w:rPr>
              <w:t>/</w:t>
            </w:r>
            <w:r>
              <w:rPr>
                <w:rFonts w:ascii="宋体" w:hAnsi="宋体" w:cs="宋体" w:eastAsia="宋体" w:hint="default"/>
                <w:spacing w:val="-1"/>
                <w:sz w:val="21"/>
                <w:szCs w:val="21"/>
              </w:rPr>
              <w:t>股</w:t>
            </w:r>
          </w:p>
        </w:tc>
        <w:tc>
          <w:tcPr>
            <w:tcW w:w="3544" w:type="dxa"/>
            <w:tcBorders>
              <w:top w:val="nil" w:sz="6" w:space="0" w:color="auto"/>
              <w:left w:val="nil" w:sz="6" w:space="0" w:color="auto"/>
              <w:bottom w:val="nil" w:sz="6" w:space="0" w:color="auto"/>
              <w:right w:val="nil" w:sz="6" w:space="0" w:color="auto"/>
            </w:tcBorders>
          </w:tcPr>
          <w:p>
            <w:pPr/>
          </w:p>
        </w:tc>
      </w:tr>
      <w:tr>
        <w:trPr>
          <w:trHeight w:val="390" w:hRule="exact"/>
        </w:trPr>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8"/>
              <w:jc w:val="right"/>
              <w:rPr>
                <w:rFonts w:ascii="宋体" w:hAnsi="宋体" w:cs="宋体" w:eastAsia="宋体" w:hint="default"/>
                <w:sz w:val="21"/>
                <w:szCs w:val="21"/>
              </w:rPr>
            </w:pPr>
            <w:r>
              <w:rPr>
                <w:rFonts w:ascii="宋体"/>
                <w:spacing w:val="-1"/>
                <w:sz w:val="21"/>
              </w:rPr>
              <w:t>5,071,219</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40"/>
              <w:jc w:val="right"/>
              <w:rPr>
                <w:rFonts w:ascii="宋体" w:hAnsi="宋体" w:cs="宋体" w:eastAsia="宋体" w:hint="default"/>
                <w:sz w:val="21"/>
                <w:szCs w:val="21"/>
              </w:rPr>
            </w:pPr>
            <w:r>
              <w:rPr>
                <w:rFonts w:ascii="宋体"/>
                <w:sz w:val="21"/>
              </w:rPr>
              <w:t>( 5,071,219)</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1"/>
              <w:jc w:val="right"/>
              <w:rPr>
                <w:rFonts w:ascii="宋体" w:hAnsi="宋体" w:cs="宋体" w:eastAsia="宋体" w:hint="default"/>
                <w:sz w:val="21"/>
                <w:szCs w:val="21"/>
              </w:rPr>
            </w:pPr>
            <w:r>
              <w:rPr>
                <w:rFonts w:ascii="宋体"/>
                <w:sz w:val="21"/>
              </w:rPr>
              <w:t>8.31</w:t>
            </w:r>
          </w:p>
        </w:tc>
        <w:tc>
          <w:tcPr>
            <w:tcW w:w="35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8"/>
              <w:jc w:val="right"/>
              <w:rPr>
                <w:rFonts w:ascii="宋体" w:hAnsi="宋体" w:cs="宋体" w:eastAsia="宋体" w:hint="default"/>
                <w:sz w:val="21"/>
                <w:szCs w:val="21"/>
              </w:rPr>
            </w:pPr>
            <w:r>
              <w:rPr>
                <w:rFonts w:ascii="宋体" w:hAnsi="宋体" w:cs="宋体" w:eastAsia="宋体" w:hint="default"/>
                <w:spacing w:val="-1"/>
                <w:sz w:val="21"/>
                <w:szCs w:val="21"/>
              </w:rPr>
              <w:t>2015</w:t>
            </w:r>
            <w:r>
              <w:rPr>
                <w:rFonts w:ascii="宋体" w:hAnsi="宋体" w:cs="宋体" w:eastAsia="宋体" w:hint="default"/>
                <w:spacing w:val="-1"/>
                <w:sz w:val="21"/>
                <w:szCs w:val="21"/>
              </w:rPr>
              <w:t>年</w:t>
            </w:r>
            <w:r>
              <w:rPr>
                <w:rFonts w:ascii="宋体" w:hAnsi="宋体" w:cs="宋体" w:eastAsia="宋体" w:hint="default"/>
                <w:spacing w:val="-1"/>
                <w:sz w:val="21"/>
                <w:szCs w:val="21"/>
              </w:rPr>
              <w:t>11</w:t>
            </w:r>
            <w:r>
              <w:rPr>
                <w:rFonts w:ascii="宋体" w:hAnsi="宋体" w:cs="宋体" w:eastAsia="宋体" w:hint="default"/>
                <w:spacing w:val="-1"/>
                <w:sz w:val="21"/>
                <w:szCs w:val="21"/>
              </w:rPr>
              <w:t>月</w:t>
            </w:r>
            <w:r>
              <w:rPr>
                <w:rFonts w:ascii="宋体" w:hAnsi="宋体" w:cs="宋体" w:eastAsia="宋体" w:hint="default"/>
                <w:spacing w:val="-1"/>
                <w:sz w:val="21"/>
                <w:szCs w:val="21"/>
              </w:rPr>
              <w:t>12</w:t>
            </w:r>
            <w:r>
              <w:rPr>
                <w:rFonts w:ascii="宋体" w:hAnsi="宋体" w:cs="宋体" w:eastAsia="宋体" w:hint="default"/>
                <w:spacing w:val="-1"/>
                <w:sz w:val="21"/>
                <w:szCs w:val="21"/>
              </w:rPr>
              <w:t>日至</w:t>
            </w:r>
            <w:r>
              <w:rPr>
                <w:rFonts w:ascii="宋体" w:hAnsi="宋体" w:cs="宋体" w:eastAsia="宋体" w:hint="default"/>
                <w:spacing w:val="-1"/>
                <w:sz w:val="21"/>
                <w:szCs w:val="21"/>
              </w:rPr>
              <w:t>2017</w:t>
            </w:r>
            <w:r>
              <w:rPr>
                <w:rFonts w:ascii="宋体" w:hAnsi="宋体" w:cs="宋体" w:eastAsia="宋体" w:hint="default"/>
                <w:spacing w:val="-1"/>
                <w:sz w:val="21"/>
                <w:szCs w:val="21"/>
              </w:rPr>
              <w:t>年</w:t>
            </w:r>
            <w:r>
              <w:rPr>
                <w:rFonts w:ascii="宋体" w:hAnsi="宋体" w:cs="宋体" w:eastAsia="宋体" w:hint="default"/>
                <w:spacing w:val="-1"/>
                <w:sz w:val="21"/>
                <w:szCs w:val="21"/>
              </w:rPr>
              <w:t>11</w:t>
            </w:r>
            <w:r>
              <w:rPr>
                <w:rFonts w:ascii="宋体" w:hAnsi="宋体" w:cs="宋体" w:eastAsia="宋体" w:hint="default"/>
                <w:spacing w:val="-1"/>
                <w:sz w:val="21"/>
                <w:szCs w:val="21"/>
              </w:rPr>
              <w:t>月</w:t>
            </w:r>
            <w:r>
              <w:rPr>
                <w:rFonts w:ascii="宋体" w:hAnsi="宋体" w:cs="宋体" w:eastAsia="宋体" w:hint="default"/>
                <w:spacing w:val="-1"/>
                <w:sz w:val="21"/>
                <w:szCs w:val="21"/>
              </w:rPr>
              <w:t>12</w:t>
            </w:r>
            <w:r>
              <w:rPr>
                <w:rFonts w:ascii="宋体" w:hAnsi="宋体" w:cs="宋体" w:eastAsia="宋体" w:hint="default"/>
                <w:spacing w:val="-1"/>
                <w:sz w:val="21"/>
                <w:szCs w:val="21"/>
              </w:rPr>
              <w:t>日</w:t>
            </w:r>
          </w:p>
        </w:tc>
      </w:tr>
      <w:tr>
        <w:trPr>
          <w:trHeight w:val="390" w:hRule="exact"/>
        </w:trPr>
        <w:tc>
          <w:tcPr>
            <w:tcW w:w="1543" w:type="dxa"/>
            <w:tcBorders>
              <w:top w:val="nil" w:sz="6" w:space="0" w:color="auto"/>
              <w:left w:val="nil" w:sz="6" w:space="0" w:color="auto"/>
              <w:bottom w:val="nil" w:sz="6" w:space="0" w:color="auto"/>
              <w:right w:val="nil" w:sz="6" w:space="0" w:color="auto"/>
            </w:tcBorders>
          </w:tcPr>
          <w:p>
            <w:pPr>
              <w:pStyle w:val="TableParagraph"/>
              <w:spacing w:line="235" w:lineRule="exact"/>
              <w:ind w:right="78"/>
              <w:jc w:val="right"/>
              <w:rPr>
                <w:rFonts w:ascii="宋体" w:hAnsi="宋体" w:cs="宋体" w:eastAsia="宋体" w:hint="default"/>
                <w:sz w:val="21"/>
                <w:szCs w:val="21"/>
              </w:rPr>
            </w:pPr>
            <w:r>
              <w:rPr>
                <w:rFonts w:ascii="宋体"/>
                <w:w w:val="100"/>
                <w:sz w:val="21"/>
              </w:rPr>
            </w:r>
            <w:r>
              <w:rPr>
                <w:rFonts w:ascii="宋体"/>
                <w:spacing w:val="-1"/>
                <w:sz w:val="21"/>
                <w:u w:val="single" w:color="000000"/>
              </w:rPr>
              <w:t>1,254,849</w:t>
            </w:r>
            <w:r>
              <w:rPr>
                <w:rFonts w:ascii="宋体"/>
                <w:spacing w:val="-1"/>
                <w:sz w:val="21"/>
              </w:rPr>
            </w:r>
          </w:p>
        </w:tc>
        <w:tc>
          <w:tcPr>
            <w:tcW w:w="2117" w:type="dxa"/>
            <w:tcBorders>
              <w:top w:val="nil" w:sz="6" w:space="0" w:color="auto"/>
              <w:left w:val="nil" w:sz="6" w:space="0" w:color="auto"/>
              <w:bottom w:val="nil" w:sz="6" w:space="0" w:color="auto"/>
              <w:right w:val="nil" w:sz="6" w:space="0" w:color="auto"/>
            </w:tcBorders>
          </w:tcPr>
          <w:p>
            <w:pPr>
              <w:pStyle w:val="TableParagraph"/>
              <w:spacing w:line="235" w:lineRule="exact"/>
              <w:ind w:right="140"/>
              <w:jc w:val="right"/>
              <w:rPr>
                <w:rFonts w:ascii="宋体" w:hAnsi="宋体" w:cs="宋体" w:eastAsia="宋体" w:hint="default"/>
                <w:sz w:val="21"/>
                <w:szCs w:val="21"/>
              </w:rPr>
            </w:pPr>
            <w:r>
              <w:rPr>
                <w:rFonts w:ascii="宋体"/>
                <w:sz w:val="21"/>
              </w:rPr>
              <w:t>(  </w:t>
            </w:r>
            <w:r>
              <w:rPr>
                <w:rFonts w:ascii="宋体"/>
                <w:sz w:val="21"/>
                <w:u w:val="single" w:color="000000"/>
              </w:rPr>
              <w:t> 586,614</w:t>
            </w:r>
            <w:r>
              <w:rPr>
                <w:rFonts w:ascii="宋体"/>
                <w:sz w:val="21"/>
              </w:rPr>
              <w:t>)</w:t>
            </w:r>
          </w:p>
        </w:tc>
        <w:tc>
          <w:tcPr>
            <w:tcW w:w="1492" w:type="dxa"/>
            <w:tcBorders>
              <w:top w:val="nil" w:sz="6" w:space="0" w:color="auto"/>
              <w:left w:val="nil" w:sz="6" w:space="0" w:color="auto"/>
              <w:bottom w:val="nil" w:sz="6" w:space="0" w:color="auto"/>
              <w:right w:val="nil" w:sz="6" w:space="0" w:color="auto"/>
            </w:tcBorders>
          </w:tcPr>
          <w:p>
            <w:pPr>
              <w:pStyle w:val="TableParagraph"/>
              <w:spacing w:line="235" w:lineRule="exact"/>
              <w:ind w:right="191"/>
              <w:jc w:val="right"/>
              <w:rPr>
                <w:rFonts w:ascii="宋体" w:hAnsi="宋体" w:cs="宋体" w:eastAsia="宋体" w:hint="default"/>
                <w:sz w:val="21"/>
                <w:szCs w:val="21"/>
              </w:rPr>
            </w:pPr>
            <w:r>
              <w:rPr>
                <w:rFonts w:ascii="宋体"/>
                <w:sz w:val="21"/>
              </w:rPr>
              <w:t>14.98</w:t>
            </w:r>
          </w:p>
        </w:tc>
        <w:tc>
          <w:tcPr>
            <w:tcW w:w="3544" w:type="dxa"/>
            <w:tcBorders>
              <w:top w:val="nil" w:sz="6" w:space="0" w:color="auto"/>
              <w:left w:val="nil" w:sz="6" w:space="0" w:color="auto"/>
              <w:bottom w:val="nil" w:sz="6" w:space="0" w:color="auto"/>
              <w:right w:val="nil" w:sz="6" w:space="0" w:color="auto"/>
            </w:tcBorders>
          </w:tcPr>
          <w:p>
            <w:pPr>
              <w:pStyle w:val="TableParagraph"/>
              <w:spacing w:line="235" w:lineRule="exact"/>
              <w:ind w:right="198"/>
              <w:jc w:val="right"/>
              <w:rPr>
                <w:rFonts w:ascii="宋体" w:hAnsi="宋体" w:cs="宋体" w:eastAsia="宋体" w:hint="default"/>
                <w:sz w:val="21"/>
                <w:szCs w:val="21"/>
              </w:rPr>
            </w:pPr>
            <w:r>
              <w:rPr>
                <w:rFonts w:ascii="宋体" w:hAnsi="宋体" w:cs="宋体" w:eastAsia="宋体" w:hint="default"/>
                <w:spacing w:val="-1"/>
                <w:sz w:val="21"/>
                <w:szCs w:val="21"/>
              </w:rPr>
              <w:t>2015</w:t>
            </w:r>
            <w:r>
              <w:rPr>
                <w:rFonts w:ascii="宋体" w:hAnsi="宋体" w:cs="宋体" w:eastAsia="宋体" w:hint="default"/>
                <w:spacing w:val="-1"/>
                <w:sz w:val="21"/>
                <w:szCs w:val="21"/>
              </w:rPr>
              <w:t>年</w:t>
            </w:r>
            <w:r>
              <w:rPr>
                <w:rFonts w:ascii="宋体" w:hAnsi="宋体" w:cs="宋体" w:eastAsia="宋体" w:hint="default"/>
                <w:spacing w:val="-1"/>
                <w:sz w:val="21"/>
                <w:szCs w:val="21"/>
              </w:rPr>
              <w:t>11</w:t>
            </w:r>
            <w:r>
              <w:rPr>
                <w:rFonts w:ascii="宋体" w:hAnsi="宋体" w:cs="宋体" w:eastAsia="宋体" w:hint="default"/>
                <w:spacing w:val="-1"/>
                <w:sz w:val="21"/>
                <w:szCs w:val="21"/>
              </w:rPr>
              <w:t>月</w:t>
            </w:r>
            <w:r>
              <w:rPr>
                <w:rFonts w:ascii="宋体" w:hAnsi="宋体" w:cs="宋体" w:eastAsia="宋体" w:hint="default"/>
                <w:spacing w:val="-1"/>
                <w:sz w:val="21"/>
                <w:szCs w:val="21"/>
              </w:rPr>
              <w:t>6</w:t>
            </w:r>
            <w:r>
              <w:rPr>
                <w:rFonts w:ascii="宋体" w:hAnsi="宋体" w:cs="宋体" w:eastAsia="宋体" w:hint="default"/>
                <w:spacing w:val="-1"/>
                <w:sz w:val="21"/>
                <w:szCs w:val="21"/>
              </w:rPr>
              <w:t>日至</w:t>
            </w:r>
            <w:r>
              <w:rPr>
                <w:rFonts w:ascii="宋体" w:hAnsi="宋体" w:cs="宋体" w:eastAsia="宋体" w:hint="default"/>
                <w:spacing w:val="-1"/>
                <w:sz w:val="21"/>
                <w:szCs w:val="21"/>
              </w:rPr>
              <w:t>2018</w:t>
            </w:r>
            <w:r>
              <w:rPr>
                <w:rFonts w:ascii="宋体" w:hAnsi="宋体" w:cs="宋体" w:eastAsia="宋体" w:hint="default"/>
                <w:spacing w:val="-1"/>
                <w:sz w:val="21"/>
                <w:szCs w:val="21"/>
              </w:rPr>
              <w:t>年</w:t>
            </w:r>
            <w:r>
              <w:rPr>
                <w:rFonts w:ascii="宋体" w:hAnsi="宋体" w:cs="宋体" w:eastAsia="宋体" w:hint="default"/>
                <w:spacing w:val="-1"/>
                <w:sz w:val="21"/>
                <w:szCs w:val="21"/>
              </w:rPr>
              <w:t>11</w:t>
            </w:r>
            <w:r>
              <w:rPr>
                <w:rFonts w:ascii="宋体" w:hAnsi="宋体" w:cs="宋体" w:eastAsia="宋体" w:hint="default"/>
                <w:spacing w:val="-1"/>
                <w:sz w:val="21"/>
                <w:szCs w:val="21"/>
              </w:rPr>
              <w:t>月</w:t>
            </w:r>
            <w:r>
              <w:rPr>
                <w:rFonts w:ascii="宋体" w:hAnsi="宋体" w:cs="宋体" w:eastAsia="宋体" w:hint="default"/>
                <w:spacing w:val="-1"/>
                <w:sz w:val="21"/>
                <w:szCs w:val="21"/>
              </w:rPr>
              <w:t>6</w:t>
            </w:r>
            <w:r>
              <w:rPr>
                <w:rFonts w:ascii="宋体" w:hAnsi="宋体" w:cs="宋体" w:eastAsia="宋体" w:hint="default"/>
                <w:spacing w:val="-1"/>
                <w:sz w:val="21"/>
                <w:szCs w:val="21"/>
              </w:rPr>
              <w:t>日</w:t>
            </w:r>
          </w:p>
        </w:tc>
      </w:tr>
      <w:tr>
        <w:trPr>
          <w:trHeight w:val="366" w:hRule="exact"/>
        </w:trPr>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8"/>
              <w:jc w:val="right"/>
              <w:rPr>
                <w:rFonts w:ascii="宋体" w:hAnsi="宋体" w:cs="宋体" w:eastAsia="宋体" w:hint="default"/>
                <w:sz w:val="21"/>
                <w:szCs w:val="21"/>
              </w:rPr>
            </w:pPr>
            <w:r>
              <w:rPr>
                <w:rFonts w:ascii="宋体"/>
                <w:w w:val="100"/>
                <w:sz w:val="21"/>
              </w:rPr>
            </w:r>
            <w:r>
              <w:rPr>
                <w:rFonts w:ascii="宋体"/>
                <w:spacing w:val="-1"/>
                <w:sz w:val="21"/>
                <w:u w:val="single" w:color="000000"/>
              </w:rPr>
              <w:t>6,326,068</w:t>
            </w:r>
            <w:r>
              <w:rPr>
                <w:rFonts w:ascii="宋体"/>
                <w:spacing w:val="-1"/>
                <w:sz w:val="21"/>
              </w:rPr>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40"/>
              <w:jc w:val="right"/>
              <w:rPr>
                <w:rFonts w:ascii="宋体" w:hAnsi="宋体" w:cs="宋体" w:eastAsia="宋体" w:hint="default"/>
                <w:sz w:val="21"/>
                <w:szCs w:val="21"/>
              </w:rPr>
            </w:pPr>
            <w:r>
              <w:rPr>
                <w:rFonts w:ascii="宋体"/>
                <w:spacing w:val="-1"/>
                <w:sz w:val="21"/>
              </w:rPr>
              <w:t>(</w:t>
            </w:r>
            <w:r>
              <w:rPr>
                <w:rFonts w:ascii="宋体"/>
                <w:spacing w:val="-1"/>
                <w:sz w:val="21"/>
                <w:u w:val="single" w:color="000000"/>
              </w:rPr>
              <w:t>5,657,833</w:t>
            </w:r>
            <w:r>
              <w:rPr>
                <w:rFonts w:ascii="宋体"/>
                <w:spacing w:val="-1"/>
                <w:sz w:val="21"/>
              </w:rPr>
              <w:t>)</w:t>
            </w:r>
          </w:p>
        </w:tc>
        <w:tc>
          <w:tcPr>
            <w:tcW w:w="1492" w:type="dxa"/>
            <w:tcBorders>
              <w:top w:val="nil" w:sz="6" w:space="0" w:color="auto"/>
              <w:left w:val="nil" w:sz="6" w:space="0" w:color="auto"/>
              <w:bottom w:val="nil" w:sz="6" w:space="0" w:color="auto"/>
              <w:right w:val="nil" w:sz="6" w:space="0" w:color="auto"/>
            </w:tcBorders>
          </w:tcPr>
          <w:p>
            <w:pPr/>
          </w:p>
        </w:tc>
        <w:tc>
          <w:tcPr>
            <w:tcW w:w="3544"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15"/>
          <w:szCs w:val="15"/>
        </w:rPr>
      </w:pPr>
    </w:p>
    <w:p>
      <w:pPr>
        <w:pStyle w:val="BodyText"/>
        <w:spacing w:line="240" w:lineRule="auto" w:before="36"/>
        <w:ind w:left="761" w:right="0" w:hanging="48"/>
        <w:jc w:val="left"/>
      </w:pPr>
      <w:r>
        <w:rPr>
          <w:rFonts w:ascii="宋体" w:hAnsi="宋体" w:cs="宋体" w:eastAsia="宋体" w:hint="default"/>
        </w:rPr>
        <w:t>*</w:t>
      </w:r>
      <w:r>
        <w:rPr>
          <w:rFonts w:ascii="宋体" w:hAnsi="宋体" w:cs="宋体" w:eastAsia="宋体" w:hint="default"/>
          <w:spacing w:val="-19"/>
        </w:rPr>
        <w:t> </w:t>
      </w:r>
      <w:r>
        <w:rPr/>
        <w:t>股票期权的行权价格可根据配股、派发股票股利或本公司股本的其他类似变化予以调整。</w:t>
      </w:r>
    </w:p>
    <w:p>
      <w:pPr>
        <w:spacing w:line="240" w:lineRule="auto" w:before="13"/>
        <w:rPr>
          <w:rFonts w:ascii="宋体" w:hAnsi="宋体" w:cs="宋体" w:eastAsia="宋体" w:hint="default"/>
          <w:sz w:val="18"/>
          <w:szCs w:val="18"/>
        </w:rPr>
      </w:pPr>
    </w:p>
    <w:p>
      <w:pPr>
        <w:pStyle w:val="BodyText"/>
        <w:spacing w:line="297" w:lineRule="auto"/>
        <w:ind w:left="764" w:right="0" w:hanging="3"/>
        <w:jc w:val="left"/>
      </w:pPr>
      <w:r>
        <w:rPr>
          <w:rFonts w:ascii="宋体" w:hAnsi="宋体" w:cs="宋体" w:eastAsia="宋体" w:hint="default"/>
        </w:rPr>
        <w:t>2015</w:t>
      </w:r>
      <w:r>
        <w:rPr/>
        <w:t>年，本公司因</w:t>
      </w:r>
      <w:r>
        <w:rPr>
          <w:rFonts w:ascii="宋体" w:hAnsi="宋体" w:cs="宋体" w:eastAsia="宋体" w:hint="default"/>
        </w:rPr>
        <w:t>5,500,910</w:t>
      </w:r>
      <w:r>
        <w:rPr/>
        <w:t>份股份期权行权而发行了</w:t>
      </w:r>
      <w:r>
        <w:rPr>
          <w:rFonts w:ascii="宋体" w:hAnsi="宋体" w:cs="宋体" w:eastAsia="宋体" w:hint="default"/>
        </w:rPr>
        <w:t>5,500,910</w:t>
      </w:r>
      <w:r>
        <w:rPr/>
        <w:t>股普通股，新增股本为人</w:t>
      </w:r>
      <w:r>
        <w:rPr>
          <w:spacing w:val="-60"/>
        </w:rPr>
        <w:t> </w:t>
      </w:r>
      <w:r>
        <w:rPr>
          <w:spacing w:val="-60"/>
        </w:rPr>
      </w:r>
      <w:r>
        <w:rPr/>
        <w:t>民币</w:t>
      </w:r>
      <w:r>
        <w:rPr>
          <w:rFonts w:ascii="宋体" w:hAnsi="宋体" w:cs="宋体" w:eastAsia="宋体" w:hint="default"/>
        </w:rPr>
        <w:t>5,500,910</w:t>
      </w:r>
      <w:r>
        <w:rPr/>
        <w:t>元，股本溢价为人民币</w:t>
      </w:r>
      <w:r>
        <w:rPr>
          <w:rFonts w:ascii="宋体" w:hAnsi="宋体" w:cs="宋体" w:eastAsia="宋体" w:hint="default"/>
        </w:rPr>
        <w:t>45,253,038</w:t>
      </w:r>
      <w:r>
        <w:rPr/>
        <w:t>元</w:t>
      </w:r>
      <w:r>
        <w:rPr>
          <w:rFonts w:ascii="宋体" w:hAnsi="宋体" w:cs="宋体" w:eastAsia="宋体" w:hint="default"/>
        </w:rPr>
        <w:t>(</w:t>
      </w:r>
      <w:r>
        <w:rPr/>
        <w:t>扣除发行费用前</w:t>
      </w:r>
      <w:r>
        <w:rPr>
          <w:rFonts w:ascii="宋体" w:hAnsi="宋体" w:cs="宋体" w:eastAsia="宋体" w:hint="default"/>
        </w:rPr>
        <w:t>)</w:t>
      </w:r>
      <w:r>
        <w:rPr/>
        <w:t>。</w:t>
      </w:r>
      <w:r>
        <w:rPr>
          <w:w w:val="100"/>
        </w:rPr>
        <w:t> </w:t>
      </w:r>
      <w:r>
        <w:rPr/>
        <w:t>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日，本公司在本计划下发行在外的股票期权为</w:t>
      </w:r>
      <w:r>
        <w:rPr>
          <w:rFonts w:ascii="宋体" w:hAnsi="宋体" w:cs="宋体" w:eastAsia="宋体" w:hint="default"/>
        </w:rPr>
        <w:t>6,326,068</w:t>
      </w:r>
      <w:r>
        <w:rPr/>
        <w:t>份，因</w:t>
      </w:r>
      <w:r>
        <w:rPr>
          <w:rFonts w:ascii="宋体" w:hAnsi="宋体" w:cs="宋体" w:eastAsia="宋体" w:hint="default"/>
        </w:rPr>
        <w:t>2015</w:t>
      </w:r>
      <w:r>
        <w:rPr/>
        <w:t>年公</w:t>
      </w:r>
      <w:r>
        <w:rPr>
          <w:spacing w:val="-20"/>
        </w:rPr>
        <w:t> </w:t>
      </w:r>
      <w:r>
        <w:rPr>
          <w:spacing w:val="-2"/>
        </w:rPr>
        <w:t>司业绩未达到首次授予计划第三期及预留授予第二期行权条件，预计</w:t>
      </w:r>
      <w:r>
        <w:rPr>
          <w:rFonts w:ascii="宋体" w:hAnsi="宋体" w:cs="宋体" w:eastAsia="宋体" w:hint="default"/>
          <w:spacing w:val="-2"/>
        </w:rPr>
        <w:t>2016</w:t>
      </w:r>
      <w:r>
        <w:rPr>
          <w:spacing w:val="-2"/>
        </w:rPr>
        <w:t>年失效的期权份</w:t>
      </w:r>
    </w:p>
    <w:p>
      <w:pPr>
        <w:pStyle w:val="BodyText"/>
        <w:spacing w:line="297" w:lineRule="auto" w:before="16"/>
        <w:ind w:left="824" w:right="559"/>
        <w:jc w:val="both"/>
      </w:pPr>
      <w:r>
        <w:rPr/>
        <w:t>数为</w:t>
      </w:r>
      <w:r>
        <w:rPr>
          <w:rFonts w:ascii="宋体" w:hAnsi="宋体" w:cs="宋体" w:eastAsia="宋体" w:hint="default"/>
        </w:rPr>
        <w:t>5,657,833</w:t>
      </w:r>
      <w:r>
        <w:rPr/>
        <w:t>份。根据本公司资本结构，如果发行在外的股票期权减去预计失效后的期</w:t>
      </w:r>
      <w:r>
        <w:rPr>
          <w:spacing w:val="-21"/>
        </w:rPr>
        <w:t> </w:t>
      </w:r>
      <w:r>
        <w:rPr>
          <w:spacing w:val="-21"/>
        </w:rPr>
      </w:r>
      <w:r>
        <w:rPr>
          <w:spacing w:val="-2"/>
        </w:rPr>
        <w:t>权全部行权，将发行</w:t>
      </w:r>
      <w:r>
        <w:rPr>
          <w:rFonts w:ascii="宋体" w:hAnsi="宋体" w:cs="宋体" w:eastAsia="宋体" w:hint="default"/>
          <w:spacing w:val="-2"/>
        </w:rPr>
        <w:t>668,235</w:t>
      </w:r>
      <w:r>
        <w:rPr>
          <w:spacing w:val="-2"/>
        </w:rPr>
        <w:t>股额外本公司普通股，增加本公司股本人民币</w:t>
      </w:r>
      <w:r>
        <w:rPr>
          <w:rFonts w:ascii="宋体" w:hAnsi="宋体" w:cs="宋体" w:eastAsia="宋体" w:hint="default"/>
          <w:spacing w:val="-2"/>
        </w:rPr>
        <w:t>668,235</w:t>
      </w:r>
      <w:r>
        <w:rPr>
          <w:spacing w:val="-2"/>
        </w:rPr>
        <w:t>元和股</w:t>
      </w:r>
      <w:r>
        <w:rPr>
          <w:spacing w:val="-37"/>
        </w:rPr>
        <w:t> </w:t>
      </w:r>
      <w:r>
        <w:rPr>
          <w:spacing w:val="-37"/>
        </w:rPr>
      </w:r>
      <w:r>
        <w:rPr/>
        <w:t>本溢价人民币</w:t>
      </w:r>
      <w:r>
        <w:rPr>
          <w:rFonts w:ascii="宋体" w:hAnsi="宋体" w:cs="宋体" w:eastAsia="宋体" w:hint="default"/>
        </w:rPr>
        <w:t>9,341,925</w:t>
      </w:r>
      <w:r>
        <w:rPr/>
        <w:t>元</w:t>
      </w:r>
      <w:r>
        <w:rPr>
          <w:rFonts w:ascii="宋体" w:hAnsi="宋体" w:cs="宋体" w:eastAsia="宋体" w:hint="default"/>
        </w:rPr>
        <w:t>(</w:t>
      </w:r>
      <w:r>
        <w:rPr/>
        <w:t>扣除发行费用前</w:t>
      </w:r>
      <w:r>
        <w:rPr>
          <w:rFonts w:ascii="宋体" w:hAnsi="宋体" w:cs="宋体" w:eastAsia="宋体" w:hint="default"/>
        </w:rPr>
        <w:t>)</w:t>
      </w:r>
      <w:r>
        <w:rPr/>
        <w:t>。</w:t>
      </w:r>
    </w:p>
    <w:p>
      <w:pPr>
        <w:spacing w:line="240" w:lineRule="auto" w:before="3"/>
        <w:rPr>
          <w:rFonts w:ascii="宋体" w:hAnsi="宋体" w:cs="宋体" w:eastAsia="宋体" w:hint="default"/>
          <w:sz w:val="27"/>
          <w:szCs w:val="27"/>
        </w:rPr>
      </w:pPr>
    </w:p>
    <w:p>
      <w:pPr>
        <w:pStyle w:val="BodyText"/>
        <w:spacing w:line="297" w:lineRule="auto"/>
        <w:ind w:left="838" w:right="0"/>
        <w:jc w:val="left"/>
      </w:pPr>
      <w:r>
        <w:rPr/>
        <w:t>于本财务报表批准日，本公司在本计划下发行在外的股票期权为</w:t>
      </w:r>
      <w:r>
        <w:rPr>
          <w:rFonts w:ascii="宋体" w:hAnsi="宋体" w:cs="宋体" w:eastAsia="宋体" w:hint="default"/>
        </w:rPr>
        <w:t>6,253,368</w:t>
      </w:r>
      <w:r>
        <w:rPr/>
        <w:t>份，约为本公</w:t>
      </w:r>
      <w:r>
        <w:rPr>
          <w:spacing w:val="-29"/>
        </w:rPr>
        <w:t> </w:t>
      </w:r>
      <w:r>
        <w:rPr>
          <w:spacing w:val="-29"/>
        </w:rPr>
      </w:r>
      <w:r>
        <w:rPr/>
        <w:t>司当日发行在外股份的</w:t>
      </w:r>
      <w:r>
        <w:rPr>
          <w:rFonts w:ascii="宋体" w:hAnsi="宋体" w:cs="宋体" w:eastAsia="宋体" w:hint="default"/>
        </w:rPr>
        <w:t>0.43%</w:t>
      </w:r>
      <w:r>
        <w:rPr/>
        <w:t>。</w:t>
      </w:r>
    </w:p>
    <w:p>
      <w:pPr>
        <w:spacing w:line="240" w:lineRule="auto" w:before="2"/>
        <w:rPr>
          <w:rFonts w:ascii="宋体" w:hAnsi="宋体" w:cs="宋体" w:eastAsia="宋体" w:hint="default"/>
          <w:sz w:val="21"/>
          <w:szCs w:val="21"/>
        </w:rPr>
      </w:pPr>
    </w:p>
    <w:p>
      <w:pPr>
        <w:pStyle w:val="BodyText"/>
        <w:spacing w:line="240" w:lineRule="auto"/>
        <w:ind w:left="838" w:right="0"/>
        <w:jc w:val="left"/>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股份支付计划二</w:t>
      </w:r>
      <w:r>
        <w:rPr/>
      </w:r>
    </w:p>
    <w:p>
      <w:pPr>
        <w:spacing w:line="240" w:lineRule="auto" w:before="3"/>
        <w:rPr>
          <w:rFonts w:ascii="宋体" w:hAnsi="宋体" w:cs="宋体" w:eastAsia="宋体" w:hint="default"/>
          <w:sz w:val="14"/>
          <w:szCs w:val="14"/>
        </w:rPr>
      </w:pPr>
    </w:p>
    <w:p>
      <w:pPr>
        <w:pStyle w:val="BodyText"/>
        <w:tabs>
          <w:tab w:pos="1287" w:val="left" w:leader="none"/>
        </w:tabs>
        <w:spacing w:line="475" w:lineRule="auto" w:before="36"/>
        <w:ind w:left="865" w:right="3891" w:hanging="27"/>
        <w:jc w:val="left"/>
        <w:rPr>
          <w:rFonts w:ascii="宋体" w:hAnsi="宋体" w:cs="宋体" w:eastAsia="宋体" w:hint="default"/>
        </w:rPr>
      </w:pPr>
      <w:r>
        <w:rPr>
          <w:spacing w:val="-2"/>
        </w:rPr>
        <w:t>该计划为本公司子公司畅捷通实行的股权激励计划。</w:t>
      </w:r>
      <w:r>
        <w:rPr>
          <w:spacing w:val="-62"/>
        </w:rPr>
        <w:t> </w:t>
      </w:r>
      <w:r>
        <w:rPr>
          <w:spacing w:val="-62"/>
        </w:rPr>
      </w:r>
      <w:r>
        <w:rPr>
          <w:rFonts w:ascii="宋体" w:hAnsi="宋体" w:cs="宋体" w:eastAsia="宋体" w:hint="default"/>
          <w:b/>
          <w:bCs/>
          <w:w w:val="95"/>
        </w:rPr>
        <w:t>1.</w:t>
        <w:tab/>
      </w:r>
      <w:r>
        <w:rPr>
          <w:rFonts w:ascii="宋体" w:hAnsi="宋体" w:cs="宋体" w:eastAsia="宋体" w:hint="default"/>
          <w:b/>
          <w:bCs/>
        </w:rPr>
        <w:t>概况</w:t>
      </w:r>
      <w:r>
        <w:rPr>
          <w:rFonts w:ascii="宋体" w:hAnsi="宋体" w:cs="宋体" w:eastAsia="宋体" w:hint="default"/>
        </w:rPr>
      </w:r>
    </w:p>
    <w:p>
      <w:pPr>
        <w:spacing w:line="240" w:lineRule="auto" w:before="1"/>
        <w:rPr>
          <w:rFonts w:ascii="宋体" w:hAnsi="宋体" w:cs="宋体" w:eastAsia="宋体" w:hint="default"/>
          <w:b/>
          <w:bCs/>
          <w:sz w:val="11"/>
          <w:szCs w:val="11"/>
        </w:rPr>
      </w:pPr>
    </w:p>
    <w:tbl>
      <w:tblPr>
        <w:tblW w:w="0" w:type="auto"/>
        <w:jc w:val="left"/>
        <w:tblInd w:w="638" w:type="dxa"/>
        <w:tblLayout w:type="fixed"/>
        <w:tblCellMar>
          <w:top w:w="0" w:type="dxa"/>
          <w:left w:w="0" w:type="dxa"/>
          <w:bottom w:w="0" w:type="dxa"/>
          <w:right w:w="0" w:type="dxa"/>
        </w:tblCellMar>
        <w:tblLook w:val="01E0"/>
      </w:tblPr>
      <w:tblGrid>
        <w:gridCol w:w="3983"/>
        <w:gridCol w:w="2847"/>
        <w:gridCol w:w="1403"/>
      </w:tblGrid>
      <w:tr>
        <w:trPr>
          <w:trHeight w:val="358" w:hRule="exact"/>
        </w:trPr>
        <w:tc>
          <w:tcPr>
            <w:tcW w:w="3983" w:type="dxa"/>
            <w:tcBorders>
              <w:top w:val="nil" w:sz="6" w:space="0" w:color="auto"/>
              <w:left w:val="nil" w:sz="6" w:space="0" w:color="auto"/>
              <w:bottom w:val="nil" w:sz="6" w:space="0" w:color="auto"/>
              <w:right w:val="nil" w:sz="6" w:space="0" w:color="auto"/>
            </w:tcBorders>
          </w:tcPr>
          <w:p>
            <w:pPr/>
          </w:p>
        </w:tc>
        <w:tc>
          <w:tcPr>
            <w:tcW w:w="2847" w:type="dxa"/>
            <w:tcBorders>
              <w:top w:val="nil" w:sz="6" w:space="0" w:color="auto"/>
              <w:left w:val="nil" w:sz="6" w:space="0" w:color="auto"/>
              <w:bottom w:val="nil" w:sz="6" w:space="0" w:color="auto"/>
              <w:right w:val="nil" w:sz="6" w:space="0" w:color="auto"/>
            </w:tcBorders>
          </w:tcPr>
          <w:p>
            <w:pPr>
              <w:pStyle w:val="TableParagraph"/>
              <w:spacing w:line="211" w:lineRule="exact"/>
              <w:ind w:right="516"/>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03"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58" w:hRule="exact"/>
        </w:trPr>
        <w:tc>
          <w:tcPr>
            <w:tcW w:w="398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宋体" w:hAnsi="宋体" w:cs="宋体" w:eastAsia="宋体" w:hint="default"/>
                <w:sz w:val="21"/>
                <w:szCs w:val="21"/>
              </w:rPr>
              <w:t>授予的权益工具总额</w:t>
            </w:r>
            <w:r>
              <w:rPr>
                <w:rFonts w:ascii="宋体" w:hAnsi="宋体" w:cs="宋体" w:eastAsia="宋体" w:hint="default"/>
                <w:sz w:val="21"/>
                <w:szCs w:val="21"/>
              </w:rPr>
              <w:t>(</w:t>
            </w:r>
            <w:r>
              <w:rPr>
                <w:rFonts w:ascii="宋体" w:hAnsi="宋体" w:cs="宋体" w:eastAsia="宋体" w:hint="default"/>
                <w:sz w:val="21"/>
                <w:szCs w:val="21"/>
              </w:rPr>
              <w:t>股数</w:t>
            </w:r>
            <w:r>
              <w:rPr>
                <w:rFonts w:ascii="宋体" w:hAnsi="宋体" w:cs="宋体" w:eastAsia="宋体" w:hint="default"/>
                <w:sz w:val="21"/>
                <w:szCs w:val="21"/>
              </w:rPr>
              <w:t>)</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30"/>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pacing w:val="-1"/>
                <w:sz w:val="21"/>
                <w:u w:val="single" w:color="000000"/>
              </w:rPr>
              <w:t>17,490,000</w:t>
            </w:r>
            <w:r>
              <w:rPr>
                <w:rFonts w:ascii="宋体"/>
                <w:spacing w:val="-1"/>
                <w:sz w:val="21"/>
              </w:rPr>
            </w:r>
          </w:p>
        </w:tc>
        <w:tc>
          <w:tcPr>
            <w:tcW w:w="1403" w:type="dxa"/>
            <w:tcBorders>
              <w:top w:val="nil" w:sz="6" w:space="0" w:color="auto"/>
              <w:left w:val="nil" w:sz="6" w:space="0" w:color="auto"/>
              <w:bottom w:val="nil" w:sz="6" w:space="0" w:color="auto"/>
              <w:right w:val="nil" w:sz="6" w:space="0" w:color="auto"/>
            </w:tcBorders>
          </w:tcPr>
          <w:p>
            <w:pPr>
              <w:pStyle w:val="TableParagraph"/>
              <w:tabs>
                <w:tab w:pos="947" w:val="left" w:leader="none"/>
              </w:tabs>
              <w:spacing w:line="240" w:lineRule="auto" w:before="82"/>
              <w:ind w:right="214"/>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ab/>
              <w:t>-</w:t>
            </w:r>
            <w:r>
              <w:rPr>
                <w:rFonts w:ascii="宋体"/>
                <w:sz w:val="21"/>
              </w:rPr>
            </w:r>
          </w:p>
        </w:tc>
      </w:tr>
    </w:tbl>
    <w:p>
      <w:pPr>
        <w:spacing w:line="240" w:lineRule="auto" w:before="6"/>
        <w:rPr>
          <w:rFonts w:ascii="宋体" w:hAnsi="宋体" w:cs="宋体" w:eastAsia="宋体" w:hint="default"/>
          <w:b/>
          <w:bCs/>
          <w:sz w:val="25"/>
          <w:szCs w:val="25"/>
        </w:rPr>
      </w:pPr>
    </w:p>
    <w:tbl>
      <w:tblPr>
        <w:tblW w:w="0" w:type="auto"/>
        <w:jc w:val="left"/>
        <w:tblInd w:w="638" w:type="dxa"/>
        <w:tblLayout w:type="fixed"/>
        <w:tblCellMar>
          <w:top w:w="0" w:type="dxa"/>
          <w:left w:w="0" w:type="dxa"/>
          <w:bottom w:w="0" w:type="dxa"/>
          <w:right w:w="0" w:type="dxa"/>
        </w:tblCellMar>
        <w:tblLook w:val="01E0"/>
      </w:tblPr>
      <w:tblGrid>
        <w:gridCol w:w="4141"/>
        <w:gridCol w:w="2687"/>
        <w:gridCol w:w="1404"/>
      </w:tblGrid>
      <w:tr>
        <w:trPr>
          <w:trHeight w:val="358" w:hRule="exact"/>
        </w:trPr>
        <w:tc>
          <w:tcPr>
            <w:tcW w:w="4141" w:type="dxa"/>
            <w:tcBorders>
              <w:top w:val="nil" w:sz="6" w:space="0" w:color="auto"/>
              <w:left w:val="nil" w:sz="6" w:space="0" w:color="auto"/>
              <w:bottom w:val="nil" w:sz="6" w:space="0" w:color="auto"/>
              <w:right w:val="nil" w:sz="6" w:space="0" w:color="auto"/>
            </w:tcBorders>
          </w:tcPr>
          <w:p>
            <w:pPr/>
          </w:p>
        </w:tc>
        <w:tc>
          <w:tcPr>
            <w:tcW w:w="2687" w:type="dxa"/>
            <w:tcBorders>
              <w:top w:val="nil" w:sz="6" w:space="0" w:color="auto"/>
              <w:left w:val="nil" w:sz="6" w:space="0" w:color="auto"/>
              <w:bottom w:val="nil" w:sz="6" w:space="0" w:color="auto"/>
              <w:right w:val="nil" w:sz="6" w:space="0" w:color="auto"/>
            </w:tcBorders>
          </w:tcPr>
          <w:p>
            <w:pPr>
              <w:pStyle w:val="TableParagraph"/>
              <w:spacing w:line="211" w:lineRule="exact"/>
              <w:ind w:right="517"/>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04"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58" w:hRule="exact"/>
        </w:trPr>
        <w:tc>
          <w:tcPr>
            <w:tcW w:w="414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宋体" w:hAnsi="宋体" w:cs="宋体" w:eastAsia="宋体" w:hint="default"/>
                <w:sz w:val="21"/>
                <w:szCs w:val="21"/>
              </w:rPr>
              <w:t>以股份支付换取的职工服务总额</w:t>
            </w:r>
          </w:p>
        </w:tc>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32"/>
              <w:jc w:val="right"/>
              <w:rPr>
                <w:rFonts w:ascii="宋体" w:hAnsi="宋体" w:cs="宋体" w:eastAsia="宋体" w:hint="default"/>
                <w:sz w:val="21"/>
                <w:szCs w:val="21"/>
              </w:rPr>
            </w:pPr>
            <w:r>
              <w:rPr>
                <w:rFonts w:ascii="宋体"/>
                <w:w w:val="100"/>
                <w:sz w:val="21"/>
              </w:rPr>
            </w:r>
            <w:r>
              <w:rPr>
                <w:rFonts w:ascii="宋体"/>
                <w:spacing w:val="-1"/>
                <w:sz w:val="21"/>
                <w:u w:val="single" w:color="000000"/>
              </w:rPr>
              <w:t>126,984,663</w:t>
            </w:r>
            <w:r>
              <w:rPr>
                <w:rFonts w:ascii="宋体"/>
                <w:spacing w:val="-1"/>
                <w:sz w:val="21"/>
              </w:rPr>
            </w:r>
          </w:p>
        </w:tc>
        <w:tc>
          <w:tcPr>
            <w:tcW w:w="1404" w:type="dxa"/>
            <w:tcBorders>
              <w:top w:val="nil" w:sz="6" w:space="0" w:color="auto"/>
              <w:left w:val="nil" w:sz="6" w:space="0" w:color="auto"/>
              <w:bottom w:val="nil" w:sz="6" w:space="0" w:color="auto"/>
              <w:right w:val="nil" w:sz="6" w:space="0" w:color="auto"/>
            </w:tcBorders>
          </w:tcPr>
          <w:p>
            <w:pPr>
              <w:pStyle w:val="TableParagraph"/>
              <w:tabs>
                <w:tab w:pos="947" w:val="left" w:leader="none"/>
              </w:tabs>
              <w:spacing w:line="240" w:lineRule="auto" w:before="82"/>
              <w:ind w:right="214"/>
              <w:jc w:val="righ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ab/>
              <w:t>-</w:t>
            </w:r>
            <w:r>
              <w:rPr>
                <w:rFonts w:ascii="宋体"/>
                <w:sz w:val="21"/>
              </w:rPr>
            </w:r>
          </w:p>
        </w:tc>
      </w:tr>
    </w:tbl>
    <w:p>
      <w:pPr>
        <w:spacing w:line="240" w:lineRule="auto" w:before="7"/>
        <w:rPr>
          <w:rFonts w:ascii="宋体" w:hAnsi="宋体" w:cs="宋体" w:eastAsia="宋体" w:hint="default"/>
          <w:b/>
          <w:bCs/>
          <w:sz w:val="16"/>
          <w:szCs w:val="16"/>
        </w:rPr>
      </w:pPr>
    </w:p>
    <w:p>
      <w:pPr>
        <w:pStyle w:val="BodyText"/>
        <w:spacing w:line="240" w:lineRule="auto" w:before="36"/>
        <w:ind w:right="0"/>
        <w:jc w:val="left"/>
      </w:pPr>
      <w:r>
        <w:rPr/>
        <w:t>其中，以权益结算的股份支付如下：</w:t>
      </w:r>
    </w:p>
    <w:p>
      <w:pPr>
        <w:spacing w:line="240" w:lineRule="auto" w:before="11"/>
        <w:rPr>
          <w:rFonts w:ascii="宋体" w:hAnsi="宋体" w:cs="宋体" w:eastAsia="宋体" w:hint="default"/>
          <w:sz w:val="26"/>
          <w:szCs w:val="26"/>
        </w:rPr>
      </w:pPr>
    </w:p>
    <w:tbl>
      <w:tblPr>
        <w:tblW w:w="0" w:type="auto"/>
        <w:jc w:val="left"/>
        <w:tblInd w:w="6063" w:type="dxa"/>
        <w:tblLayout w:type="fixed"/>
        <w:tblCellMar>
          <w:top w:w="0" w:type="dxa"/>
          <w:left w:w="0" w:type="dxa"/>
          <w:bottom w:w="0" w:type="dxa"/>
          <w:right w:w="0" w:type="dxa"/>
        </w:tblCellMar>
        <w:tblLook w:val="01E0"/>
      </w:tblPr>
      <w:tblGrid>
        <w:gridCol w:w="1404"/>
        <w:gridCol w:w="1404"/>
      </w:tblGrid>
      <w:tr>
        <w:trPr>
          <w:trHeight w:val="211" w:hRule="exact"/>
        </w:trPr>
        <w:tc>
          <w:tcPr>
            <w:tcW w:w="1404"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04" w:type="dxa"/>
            <w:tcBorders>
              <w:top w:val="nil" w:sz="6" w:space="0" w:color="auto"/>
              <w:left w:val="nil" w:sz="6" w:space="0" w:color="auto"/>
              <w:bottom w:val="nil" w:sz="6" w:space="0" w:color="auto"/>
              <w:right w:val="nil" w:sz="6" w:space="0" w:color="auto"/>
            </w:tcBorders>
          </w:tcPr>
          <w:p>
            <w:pPr>
              <w:pStyle w:val="TableParagraph"/>
              <w:spacing w:line="211" w:lineRule="exact"/>
              <w:ind w:left="519"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after="0" w:line="211" w:lineRule="exact"/>
        <w:jc w:val="left"/>
        <w:rPr>
          <w:rFonts w:ascii="宋体" w:hAnsi="宋体" w:cs="宋体" w:eastAsia="宋体" w:hint="default"/>
          <w:sz w:val="21"/>
          <w:szCs w:val="21"/>
        </w:rPr>
        <w:sectPr>
          <w:headerReference w:type="default" r:id="rId85"/>
          <w:footerReference w:type="default" r:id="rId86"/>
          <w:pgSz w:w="11910" w:h="16840"/>
          <w:pgMar w:header="0" w:footer="1335" w:top="1020" w:bottom="1520" w:left="1660" w:right="680"/>
          <w:pgNumType w:start="113"/>
        </w:sectPr>
      </w:pPr>
    </w:p>
    <w:p>
      <w:pPr>
        <w:spacing w:line="240" w:lineRule="auto" w:before="1"/>
        <w:rPr>
          <w:rFonts w:ascii="宋体" w:hAnsi="宋体" w:cs="宋体" w:eastAsia="宋体" w:hint="default"/>
          <w:sz w:val="6"/>
          <w:szCs w:val="6"/>
        </w:rPr>
      </w:pPr>
    </w:p>
    <w:tbl>
      <w:tblPr>
        <w:tblW w:w="0" w:type="auto"/>
        <w:jc w:val="left"/>
        <w:tblInd w:w="662" w:type="dxa"/>
        <w:tblLayout w:type="fixed"/>
        <w:tblCellMar>
          <w:top w:w="0" w:type="dxa"/>
          <w:left w:w="0" w:type="dxa"/>
          <w:bottom w:w="0" w:type="dxa"/>
          <w:right w:w="0" w:type="dxa"/>
        </w:tblCellMar>
        <w:tblLook w:val="01E0"/>
      </w:tblPr>
      <w:tblGrid>
        <w:gridCol w:w="4760"/>
        <w:gridCol w:w="2319"/>
        <w:gridCol w:w="1259"/>
      </w:tblGrid>
      <w:tr>
        <w:trPr>
          <w:trHeight w:val="852" w:hRule="exact"/>
        </w:trPr>
        <w:tc>
          <w:tcPr>
            <w:tcW w:w="47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20" w:lineRule="exact" w:before="143"/>
              <w:ind w:left="406" w:right="352" w:hanging="207"/>
              <w:jc w:val="left"/>
              <w:rPr>
                <w:rFonts w:ascii="宋体" w:hAnsi="宋体" w:cs="宋体" w:eastAsia="宋体" w:hint="default"/>
                <w:sz w:val="21"/>
                <w:szCs w:val="21"/>
              </w:rPr>
            </w:pPr>
            <w:r>
              <w:rPr>
                <w:rFonts w:ascii="宋体" w:hAnsi="宋体" w:cs="宋体" w:eastAsia="宋体" w:hint="default"/>
                <w:spacing w:val="-2"/>
                <w:sz w:val="21"/>
                <w:szCs w:val="21"/>
              </w:rPr>
              <w:t>以权益结算的股份支付计入资本公积的累积金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额</w:t>
            </w: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54" w:right="0"/>
              <w:jc w:val="left"/>
              <w:rPr>
                <w:rFonts w:ascii="宋体" w:hAnsi="宋体" w:cs="宋体" w:eastAsia="宋体" w:hint="default"/>
                <w:sz w:val="21"/>
                <w:szCs w:val="21"/>
              </w:rPr>
            </w:pPr>
            <w:r>
              <w:rPr>
                <w:rFonts w:ascii="宋体"/>
                <w:sz w:val="21"/>
              </w:rPr>
              <w:t>126,984,663</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43"/>
              <w:jc w:val="right"/>
              <w:rPr>
                <w:rFonts w:ascii="宋体" w:hAnsi="宋体" w:cs="宋体" w:eastAsia="宋体" w:hint="default"/>
                <w:sz w:val="21"/>
                <w:szCs w:val="21"/>
              </w:rPr>
            </w:pPr>
            <w:r>
              <w:rPr>
                <w:rFonts w:ascii="宋体"/>
                <w:w w:val="100"/>
                <w:sz w:val="21"/>
              </w:rPr>
              <w:t>-</w:t>
            </w:r>
          </w:p>
        </w:tc>
      </w:tr>
      <w:tr>
        <w:trPr>
          <w:trHeight w:val="232" w:hRule="exact"/>
        </w:trPr>
        <w:tc>
          <w:tcPr>
            <w:tcW w:w="4760" w:type="dxa"/>
            <w:tcBorders>
              <w:top w:val="nil" w:sz="6" w:space="0" w:color="auto"/>
              <w:left w:val="nil" w:sz="6" w:space="0" w:color="auto"/>
              <w:bottom w:val="nil" w:sz="6" w:space="0" w:color="auto"/>
              <w:right w:val="nil" w:sz="6" w:space="0" w:color="auto"/>
            </w:tcBorders>
          </w:tcPr>
          <w:p>
            <w:pPr>
              <w:pStyle w:val="TableParagraph"/>
              <w:spacing w:line="231" w:lineRule="exact"/>
              <w:ind w:left="202" w:right="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p>
        </w:tc>
        <w:tc>
          <w:tcPr>
            <w:tcW w:w="2319" w:type="dxa"/>
            <w:tcBorders>
              <w:top w:val="nil" w:sz="6" w:space="0" w:color="auto"/>
              <w:left w:val="nil" w:sz="6" w:space="0" w:color="auto"/>
              <w:bottom w:val="nil" w:sz="6" w:space="0" w:color="auto"/>
              <w:right w:val="nil" w:sz="6" w:space="0" w:color="auto"/>
            </w:tcBorders>
          </w:tcPr>
          <w:p>
            <w:pPr>
              <w:pStyle w:val="TableParagraph"/>
              <w:spacing w:line="231" w:lineRule="exact"/>
              <w:ind w:left="354" w:right="0"/>
              <w:jc w:val="left"/>
              <w:rPr>
                <w:rFonts w:ascii="宋体" w:hAnsi="宋体" w:cs="宋体" w:eastAsia="宋体" w:hint="default"/>
                <w:sz w:val="21"/>
                <w:szCs w:val="21"/>
              </w:rPr>
            </w:pPr>
            <w:r>
              <w:rPr>
                <w:rFonts w:ascii="宋体"/>
                <w:sz w:val="21"/>
              </w:rPr>
              <w:t>119,407,759</w:t>
            </w:r>
          </w:p>
        </w:tc>
        <w:tc>
          <w:tcPr>
            <w:tcW w:w="1259" w:type="dxa"/>
            <w:tcBorders>
              <w:top w:val="nil" w:sz="6" w:space="0" w:color="auto"/>
              <w:left w:val="nil" w:sz="6" w:space="0" w:color="auto"/>
              <w:bottom w:val="nil" w:sz="6" w:space="0" w:color="auto"/>
              <w:right w:val="nil" w:sz="6" w:space="0" w:color="auto"/>
            </w:tcBorders>
          </w:tcPr>
          <w:p>
            <w:pPr>
              <w:pStyle w:val="TableParagraph"/>
              <w:spacing w:line="231" w:lineRule="exact"/>
              <w:ind w:right="343"/>
              <w:jc w:val="right"/>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6"/>
          <w:szCs w:val="16"/>
        </w:rPr>
      </w:pPr>
    </w:p>
    <w:p>
      <w:pPr>
        <w:pStyle w:val="BodyText"/>
        <w:spacing w:line="297" w:lineRule="auto" w:before="36"/>
        <w:ind w:left="824" w:right="219" w:firstLine="26"/>
        <w:jc w:val="both"/>
      </w:pPr>
      <w:r>
        <w:rPr/>
        <w:pict>
          <v:group style="position:absolute;margin-left:88.463997pt;margin-top:-64.916306pt;width:444.55pt;height:.1pt;mso-position-horizontal-relative:page;mso-position-vertical-relative:paragraph;z-index:-1072576" coordorigin="1769,-1298" coordsize="8891,2">
            <v:shape style="position:absolute;left:1769;top:-1298;width:8891;height:2" coordorigin="1769,-1298" coordsize="8891,0" path="m1769,-1298l10660,-1298e" filled="false" stroked="true" strokeweight=".72pt" strokecolor="#000000">
              <v:path arrowok="t"/>
            </v:shape>
            <w10:wrap type="none"/>
          </v:group>
        </w:pict>
      </w:r>
      <w:r>
        <w:rPr>
          <w:spacing w:val="-3"/>
        </w:rPr>
        <w:t>畅捷通建立了员工信托受益权计划，旨在激励及奖励对畅捷通成功营运有贡献的合资格员</w:t>
      </w:r>
      <w:r>
        <w:rPr>
          <w:spacing w:val="-63"/>
        </w:rPr>
        <w:t> </w:t>
      </w:r>
      <w:r>
        <w:rPr>
          <w:spacing w:val="-63"/>
        </w:rPr>
      </w:r>
      <w:r>
        <w:rPr>
          <w:spacing w:val="-2"/>
        </w:rPr>
        <w:t>工。本次畅捷通股份支付计划</w:t>
      </w:r>
      <w:r>
        <w:rPr>
          <w:rFonts w:ascii="宋体" w:hAnsi="宋体" w:cs="宋体" w:eastAsia="宋体" w:hint="default"/>
          <w:spacing w:val="-2"/>
        </w:rPr>
        <w:t>(</w:t>
      </w:r>
      <w:r>
        <w:rPr>
          <w:spacing w:val="-2"/>
        </w:rPr>
        <w:t>以下简称“信托收益权计划”</w:t>
      </w:r>
      <w:r>
        <w:rPr>
          <w:rFonts w:ascii="宋体" w:hAnsi="宋体" w:cs="宋体" w:eastAsia="宋体" w:hint="default"/>
          <w:spacing w:val="-2"/>
        </w:rPr>
        <w:t>)</w:t>
      </w:r>
      <w:r>
        <w:rPr>
          <w:spacing w:val="-2"/>
        </w:rPr>
        <w:t>的激励对象为对实现畅捷通</w:t>
      </w:r>
      <w:r>
        <w:rPr>
          <w:spacing w:val="-48"/>
        </w:rPr>
        <w:t> </w:t>
      </w:r>
      <w:r>
        <w:rPr>
          <w:spacing w:val="-48"/>
        </w:rPr>
      </w:r>
      <w:r>
        <w:rPr>
          <w:spacing w:val="-2"/>
        </w:rPr>
        <w:t>战略目标至关重要的畅捷通及畅捷通附属公司员工，包括中高层管理人员、专家和核心骨</w:t>
      </w:r>
      <w:r>
        <w:rPr>
          <w:spacing w:val="-50"/>
        </w:rPr>
        <w:t> </w:t>
      </w:r>
      <w:r>
        <w:rPr>
          <w:spacing w:val="-50"/>
        </w:rPr>
      </w:r>
      <w:r>
        <w:rPr>
          <w:spacing w:val="-2"/>
        </w:rPr>
        <w:t>干。信托收益权计划自</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8</w:t>
      </w:r>
      <w:r>
        <w:rPr>
          <w:spacing w:val="-2"/>
        </w:rPr>
        <w:t>日生效，而除非有其他原因导致取消或修改，否则将在</w:t>
      </w:r>
      <w:r>
        <w:rPr>
          <w:spacing w:val="-45"/>
        </w:rPr>
        <w:t> </w:t>
      </w:r>
      <w:r>
        <w:rPr>
          <w:spacing w:val="-45"/>
        </w:rPr>
      </w:r>
      <w:r>
        <w:rPr/>
        <w:t>该日期起六年内有效。</w:t>
      </w:r>
    </w:p>
    <w:p>
      <w:pPr>
        <w:spacing w:line="240" w:lineRule="auto" w:before="1"/>
        <w:rPr>
          <w:rFonts w:ascii="宋体" w:hAnsi="宋体" w:cs="宋体" w:eastAsia="宋体" w:hint="default"/>
          <w:sz w:val="27"/>
          <w:szCs w:val="27"/>
        </w:rPr>
      </w:pPr>
    </w:p>
    <w:p>
      <w:pPr>
        <w:pStyle w:val="BodyText"/>
        <w:spacing w:line="297" w:lineRule="auto"/>
        <w:ind w:left="824" w:right="227" w:firstLine="26"/>
        <w:jc w:val="both"/>
      </w:pPr>
      <w:r>
        <w:rPr>
          <w:spacing w:val="2"/>
        </w:rPr>
        <w:t>畅捷通委托及透过畅捷通之子公司畅捷通美国委托三家合资格且相互独立的代理机构作</w:t>
      </w:r>
      <w:r>
        <w:rPr>
          <w:spacing w:val="-80"/>
        </w:rPr>
        <w:t> </w:t>
      </w:r>
      <w:r>
        <w:rPr>
          <w:spacing w:val="-80"/>
        </w:rPr>
      </w:r>
      <w:r>
        <w:rPr>
          <w:spacing w:val="-4"/>
        </w:rPr>
        <w:t>为本计划的信托机构设立三项信托，一家信托是为畅捷通关连人士的激励对象设立仅持有</w:t>
      </w:r>
      <w:r>
        <w:rPr>
          <w:spacing w:val="-26"/>
        </w:rPr>
        <w:t> </w:t>
      </w:r>
      <w:r>
        <w:rPr>
          <w:spacing w:val="-26"/>
        </w:rPr>
      </w:r>
      <w:r>
        <w:rPr>
          <w:spacing w:val="-4"/>
        </w:rPr>
        <w:t>内资股的关连信托，其余两家信托是为畅捷通非关连人士的激励对象设立持有内资股及／</w:t>
      </w:r>
      <w:r>
        <w:rPr>
          <w:spacing w:val="-25"/>
        </w:rPr>
        <w:t> </w:t>
      </w:r>
      <w:r>
        <w:rPr>
          <w:spacing w:val="-25"/>
        </w:rPr>
      </w:r>
      <w:r>
        <w:rPr/>
        <w:t>或</w:t>
      </w:r>
      <w:r>
        <w:rPr>
          <w:rFonts w:ascii="宋体" w:hAnsi="宋体" w:cs="宋体" w:eastAsia="宋体" w:hint="default"/>
        </w:rPr>
        <w:t>H</w:t>
      </w:r>
      <w:r>
        <w:rPr/>
        <w:t>股的非关连信托</w:t>
      </w:r>
      <w:r>
        <w:rPr>
          <w:rFonts w:ascii="宋体" w:hAnsi="宋体" w:cs="宋体" w:eastAsia="宋体" w:hint="default"/>
        </w:rPr>
        <w:t>(</w:t>
      </w:r>
      <w:r>
        <w:rPr/>
        <w:t>其中一家信托为境内激励对象设立，另一家为境外激励对象设立</w:t>
      </w:r>
      <w:r>
        <w:rPr>
          <w:rFonts w:ascii="宋体" w:hAnsi="宋体" w:cs="宋体" w:eastAsia="宋体" w:hint="default"/>
        </w:rPr>
        <w:t>)</w:t>
      </w:r>
      <w:r>
        <w:rPr/>
        <w:t>。</w:t>
      </w:r>
      <w:r>
        <w:rPr>
          <w:w w:val="100"/>
        </w:rPr>
        <w:t> </w:t>
      </w:r>
      <w:r>
        <w:rPr>
          <w:spacing w:val="2"/>
        </w:rPr>
        <w:t>畅捷通及透过畅捷通美国向信托机构支付以设立关连信托及非关连信托的激励计划资金</w:t>
      </w:r>
      <w:r>
        <w:rPr>
          <w:spacing w:val="-34"/>
        </w:rPr>
        <w:t> </w:t>
      </w:r>
      <w:r>
        <w:rPr>
          <w:spacing w:val="-34"/>
        </w:rPr>
      </w:r>
      <w:r>
        <w:rPr/>
        <w:t>来自于畅捷通的自有资金及畅捷通</w:t>
      </w:r>
      <w:r>
        <w:rPr>
          <w:rFonts w:ascii="宋体" w:hAnsi="宋体" w:cs="宋体" w:eastAsia="宋体" w:hint="default"/>
        </w:rPr>
        <w:t>H</w:t>
      </w:r>
      <w:r>
        <w:rPr/>
        <w:t>股首次公开发行募集资金。</w:t>
      </w:r>
    </w:p>
    <w:p>
      <w:pPr>
        <w:spacing w:line="240" w:lineRule="auto" w:before="1"/>
        <w:rPr>
          <w:rFonts w:ascii="宋体" w:hAnsi="宋体" w:cs="宋体" w:eastAsia="宋体" w:hint="default"/>
          <w:sz w:val="27"/>
          <w:szCs w:val="27"/>
        </w:rPr>
      </w:pPr>
    </w:p>
    <w:p>
      <w:pPr>
        <w:pStyle w:val="BodyText"/>
        <w:spacing w:line="297" w:lineRule="auto"/>
        <w:ind w:left="824" w:right="115"/>
        <w:jc w:val="both"/>
      </w:pPr>
      <w:r>
        <w:rPr>
          <w:spacing w:val="2"/>
        </w:rPr>
        <w:t>信托机构根据信托收益权计划拟购入的畅捷通股票总数为信托收益权计划于二零一四年</w:t>
      </w:r>
      <w:r>
        <w:rPr>
          <w:spacing w:val="-8"/>
        </w:rPr>
        <w:t> </w:t>
      </w:r>
      <w:r>
        <w:rPr>
          <w:spacing w:val="-8"/>
        </w:rPr>
      </w:r>
      <w:r>
        <w:rPr/>
        <w:t>度畅捷通的股东周年大会获批准之日畅捷通已发行股本总额的</w:t>
      </w:r>
      <w:r>
        <w:rPr>
          <w:rFonts w:ascii="宋体" w:hAnsi="宋体" w:cs="宋体" w:eastAsia="宋体" w:hint="default"/>
        </w:rPr>
        <w:t>10%</w:t>
      </w:r>
      <w:r>
        <w:rPr/>
        <w:t>，即</w:t>
      </w:r>
      <w:r>
        <w:rPr>
          <w:rFonts w:ascii="宋体" w:hAnsi="宋体" w:cs="宋体" w:eastAsia="宋体" w:hint="default"/>
        </w:rPr>
        <w:t>217,181,666</w:t>
      </w:r>
      <w:r>
        <w:rPr/>
        <w:t>股股份</w:t>
      </w:r>
      <w:r>
        <w:rPr>
          <w:w w:val="100"/>
        </w:rPr>
        <w:t> </w:t>
      </w:r>
      <w:r>
        <w:rPr/>
        <w:t>中的</w:t>
      </w:r>
      <w:r>
        <w:rPr>
          <w:rFonts w:ascii="宋体" w:hAnsi="宋体" w:cs="宋体" w:eastAsia="宋体" w:hint="default"/>
        </w:rPr>
        <w:t>21,718,166</w:t>
      </w:r>
      <w:r>
        <w:rPr/>
        <w:t>股股份。附生效条件的信托受益权份额将通过首次授予、后续授予及再次</w:t>
      </w:r>
      <w:r>
        <w:rPr>
          <w:w w:val="100"/>
        </w:rPr>
        <w:t> </w:t>
      </w:r>
      <w:r>
        <w:rPr/>
        <w:t>授予授予给激励对象。首次授予及后续授予需于</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日前完成，再次授予需于本</w:t>
      </w:r>
      <w:r>
        <w:rPr>
          <w:w w:val="100"/>
        </w:rPr>
        <w:t> </w:t>
      </w:r>
      <w:r>
        <w:rPr/>
        <w:t>计划于畅捷通股东周年大会获批准之日起两年内完成。</w:t>
      </w:r>
    </w:p>
    <w:p>
      <w:pPr>
        <w:spacing w:line="240" w:lineRule="auto" w:before="1"/>
        <w:rPr>
          <w:rFonts w:ascii="宋体" w:hAnsi="宋体" w:cs="宋体" w:eastAsia="宋体" w:hint="default"/>
          <w:sz w:val="27"/>
          <w:szCs w:val="27"/>
        </w:rPr>
      </w:pPr>
    </w:p>
    <w:p>
      <w:pPr>
        <w:pStyle w:val="BodyText"/>
        <w:spacing w:line="297" w:lineRule="auto"/>
        <w:ind w:left="824" w:right="0"/>
        <w:jc w:val="left"/>
      </w:pPr>
      <w:r>
        <w:rPr>
          <w:spacing w:val="-5"/>
        </w:rPr>
        <w:t>在信托收益权计划有效期内，若畅捷通发生资本公积转增股份、派送股票红利、股票拆细、</w:t>
      </w:r>
      <w:r>
        <w:rPr>
          <w:spacing w:val="-31"/>
        </w:rPr>
        <w:t> </w:t>
      </w:r>
      <w:r>
        <w:rPr>
          <w:spacing w:val="-31"/>
        </w:rPr>
      </w:r>
      <w:r>
        <w:rPr/>
        <w:t>缩股等事项，应按照计划规则的调整机制对涉及的目标股票总数进行相应的调整。若发生</w:t>
      </w:r>
      <w:r>
        <w:rPr>
          <w:w w:val="100"/>
        </w:rPr>
        <w:t> </w:t>
      </w:r>
      <w:r>
        <w:rPr/>
        <w:t>供股，则由股东大会授权董事会审议决定畅捷通是否采取任何行动将目标股票总数调整为</w:t>
      </w:r>
      <w:r>
        <w:rPr>
          <w:w w:val="100"/>
        </w:rPr>
        <w:t> </w:t>
      </w:r>
      <w:r>
        <w:rPr/>
        <w:t>经扩大后畅捷通股本总额的</w:t>
      </w:r>
      <w:r>
        <w:rPr>
          <w:rFonts w:ascii="宋体" w:hAnsi="宋体" w:cs="宋体" w:eastAsia="宋体" w:hint="default"/>
        </w:rPr>
        <w:t>10%</w:t>
      </w:r>
      <w:r>
        <w:rPr/>
        <w:t>，以使本计划下目标股票总数占畅捷通股本总额的比例保</w:t>
      </w:r>
      <w:r>
        <w:rPr>
          <w:spacing w:val="-13"/>
        </w:rPr>
        <w:t> </w:t>
      </w:r>
      <w:r>
        <w:rPr>
          <w:spacing w:val="-13"/>
        </w:rPr>
      </w:r>
      <w:r>
        <w:rPr/>
        <w:t>持不变。</w:t>
      </w:r>
    </w:p>
    <w:p>
      <w:pPr>
        <w:spacing w:line="240" w:lineRule="auto" w:before="1"/>
        <w:rPr>
          <w:rFonts w:ascii="宋体" w:hAnsi="宋体" w:cs="宋体" w:eastAsia="宋体" w:hint="default"/>
          <w:sz w:val="27"/>
          <w:szCs w:val="27"/>
        </w:rPr>
      </w:pPr>
    </w:p>
    <w:p>
      <w:pPr>
        <w:pStyle w:val="BodyText"/>
        <w:spacing w:line="297" w:lineRule="auto"/>
        <w:ind w:left="824" w:right="0"/>
        <w:jc w:val="left"/>
      </w:pPr>
      <w:r>
        <w:rPr>
          <w:spacing w:val="-5"/>
        </w:rPr>
        <w:t>每次授予均设三个解锁日，依次为该次授予日后的第一个、第二个和第三个周年届满之日。</w:t>
      </w:r>
      <w:r>
        <w:rPr>
          <w:spacing w:val="-31"/>
        </w:rPr>
        <w:t> </w:t>
      </w:r>
      <w:r>
        <w:rPr>
          <w:spacing w:val="-31"/>
        </w:rPr>
      </w:r>
      <w:r>
        <w:rPr/>
        <w:t>如解锁条件成就及于前述解锁日届满时，激励对象个人获授信托受益权份额的</w:t>
      </w:r>
      <w:r>
        <w:rPr>
          <w:rFonts w:ascii="宋体" w:hAnsi="宋体" w:cs="宋体" w:eastAsia="宋体" w:hint="default"/>
        </w:rPr>
        <w:t>30%</w:t>
      </w:r>
      <w:r>
        <w:rPr/>
        <w:t>、</w:t>
      </w:r>
      <w:r>
        <w:rPr>
          <w:rFonts w:ascii="宋体" w:hAnsi="宋体" w:cs="宋体" w:eastAsia="宋体" w:hint="default"/>
        </w:rPr>
        <w:t>30%</w:t>
      </w:r>
      <w:r>
        <w:rPr/>
        <w:t>和</w:t>
      </w:r>
      <w:r>
        <w:rPr>
          <w:w w:val="100"/>
        </w:rPr>
        <w:t> </w:t>
      </w:r>
      <w:r>
        <w:rPr>
          <w:rFonts w:ascii="宋体" w:hAnsi="宋体" w:cs="宋体" w:eastAsia="宋体" w:hint="default"/>
        </w:rPr>
        <w:t>40%</w:t>
      </w:r>
      <w:r>
        <w:rPr/>
        <w:t>须分别予以解锁。授予日至上述各个解锁日的期间为锁定期，期间不得处置信托受益</w:t>
      </w:r>
      <w:r>
        <w:rPr>
          <w:spacing w:val="-19"/>
        </w:rPr>
        <w:t> </w:t>
      </w:r>
      <w:r>
        <w:rPr>
          <w:spacing w:val="-19"/>
        </w:rPr>
      </w:r>
      <w:r>
        <w:rPr/>
        <w:t>权份额。</w:t>
      </w:r>
    </w:p>
    <w:p>
      <w:pPr>
        <w:spacing w:line="240" w:lineRule="auto" w:before="3"/>
        <w:rPr>
          <w:rFonts w:ascii="宋体" w:hAnsi="宋体" w:cs="宋体" w:eastAsia="宋体" w:hint="default"/>
          <w:sz w:val="27"/>
          <w:szCs w:val="27"/>
        </w:rPr>
      </w:pPr>
    </w:p>
    <w:p>
      <w:pPr>
        <w:pStyle w:val="BodyText"/>
        <w:spacing w:line="297" w:lineRule="auto"/>
        <w:ind w:left="824" w:right="219"/>
        <w:jc w:val="both"/>
      </w:pPr>
      <w:r>
        <w:rPr>
          <w:spacing w:val="-2"/>
        </w:rPr>
        <w:t>激励对象</w:t>
      </w:r>
      <w:r>
        <w:rPr>
          <w:rFonts w:ascii="宋体" w:hAnsi="宋体" w:cs="宋体" w:eastAsia="宋体" w:hint="default"/>
          <w:spacing w:val="-2"/>
        </w:rPr>
        <w:t>(</w:t>
      </w:r>
      <w:r>
        <w:rPr>
          <w:spacing w:val="-2"/>
        </w:rPr>
        <w:t>除畅捷通董事、监事及畅捷通高级管理人员外</w:t>
      </w:r>
      <w:r>
        <w:rPr>
          <w:rFonts w:ascii="宋体" w:hAnsi="宋体" w:cs="宋体" w:eastAsia="宋体" w:hint="default"/>
          <w:spacing w:val="-2"/>
        </w:rPr>
        <w:t>)</w:t>
      </w:r>
      <w:r>
        <w:rPr>
          <w:spacing w:val="-2"/>
        </w:rPr>
        <w:t>的行权有效期为解锁日后的一年</w:t>
      </w:r>
      <w:r>
        <w:rPr>
          <w:spacing w:val="-47"/>
        </w:rPr>
        <w:t> </w:t>
      </w:r>
      <w:r>
        <w:rPr>
          <w:spacing w:val="-47"/>
        </w:rPr>
      </w:r>
      <w:r>
        <w:rPr>
          <w:spacing w:val="-2"/>
        </w:rPr>
        <w:t>内，期间激励对象有权就其信托受益权份额申请行权。属畅捷通董事、监事及畅捷通高级</w:t>
      </w:r>
      <w:r>
        <w:rPr>
          <w:spacing w:val="-49"/>
        </w:rPr>
        <w:t> </w:t>
      </w:r>
      <w:r>
        <w:rPr>
          <w:spacing w:val="-49"/>
        </w:rPr>
      </w:r>
      <w:r>
        <w:rPr>
          <w:spacing w:val="2"/>
        </w:rPr>
        <w:t>管理人员的激励对象可于解锁日至畅捷通与信托机构之信托合同规定的信托清算之日期</w:t>
      </w:r>
      <w:r>
        <w:rPr>
          <w:spacing w:val="-8"/>
        </w:rPr>
        <w:t> </w:t>
      </w:r>
      <w:r>
        <w:rPr>
          <w:spacing w:val="-8"/>
        </w:rPr>
      </w:r>
      <w:r>
        <w:rPr/>
        <w:t>间申请就信托受益权份额行权。</w:t>
      </w:r>
    </w:p>
    <w:p>
      <w:pPr>
        <w:spacing w:line="240" w:lineRule="auto" w:before="3"/>
        <w:rPr>
          <w:rFonts w:ascii="宋体" w:hAnsi="宋体" w:cs="宋体" w:eastAsia="宋体" w:hint="default"/>
          <w:sz w:val="27"/>
          <w:szCs w:val="27"/>
        </w:rPr>
      </w:pPr>
    </w:p>
    <w:p>
      <w:pPr>
        <w:pStyle w:val="BodyText"/>
        <w:spacing w:line="297" w:lineRule="auto"/>
        <w:ind w:left="824" w:right="219"/>
        <w:jc w:val="both"/>
      </w:pPr>
      <w:r>
        <w:rPr/>
        <w:t>于</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16</w:t>
      </w:r>
      <w:r>
        <w:rPr/>
        <w:t>日，畅捷通董事会批准依据本计划无偿向</w:t>
      </w:r>
      <w:r>
        <w:rPr>
          <w:rFonts w:ascii="宋体" w:hAnsi="宋体" w:cs="宋体" w:eastAsia="宋体" w:hint="default"/>
        </w:rPr>
        <w:t>182</w:t>
      </w:r>
      <w:r>
        <w:rPr/>
        <w:t>名激励对象</w:t>
      </w:r>
      <w:r>
        <w:rPr>
          <w:rFonts w:ascii="宋体" w:hAnsi="宋体" w:cs="宋体" w:eastAsia="宋体" w:hint="default"/>
        </w:rPr>
        <w:t>(</w:t>
      </w:r>
      <w:r>
        <w:rPr/>
        <w:t>包括一名畅捷通</w:t>
      </w:r>
      <w:r>
        <w:rPr>
          <w:spacing w:val="-16"/>
        </w:rPr>
        <w:t> </w:t>
      </w:r>
      <w:r>
        <w:rPr>
          <w:spacing w:val="-16"/>
        </w:rPr>
      </w:r>
      <w:r>
        <w:rPr/>
        <w:t>董事、两名畅捷通监事、畅捷通及其附属公司的中高层管理人员、专家及核心骨干</w:t>
      </w:r>
      <w:r>
        <w:rPr>
          <w:rFonts w:ascii="宋体" w:hAnsi="宋体" w:cs="宋体" w:eastAsia="宋体" w:hint="default"/>
        </w:rPr>
        <w:t>)</w:t>
      </w:r>
      <w:r>
        <w:rPr/>
        <w:t>首次</w:t>
      </w:r>
    </w:p>
    <w:p>
      <w:pPr>
        <w:spacing w:after="0" w:line="297" w:lineRule="auto"/>
        <w:jc w:val="both"/>
        <w:sectPr>
          <w:headerReference w:type="default" r:id="rId87"/>
          <w:footerReference w:type="default" r:id="rId88"/>
          <w:pgSz w:w="11910" w:h="16840"/>
          <w:pgMar w:header="0" w:footer="1335" w:top="1020" w:bottom="1520" w:left="1660" w:right="1020"/>
          <w:pgNumType w:start="114"/>
        </w:sectPr>
      </w:pPr>
    </w:p>
    <w:p>
      <w:pPr>
        <w:spacing w:line="240" w:lineRule="auto" w:before="12"/>
        <w:rPr>
          <w:rFonts w:ascii="宋体" w:hAnsi="宋体" w:cs="宋体" w:eastAsia="宋体" w:hint="default"/>
          <w:sz w:val="24"/>
          <w:szCs w:val="24"/>
        </w:rPr>
      </w:pPr>
    </w:p>
    <w:p>
      <w:pPr>
        <w:pStyle w:val="BodyText"/>
        <w:spacing w:line="297" w:lineRule="auto" w:before="36"/>
        <w:ind w:left="824" w:right="119"/>
        <w:jc w:val="both"/>
      </w:pPr>
      <w:r>
        <w:rPr>
          <w:spacing w:val="-2"/>
        </w:rPr>
        <w:t>授予附生效条件的信托受益权份额。首次授予项下目标股票总数为</w:t>
      </w:r>
      <w:r>
        <w:rPr>
          <w:rFonts w:ascii="宋体" w:hAnsi="宋体" w:cs="宋体" w:eastAsia="宋体" w:hint="default"/>
          <w:spacing w:val="-2"/>
        </w:rPr>
        <w:t>17,370,000</w:t>
      </w:r>
      <w:r>
        <w:rPr>
          <w:spacing w:val="-2"/>
        </w:rPr>
        <w:t>股，占</w:t>
      </w:r>
      <w:r>
        <w:rPr>
          <w:rFonts w:ascii="宋体" w:hAnsi="宋体" w:cs="宋体" w:eastAsia="宋体" w:hint="default"/>
          <w:spacing w:val="-2"/>
        </w:rPr>
        <w:t>2015</w:t>
      </w:r>
      <w:r>
        <w:rPr>
          <w:rFonts w:ascii="宋体" w:hAnsi="宋体" w:cs="宋体" w:eastAsia="宋体" w:hint="default"/>
          <w:spacing w:val="-36"/>
        </w:rPr>
        <w:t> </w:t>
      </w:r>
      <w:r>
        <w:rPr>
          <w:rFonts w:ascii="宋体" w:hAnsi="宋体" w:cs="宋体" w:eastAsia="宋体" w:hint="default"/>
          <w:spacing w:val="-36"/>
        </w:rPr>
      </w:r>
      <w:r>
        <w:rPr/>
        <w:t>年</w:t>
      </w:r>
      <w:r>
        <w:rPr>
          <w:rFonts w:ascii="宋体" w:hAnsi="宋体" w:cs="宋体" w:eastAsia="宋体" w:hint="default"/>
        </w:rPr>
        <w:t>6</w:t>
      </w:r>
      <w:r>
        <w:rPr/>
        <w:t>月</w:t>
      </w:r>
      <w:r>
        <w:rPr>
          <w:rFonts w:ascii="宋体" w:hAnsi="宋体" w:cs="宋体" w:eastAsia="宋体" w:hint="default"/>
        </w:rPr>
        <w:t>16</w:t>
      </w:r>
      <w:r>
        <w:rPr/>
        <w:t>日畅捷通已发行股本总额约</w:t>
      </w:r>
      <w:r>
        <w:rPr>
          <w:rFonts w:ascii="宋体" w:hAnsi="宋体" w:cs="宋体" w:eastAsia="宋体" w:hint="default"/>
        </w:rPr>
        <w:t>8%</w:t>
      </w:r>
      <w:r>
        <w:rPr/>
        <w:t>。</w:t>
      </w:r>
    </w:p>
    <w:p>
      <w:pPr>
        <w:spacing w:line="240" w:lineRule="auto" w:before="3"/>
        <w:rPr>
          <w:rFonts w:ascii="宋体" w:hAnsi="宋体" w:cs="宋体" w:eastAsia="宋体" w:hint="default"/>
          <w:sz w:val="27"/>
          <w:szCs w:val="27"/>
        </w:rPr>
      </w:pPr>
    </w:p>
    <w:p>
      <w:pPr>
        <w:pStyle w:val="BodyText"/>
        <w:spacing w:line="297" w:lineRule="auto"/>
        <w:ind w:left="824" w:right="119"/>
        <w:jc w:val="both"/>
      </w:pPr>
      <w:r>
        <w:rPr>
          <w:spacing w:val="-2"/>
        </w:rPr>
        <w:t>除上述首次授予外，畅捷通董事会还授权畅捷通总裁会向畅捷通美国若干激励对象授予附</w:t>
      </w:r>
      <w:r>
        <w:rPr>
          <w:spacing w:val="-48"/>
        </w:rPr>
        <w:t> </w:t>
      </w:r>
      <w:r>
        <w:rPr>
          <w:spacing w:val="-48"/>
        </w:rPr>
      </w:r>
      <w:r>
        <w:rPr>
          <w:spacing w:val="-2"/>
        </w:rPr>
        <w:t>生效条件的信托受益权份额。截至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日止年度，该等授予项下的目标股票数量</w:t>
      </w:r>
      <w:r>
        <w:rPr>
          <w:spacing w:val="-43"/>
        </w:rPr>
        <w:t> </w:t>
      </w:r>
      <w:r>
        <w:rPr>
          <w:spacing w:val="-43"/>
        </w:rPr>
      </w:r>
      <w:r>
        <w:rPr/>
        <w:t>为</w:t>
      </w:r>
      <w:r>
        <w:rPr>
          <w:rFonts w:ascii="宋体" w:hAnsi="宋体" w:cs="宋体" w:eastAsia="宋体" w:hint="default"/>
        </w:rPr>
        <w:t>120,000</w:t>
      </w:r>
      <w:r>
        <w:rPr/>
        <w:t>股。获授的激励对象不涉及畅捷通董事、监事或其各自的配偶或十八岁以下子</w:t>
      </w:r>
      <w:r>
        <w:rPr>
          <w:spacing w:val="-22"/>
        </w:rPr>
        <w:t> </w:t>
      </w:r>
      <w:r>
        <w:rPr>
          <w:spacing w:val="-22"/>
        </w:rPr>
      </w:r>
      <w:r>
        <w:rPr/>
        <w:t>女。畅捷通总计授予目标股票总数为</w:t>
      </w:r>
      <w:r>
        <w:rPr>
          <w:rFonts w:ascii="宋体" w:hAnsi="宋体" w:cs="宋体" w:eastAsia="宋体" w:hint="default"/>
        </w:rPr>
        <w:t>17,490,000</w:t>
      </w:r>
      <w:r>
        <w:rPr/>
        <w:t>股。</w:t>
      </w:r>
    </w:p>
    <w:p>
      <w:pPr>
        <w:spacing w:line="240" w:lineRule="auto" w:before="3"/>
        <w:rPr>
          <w:rFonts w:ascii="宋体" w:hAnsi="宋体" w:cs="宋体" w:eastAsia="宋体" w:hint="default"/>
          <w:sz w:val="27"/>
          <w:szCs w:val="27"/>
        </w:rPr>
      </w:pPr>
    </w:p>
    <w:p>
      <w:pPr>
        <w:pStyle w:val="BodyText"/>
        <w:spacing w:line="297" w:lineRule="auto"/>
        <w:ind w:left="824" w:right="119"/>
        <w:jc w:val="both"/>
      </w:pPr>
      <w:r>
        <w:rPr>
          <w:spacing w:val="-2"/>
        </w:rPr>
        <w:t>信托机构从内资股股东或于公开市场购买</w:t>
      </w:r>
      <w:r>
        <w:rPr>
          <w:rFonts w:ascii="宋体" w:hAnsi="宋体" w:cs="宋体" w:eastAsia="宋体" w:hint="default"/>
          <w:spacing w:val="-2"/>
        </w:rPr>
        <w:t>17,490,000</w:t>
      </w:r>
      <w:r>
        <w:rPr>
          <w:spacing w:val="-2"/>
        </w:rPr>
        <w:t>股目标股票，以信托形式代相关激励</w:t>
      </w:r>
      <w:r>
        <w:rPr>
          <w:spacing w:val="-38"/>
        </w:rPr>
        <w:t> </w:t>
      </w:r>
      <w:r>
        <w:rPr>
          <w:spacing w:val="-38"/>
        </w:rPr>
      </w:r>
      <w:r>
        <w:rPr>
          <w:spacing w:val="-2"/>
        </w:rPr>
        <w:t>对象持有，直至该等股份根据本计划之条文归属于激励对象为止。已授出及由受托人持有</w:t>
      </w:r>
      <w:r>
        <w:rPr>
          <w:spacing w:val="-49"/>
        </w:rPr>
        <w:t> </w:t>
      </w:r>
      <w:r>
        <w:rPr>
          <w:spacing w:val="-49"/>
        </w:rPr>
      </w:r>
      <w:r>
        <w:rPr/>
        <w:t>直至归属之畅捷通股份称为库存股份，而各库存股份应指畅捷通普通股。</w:t>
      </w:r>
    </w:p>
    <w:p>
      <w:pPr>
        <w:spacing w:line="240" w:lineRule="auto" w:before="13"/>
        <w:rPr>
          <w:rFonts w:ascii="宋体" w:hAnsi="宋体" w:cs="宋体" w:eastAsia="宋体" w:hint="default"/>
          <w:sz w:val="20"/>
          <w:szCs w:val="20"/>
        </w:rPr>
      </w:pPr>
    </w:p>
    <w:p>
      <w:pPr>
        <w:pStyle w:val="BodyText"/>
        <w:spacing w:line="297" w:lineRule="auto"/>
        <w:ind w:left="824" w:right="119" w:firstLine="26"/>
        <w:jc w:val="left"/>
      </w:pPr>
      <w:r>
        <w:rPr/>
        <w:t>激励对象享有目标股票的分红收益。</w:t>
      </w:r>
      <w:r>
        <w:rPr>
          <w:w w:val="100"/>
        </w:rPr>
        <w:t> </w:t>
      </w:r>
      <w:r>
        <w:rPr>
          <w:spacing w:val="-3"/>
        </w:rPr>
        <w:t>于首次授予日，已授信托受益权份额的公允价值以布莱克</w:t>
      </w:r>
      <w:r>
        <w:rPr>
          <w:rFonts w:ascii="宋体" w:hAnsi="宋体" w:cs="宋体" w:eastAsia="宋体" w:hint="default"/>
          <w:spacing w:val="-3"/>
        </w:rPr>
        <w:t>-</w:t>
      </w:r>
      <w:r>
        <w:rPr>
          <w:spacing w:val="-3"/>
        </w:rPr>
        <w:t>斯科尔斯</w:t>
      </w:r>
      <w:r>
        <w:rPr>
          <w:rFonts w:ascii="宋体" w:hAnsi="宋体" w:cs="宋体" w:eastAsia="宋体" w:hint="default"/>
          <w:spacing w:val="-3"/>
        </w:rPr>
        <w:t>(Black-Scholes)</w:t>
      </w:r>
      <w:r>
        <w:rPr>
          <w:spacing w:val="-3"/>
        </w:rPr>
        <w:t>期权</w:t>
      </w:r>
      <w:r>
        <w:rPr>
          <w:spacing w:val="-20"/>
        </w:rPr>
        <w:t> </w:t>
      </w:r>
      <w:r>
        <w:rPr>
          <w:spacing w:val="-2"/>
        </w:rPr>
        <w:t>定价模型及蒙特卡罗模型，结合授予信托受益权份额的条款和条件，做出估计。于首次授</w:t>
      </w:r>
      <w:r>
        <w:rPr>
          <w:spacing w:val="-49"/>
        </w:rPr>
        <w:t> </w:t>
      </w:r>
      <w:r>
        <w:rPr>
          <w:spacing w:val="-49"/>
        </w:rPr>
      </w:r>
      <w:r>
        <w:rPr/>
        <w:t>予日授予信托受益权份额的公允价值为人民币</w:t>
      </w:r>
      <w:r>
        <w:rPr>
          <w:rFonts w:ascii="宋体" w:hAnsi="宋体" w:cs="宋体" w:eastAsia="宋体" w:hint="default"/>
        </w:rPr>
        <w:t>427,285,062</w:t>
      </w:r>
      <w:r>
        <w:rPr/>
        <w:t>元。下表列示了所用模型的输</w:t>
      </w:r>
      <w:r>
        <w:rPr>
          <w:spacing w:val="-17"/>
        </w:rPr>
        <w:t> </w:t>
      </w:r>
      <w:r>
        <w:rPr>
          <w:spacing w:val="-17"/>
        </w:rPr>
      </w:r>
      <w:r>
        <w:rPr/>
        <w:t>入变量：</w:t>
      </w:r>
    </w:p>
    <w:p>
      <w:pPr>
        <w:spacing w:line="240" w:lineRule="auto" w:before="1"/>
        <w:rPr>
          <w:rFonts w:ascii="宋体" w:hAnsi="宋体" w:cs="宋体" w:eastAsia="宋体" w:hint="default"/>
          <w:sz w:val="28"/>
          <w:szCs w:val="28"/>
        </w:rPr>
      </w:pPr>
    </w:p>
    <w:tbl>
      <w:tblPr>
        <w:tblW w:w="0" w:type="auto"/>
        <w:jc w:val="left"/>
        <w:tblInd w:w="662" w:type="dxa"/>
        <w:tblLayout w:type="fixed"/>
        <w:tblCellMar>
          <w:top w:w="0" w:type="dxa"/>
          <w:left w:w="0" w:type="dxa"/>
          <w:bottom w:w="0" w:type="dxa"/>
          <w:right w:w="0" w:type="dxa"/>
        </w:tblCellMar>
        <w:tblLook w:val="01E0"/>
      </w:tblPr>
      <w:tblGrid>
        <w:gridCol w:w="4365"/>
        <w:gridCol w:w="3839"/>
      </w:tblGrid>
      <w:tr>
        <w:trPr>
          <w:trHeight w:val="247" w:hRule="exact"/>
        </w:trPr>
        <w:tc>
          <w:tcPr>
            <w:tcW w:w="4365" w:type="dxa"/>
            <w:tcBorders>
              <w:top w:val="nil" w:sz="6" w:space="0" w:color="auto"/>
              <w:left w:val="nil" w:sz="6" w:space="0" w:color="auto"/>
              <w:bottom w:val="nil" w:sz="6" w:space="0" w:color="auto"/>
              <w:right w:val="nil" w:sz="6" w:space="0" w:color="auto"/>
            </w:tcBorders>
          </w:tcPr>
          <w:p>
            <w:pPr/>
          </w:p>
        </w:tc>
        <w:tc>
          <w:tcPr>
            <w:tcW w:w="3839"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83"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1"/>
                <w:szCs w:val="21"/>
              </w:rPr>
            </w:pPr>
            <w:r>
              <w:rPr>
                <w:rFonts w:ascii="宋体" w:hAnsi="宋体" w:cs="宋体" w:eastAsia="宋体" w:hint="default"/>
                <w:sz w:val="21"/>
                <w:szCs w:val="21"/>
              </w:rPr>
              <w:t>股利率</w:t>
            </w:r>
            <w:r>
              <w:rPr>
                <w:rFonts w:ascii="宋体" w:hAnsi="宋体" w:cs="宋体" w:eastAsia="宋体" w:hint="default"/>
                <w:sz w:val="21"/>
                <w:szCs w:val="21"/>
              </w:rPr>
              <w:t>(%)</w:t>
            </w:r>
          </w:p>
        </w:tc>
        <w:tc>
          <w:tcPr>
            <w:tcW w:w="3839" w:type="dxa"/>
            <w:tcBorders>
              <w:top w:val="nil" w:sz="6" w:space="0" w:color="auto"/>
              <w:left w:val="nil" w:sz="6" w:space="0" w:color="auto"/>
              <w:bottom w:val="nil" w:sz="6" w:space="0" w:color="auto"/>
              <w:right w:val="nil" w:sz="6" w:space="0" w:color="auto"/>
            </w:tcBorders>
          </w:tcPr>
          <w:p>
            <w:pPr>
              <w:pStyle w:val="TableParagraph"/>
              <w:spacing w:line="247" w:lineRule="exact"/>
              <w:ind w:right="198"/>
              <w:jc w:val="right"/>
              <w:rPr>
                <w:rFonts w:ascii="宋体" w:hAnsi="宋体" w:cs="宋体" w:eastAsia="宋体" w:hint="default"/>
                <w:sz w:val="21"/>
                <w:szCs w:val="21"/>
              </w:rPr>
            </w:pPr>
            <w:r>
              <w:rPr>
                <w:rFonts w:ascii="宋体"/>
                <w:sz w:val="21"/>
              </w:rPr>
              <w:t>0.00</w:t>
            </w:r>
          </w:p>
        </w:tc>
      </w:tr>
      <w:tr>
        <w:trPr>
          <w:trHeight w:val="285"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1"/>
                <w:szCs w:val="21"/>
              </w:rPr>
            </w:pPr>
            <w:r>
              <w:rPr>
                <w:rFonts w:ascii="宋体" w:hAnsi="宋体" w:cs="宋体" w:eastAsia="宋体" w:hint="default"/>
                <w:sz w:val="21"/>
                <w:szCs w:val="21"/>
              </w:rPr>
              <w:t>预期波动率</w:t>
            </w:r>
            <w:r>
              <w:rPr>
                <w:rFonts w:ascii="宋体" w:hAnsi="宋体" w:cs="宋体" w:eastAsia="宋体" w:hint="default"/>
                <w:sz w:val="21"/>
                <w:szCs w:val="21"/>
              </w:rPr>
              <w:t>(%)</w:t>
            </w:r>
          </w:p>
        </w:tc>
        <w:tc>
          <w:tcPr>
            <w:tcW w:w="3839" w:type="dxa"/>
            <w:tcBorders>
              <w:top w:val="nil" w:sz="6" w:space="0" w:color="auto"/>
              <w:left w:val="nil" w:sz="6" w:space="0" w:color="auto"/>
              <w:bottom w:val="nil" w:sz="6" w:space="0" w:color="auto"/>
              <w:right w:val="nil" w:sz="6" w:space="0" w:color="auto"/>
            </w:tcBorders>
          </w:tcPr>
          <w:p>
            <w:pPr>
              <w:pStyle w:val="TableParagraph"/>
              <w:spacing w:line="247" w:lineRule="exact"/>
              <w:ind w:right="198"/>
              <w:jc w:val="right"/>
              <w:rPr>
                <w:rFonts w:ascii="宋体" w:hAnsi="宋体" w:cs="宋体" w:eastAsia="宋体" w:hint="default"/>
                <w:sz w:val="21"/>
                <w:szCs w:val="21"/>
              </w:rPr>
            </w:pPr>
            <w:r>
              <w:rPr>
                <w:rFonts w:ascii="宋体"/>
                <w:spacing w:val="-1"/>
                <w:sz w:val="21"/>
              </w:rPr>
              <w:t>51.50-63.20</w:t>
            </w:r>
          </w:p>
        </w:tc>
      </w:tr>
      <w:tr>
        <w:trPr>
          <w:trHeight w:val="284"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1"/>
                <w:szCs w:val="21"/>
              </w:rPr>
            </w:pPr>
            <w:r>
              <w:rPr>
                <w:rFonts w:ascii="宋体" w:hAnsi="宋体" w:cs="宋体" w:eastAsia="宋体" w:hint="default"/>
                <w:sz w:val="21"/>
                <w:szCs w:val="21"/>
              </w:rPr>
              <w:t>无风险利率</w:t>
            </w:r>
            <w:r>
              <w:rPr>
                <w:rFonts w:ascii="宋体" w:hAnsi="宋体" w:cs="宋体" w:eastAsia="宋体" w:hint="default"/>
                <w:sz w:val="21"/>
                <w:szCs w:val="21"/>
              </w:rPr>
              <w:t>(%)</w:t>
            </w:r>
          </w:p>
        </w:tc>
        <w:tc>
          <w:tcPr>
            <w:tcW w:w="3839" w:type="dxa"/>
            <w:tcBorders>
              <w:top w:val="nil" w:sz="6" w:space="0" w:color="auto"/>
              <w:left w:val="nil" w:sz="6" w:space="0" w:color="auto"/>
              <w:bottom w:val="nil" w:sz="6" w:space="0" w:color="auto"/>
              <w:right w:val="nil" w:sz="6" w:space="0" w:color="auto"/>
            </w:tcBorders>
          </w:tcPr>
          <w:p>
            <w:pPr>
              <w:pStyle w:val="TableParagraph"/>
              <w:spacing w:line="248" w:lineRule="exact"/>
              <w:ind w:right="198"/>
              <w:jc w:val="right"/>
              <w:rPr>
                <w:rFonts w:ascii="宋体" w:hAnsi="宋体" w:cs="宋体" w:eastAsia="宋体" w:hint="default"/>
                <w:sz w:val="21"/>
                <w:szCs w:val="21"/>
              </w:rPr>
            </w:pPr>
            <w:r>
              <w:rPr>
                <w:rFonts w:ascii="宋体"/>
                <w:spacing w:val="-1"/>
                <w:sz w:val="21"/>
              </w:rPr>
              <w:t>0.157-1.815</w:t>
            </w:r>
          </w:p>
        </w:tc>
      </w:tr>
      <w:tr>
        <w:trPr>
          <w:trHeight w:val="283"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1"/>
                <w:szCs w:val="21"/>
              </w:rPr>
            </w:pPr>
            <w:r>
              <w:rPr>
                <w:rFonts w:ascii="宋体" w:hAnsi="宋体" w:cs="宋体" w:eastAsia="宋体" w:hint="default"/>
                <w:sz w:val="21"/>
                <w:szCs w:val="21"/>
              </w:rPr>
              <w:t>股票预期期限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c>
          <w:tcPr>
            <w:tcW w:w="3839" w:type="dxa"/>
            <w:tcBorders>
              <w:top w:val="nil" w:sz="6" w:space="0" w:color="auto"/>
              <w:left w:val="nil" w:sz="6" w:space="0" w:color="auto"/>
              <w:bottom w:val="nil" w:sz="6" w:space="0" w:color="auto"/>
              <w:right w:val="nil" w:sz="6" w:space="0" w:color="auto"/>
            </w:tcBorders>
          </w:tcPr>
          <w:p>
            <w:pPr>
              <w:pStyle w:val="TableParagraph"/>
              <w:spacing w:line="247" w:lineRule="exact"/>
              <w:ind w:right="198"/>
              <w:jc w:val="right"/>
              <w:rPr>
                <w:rFonts w:ascii="宋体" w:hAnsi="宋体" w:cs="宋体" w:eastAsia="宋体" w:hint="default"/>
                <w:sz w:val="21"/>
                <w:szCs w:val="21"/>
              </w:rPr>
            </w:pPr>
            <w:r>
              <w:rPr>
                <w:rFonts w:ascii="宋体"/>
                <w:sz w:val="21"/>
              </w:rPr>
              <w:t>1-10</w:t>
            </w:r>
          </w:p>
        </w:tc>
      </w:tr>
      <w:tr>
        <w:trPr>
          <w:trHeight w:val="247"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1"/>
                <w:szCs w:val="21"/>
              </w:rPr>
            </w:pPr>
            <w:r>
              <w:rPr>
                <w:rFonts w:ascii="宋体" w:hAnsi="宋体" w:cs="宋体" w:eastAsia="宋体" w:hint="default"/>
                <w:sz w:val="21"/>
                <w:szCs w:val="21"/>
              </w:rPr>
              <w:t>授予日股价</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3839" w:type="dxa"/>
            <w:tcBorders>
              <w:top w:val="nil" w:sz="6" w:space="0" w:color="auto"/>
              <w:left w:val="nil" w:sz="6" w:space="0" w:color="auto"/>
              <w:bottom w:val="nil" w:sz="6" w:space="0" w:color="auto"/>
              <w:right w:val="nil" w:sz="6" w:space="0" w:color="auto"/>
            </w:tcBorders>
          </w:tcPr>
          <w:p>
            <w:pPr>
              <w:pStyle w:val="TableParagraph"/>
              <w:spacing w:line="247" w:lineRule="exact"/>
              <w:ind w:right="200"/>
              <w:jc w:val="right"/>
              <w:rPr>
                <w:rFonts w:ascii="宋体" w:hAnsi="宋体" w:cs="宋体" w:eastAsia="宋体" w:hint="default"/>
                <w:sz w:val="21"/>
                <w:szCs w:val="21"/>
              </w:rPr>
            </w:pPr>
            <w:r>
              <w:rPr>
                <w:rFonts w:ascii="宋体"/>
                <w:sz w:val="21"/>
              </w:rPr>
              <w:t>24.60</w:t>
            </w:r>
          </w:p>
        </w:tc>
      </w:tr>
    </w:tbl>
    <w:p>
      <w:pPr>
        <w:spacing w:line="240" w:lineRule="auto" w:before="9"/>
        <w:rPr>
          <w:rFonts w:ascii="宋体" w:hAnsi="宋体" w:cs="宋体" w:eastAsia="宋体" w:hint="default"/>
          <w:sz w:val="17"/>
          <w:szCs w:val="17"/>
        </w:rPr>
      </w:pPr>
    </w:p>
    <w:p>
      <w:pPr>
        <w:pStyle w:val="BodyText"/>
        <w:spacing w:line="297" w:lineRule="auto" w:before="36"/>
        <w:ind w:left="824" w:right="119" w:firstLine="26"/>
        <w:jc w:val="both"/>
      </w:pPr>
      <w:r>
        <w:rPr>
          <w:spacing w:val="-3"/>
        </w:rPr>
        <w:t>除上述首次授予外，已授畅捷通美国若干激励对象信托受益权份额的公允价值基于畅捷通</w:t>
      </w:r>
      <w:r>
        <w:rPr>
          <w:spacing w:val="-62"/>
        </w:rPr>
        <w:t> </w:t>
      </w:r>
      <w:r>
        <w:rPr>
          <w:spacing w:val="-62"/>
        </w:rPr>
      </w:r>
      <w:r>
        <w:rPr>
          <w:spacing w:val="-2"/>
        </w:rPr>
        <w:t>股份于授出日期之市值每股港币</w:t>
      </w:r>
      <w:r>
        <w:rPr>
          <w:rFonts w:ascii="宋体" w:hAnsi="宋体" w:cs="宋体" w:eastAsia="宋体" w:hint="default"/>
          <w:spacing w:val="-2"/>
        </w:rPr>
        <w:t>12.7</w:t>
      </w:r>
      <w:r>
        <w:rPr>
          <w:spacing w:val="-2"/>
        </w:rPr>
        <w:t>元计算。该等授予项下已授信托受益权份额的公允价</w:t>
      </w:r>
      <w:r>
        <w:rPr>
          <w:spacing w:val="-44"/>
        </w:rPr>
        <w:t> </w:t>
      </w:r>
      <w:r>
        <w:rPr>
          <w:spacing w:val="-44"/>
        </w:rPr>
      </w:r>
      <w:r>
        <w:rPr/>
        <w:t>值为人民币</w:t>
      </w:r>
      <w:r>
        <w:rPr>
          <w:rFonts w:ascii="宋体" w:hAnsi="宋体" w:cs="宋体" w:eastAsia="宋体" w:hint="default"/>
        </w:rPr>
        <w:t>1,251,036</w:t>
      </w:r>
      <w:r>
        <w:rPr/>
        <w:t>元。</w:t>
      </w:r>
    </w:p>
    <w:p>
      <w:pPr>
        <w:spacing w:line="240" w:lineRule="auto" w:before="3"/>
        <w:rPr>
          <w:rFonts w:ascii="宋体" w:hAnsi="宋体" w:cs="宋体" w:eastAsia="宋体" w:hint="default"/>
          <w:sz w:val="27"/>
          <w:szCs w:val="27"/>
        </w:rPr>
      </w:pPr>
    </w:p>
    <w:p>
      <w:pPr>
        <w:pStyle w:val="BodyText"/>
        <w:spacing w:line="295" w:lineRule="auto"/>
        <w:ind w:left="824" w:right="109" w:firstLine="26"/>
        <w:jc w:val="both"/>
      </w:pPr>
      <w:r>
        <w:rPr>
          <w:rFonts w:ascii="宋体" w:hAnsi="宋体" w:cs="宋体" w:eastAsia="宋体" w:hint="default"/>
        </w:rPr>
        <w:t>2015</w:t>
      </w:r>
      <w:r>
        <w:rPr/>
        <w:t>年度，畅捷通已确认股份支付费用为人民币</w:t>
      </w:r>
      <w:r>
        <w:rPr>
          <w:rFonts w:ascii="宋体" w:hAnsi="宋体" w:cs="宋体" w:eastAsia="宋体" w:hint="default"/>
        </w:rPr>
        <w:t>126,984,663</w:t>
      </w:r>
      <w:r>
        <w:rPr/>
        <w:t>元。其中，于损益中确认股</w:t>
      </w:r>
      <w:r>
        <w:rPr>
          <w:spacing w:val="-67"/>
        </w:rPr>
        <w:t> </w:t>
      </w:r>
      <w:r>
        <w:rPr>
          <w:spacing w:val="-67"/>
        </w:rPr>
      </w:r>
      <w:r>
        <w:rPr>
          <w:spacing w:val="-2"/>
        </w:rPr>
        <w:t>份支付费用人民币</w:t>
      </w:r>
      <w:r>
        <w:rPr>
          <w:rFonts w:ascii="宋体" w:hAnsi="宋体" w:cs="宋体" w:eastAsia="宋体" w:hint="default"/>
          <w:spacing w:val="-2"/>
        </w:rPr>
        <w:t>119,407,759</w:t>
      </w:r>
      <w:r>
        <w:rPr>
          <w:spacing w:val="-2"/>
        </w:rPr>
        <w:t>元，已资本化计入开发支出的金额为人民币</w:t>
      </w:r>
      <w:r>
        <w:rPr>
          <w:rFonts w:ascii="宋体" w:hAnsi="宋体" w:cs="宋体" w:eastAsia="宋体" w:hint="default"/>
          <w:spacing w:val="-2"/>
        </w:rPr>
        <w:t>7,576,904</w:t>
      </w:r>
      <w:r>
        <w:rPr>
          <w:spacing w:val="-2"/>
        </w:rPr>
        <w:t>元。</w:t>
      </w:r>
      <w:r>
        <w:rPr/>
      </w:r>
    </w:p>
    <w:p>
      <w:pPr>
        <w:spacing w:line="240" w:lineRule="auto" w:before="6"/>
        <w:rPr>
          <w:rFonts w:ascii="宋体" w:hAnsi="宋体" w:cs="宋体" w:eastAsia="宋体" w:hint="default"/>
          <w:sz w:val="27"/>
          <w:szCs w:val="27"/>
        </w:rPr>
      </w:pPr>
    </w:p>
    <w:p>
      <w:pPr>
        <w:pStyle w:val="BodyText"/>
        <w:spacing w:line="297" w:lineRule="auto"/>
        <w:ind w:left="824" w:right="109" w:firstLine="26"/>
        <w:jc w:val="both"/>
      </w:pPr>
      <w:r>
        <w:rPr>
          <w:rFonts w:ascii="宋体" w:hAnsi="宋体" w:cs="宋体" w:eastAsia="宋体" w:hint="default"/>
        </w:rPr>
        <w:t>2015</w:t>
      </w:r>
      <w:r>
        <w:rPr/>
        <w:t>年度，畅捷通及畅捷通美国委托信托机构向内资股股东购买</w:t>
      </w:r>
      <w:r>
        <w:rPr>
          <w:rFonts w:ascii="宋体" w:hAnsi="宋体" w:cs="宋体" w:eastAsia="宋体" w:hint="default"/>
        </w:rPr>
        <w:t>6,500,000</w:t>
      </w:r>
      <w:r>
        <w:rPr/>
        <w:t>股内资股及于</w:t>
      </w:r>
      <w:r>
        <w:rPr>
          <w:spacing w:val="-67"/>
        </w:rPr>
        <w:t> </w:t>
      </w:r>
      <w:r>
        <w:rPr>
          <w:spacing w:val="-67"/>
        </w:rPr>
      </w:r>
      <w:r>
        <w:rPr>
          <w:spacing w:val="-2"/>
        </w:rPr>
        <w:t>公开市场购买畅捷通</w:t>
      </w:r>
      <w:r>
        <w:rPr>
          <w:rFonts w:ascii="宋体" w:hAnsi="宋体" w:cs="宋体" w:eastAsia="宋体" w:hint="default"/>
          <w:spacing w:val="-2"/>
        </w:rPr>
        <w:t>10,990,000</w:t>
      </w:r>
      <w:r>
        <w:rPr>
          <w:spacing w:val="-2"/>
        </w:rPr>
        <w:t>股</w:t>
      </w:r>
      <w:r>
        <w:rPr>
          <w:rFonts w:ascii="宋体" w:hAnsi="宋体" w:cs="宋体" w:eastAsia="宋体" w:hint="default"/>
          <w:spacing w:val="-2"/>
        </w:rPr>
        <w:t>H</w:t>
      </w:r>
      <w:r>
        <w:rPr>
          <w:spacing w:val="-2"/>
        </w:rPr>
        <w:t>股，购买该等股份的总代价为人民币</w:t>
      </w:r>
      <w:r>
        <w:rPr>
          <w:rFonts w:ascii="宋体" w:hAnsi="宋体" w:cs="宋体" w:eastAsia="宋体" w:hint="default"/>
          <w:spacing w:val="-2"/>
        </w:rPr>
        <w:t>310,135,760</w:t>
      </w:r>
      <w:r>
        <w:rPr>
          <w:spacing w:val="-2"/>
        </w:rPr>
        <w:t>元。</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2"/>
        <w:spacing w:line="240" w:lineRule="auto" w:before="0"/>
        <w:ind w:left="138" w:right="144"/>
        <w:jc w:val="left"/>
        <w:rPr>
          <w:b w:val="0"/>
          <w:bCs w:val="0"/>
        </w:rPr>
      </w:pPr>
      <w:r>
        <w:rPr>
          <w:rFonts w:ascii="宋体" w:hAnsi="宋体" w:cs="宋体" w:eastAsia="宋体" w:hint="default"/>
        </w:rPr>
        <w:t>5</w:t>
      </w:r>
      <w:r>
        <w:rPr/>
        <w:t>、</w:t>
      </w:r>
      <w:r>
        <w:rPr>
          <w:spacing w:val="2"/>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tabs>
          <w:tab w:pos="977" w:val="left" w:leader="none"/>
        </w:tabs>
        <w:spacing w:line="290" w:lineRule="auto"/>
        <w:ind w:left="138" w:right="666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4"/>
        <w:ind w:right="144"/>
        <w:jc w:val="left"/>
      </w:pPr>
      <w:r>
        <w:rPr/>
        <w:t>□适用</w:t>
      </w:r>
      <w:r>
        <w:rPr>
          <w:spacing w:val="-1"/>
        </w:rPr>
        <w:t> </w:t>
      </w:r>
      <w:r>
        <w:rPr/>
        <w:t>□不适用</w:t>
      </w:r>
    </w:p>
    <w:p>
      <w:pPr>
        <w:spacing w:after="0" w:line="240" w:lineRule="auto"/>
        <w:jc w:val="left"/>
        <w:sectPr>
          <w:headerReference w:type="default" r:id="rId89"/>
          <w:pgSz w:w="11910" w:h="16840"/>
          <w:pgMar w:header="926" w:footer="1335" w:top="1120" w:bottom="1520" w:left="1660" w:right="1120"/>
        </w:sectPr>
      </w:pPr>
    </w:p>
    <w:p>
      <w:pPr>
        <w:spacing w:line="240" w:lineRule="auto" w:before="1"/>
        <w:rPr>
          <w:rFonts w:ascii="宋体" w:hAnsi="宋体" w:cs="宋体" w:eastAsia="宋体" w:hint="default"/>
          <w:sz w:val="25"/>
          <w:szCs w:val="25"/>
        </w:rPr>
      </w:pPr>
    </w:p>
    <w:p>
      <w:pPr>
        <w:pStyle w:val="BodyText"/>
        <w:spacing w:line="240" w:lineRule="auto" w:before="36"/>
        <w:ind w:left="218" w:right="0"/>
        <w:jc w:val="left"/>
      </w:pPr>
      <w:r>
        <w:rPr/>
        <w:t>资产负债表日存在的对外重要承诺、性质、金额</w:t>
      </w:r>
    </w:p>
    <w:p>
      <w:pPr>
        <w:spacing w:line="240" w:lineRule="auto" w:before="0"/>
        <w:rPr>
          <w:rFonts w:ascii="宋体" w:hAnsi="宋体" w:cs="宋体" w:eastAsia="宋体" w:hint="default"/>
          <w:sz w:val="19"/>
          <w:szCs w:val="19"/>
        </w:rPr>
      </w:pPr>
    </w:p>
    <w:tbl>
      <w:tblPr>
        <w:tblW w:w="0" w:type="auto"/>
        <w:jc w:val="left"/>
        <w:tblInd w:w="218" w:type="dxa"/>
        <w:tblLayout w:type="fixed"/>
        <w:tblCellMar>
          <w:top w:w="0" w:type="dxa"/>
          <w:left w:w="0" w:type="dxa"/>
          <w:bottom w:w="0" w:type="dxa"/>
          <w:right w:w="0" w:type="dxa"/>
        </w:tblCellMar>
        <w:tblLook w:val="01E0"/>
      </w:tblPr>
      <w:tblGrid>
        <w:gridCol w:w="3931"/>
        <w:gridCol w:w="2871"/>
        <w:gridCol w:w="2177"/>
      </w:tblGrid>
      <w:tr>
        <w:trPr>
          <w:trHeight w:val="279" w:hRule="exact"/>
        </w:trPr>
        <w:tc>
          <w:tcPr>
            <w:tcW w:w="3931" w:type="dxa"/>
            <w:tcBorders>
              <w:top w:val="single" w:sz="5" w:space="0" w:color="000000"/>
              <w:left w:val="nil" w:sz="6" w:space="0" w:color="auto"/>
              <w:bottom w:val="nil" w:sz="6" w:space="0" w:color="auto"/>
              <w:right w:val="nil" w:sz="6" w:space="0" w:color="auto"/>
            </w:tcBorders>
          </w:tcPr>
          <w:p>
            <w:pPr/>
          </w:p>
        </w:tc>
        <w:tc>
          <w:tcPr>
            <w:tcW w:w="2871" w:type="dxa"/>
            <w:tcBorders>
              <w:top w:val="nil" w:sz="6" w:space="0" w:color="auto"/>
              <w:left w:val="nil" w:sz="6" w:space="0" w:color="auto"/>
              <w:bottom w:val="nil" w:sz="6" w:space="0" w:color="auto"/>
              <w:right w:val="nil" w:sz="6" w:space="0" w:color="auto"/>
            </w:tcBorders>
          </w:tcPr>
          <w:p>
            <w:pPr>
              <w:pStyle w:val="TableParagraph"/>
              <w:spacing w:line="254" w:lineRule="exact"/>
              <w:ind w:right="501"/>
              <w:jc w:val="right"/>
              <w:rPr>
                <w:rFonts w:ascii="宋体" w:hAnsi="宋体" w:cs="宋体" w:eastAsia="宋体" w:hint="default"/>
                <w:sz w:val="21"/>
                <w:szCs w:val="21"/>
              </w:rPr>
            </w:pPr>
            <w:r>
              <w:rPr>
                <w:rFonts w:ascii="宋体" w:hAnsi="宋体" w:cs="宋体" w:eastAsia="宋体" w:hint="default"/>
                <w:spacing w:val="-1"/>
                <w:sz w:val="21"/>
                <w:szCs w:val="21"/>
              </w:rPr>
              <w:t>2015</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w:t>
            </w:r>
          </w:p>
        </w:tc>
        <w:tc>
          <w:tcPr>
            <w:tcW w:w="2177" w:type="dxa"/>
            <w:tcBorders>
              <w:top w:val="nil" w:sz="6" w:space="0" w:color="auto"/>
              <w:left w:val="nil" w:sz="6" w:space="0" w:color="auto"/>
              <w:bottom w:val="nil" w:sz="6" w:space="0" w:color="auto"/>
              <w:right w:val="nil" w:sz="6" w:space="0" w:color="auto"/>
            </w:tcBorders>
          </w:tcPr>
          <w:p>
            <w:pPr>
              <w:pStyle w:val="TableParagraph"/>
              <w:spacing w:line="254" w:lineRule="exact"/>
              <w:ind w:right="198"/>
              <w:jc w:val="right"/>
              <w:rPr>
                <w:rFonts w:ascii="宋体" w:hAnsi="宋体" w:cs="宋体" w:eastAsia="宋体" w:hint="default"/>
                <w:sz w:val="21"/>
                <w:szCs w:val="21"/>
              </w:rPr>
            </w:pP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w:t>
            </w:r>
          </w:p>
        </w:tc>
      </w:tr>
      <w:tr>
        <w:trPr>
          <w:trHeight w:val="390" w:hRule="exact"/>
        </w:trPr>
        <w:tc>
          <w:tcPr>
            <w:tcW w:w="3931" w:type="dxa"/>
            <w:tcBorders>
              <w:top w:val="nil" w:sz="6" w:space="0" w:color="auto"/>
              <w:left w:val="nil" w:sz="6" w:space="0" w:color="auto"/>
              <w:bottom w:val="nil" w:sz="6" w:space="0" w:color="auto"/>
              <w:right w:val="nil" w:sz="6" w:space="0" w:color="auto"/>
            </w:tcBorders>
          </w:tcPr>
          <w:p>
            <w:pPr>
              <w:pStyle w:val="TableParagraph"/>
              <w:spacing w:line="236" w:lineRule="exact"/>
              <w:ind w:left="717" w:right="0"/>
              <w:jc w:val="left"/>
              <w:rPr>
                <w:rFonts w:ascii="宋体" w:hAnsi="宋体" w:cs="宋体" w:eastAsia="宋体" w:hint="default"/>
                <w:sz w:val="21"/>
                <w:szCs w:val="21"/>
              </w:rPr>
            </w:pPr>
            <w:r>
              <w:rPr>
                <w:rFonts w:ascii="宋体" w:hAnsi="宋体" w:cs="宋体" w:eastAsia="宋体" w:hint="default"/>
                <w:sz w:val="21"/>
                <w:szCs w:val="21"/>
              </w:rPr>
              <w:t>资本承诺</w:t>
            </w:r>
          </w:p>
        </w:tc>
        <w:tc>
          <w:tcPr>
            <w:tcW w:w="2871"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
        </w:tc>
      </w:tr>
      <w:tr>
        <w:trPr>
          <w:trHeight w:val="365" w:hRule="exact"/>
        </w:trPr>
        <w:tc>
          <w:tcPr>
            <w:tcW w:w="393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22" w:right="0"/>
              <w:jc w:val="left"/>
              <w:rPr>
                <w:rFonts w:ascii="宋体" w:hAnsi="宋体" w:cs="宋体" w:eastAsia="宋体" w:hint="default"/>
                <w:sz w:val="21"/>
                <w:szCs w:val="21"/>
              </w:rPr>
            </w:pPr>
            <w:r>
              <w:rPr>
                <w:rFonts w:ascii="宋体" w:hAnsi="宋体" w:cs="宋体" w:eastAsia="宋体" w:hint="default"/>
                <w:sz w:val="21"/>
                <w:szCs w:val="21"/>
              </w:rPr>
              <w:t>已签约但未拨备</w:t>
            </w:r>
            <w:r>
              <w:rPr>
                <w:rFonts w:ascii="宋体" w:hAnsi="宋体" w:cs="宋体" w:eastAsia="宋体" w:hint="default"/>
                <w:spacing w:val="-1"/>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01"/>
              <w:jc w:val="right"/>
              <w:rPr>
                <w:rFonts w:ascii="宋体" w:hAnsi="宋体" w:cs="宋体" w:eastAsia="宋体" w:hint="default"/>
                <w:sz w:val="21"/>
                <w:szCs w:val="21"/>
              </w:rPr>
            </w:pPr>
            <w:r>
              <w:rPr>
                <w:rFonts w:ascii="宋体"/>
                <w:w w:val="100"/>
                <w:sz w:val="21"/>
              </w:rPr>
            </w:r>
            <w:r>
              <w:rPr>
                <w:rFonts w:ascii="宋体"/>
                <w:spacing w:val="-1"/>
                <w:sz w:val="21"/>
                <w:u w:val="thick" w:color="000000"/>
              </w:rPr>
              <w:t>402,955,727</w:t>
            </w:r>
            <w:r>
              <w:rPr>
                <w:rFonts w:ascii="宋体"/>
                <w:spacing w:val="-1"/>
                <w:sz w:val="21"/>
              </w:rPr>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8"/>
              <w:jc w:val="right"/>
              <w:rPr>
                <w:rFonts w:ascii="宋体" w:hAnsi="宋体" w:cs="宋体" w:eastAsia="宋体" w:hint="default"/>
                <w:sz w:val="21"/>
                <w:szCs w:val="21"/>
              </w:rPr>
            </w:pPr>
            <w:r>
              <w:rPr>
                <w:rFonts w:ascii="宋体"/>
                <w:w w:val="100"/>
                <w:sz w:val="21"/>
              </w:rPr>
            </w:r>
            <w:r>
              <w:rPr>
                <w:rFonts w:ascii="宋体"/>
                <w:spacing w:val="-1"/>
                <w:sz w:val="21"/>
                <w:u w:val="thick" w:color="000000"/>
              </w:rPr>
              <w:t>293,409,373</w:t>
            </w:r>
            <w:r>
              <w:rPr>
                <w:rFonts w:ascii="宋体"/>
                <w:spacing w:val="-1"/>
                <w:sz w:val="21"/>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97" w:lineRule="auto" w:before="36"/>
        <w:ind w:left="1422" w:right="218" w:hanging="485"/>
        <w:jc w:val="both"/>
      </w:pPr>
      <w:r>
        <w:rPr>
          <w:spacing w:val="-3"/>
        </w:rPr>
        <w:t>注：截至</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日，本公司与北京华清地热开发有限公司、中国建筑第五局有限公</w:t>
      </w:r>
      <w:r>
        <w:rPr>
          <w:spacing w:val="-32"/>
        </w:rPr>
        <w:t> </w:t>
      </w:r>
      <w:r>
        <w:rPr>
          <w:spacing w:val="-32"/>
        </w:rPr>
      </w:r>
      <w:r>
        <w:rPr/>
        <w:t>司、泛华建设集团有限公司和铭基电子技术</w:t>
      </w:r>
      <w:r>
        <w:rPr>
          <w:rFonts w:ascii="宋体" w:hAnsi="宋体" w:cs="宋体" w:eastAsia="宋体" w:hint="default"/>
        </w:rPr>
        <w:t>(</w:t>
      </w:r>
      <w:r>
        <w:rPr/>
        <w:t>北京</w:t>
      </w:r>
      <w:r>
        <w:rPr>
          <w:rFonts w:ascii="宋体" w:hAnsi="宋体" w:cs="宋体" w:eastAsia="宋体" w:hint="default"/>
        </w:rPr>
        <w:t>)</w:t>
      </w:r>
      <w:r>
        <w:rPr/>
        <w:t>有限公司等签订的用友软件园一</w:t>
      </w:r>
      <w:r>
        <w:rPr>
          <w:w w:val="100"/>
        </w:rPr>
        <w:t> </w:t>
      </w:r>
      <w:r>
        <w:rPr>
          <w:spacing w:val="-4"/>
        </w:rPr>
        <w:t>期二期工程施工、工程设计相关合同，共计</w:t>
      </w:r>
      <w:r>
        <w:rPr>
          <w:rFonts w:ascii="宋体" w:hAnsi="宋体" w:cs="宋体" w:eastAsia="宋体" w:hint="default"/>
          <w:spacing w:val="-4"/>
        </w:rPr>
        <w:t>1,707,253,934</w:t>
      </w:r>
      <w:r>
        <w:rPr>
          <w:spacing w:val="-4"/>
        </w:rPr>
        <w:t>元，已支付</w:t>
      </w:r>
      <w:r>
        <w:rPr>
          <w:rFonts w:ascii="宋体" w:hAnsi="宋体" w:cs="宋体" w:eastAsia="宋体" w:hint="default"/>
          <w:spacing w:val="-4"/>
        </w:rPr>
        <w:t>1,571,074,728</w:t>
      </w:r>
      <w:r>
        <w:rPr>
          <w:rFonts w:ascii="宋体" w:hAnsi="宋体" w:cs="宋体" w:eastAsia="宋体" w:hint="default"/>
          <w:w w:val="100"/>
        </w:rPr>
        <w:t> </w:t>
      </w:r>
      <w:r>
        <w:rPr/>
        <w:t>元，资本承诺共计</w:t>
      </w:r>
      <w:r>
        <w:rPr>
          <w:rFonts w:ascii="宋体" w:hAnsi="宋体" w:cs="宋体" w:eastAsia="宋体" w:hint="default"/>
        </w:rPr>
        <w:t>136,179,206</w:t>
      </w:r>
      <w:r>
        <w:rPr/>
        <w:t>元。</w:t>
      </w:r>
    </w:p>
    <w:p>
      <w:pPr>
        <w:spacing w:line="240" w:lineRule="auto" w:before="1"/>
        <w:rPr>
          <w:rFonts w:ascii="宋体" w:hAnsi="宋体" w:cs="宋体" w:eastAsia="宋体" w:hint="default"/>
          <w:sz w:val="27"/>
          <w:szCs w:val="27"/>
        </w:rPr>
      </w:pPr>
    </w:p>
    <w:p>
      <w:pPr>
        <w:pStyle w:val="BodyText"/>
        <w:spacing w:line="297" w:lineRule="auto"/>
        <w:ind w:left="1422" w:right="220" w:firstLine="64"/>
        <w:jc w:val="both"/>
      </w:pPr>
      <w:r>
        <w:rPr>
          <w:spacing w:val="-1"/>
        </w:rPr>
        <w:t>截至</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日，本公司与江西建工第一建筑有限责任公司、北京华清元泰新</w:t>
      </w:r>
      <w:r>
        <w:rPr>
          <w:spacing w:val="-98"/>
        </w:rPr>
        <w:t> </w:t>
      </w:r>
      <w:r>
        <w:rPr>
          <w:spacing w:val="-98"/>
        </w:rPr>
      </w:r>
      <w:r>
        <w:rPr/>
        <w:t>能源技术开发有限公司和八冶建设集团有限公司等签订用友南昌产业园工程施工、</w:t>
      </w:r>
      <w:r>
        <w:rPr>
          <w:spacing w:val="-16"/>
        </w:rPr>
        <w:t> </w:t>
      </w:r>
      <w:r>
        <w:rPr>
          <w:spacing w:val="-16"/>
        </w:rPr>
      </w:r>
      <w:r>
        <w:rPr>
          <w:spacing w:val="4"/>
        </w:rPr>
        <w:t>工程设计相关合同，共计</w:t>
      </w:r>
      <w:r>
        <w:rPr>
          <w:rFonts w:ascii="宋体" w:hAnsi="宋体" w:cs="宋体" w:eastAsia="宋体" w:hint="default"/>
          <w:spacing w:val="4"/>
        </w:rPr>
        <w:t>415,321,328</w:t>
      </w:r>
      <w:r>
        <w:rPr>
          <w:spacing w:val="4"/>
        </w:rPr>
        <w:t>元，已支付</w:t>
      </w:r>
      <w:r>
        <w:rPr>
          <w:rFonts w:ascii="宋体" w:hAnsi="宋体" w:cs="宋体" w:eastAsia="宋体" w:hint="default"/>
          <w:spacing w:val="4"/>
        </w:rPr>
        <w:t>301,683,830</w:t>
      </w:r>
      <w:r>
        <w:rPr>
          <w:spacing w:val="4"/>
        </w:rPr>
        <w:t>元，资本承诺共计</w:t>
      </w:r>
      <w:r>
        <w:rPr>
          <w:spacing w:val="3"/>
        </w:rPr>
        <w:t> </w:t>
      </w:r>
      <w:r>
        <w:rPr>
          <w:spacing w:val="3"/>
        </w:rPr>
      </w:r>
      <w:r>
        <w:rPr>
          <w:rFonts w:ascii="宋体" w:hAnsi="宋体" w:cs="宋体" w:eastAsia="宋体" w:hint="default"/>
        </w:rPr>
        <w:t>113,637,498</w:t>
      </w:r>
      <w:r>
        <w:rPr/>
        <w:t>元。</w:t>
      </w:r>
    </w:p>
    <w:p>
      <w:pPr>
        <w:spacing w:line="240" w:lineRule="auto" w:before="3"/>
        <w:rPr>
          <w:rFonts w:ascii="宋体" w:hAnsi="宋体" w:cs="宋体" w:eastAsia="宋体" w:hint="default"/>
          <w:sz w:val="27"/>
          <w:szCs w:val="27"/>
        </w:rPr>
      </w:pPr>
    </w:p>
    <w:p>
      <w:pPr>
        <w:pStyle w:val="BodyText"/>
        <w:spacing w:line="297" w:lineRule="auto"/>
        <w:ind w:left="1379" w:right="214" w:firstLine="108"/>
        <w:jc w:val="both"/>
      </w:pPr>
      <w:r>
        <w:rPr>
          <w:spacing w:val="-1"/>
        </w:rPr>
        <w:t>截至</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日，本公司与与三来亿博房地产顾问有限公司、上海朴利建筑规</w:t>
      </w:r>
      <w:r>
        <w:rPr>
          <w:w w:val="100"/>
        </w:rPr>
        <w:t> </w:t>
      </w:r>
      <w:r>
        <w:rPr>
          <w:spacing w:val="-2"/>
        </w:rPr>
        <w:t>划设计有限公司等签订三亚用友产业园工程设计等相关合同，共计</w:t>
      </w:r>
      <w:r>
        <w:rPr>
          <w:rFonts w:ascii="宋体" w:hAnsi="宋体" w:cs="宋体" w:eastAsia="宋体" w:hint="default"/>
          <w:spacing w:val="-2"/>
        </w:rPr>
        <w:t>165,882,728</w:t>
      </w:r>
      <w:r>
        <w:rPr>
          <w:spacing w:val="-2"/>
        </w:rPr>
        <w:t>元，</w:t>
      </w:r>
      <w:r>
        <w:rPr>
          <w:spacing w:val="-31"/>
        </w:rPr>
        <w:t> </w:t>
      </w:r>
      <w:r>
        <w:rPr/>
        <w:t>已支付</w:t>
      </w:r>
      <w:r>
        <w:rPr>
          <w:rFonts w:ascii="宋体" w:hAnsi="宋体" w:cs="宋体" w:eastAsia="宋体" w:hint="default"/>
        </w:rPr>
        <w:t>12,743,705</w:t>
      </w:r>
      <w:r>
        <w:rPr/>
        <w:t>元，资本承诺共计</w:t>
      </w:r>
      <w:r>
        <w:rPr>
          <w:rFonts w:ascii="宋体" w:hAnsi="宋体" w:cs="宋体" w:eastAsia="宋体" w:hint="default"/>
        </w:rPr>
        <w:t>153,139,023</w:t>
      </w:r>
      <w:r>
        <w:rPr/>
        <w:t>元。</w:t>
      </w:r>
    </w:p>
    <w:p>
      <w:pPr>
        <w:spacing w:line="240" w:lineRule="auto" w:before="3"/>
        <w:rPr>
          <w:rFonts w:ascii="宋体" w:hAnsi="宋体" w:cs="宋体" w:eastAsia="宋体" w:hint="default"/>
          <w:sz w:val="27"/>
          <w:szCs w:val="27"/>
        </w:rPr>
      </w:pPr>
    </w:p>
    <w:p>
      <w:pPr>
        <w:pStyle w:val="BodyText"/>
        <w:spacing w:line="297" w:lineRule="auto"/>
        <w:ind w:left="1379" w:right="0"/>
        <w:jc w:val="left"/>
      </w:pPr>
      <w:r>
        <w:rPr>
          <w:spacing w:val="-3"/>
        </w:rPr>
        <w:t>于</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日，除上述已披露的事项外，本集团和本公司无其他需作披露的重大</w:t>
      </w:r>
      <w:r>
        <w:rPr>
          <w:spacing w:val="-59"/>
        </w:rPr>
        <w:t> </w:t>
      </w:r>
      <w:r>
        <w:rPr>
          <w:spacing w:val="-59"/>
        </w:rPr>
      </w:r>
      <w:r>
        <w:rPr/>
        <w:t>承诺事项</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日：无</w:t>
      </w:r>
      <w:r>
        <w:rPr>
          <w:rFonts w:ascii="宋体" w:hAnsi="宋体" w:cs="宋体" w:eastAsia="宋体" w:hint="default"/>
        </w:rPr>
        <w:t>)</w:t>
      </w:r>
      <w:r>
        <w:rPr/>
        <w:t>。</w:t>
      </w:r>
    </w:p>
    <w:p>
      <w:pPr>
        <w:spacing w:line="240" w:lineRule="auto" w:before="9"/>
        <w:rPr>
          <w:rFonts w:ascii="宋体" w:hAnsi="宋体" w:cs="宋体" w:eastAsia="宋体" w:hint="default"/>
          <w:sz w:val="26"/>
          <w:szCs w:val="26"/>
        </w:rPr>
      </w:pPr>
    </w:p>
    <w:p>
      <w:pPr>
        <w:pStyle w:val="Heading2"/>
        <w:spacing w:line="240" w:lineRule="auto" w:before="0"/>
        <w:ind w:right="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8"/>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90"/>
          <w:pgSz w:w="11910" w:h="16840"/>
          <w:pgMar w:footer="1335" w:header="926" w:top="1120" w:bottom="1520" w:left="1580" w:right="1020"/>
          <w:pgNumType w:start="116"/>
        </w:sectPr>
      </w:pPr>
    </w:p>
    <w:p>
      <w:pPr>
        <w:pStyle w:val="Heading2"/>
        <w:tabs>
          <w:tab w:pos="1057" w:val="left" w:leader="none"/>
        </w:tabs>
        <w:spacing w:line="240" w:lineRule="auto"/>
        <w:ind w:right="-16"/>
        <w:jc w:val="left"/>
        <w:rPr>
          <w:b w:val="0"/>
          <w:bCs w:val="0"/>
        </w:rPr>
      </w:pPr>
      <w:r>
        <w:rPr/>
        <w:t>十五、</w:t>
        <w:tab/>
        <w:t>资产负债表日后事项</w:t>
      </w:r>
      <w:r>
        <w:rPr>
          <w:b w:val="0"/>
          <w:bCs w:val="0"/>
        </w:rPr>
      </w:r>
    </w:p>
    <w:p>
      <w:pPr>
        <w:pStyle w:val="Heading2"/>
        <w:spacing w:line="240" w:lineRule="auto" w:before="58"/>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0"/>
        <w:ind w:left="218" w:right="-16"/>
        <w:jc w:val="left"/>
      </w:pPr>
      <w:r>
        <w:rPr/>
        <w:t>□适用</w:t>
      </w:r>
      <w:r>
        <w:rPr>
          <w:spacing w:val="-1"/>
        </w:rPr>
        <w:t> </w:t>
      </w:r>
      <w:r>
        <w:rPr/>
        <w:t>√不适用</w:t>
      </w:r>
    </w:p>
    <w:p>
      <w:pPr>
        <w:spacing w:before="58"/>
        <w:ind w:left="218" w:right="-16" w:firstLine="0"/>
        <w:jc w:val="left"/>
        <w:rPr>
          <w:rFonts w:ascii="宋体" w:hAnsi="宋体" w:cs="宋体" w:eastAsia="宋体" w:hint="default"/>
          <w:sz w:val="21"/>
          <w:szCs w:val="21"/>
        </w:rPr>
      </w:pPr>
      <w:r>
        <w:rPr>
          <w:rFonts w:ascii="Calibri" w:hAnsi="Calibri" w:cs="Calibri" w:eastAsia="Calibri" w:hint="default"/>
          <w:b/>
          <w:bCs/>
          <w:sz w:val="20"/>
          <w:szCs w:val="20"/>
        </w:rPr>
        <w:t>2</w:t>
      </w:r>
      <w:r>
        <w:rPr>
          <w:rFonts w:ascii="宋体" w:hAnsi="宋体" w:cs="宋体" w:eastAsia="宋体" w:hint="default"/>
          <w:b/>
          <w:bCs/>
          <w:sz w:val="20"/>
          <w:szCs w:val="20"/>
        </w:rPr>
        <w:t>、</w:t>
      </w:r>
      <w:r>
        <w:rPr>
          <w:rFonts w:ascii="宋体" w:hAnsi="宋体" w:cs="宋体" w:eastAsia="宋体" w:hint="default"/>
          <w:b/>
          <w:bCs/>
          <w:spacing w:val="22"/>
          <w:sz w:val="20"/>
          <w:szCs w:val="20"/>
        </w:rPr>
        <w:t> </w:t>
      </w:r>
      <w:r>
        <w:rPr>
          <w:rFonts w:ascii="宋体" w:hAnsi="宋体" w:cs="宋体" w:eastAsia="宋体" w:hint="default"/>
          <w:b/>
          <w:bCs/>
          <w:sz w:val="21"/>
          <w:szCs w:val="21"/>
        </w:rPr>
        <w:t>利润分配情况</w:t>
      </w:r>
      <w:r>
        <w:rPr>
          <w:rFonts w:ascii="宋体" w:hAnsi="宋体" w:cs="宋体" w:eastAsia="宋体" w:hint="default"/>
          <w:sz w:val="21"/>
          <w:szCs w:val="21"/>
        </w:rPr>
      </w:r>
    </w:p>
    <w:p>
      <w:pPr>
        <w:pStyle w:val="BodyText"/>
        <w:spacing w:line="240" w:lineRule="auto" w:before="32"/>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20"/>
          <w:cols w:num="2" w:equalWidth="0">
            <w:col w:w="2959" w:space="3562"/>
            <w:col w:w="278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before="36"/>
        <w:ind w:left="218" w:right="0" w:firstLine="0"/>
        <w:jc w:val="left"/>
        <w:rPr>
          <w:rFonts w:ascii="宋体" w:hAnsi="宋体" w:cs="宋体" w:eastAsia="宋体" w:hint="default"/>
          <w:sz w:val="21"/>
          <w:szCs w:val="21"/>
        </w:rPr>
      </w:pPr>
      <w:r>
        <w:rPr>
          <w:rFonts w:ascii="Calibri" w:hAnsi="Calibri" w:cs="Calibri" w:eastAsia="Calibri" w:hint="default"/>
          <w:b/>
          <w:bCs/>
          <w:sz w:val="20"/>
          <w:szCs w:val="20"/>
        </w:rPr>
        <w:t>3</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销售退回</w:t>
      </w:r>
      <w:r>
        <w:rPr>
          <w:rFonts w:ascii="宋体" w:hAnsi="宋体" w:cs="宋体" w:eastAsia="宋体" w:hint="default"/>
          <w:sz w:val="21"/>
          <w:szCs w:val="21"/>
        </w:rPr>
      </w:r>
    </w:p>
    <w:p>
      <w:pPr>
        <w:pStyle w:val="BodyText"/>
        <w:spacing w:line="240" w:lineRule="auto" w:before="32"/>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right="0"/>
        <w:jc w:val="left"/>
        <w:rPr>
          <w:b w:val="0"/>
          <w:bCs w:val="0"/>
        </w:rPr>
      </w:pPr>
      <w:r>
        <w:rPr>
          <w:rFonts w:ascii="宋体" w:hAnsi="宋体" w:cs="宋体" w:eastAsia="宋体" w:hint="default"/>
        </w:rPr>
        <w:t>4</w:t>
      </w:r>
      <w:r>
        <w:rPr/>
        <w:t>、</w:t>
      </w:r>
      <w:r>
        <w:rPr>
          <w:spacing w:val="1"/>
        </w:rPr>
        <w:t> </w:t>
      </w:r>
      <w:r>
        <w:rPr/>
        <w:t>其他资产负债表日后事项说明</w:t>
      </w:r>
      <w:r>
        <w:rPr>
          <w:b w:val="0"/>
          <w:bCs w:val="0"/>
        </w:rPr>
      </w:r>
    </w:p>
    <w:p>
      <w:pPr>
        <w:pStyle w:val="BodyText"/>
        <w:tabs>
          <w:tab w:pos="925" w:val="left" w:leader="none"/>
        </w:tabs>
        <w:spacing w:line="240" w:lineRule="auto" w:before="54"/>
        <w:ind w:left="273" w:right="0"/>
        <w:jc w:val="left"/>
      </w:pPr>
      <w:r>
        <w:rPr>
          <w:rFonts w:ascii="宋体" w:hAnsi="宋体" w:cs="宋体" w:eastAsia="宋体" w:hint="default"/>
        </w:rPr>
        <w:t>1</w:t>
      </w:r>
      <w:r>
        <w:rPr/>
        <w:t>、</w:t>
        <w:tab/>
      </w:r>
      <w:r>
        <w:rPr>
          <w:rFonts w:ascii="宋体" w:hAnsi="宋体" w:cs="宋体" w:eastAsia="宋体" w:hint="default"/>
        </w:rPr>
        <w:t>2015</w:t>
      </w:r>
      <w:r>
        <w:rPr/>
        <w:t>年度公司实现净利润</w:t>
      </w:r>
      <w:r>
        <w:rPr>
          <w:rFonts w:ascii="宋体" w:hAnsi="宋体" w:cs="宋体" w:eastAsia="宋体" w:hint="default"/>
        </w:rPr>
        <w:t>291,524,434</w:t>
      </w:r>
      <w:r>
        <w:rPr/>
        <w:t>元。公司以</w:t>
      </w:r>
      <w:r>
        <w:rPr>
          <w:rFonts w:ascii="宋体" w:hAnsi="宋体" w:cs="宋体" w:eastAsia="宋体" w:hint="default"/>
        </w:rPr>
        <w:t>2015</w:t>
      </w:r>
      <w:r>
        <w:rPr/>
        <w:t>年度净利润</w:t>
      </w:r>
      <w:r>
        <w:rPr>
          <w:rFonts w:ascii="宋体" w:hAnsi="宋体" w:cs="宋体" w:eastAsia="宋体" w:hint="default"/>
        </w:rPr>
        <w:t>291,524,434</w:t>
      </w:r>
      <w:r>
        <w:rPr/>
        <w:t>元为基数，</w:t>
      </w:r>
    </w:p>
    <w:p>
      <w:pPr>
        <w:spacing w:after="0" w:line="240" w:lineRule="auto"/>
        <w:jc w:val="left"/>
        <w:sectPr>
          <w:type w:val="continuous"/>
          <w:pgSz w:w="11910" w:h="16840"/>
          <w:pgMar w:top="1120" w:bottom="1520" w:left="1580" w:right="1020"/>
        </w:sectPr>
      </w:pPr>
    </w:p>
    <w:p>
      <w:pPr>
        <w:spacing w:line="240" w:lineRule="auto" w:before="12"/>
        <w:rPr>
          <w:rFonts w:ascii="宋体" w:hAnsi="宋体" w:cs="宋体" w:eastAsia="宋体" w:hint="default"/>
          <w:sz w:val="24"/>
          <w:szCs w:val="24"/>
        </w:rPr>
      </w:pPr>
    </w:p>
    <w:p>
      <w:pPr>
        <w:pStyle w:val="BodyText"/>
        <w:spacing w:line="297" w:lineRule="auto" w:before="36"/>
        <w:ind w:left="846" w:right="308"/>
        <w:jc w:val="both"/>
      </w:pPr>
      <w:r>
        <w:rPr>
          <w:spacing w:val="-1"/>
        </w:rPr>
        <w:t>提取</w:t>
      </w:r>
      <w:r>
        <w:rPr>
          <w:rFonts w:ascii="宋体" w:hAnsi="宋体" w:cs="宋体" w:eastAsia="宋体" w:hint="default"/>
          <w:spacing w:val="-1"/>
        </w:rPr>
        <w:t>10%</w:t>
      </w:r>
      <w:r>
        <w:rPr>
          <w:spacing w:val="-1"/>
        </w:rPr>
        <w:t>的法定盈余公积金</w:t>
      </w:r>
      <w:r>
        <w:rPr>
          <w:rFonts w:ascii="宋体" w:hAnsi="宋体" w:cs="宋体" w:eastAsia="宋体" w:hint="default"/>
          <w:spacing w:val="-1"/>
        </w:rPr>
        <w:t>29,152,443</w:t>
      </w:r>
      <w:r>
        <w:rPr>
          <w:spacing w:val="-1"/>
        </w:rPr>
        <w:t>元，提取</w:t>
      </w:r>
      <w:r>
        <w:rPr>
          <w:rFonts w:ascii="宋体" w:hAnsi="宋体" w:cs="宋体" w:eastAsia="宋体" w:hint="default"/>
          <w:spacing w:val="-1"/>
        </w:rPr>
        <w:t>5%</w:t>
      </w:r>
      <w:r>
        <w:rPr>
          <w:spacing w:val="-1"/>
        </w:rPr>
        <w:t>任意盈余公积金</w:t>
      </w:r>
      <w:r>
        <w:rPr>
          <w:rFonts w:ascii="宋体" w:hAnsi="宋体" w:cs="宋体" w:eastAsia="宋体" w:hint="default"/>
          <w:spacing w:val="-1"/>
        </w:rPr>
        <w:t>14,576,223</w:t>
      </w:r>
      <w:r>
        <w:rPr>
          <w:spacing w:val="-1"/>
        </w:rPr>
        <w:t>元，加往年</w:t>
      </w:r>
      <w:r>
        <w:rPr>
          <w:spacing w:val="-20"/>
        </w:rPr>
        <w:t> </w:t>
      </w:r>
      <w:r>
        <w:rPr>
          <w:spacing w:val="-20"/>
        </w:rPr>
      </w:r>
      <w:r>
        <w:rPr>
          <w:spacing w:val="-3"/>
        </w:rPr>
        <w:t>累积的未分配利润</w:t>
      </w:r>
      <w:r>
        <w:rPr>
          <w:rFonts w:ascii="宋体" w:hAnsi="宋体" w:cs="宋体" w:eastAsia="宋体" w:hint="default"/>
          <w:spacing w:val="-3"/>
        </w:rPr>
        <w:t>908,347,051</w:t>
      </w:r>
      <w:r>
        <w:rPr>
          <w:spacing w:val="-3"/>
        </w:rPr>
        <w:t>元，本次实际可供分配的利润为</w:t>
      </w:r>
      <w:r>
        <w:rPr>
          <w:rFonts w:ascii="宋体" w:hAnsi="宋体" w:cs="宋体" w:eastAsia="宋体" w:hint="default"/>
          <w:spacing w:val="-3"/>
        </w:rPr>
        <w:t>1,156,142,819</w:t>
      </w:r>
      <w:r>
        <w:rPr>
          <w:spacing w:val="-3"/>
        </w:rPr>
        <w:t>元；公司以</w:t>
      </w:r>
      <w:r>
        <w:rPr>
          <w:spacing w:val="-28"/>
        </w:rPr>
        <w:t> </w:t>
      </w:r>
      <w:r>
        <w:rPr>
          <w:spacing w:val="-28"/>
        </w:rPr>
      </w:r>
      <w:r>
        <w:rPr/>
        <w:t>总股本</w:t>
      </w:r>
      <w:r>
        <w:rPr>
          <w:rFonts w:ascii="宋体" w:hAnsi="宋体" w:cs="宋体" w:eastAsia="宋体" w:hint="default"/>
        </w:rPr>
        <w:t>1,464,293,443</w:t>
      </w:r>
      <w:r>
        <w:rPr/>
        <w:t>股（包括截至公司第六届董事会第三十三次会议的决议日公司股本</w:t>
      </w:r>
      <w:r>
        <w:rPr>
          <w:spacing w:val="-67"/>
        </w:rPr>
        <w:t> </w:t>
      </w:r>
      <w:r>
        <w:rPr>
          <w:spacing w:val="-67"/>
        </w:rPr>
      </w:r>
      <w:r>
        <w:rPr>
          <w:spacing w:val="-3"/>
        </w:rPr>
        <w:t>数</w:t>
      </w:r>
      <w:r>
        <w:rPr>
          <w:rFonts w:ascii="宋体" w:hAnsi="宋体" w:cs="宋体" w:eastAsia="宋体" w:hint="default"/>
          <w:spacing w:val="-3"/>
        </w:rPr>
        <w:t>1,464,106,603</w:t>
      </w:r>
      <w:r>
        <w:rPr>
          <w:spacing w:val="-3"/>
        </w:rPr>
        <w:t>股加上公司正在办理股票期权行权的股数</w:t>
      </w:r>
      <w:r>
        <w:rPr>
          <w:rFonts w:ascii="宋体" w:hAnsi="宋体" w:cs="宋体" w:eastAsia="宋体" w:hint="default"/>
          <w:spacing w:val="-3"/>
        </w:rPr>
        <w:t>186,840</w:t>
      </w:r>
      <w:r>
        <w:rPr>
          <w:spacing w:val="-3"/>
        </w:rPr>
        <w:t>股）为基数，拟向全体</w:t>
      </w:r>
      <w:r>
        <w:rPr>
          <w:spacing w:val="-30"/>
        </w:rPr>
        <w:t> </w:t>
      </w:r>
      <w:r>
        <w:rPr>
          <w:spacing w:val="-30"/>
        </w:rPr>
      </w:r>
      <w:r>
        <w:rPr/>
        <w:t>股东每</w:t>
      </w:r>
      <w:r>
        <w:rPr>
          <w:rFonts w:ascii="宋体" w:hAnsi="宋体" w:cs="宋体" w:eastAsia="宋体" w:hint="default"/>
        </w:rPr>
        <w:t>10</w:t>
      </w:r>
      <w:r>
        <w:rPr/>
        <w:t>股派发现金股利</w:t>
      </w:r>
      <w:r>
        <w:rPr>
          <w:rFonts w:ascii="宋体" w:hAnsi="宋体" w:cs="宋体" w:eastAsia="宋体" w:hint="default"/>
        </w:rPr>
        <w:t>1.5</w:t>
      </w:r>
      <w:r>
        <w:rPr/>
        <w:t>元</w:t>
      </w:r>
      <w:r>
        <w:rPr>
          <w:rFonts w:ascii="宋体" w:hAnsi="宋体" w:cs="宋体" w:eastAsia="宋体" w:hint="default"/>
        </w:rPr>
        <w:t>(</w:t>
      </w:r>
      <w:r>
        <w:rPr/>
        <w:t>含税</w:t>
      </w:r>
      <w:r>
        <w:rPr>
          <w:rFonts w:ascii="宋体" w:hAnsi="宋体" w:cs="宋体" w:eastAsia="宋体" w:hint="default"/>
        </w:rPr>
        <w:t>),</w:t>
      </w:r>
      <w:r>
        <w:rPr/>
        <w:t>共计派发现金股利</w:t>
      </w:r>
      <w:r>
        <w:rPr>
          <w:rFonts w:ascii="宋体" w:hAnsi="宋体" w:cs="宋体" w:eastAsia="宋体" w:hint="default"/>
        </w:rPr>
        <w:t>219,644,016</w:t>
      </w:r>
      <w:r>
        <w:rPr/>
        <w:t>元</w:t>
      </w:r>
      <w:r>
        <w:rPr>
          <w:rFonts w:ascii="宋体" w:hAnsi="宋体" w:cs="宋体" w:eastAsia="宋体" w:hint="default"/>
        </w:rPr>
        <w:t>(</w:t>
      </w:r>
      <w:r>
        <w:rPr/>
        <w:t>包含向持有未</w:t>
      </w:r>
      <w:r>
        <w:rPr>
          <w:spacing w:val="27"/>
        </w:rPr>
        <w:t> </w:t>
      </w:r>
      <w:r>
        <w:rPr>
          <w:spacing w:val="27"/>
        </w:rPr>
      </w:r>
      <w:r>
        <w:rPr>
          <w:spacing w:val="-3"/>
        </w:rPr>
        <w:t>解锁限制性股票的股权激励对象派发的现金股利</w:t>
      </w:r>
      <w:r>
        <w:rPr>
          <w:rFonts w:ascii="宋体" w:hAnsi="宋体" w:cs="宋体" w:eastAsia="宋体" w:hint="default"/>
          <w:spacing w:val="-3"/>
        </w:rPr>
        <w:t>676,375</w:t>
      </w:r>
      <w:r>
        <w:rPr>
          <w:spacing w:val="-3"/>
        </w:rPr>
        <w:t>元</w:t>
      </w:r>
      <w:r>
        <w:rPr>
          <w:rFonts w:ascii="宋体" w:hAnsi="宋体" w:cs="宋体" w:eastAsia="宋体" w:hint="default"/>
          <w:spacing w:val="-3"/>
        </w:rPr>
        <w:t>)</w:t>
      </w:r>
      <w:r>
        <w:rPr>
          <w:spacing w:val="-3"/>
        </w:rPr>
        <w:t>。派发现金股利后，公司未分</w:t>
      </w:r>
      <w:r>
        <w:rPr>
          <w:spacing w:val="-49"/>
        </w:rPr>
        <w:t> </w:t>
      </w:r>
      <w:r>
        <w:rPr>
          <w:spacing w:val="-49"/>
        </w:rPr>
      </w:r>
      <w:r>
        <w:rPr/>
        <w:t>配利润余额为</w:t>
      </w:r>
      <w:r>
        <w:rPr>
          <w:rFonts w:ascii="宋体" w:hAnsi="宋体" w:cs="宋体" w:eastAsia="宋体" w:hint="default"/>
        </w:rPr>
        <w:t>937,175,178</w:t>
      </w:r>
      <w:r>
        <w:rPr/>
        <w:t>元。</w:t>
      </w:r>
    </w:p>
    <w:p>
      <w:pPr>
        <w:spacing w:line="240" w:lineRule="auto" w:before="3"/>
        <w:rPr>
          <w:rFonts w:ascii="宋体" w:hAnsi="宋体" w:cs="宋体" w:eastAsia="宋体" w:hint="default"/>
          <w:sz w:val="27"/>
          <w:szCs w:val="27"/>
        </w:rPr>
      </w:pPr>
    </w:p>
    <w:p>
      <w:pPr>
        <w:pStyle w:val="BodyText"/>
        <w:tabs>
          <w:tab w:pos="845" w:val="left" w:leader="none"/>
        </w:tabs>
        <w:spacing w:line="297" w:lineRule="auto"/>
        <w:ind w:left="846" w:right="101" w:hanging="653"/>
        <w:jc w:val="left"/>
      </w:pPr>
      <w:r>
        <w:rPr>
          <w:rFonts w:ascii="宋体" w:hAnsi="宋体" w:cs="宋体" w:eastAsia="宋体" w:hint="default"/>
          <w:w w:val="100"/>
        </w:rPr>
        <w:t>2</w:t>
      </w:r>
      <w:r>
        <w:rPr>
          <w:w w:val="100"/>
        </w:rPr>
        <w:t>、</w:t>
        <w:tab/>
      </w:r>
      <w:r>
        <w:rPr>
          <w:spacing w:val="-3"/>
          <w:w w:val="100"/>
        </w:rPr>
        <w:t>本公司拟与北京用友创新投资中心（有限合伙）、北京锯人有福投资中心（有限合伙）及</w:t>
      </w:r>
      <w:r>
        <w:rPr>
          <w:w w:val="100"/>
        </w:rPr>
        <w:t> </w:t>
      </w:r>
      <w:r>
        <w:rPr>
          <w:spacing w:val="-4"/>
        </w:rPr>
        <w:t>北京聚贤汇才投资中心（有限合伙）共同发起设立用友薪福社云服务有限公司（以工商行</w:t>
      </w:r>
      <w:r>
        <w:rPr>
          <w:w w:val="100"/>
        </w:rPr>
        <w:t> </w:t>
      </w:r>
      <w:r>
        <w:rPr>
          <w:spacing w:val="-6"/>
          <w:w w:val="100"/>
        </w:rPr>
        <w:t>政管理机关核准的名称为准</w:t>
      </w:r>
      <w:r>
        <w:rPr>
          <w:rFonts w:ascii="宋体" w:hAnsi="宋体" w:cs="宋体" w:eastAsia="宋体" w:hint="default"/>
          <w:spacing w:val="-6"/>
          <w:w w:val="100"/>
        </w:rPr>
        <w:t>,</w:t>
      </w:r>
      <w:r>
        <w:rPr>
          <w:spacing w:val="-6"/>
          <w:w w:val="100"/>
        </w:rPr>
        <w:t>下称“用友薪福社公司”）。用友薪福社公司的注册资本为人</w:t>
      </w:r>
      <w:r>
        <w:rPr>
          <w:w w:val="100"/>
        </w:rPr>
        <w:t> </w:t>
      </w:r>
      <w:r>
        <w:rPr>
          <w:spacing w:val="-7"/>
          <w:w w:val="100"/>
        </w:rPr>
        <w:t>民币</w:t>
      </w:r>
      <w:r>
        <w:rPr>
          <w:rFonts w:ascii="宋体" w:hAnsi="宋体" w:cs="宋体" w:eastAsia="宋体" w:hint="default"/>
          <w:spacing w:val="-7"/>
          <w:w w:val="100"/>
        </w:rPr>
        <w:t>50,000,000</w:t>
      </w:r>
      <w:r>
        <w:rPr>
          <w:spacing w:val="-7"/>
          <w:w w:val="100"/>
        </w:rPr>
        <w:t>元，其中，本公司公司以现金人民币</w:t>
      </w:r>
      <w:r>
        <w:rPr>
          <w:rFonts w:ascii="宋体" w:hAnsi="宋体" w:cs="宋体" w:eastAsia="宋体" w:hint="default"/>
          <w:spacing w:val="-7"/>
          <w:w w:val="100"/>
        </w:rPr>
        <w:t>30,000,000</w:t>
      </w:r>
      <w:r>
        <w:rPr>
          <w:spacing w:val="-7"/>
          <w:w w:val="100"/>
        </w:rPr>
        <w:t>元出资，出资比例为</w:t>
      </w:r>
      <w:r>
        <w:rPr>
          <w:rFonts w:ascii="宋体" w:hAnsi="宋体" w:cs="宋体" w:eastAsia="宋体" w:hint="default"/>
          <w:spacing w:val="-7"/>
          <w:w w:val="100"/>
        </w:rPr>
        <w:t>60.00%</w:t>
      </w:r>
      <w:r>
        <w:rPr>
          <w:spacing w:val="-7"/>
          <w:w w:val="100"/>
        </w:rPr>
        <w:t>；</w:t>
      </w:r>
      <w:r>
        <w:rPr>
          <w:w w:val="100"/>
        </w:rPr>
        <w:t> </w:t>
      </w:r>
      <w:r>
        <w:rPr>
          <w:spacing w:val="-7"/>
          <w:w w:val="100"/>
        </w:rPr>
        <w:t>北京用友创新投资中心（有限合伙）以现金人民币</w:t>
      </w:r>
      <w:r>
        <w:rPr>
          <w:rFonts w:ascii="宋体" w:hAnsi="宋体" w:cs="宋体" w:eastAsia="宋体" w:hint="default"/>
          <w:spacing w:val="-7"/>
          <w:w w:val="100"/>
        </w:rPr>
        <w:t>15,835,000</w:t>
      </w:r>
      <w:r>
        <w:rPr>
          <w:spacing w:val="-7"/>
          <w:w w:val="100"/>
        </w:rPr>
        <w:t>元出资，出资比例为</w:t>
      </w:r>
      <w:r>
        <w:rPr>
          <w:rFonts w:ascii="宋体" w:hAnsi="宋体" w:cs="宋体" w:eastAsia="宋体" w:hint="default"/>
          <w:spacing w:val="-7"/>
          <w:w w:val="100"/>
        </w:rPr>
        <w:t>31.67%</w:t>
      </w:r>
      <w:r>
        <w:rPr>
          <w:spacing w:val="-7"/>
          <w:w w:val="100"/>
        </w:rPr>
        <w:t>；</w:t>
      </w:r>
      <w:r>
        <w:rPr>
          <w:w w:val="100"/>
        </w:rPr>
        <w:t> </w:t>
      </w:r>
      <w:r>
        <w:rPr/>
        <w:t>北京钜人有福投资中心（有限合伙）以现金人民币</w:t>
      </w:r>
      <w:r>
        <w:rPr>
          <w:rFonts w:ascii="宋体" w:hAnsi="宋体" w:cs="宋体" w:eastAsia="宋体" w:hint="default"/>
        </w:rPr>
        <w:t>2,085,000</w:t>
      </w:r>
      <w:r>
        <w:rPr/>
        <w:t>元出资，出资比例为</w:t>
      </w:r>
      <w:r>
        <w:rPr>
          <w:rFonts w:ascii="宋体" w:hAnsi="宋体" w:cs="宋体" w:eastAsia="宋体" w:hint="default"/>
        </w:rPr>
        <w:t>4.17%</w:t>
      </w:r>
      <w:r>
        <w:rPr/>
        <w:t>；</w:t>
      </w:r>
      <w:r>
        <w:rPr>
          <w:w w:val="100"/>
        </w:rPr>
        <w:t> </w:t>
      </w:r>
      <w:r>
        <w:rPr/>
        <w:t>北京聚贤汇才投资中心（有限合伙）以现金人民币</w:t>
      </w:r>
      <w:r>
        <w:rPr>
          <w:rFonts w:ascii="宋体" w:hAnsi="宋体" w:cs="宋体" w:eastAsia="宋体" w:hint="default"/>
        </w:rPr>
        <w:t>2,080,000</w:t>
      </w:r>
      <w:r>
        <w:rPr/>
        <w:t>元出资，出资比例为</w:t>
      </w:r>
      <w:r>
        <w:rPr>
          <w:rFonts w:ascii="宋体" w:hAnsi="宋体" w:cs="宋体" w:eastAsia="宋体" w:hint="default"/>
        </w:rPr>
        <w:t>4.16%</w:t>
      </w:r>
      <w:r>
        <w:rPr/>
        <w:t>。</w:t>
      </w:r>
      <w:r>
        <w:rPr>
          <w:w w:val="100"/>
        </w:rPr>
        <w:t> </w:t>
      </w:r>
      <w:r>
        <w:rPr/>
        <w:t>相关工商登记手续办理完毕。</w:t>
      </w:r>
    </w:p>
    <w:p>
      <w:pPr>
        <w:spacing w:line="240" w:lineRule="auto" w:before="3"/>
        <w:rPr>
          <w:rFonts w:ascii="宋体" w:hAnsi="宋体" w:cs="宋体" w:eastAsia="宋体" w:hint="default"/>
          <w:sz w:val="27"/>
          <w:szCs w:val="27"/>
        </w:rPr>
      </w:pPr>
    </w:p>
    <w:p>
      <w:pPr>
        <w:pStyle w:val="BodyText"/>
        <w:tabs>
          <w:tab w:pos="845" w:val="left" w:leader="none"/>
        </w:tabs>
        <w:spacing w:line="240" w:lineRule="auto"/>
        <w:ind w:left="193" w:right="225"/>
        <w:jc w:val="left"/>
      </w:pPr>
      <w:r>
        <w:rPr>
          <w:rFonts w:ascii="宋体" w:hAnsi="宋体" w:cs="宋体" w:eastAsia="宋体" w:hint="default"/>
        </w:rPr>
        <w:t>3</w:t>
      </w:r>
      <w:r>
        <w:rPr/>
        <w:t>、</w:t>
        <w:tab/>
      </w:r>
      <w:r>
        <w:rPr>
          <w:spacing w:val="17"/>
        </w:rPr>
        <w:t>本公司为用友</w:t>
      </w:r>
      <w:r>
        <w:rPr>
          <w:rFonts w:ascii="宋体" w:hAnsi="宋体" w:cs="宋体" w:eastAsia="宋体" w:hint="default"/>
          <w:spacing w:val="17"/>
        </w:rPr>
        <w:t>(</w:t>
      </w:r>
      <w:r>
        <w:rPr>
          <w:rFonts w:ascii="宋体" w:hAnsi="宋体" w:cs="宋体" w:eastAsia="宋体" w:hint="default"/>
          <w:spacing w:val="-36"/>
        </w:rPr>
        <w:t> </w:t>
      </w:r>
      <w:r>
        <w:rPr>
          <w:spacing w:val="13"/>
        </w:rPr>
        <w:t>南昌</w:t>
      </w:r>
      <w:r>
        <w:rPr>
          <w:rFonts w:ascii="宋体" w:hAnsi="宋体" w:cs="宋体" w:eastAsia="宋体" w:hint="default"/>
          <w:spacing w:val="13"/>
        </w:rPr>
        <w:t>)</w:t>
      </w:r>
      <w:r>
        <w:rPr>
          <w:rFonts w:ascii="宋体" w:hAnsi="宋体" w:cs="宋体" w:eastAsia="宋体" w:hint="default"/>
          <w:spacing w:val="-42"/>
        </w:rPr>
        <w:t> </w:t>
      </w:r>
      <w:r>
        <w:rPr>
          <w:spacing w:val="18"/>
        </w:rPr>
        <w:t>拟向北京银行南昌分行借入的长期借款提供担保共计人民币</w:t>
      </w:r>
    </w:p>
    <w:p>
      <w:pPr>
        <w:pStyle w:val="BodyText"/>
        <w:spacing w:line="240" w:lineRule="auto" w:before="66"/>
        <w:ind w:left="846" w:right="0"/>
        <w:jc w:val="both"/>
      </w:pPr>
      <w:r>
        <w:rPr>
          <w:rFonts w:ascii="宋体" w:hAnsi="宋体" w:cs="宋体" w:eastAsia="宋体" w:hint="default"/>
        </w:rPr>
        <w:t>300,000,000</w:t>
      </w:r>
      <w:r>
        <w:rPr/>
        <w:t>元，担保期限为</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19</w:t>
      </w:r>
      <w:r>
        <w:rPr/>
        <w:t>日至</w:t>
      </w:r>
      <w:r>
        <w:rPr>
          <w:rFonts w:ascii="宋体" w:hAnsi="宋体" w:cs="宋体" w:eastAsia="宋体" w:hint="default"/>
        </w:rPr>
        <w:t>2021</w:t>
      </w:r>
      <w:r>
        <w:rPr/>
        <w:t>年</w:t>
      </w:r>
      <w:r>
        <w:rPr>
          <w:rFonts w:ascii="宋体" w:hAnsi="宋体" w:cs="宋体" w:eastAsia="宋体" w:hint="default"/>
        </w:rPr>
        <w:t>1</w:t>
      </w:r>
      <w:r>
        <w:rPr/>
        <w:t>月</w:t>
      </w:r>
      <w:r>
        <w:rPr>
          <w:rFonts w:ascii="宋体" w:hAnsi="宋体" w:cs="宋体" w:eastAsia="宋体" w:hint="default"/>
        </w:rPr>
        <w:t>18</w:t>
      </w:r>
      <w:r>
        <w:rPr/>
        <w:t>日。</w:t>
      </w:r>
    </w:p>
    <w:p>
      <w:pPr>
        <w:spacing w:line="240" w:lineRule="auto" w:before="0"/>
        <w:rPr>
          <w:rFonts w:ascii="宋体" w:hAnsi="宋体" w:cs="宋体" w:eastAsia="宋体" w:hint="default"/>
          <w:sz w:val="20"/>
          <w:szCs w:val="20"/>
        </w:rPr>
      </w:pPr>
    </w:p>
    <w:p>
      <w:pPr>
        <w:pStyle w:val="BodyText"/>
        <w:spacing w:line="297" w:lineRule="auto" w:before="143"/>
        <w:ind w:left="846" w:right="307" w:hanging="653"/>
        <w:jc w:val="both"/>
      </w:pPr>
      <w:r>
        <w:rPr>
          <w:rFonts w:ascii="宋体" w:hAnsi="宋体" w:cs="宋体" w:eastAsia="宋体" w:hint="default"/>
        </w:rPr>
        <w:t>4</w:t>
      </w:r>
      <w:r>
        <w:rPr/>
        <w:t>、</w:t>
      </w:r>
      <w:r>
        <w:rPr>
          <w:spacing w:val="81"/>
        </w:rPr>
        <w:t> </w:t>
      </w:r>
      <w:r>
        <w:rPr>
          <w:spacing w:val="-3"/>
        </w:rPr>
        <w:t>本公司于</w:t>
      </w:r>
      <w:r>
        <w:rPr>
          <w:rFonts w:ascii="宋体" w:hAnsi="宋体" w:cs="宋体" w:eastAsia="宋体" w:hint="default"/>
          <w:spacing w:val="-3"/>
        </w:rPr>
        <w:t>2013</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12</w:t>
      </w:r>
      <w:r>
        <w:rPr>
          <w:spacing w:val="-3"/>
        </w:rPr>
        <w:t>日开始执行限制性股票激励计划，根据其解锁情况，董事会于</w:t>
      </w:r>
      <w:r>
        <w:rPr>
          <w:rFonts w:ascii="宋体" w:hAnsi="宋体" w:cs="宋体" w:eastAsia="宋体" w:hint="default"/>
          <w:spacing w:val="-3"/>
        </w:rPr>
        <w:t>2014</w:t>
      </w:r>
      <w:r>
        <w:rPr>
          <w:rFonts w:ascii="宋体" w:hAnsi="宋体" w:cs="宋体" w:eastAsia="宋体" w:hint="default"/>
          <w:spacing w:val="-102"/>
        </w:rPr>
        <w:t> </w:t>
      </w:r>
      <w:r>
        <w:rPr>
          <w:rFonts w:ascii="宋体" w:hAnsi="宋体" w:cs="宋体" w:eastAsia="宋体" w:hint="default"/>
          <w:spacing w:val="-102"/>
        </w:rPr>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30</w:t>
      </w:r>
      <w:r>
        <w:rPr>
          <w:spacing w:val="-3"/>
        </w:rPr>
        <w:t>日、</w:t>
      </w:r>
      <w:r>
        <w:rPr>
          <w:rFonts w:ascii="宋体" w:hAnsi="宋体" w:cs="宋体" w:eastAsia="宋体" w:hint="default"/>
          <w:spacing w:val="-3"/>
        </w:rPr>
        <w:t>2014</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10</w:t>
      </w:r>
      <w:r>
        <w:rPr>
          <w:spacing w:val="-3"/>
        </w:rPr>
        <w:t>日、</w:t>
      </w:r>
      <w:r>
        <w:rPr>
          <w:rFonts w:ascii="宋体" w:hAnsi="宋体" w:cs="宋体" w:eastAsia="宋体" w:hint="default"/>
          <w:spacing w:val="-3"/>
        </w:rPr>
        <w:t>2015</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19</w:t>
      </w:r>
      <w:r>
        <w:rPr>
          <w:spacing w:val="-3"/>
        </w:rPr>
        <w:t>日及</w:t>
      </w:r>
      <w:r>
        <w:rPr>
          <w:rFonts w:ascii="宋体" w:hAnsi="宋体" w:cs="宋体" w:eastAsia="宋体" w:hint="default"/>
          <w:spacing w:val="-3"/>
        </w:rPr>
        <w:t>2015</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10</w:t>
      </w:r>
      <w:r>
        <w:rPr>
          <w:spacing w:val="-3"/>
        </w:rPr>
        <w:t>日分别召开董事会会议，均</w:t>
      </w:r>
      <w:r>
        <w:rPr>
          <w:w w:val="100"/>
        </w:rPr>
        <w:t> </w:t>
      </w:r>
      <w:r>
        <w:rPr>
          <w:spacing w:val="2"/>
        </w:rPr>
        <w:t>审议通过了《公司关于作废部分已授出股票期权及回购注销部分已授出限制性股票的议</w:t>
      </w:r>
      <w:r>
        <w:rPr>
          <w:w w:val="100"/>
        </w:rPr>
        <w:t> </w:t>
      </w:r>
      <w:r>
        <w:rPr>
          <w:spacing w:val="-6"/>
          <w:w w:val="100"/>
        </w:rPr>
        <w:t>案》，决定回购部分已授予但尚未解锁的限制性股票，股数共计</w:t>
      </w:r>
      <w:r>
        <w:rPr>
          <w:rFonts w:ascii="宋体" w:hAnsi="宋体" w:cs="宋体" w:eastAsia="宋体" w:hint="default"/>
          <w:spacing w:val="-6"/>
          <w:w w:val="100"/>
        </w:rPr>
        <w:t>581,717</w:t>
      </w:r>
      <w:r>
        <w:rPr>
          <w:spacing w:val="-6"/>
          <w:w w:val="100"/>
        </w:rPr>
        <w:t>股，已过户至公司</w:t>
      </w:r>
      <w:r>
        <w:rPr>
          <w:w w:val="100"/>
        </w:rPr>
        <w:t> </w:t>
      </w:r>
      <w:r>
        <w:rPr>
          <w:spacing w:val="-3"/>
        </w:rPr>
        <w:t>开立的回购专用证券户，并于</w:t>
      </w:r>
      <w:r>
        <w:rPr>
          <w:rFonts w:ascii="宋体" w:hAnsi="宋体" w:cs="宋体" w:eastAsia="宋体" w:hint="default"/>
          <w:spacing w:val="-3"/>
        </w:rPr>
        <w:t>2016</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4</w:t>
      </w:r>
      <w:r>
        <w:rPr>
          <w:spacing w:val="-3"/>
        </w:rPr>
        <w:t>日完成注销。限制性股票对应的股本由</w:t>
      </w:r>
      <w:r>
        <w:rPr>
          <w:rFonts w:ascii="宋体" w:hAnsi="宋体" w:cs="宋体" w:eastAsia="宋体" w:hint="default"/>
          <w:spacing w:val="-3"/>
        </w:rPr>
        <w:t>2015</w:t>
      </w:r>
      <w:r>
        <w:rPr>
          <w:spacing w:val="-3"/>
        </w:rPr>
        <w:t>年</w:t>
      </w:r>
      <w:r>
        <w:rPr>
          <w:rFonts w:ascii="宋体" w:hAnsi="宋体" w:cs="宋体" w:eastAsia="宋体" w:hint="default"/>
          <w:spacing w:val="-3"/>
        </w:rPr>
        <w:t>12</w:t>
      </w:r>
      <w:r>
        <w:rPr>
          <w:rFonts w:ascii="宋体" w:hAnsi="宋体" w:cs="宋体" w:eastAsia="宋体" w:hint="default"/>
          <w:w w:val="100"/>
        </w:rPr>
        <w:t> </w:t>
      </w:r>
      <w:r>
        <w:rPr/>
        <w:t>月</w:t>
      </w:r>
      <w:r>
        <w:rPr>
          <w:rFonts w:ascii="宋体" w:hAnsi="宋体" w:cs="宋体" w:eastAsia="宋体" w:hint="default"/>
        </w:rPr>
        <w:t>31</w:t>
      </w:r>
      <w:r>
        <w:rPr/>
        <w:t>日的</w:t>
      </w:r>
      <w:r>
        <w:rPr>
          <w:rFonts w:ascii="宋体" w:hAnsi="宋体" w:cs="宋体" w:eastAsia="宋体" w:hint="default"/>
        </w:rPr>
        <w:t>1,464,688,320</w:t>
      </w:r>
      <w:r>
        <w:rPr/>
        <w:t>股变更为</w:t>
      </w:r>
      <w:r>
        <w:rPr>
          <w:rFonts w:ascii="宋体" w:hAnsi="宋体" w:cs="宋体" w:eastAsia="宋体" w:hint="default"/>
        </w:rPr>
        <w:t>1,464,106,603</w:t>
      </w:r>
      <w:r>
        <w:rPr/>
        <w:t>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2"/>
        <w:tabs>
          <w:tab w:pos="977" w:val="left" w:leader="none"/>
        </w:tabs>
        <w:spacing w:line="292" w:lineRule="auto" w:before="0"/>
        <w:ind w:left="138" w:right="7032"/>
        <w:jc w:val="left"/>
        <w:rPr>
          <w:b w:val="0"/>
          <w:bCs w:val="0"/>
        </w:rPr>
      </w:pPr>
      <w:r>
        <w:rPr/>
        <w:t>十六、</w:t>
        <w:tab/>
        <w:t>其他重要事项</w:t>
      </w:r>
      <w:r>
        <w:rPr>
          <w:spacing w:val="-104"/>
        </w:rPr>
        <w:t> </w:t>
      </w:r>
      <w:r>
        <w:rPr>
          <w:spacing w:val="-104"/>
        </w:rPr>
      </w:r>
      <w:r>
        <w:rPr>
          <w:rFonts w:ascii="宋体" w:hAnsi="宋体" w:cs="宋体" w:eastAsia="宋体" w:hint="default"/>
        </w:rPr>
        <w:t>1</w:t>
      </w:r>
      <w:r>
        <w:rPr/>
        <w:t>、</w:t>
      </w:r>
      <w:r>
        <w:rPr>
          <w:spacing w:val="5"/>
        </w:rPr>
        <w:t> </w:t>
      </w:r>
      <w:r>
        <w:rPr/>
        <w:t>前期会计差错更正</w:t>
      </w:r>
      <w:r>
        <w:rPr>
          <w:b w:val="0"/>
          <w:bCs w:val="0"/>
        </w:rPr>
      </w:r>
    </w:p>
    <w:p>
      <w:pPr>
        <w:pStyle w:val="BodyText"/>
        <w:spacing w:line="240" w:lineRule="auto" w:before="10"/>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before="0"/>
        <w:ind w:left="138" w:right="2465" w:firstLine="0"/>
        <w:jc w:val="left"/>
        <w:rPr>
          <w:rFonts w:ascii="宋体" w:hAnsi="宋体" w:cs="宋体" w:eastAsia="宋体" w:hint="default"/>
          <w:sz w:val="21"/>
          <w:szCs w:val="21"/>
        </w:rPr>
      </w:pPr>
      <w:r>
        <w:rPr>
          <w:rFonts w:ascii="宋体" w:hAnsi="宋体" w:cs="宋体" w:eastAsia="宋体" w:hint="default"/>
          <w:b/>
          <w:bCs/>
          <w:sz w:val="20"/>
          <w:szCs w:val="20"/>
        </w:rPr>
        <w:t>2</w:t>
      </w:r>
      <w:r>
        <w:rPr>
          <w:rFonts w:ascii="宋体" w:hAnsi="宋体" w:cs="宋体" w:eastAsia="宋体" w:hint="default"/>
          <w:b/>
          <w:bCs/>
          <w:sz w:val="20"/>
          <w:szCs w:val="20"/>
        </w:rPr>
        <w:t>、</w:t>
      </w:r>
      <w:r>
        <w:rPr>
          <w:rFonts w:ascii="宋体" w:hAnsi="宋体" w:cs="宋体" w:eastAsia="宋体" w:hint="default"/>
          <w:b/>
          <w:bCs/>
          <w:spacing w:val="22"/>
          <w:sz w:val="20"/>
          <w:szCs w:val="20"/>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58"/>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2465"/>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BodyText"/>
        <w:spacing w:line="240" w:lineRule="auto" w:before="56"/>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before="0"/>
        <w:ind w:left="138" w:right="2465" w:firstLine="0"/>
        <w:jc w:val="left"/>
        <w:rPr>
          <w:rFonts w:ascii="宋体" w:hAnsi="宋体" w:cs="宋体" w:eastAsia="宋体" w:hint="default"/>
          <w:sz w:val="21"/>
          <w:szCs w:val="21"/>
        </w:rPr>
      </w:pPr>
      <w:r>
        <w:rPr>
          <w:rFonts w:ascii="宋体" w:hAnsi="宋体" w:cs="宋体" w:eastAsia="宋体" w:hint="default"/>
          <w:b/>
          <w:bCs/>
          <w:sz w:val="20"/>
          <w:szCs w:val="20"/>
        </w:rPr>
        <w:t>4</w:t>
      </w:r>
      <w:r>
        <w:rPr>
          <w:rFonts w:ascii="宋体" w:hAnsi="宋体" w:cs="宋体" w:eastAsia="宋体" w:hint="default"/>
          <w:b/>
          <w:bCs/>
          <w:sz w:val="20"/>
          <w:szCs w:val="20"/>
        </w:rPr>
        <w:t>、</w:t>
      </w:r>
      <w:r>
        <w:rPr>
          <w:rFonts w:ascii="宋体" w:hAnsi="宋体" w:cs="宋体" w:eastAsia="宋体" w:hint="default"/>
          <w:b/>
          <w:bCs/>
          <w:spacing w:val="22"/>
          <w:sz w:val="20"/>
          <w:szCs w:val="20"/>
        </w:rPr>
        <w:t> </w:t>
      </w:r>
      <w:r>
        <w:rPr>
          <w:rFonts w:ascii="宋体" w:hAnsi="宋体" w:cs="宋体" w:eastAsia="宋体" w:hint="default"/>
          <w:b/>
          <w:bCs/>
          <w:sz w:val="21"/>
          <w:szCs w:val="21"/>
        </w:rPr>
        <w:t>年金计划</w:t>
      </w:r>
      <w:r>
        <w:rPr>
          <w:rFonts w:ascii="宋体" w:hAnsi="宋体" w:cs="宋体" w:eastAsia="宋体" w:hint="default"/>
          <w:sz w:val="21"/>
          <w:szCs w:val="21"/>
        </w:rPr>
      </w:r>
    </w:p>
    <w:p>
      <w:pPr>
        <w:pStyle w:val="BodyText"/>
        <w:spacing w:line="240" w:lineRule="auto" w:before="59"/>
        <w:ind w:right="2465"/>
        <w:jc w:val="left"/>
      </w:pPr>
      <w:r>
        <w:rPr/>
        <w:t>□适用</w:t>
      </w:r>
      <w:r>
        <w:rPr>
          <w:spacing w:val="-1"/>
        </w:rPr>
        <w:t> </w:t>
      </w:r>
      <w:r>
        <w:rPr/>
        <w:t>√不适用</w:t>
      </w:r>
    </w:p>
    <w:p>
      <w:pPr>
        <w:spacing w:after="0" w:line="240" w:lineRule="auto"/>
        <w:jc w:val="left"/>
        <w:sectPr>
          <w:pgSz w:w="11910" w:h="16840"/>
          <w:pgMar w:header="926" w:footer="1335" w:top="1120" w:bottom="1520" w:left="1660" w:right="960"/>
        </w:sectPr>
      </w:pPr>
    </w:p>
    <w:p>
      <w:pPr>
        <w:spacing w:line="240" w:lineRule="auto" w:before="1"/>
        <w:rPr>
          <w:rFonts w:ascii="宋体" w:hAnsi="宋体" w:cs="宋体" w:eastAsia="宋体" w:hint="default"/>
          <w:sz w:val="25"/>
          <w:szCs w:val="25"/>
        </w:rPr>
      </w:pPr>
    </w:p>
    <w:p>
      <w:pPr>
        <w:spacing w:before="36"/>
        <w:ind w:left="958" w:right="228" w:firstLine="0"/>
        <w:jc w:val="left"/>
        <w:rPr>
          <w:rFonts w:ascii="宋体" w:hAnsi="宋体" w:cs="宋体" w:eastAsia="宋体" w:hint="default"/>
          <w:sz w:val="21"/>
          <w:szCs w:val="21"/>
        </w:rPr>
      </w:pPr>
      <w:r>
        <w:rPr>
          <w:rFonts w:ascii="宋体" w:hAnsi="宋体" w:cs="宋体" w:eastAsia="宋体" w:hint="default"/>
          <w:b/>
          <w:bCs/>
          <w:sz w:val="20"/>
          <w:szCs w:val="20"/>
        </w:rPr>
        <w:t>5</w:t>
      </w:r>
      <w:r>
        <w:rPr>
          <w:rFonts w:ascii="宋体" w:hAnsi="宋体" w:cs="宋体" w:eastAsia="宋体" w:hint="default"/>
          <w:b/>
          <w:bCs/>
          <w:sz w:val="20"/>
          <w:szCs w:val="20"/>
        </w:rPr>
        <w:t>、</w:t>
      </w:r>
      <w:r>
        <w:rPr>
          <w:rFonts w:ascii="宋体" w:hAnsi="宋体" w:cs="宋体" w:eastAsia="宋体" w:hint="default"/>
          <w:b/>
          <w:bCs/>
          <w:spacing w:val="22"/>
          <w:sz w:val="20"/>
          <w:szCs w:val="20"/>
        </w:rPr>
        <w:t> </w:t>
      </w:r>
      <w:r>
        <w:rPr>
          <w:rFonts w:ascii="宋体" w:hAnsi="宋体" w:cs="宋体" w:eastAsia="宋体" w:hint="default"/>
          <w:b/>
          <w:bCs/>
          <w:sz w:val="21"/>
          <w:szCs w:val="21"/>
        </w:rPr>
        <w:t>终止经营</w:t>
      </w:r>
      <w:r>
        <w:rPr>
          <w:rFonts w:ascii="宋体" w:hAnsi="宋体" w:cs="宋体" w:eastAsia="宋体" w:hint="default"/>
          <w:sz w:val="21"/>
          <w:szCs w:val="21"/>
        </w:rPr>
      </w:r>
    </w:p>
    <w:p>
      <w:pPr>
        <w:pStyle w:val="BodyText"/>
        <w:spacing w:line="240" w:lineRule="auto" w:before="58"/>
        <w:ind w:left="958" w:right="22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0"/>
        <w:ind w:left="958" w:right="228"/>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BodyText"/>
        <w:spacing w:line="240" w:lineRule="auto" w:before="58"/>
        <w:ind w:left="958" w:right="228"/>
        <w:jc w:val="left"/>
      </w:pPr>
      <w:r>
        <w:rPr/>
        <w:t>√适用</w:t>
      </w:r>
      <w:r>
        <w:rPr>
          <w:spacing w:val="-1"/>
        </w:rPr>
        <w:t> </w:t>
      </w:r>
      <w:r>
        <w:rPr/>
        <w:t>□不适用</w:t>
      </w:r>
    </w:p>
    <w:p>
      <w:pPr>
        <w:tabs>
          <w:tab w:pos="1601" w:val="left" w:leader="none"/>
        </w:tabs>
        <w:spacing w:before="56"/>
        <w:ind w:left="958" w:right="228" w:firstLine="0"/>
        <w:jc w:val="left"/>
        <w:rPr>
          <w:rFonts w:ascii="宋体" w:hAnsi="宋体" w:cs="宋体" w:eastAsia="宋体" w:hint="default"/>
          <w:sz w:val="21"/>
          <w:szCs w:val="21"/>
        </w:rPr>
      </w:pPr>
      <w:r>
        <w:rPr>
          <w:rFonts w:ascii="宋体" w:hAnsi="宋体" w:cs="宋体" w:eastAsia="宋体" w:hint="default"/>
          <w:b/>
          <w:bCs/>
          <w:w w:val="95"/>
          <w:sz w:val="20"/>
          <w:szCs w:val="20"/>
        </w:rPr>
        <w:t>(1).</w:t>
        <w:tab/>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6"/>
        <w:rPr>
          <w:rFonts w:ascii="宋体" w:hAnsi="宋体" w:cs="宋体" w:eastAsia="宋体" w:hint="default"/>
          <w:b/>
          <w:bCs/>
          <w:sz w:val="25"/>
          <w:szCs w:val="25"/>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tabs>
          <w:tab w:pos="1601" w:val="left" w:leader="none"/>
        </w:tabs>
        <w:spacing w:before="36"/>
        <w:ind w:left="958" w:right="228" w:firstLine="0"/>
        <w:jc w:val="left"/>
        <w:rPr>
          <w:rFonts w:ascii="宋体" w:hAnsi="宋体" w:cs="宋体" w:eastAsia="宋体" w:hint="default"/>
          <w:sz w:val="21"/>
          <w:szCs w:val="21"/>
        </w:rPr>
      </w:pPr>
      <w:r>
        <w:rPr>
          <w:rFonts w:ascii="宋体" w:hAnsi="宋体" w:cs="宋体" w:eastAsia="宋体" w:hint="default"/>
          <w:b/>
          <w:bCs/>
          <w:w w:val="95"/>
          <w:sz w:val="20"/>
          <w:szCs w:val="20"/>
        </w:rPr>
        <w:t>(2).</w:t>
        <w:tab/>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tabs>
          <w:tab w:pos="998" w:val="left" w:leader="none"/>
        </w:tabs>
        <w:spacing w:before="58"/>
        <w:ind w:left="0" w:right="235" w:firstLine="0"/>
        <w:jc w:val="right"/>
        <w:rPr>
          <w:rFonts w:ascii="宋体" w:hAnsi="宋体" w:cs="宋体" w:eastAsia="宋体" w:hint="default"/>
          <w:sz w:val="20"/>
          <w:szCs w:val="20"/>
        </w:rPr>
      </w:pPr>
      <w:r>
        <w:rPr>
          <w:rFonts w:ascii="宋体" w:hAnsi="宋体" w:cs="宋体" w:eastAsia="宋体" w:hint="default"/>
          <w:w w:val="95"/>
          <w:sz w:val="20"/>
          <w:szCs w:val="20"/>
        </w:rPr>
        <w:t>单位：元</w:t>
        <w:tab/>
        <w:t>币种：人民币</w:t>
      </w:r>
      <w:r>
        <w:rPr>
          <w:rFonts w:ascii="宋体" w:hAnsi="宋体" w:cs="宋体" w:eastAsia="宋体" w:hint="default"/>
          <w:sz w:val="20"/>
          <w:szCs w:val="20"/>
        </w:rPr>
      </w:r>
    </w:p>
    <w:p>
      <w:pPr>
        <w:spacing w:line="240" w:lineRule="auto" w:before="4"/>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2665"/>
        <w:gridCol w:w="2132"/>
        <w:gridCol w:w="2119"/>
        <w:gridCol w:w="2134"/>
      </w:tblGrid>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分部</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66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tabs>
          <w:tab w:pos="1601" w:val="left" w:leader="none"/>
        </w:tabs>
        <w:spacing w:line="292" w:lineRule="auto" w:before="36"/>
        <w:ind w:left="1670" w:right="228" w:hanging="713"/>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b/>
          <w:bCs/>
          <w:w w:val="100"/>
          <w:sz w:val="21"/>
          <w:szCs w:val="21"/>
        </w:rPr>
        <w:t> </w:t>
      </w:r>
      <w:r>
        <w:rPr>
          <w:rFonts w:ascii="宋体" w:hAnsi="宋体" w:cs="宋体" w:eastAsia="宋体" w:hint="default"/>
          <w:spacing w:val="-4"/>
          <w:sz w:val="21"/>
          <w:szCs w:val="21"/>
        </w:rPr>
        <w:t>由于本集团收入逾</w:t>
      </w:r>
      <w:r>
        <w:rPr>
          <w:rFonts w:ascii="宋体" w:hAnsi="宋体" w:cs="宋体" w:eastAsia="宋体" w:hint="default"/>
          <w:spacing w:val="-4"/>
          <w:sz w:val="21"/>
          <w:szCs w:val="21"/>
        </w:rPr>
        <w:t>90%</w:t>
      </w:r>
      <w:r>
        <w:rPr>
          <w:rFonts w:ascii="宋体" w:hAnsi="宋体" w:cs="宋体" w:eastAsia="宋体" w:hint="default"/>
          <w:spacing w:val="-4"/>
          <w:sz w:val="21"/>
          <w:szCs w:val="21"/>
        </w:rPr>
        <w:t>来自于中国境内的客户，而且本集团资产逾</w:t>
      </w:r>
      <w:r>
        <w:rPr>
          <w:rFonts w:ascii="宋体" w:hAnsi="宋体" w:cs="宋体" w:eastAsia="宋体" w:hint="default"/>
          <w:spacing w:val="-4"/>
          <w:sz w:val="21"/>
          <w:szCs w:val="21"/>
        </w:rPr>
        <w:t>90%</w:t>
      </w:r>
      <w:r>
        <w:rPr>
          <w:rFonts w:ascii="宋体" w:hAnsi="宋体" w:cs="宋体" w:eastAsia="宋体" w:hint="default"/>
          <w:spacing w:val="-4"/>
          <w:sz w:val="21"/>
          <w:szCs w:val="21"/>
        </w:rPr>
        <w:t>位于中国境内，所以</w:t>
      </w:r>
      <w:r>
        <w:rPr>
          <w:rFonts w:ascii="宋体" w:hAnsi="宋体" w:cs="宋体" w:eastAsia="宋体" w:hint="default"/>
          <w:w w:val="100"/>
          <w:sz w:val="21"/>
          <w:szCs w:val="21"/>
        </w:rPr>
        <w:t> </w:t>
      </w:r>
      <w:r>
        <w:rPr>
          <w:rFonts w:ascii="宋体" w:hAnsi="宋体" w:cs="宋体" w:eastAsia="宋体" w:hint="default"/>
          <w:sz w:val="21"/>
          <w:szCs w:val="21"/>
        </w:rPr>
        <w:t>无须列报更详细的地区分部信息。</w:t>
      </w:r>
    </w:p>
    <w:p>
      <w:pPr>
        <w:spacing w:line="240" w:lineRule="auto" w:before="7"/>
        <w:rPr>
          <w:rFonts w:ascii="宋体" w:hAnsi="宋体" w:cs="宋体" w:eastAsia="宋体" w:hint="default"/>
          <w:sz w:val="27"/>
          <w:szCs w:val="27"/>
        </w:rPr>
      </w:pPr>
    </w:p>
    <w:p>
      <w:pPr>
        <w:pStyle w:val="BodyText"/>
        <w:spacing w:line="297" w:lineRule="auto"/>
        <w:ind w:left="1670" w:right="228"/>
        <w:jc w:val="left"/>
      </w:pPr>
      <w:r>
        <w:rPr>
          <w:spacing w:val="-1"/>
        </w:rPr>
        <w:t>由于本集团的收入和资产逾</w:t>
      </w:r>
      <w:r>
        <w:rPr>
          <w:rFonts w:ascii="宋体" w:hAnsi="宋体" w:cs="宋体" w:eastAsia="宋体" w:hint="default"/>
          <w:spacing w:val="-1"/>
        </w:rPr>
        <w:t>90%</w:t>
      </w:r>
      <w:r>
        <w:rPr>
          <w:spacing w:val="-1"/>
        </w:rPr>
        <w:t>与软件销售及相关技术服务有关，所以无须列报更详细的</w:t>
      </w:r>
      <w:r>
        <w:rPr>
          <w:spacing w:val="-28"/>
        </w:rPr>
        <w:t> </w:t>
      </w:r>
      <w:r>
        <w:rPr>
          <w:spacing w:val="-28"/>
        </w:rPr>
      </w:r>
      <w:r>
        <w:rPr/>
        <w:t>业务分部信息。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2"/>
        <w:tabs>
          <w:tab w:pos="1601" w:val="left" w:leader="none"/>
        </w:tabs>
        <w:spacing w:line="240" w:lineRule="auto" w:before="0"/>
        <w:ind w:left="958" w:right="228"/>
        <w:jc w:val="left"/>
        <w:rPr>
          <w:b w:val="0"/>
          <w:bCs w:val="0"/>
        </w:rPr>
      </w:pPr>
      <w:r>
        <w:rPr>
          <w:rFonts w:ascii="宋体" w:hAnsi="宋体" w:cs="宋体" w:eastAsia="宋体" w:hint="default"/>
          <w:w w:val="95"/>
        </w:rPr>
        <w:t>(4).</w:t>
        <w:tab/>
      </w:r>
      <w:r>
        <w:rPr/>
        <w:t>其他说明：</w:t>
      </w:r>
      <w:r>
        <w:rPr>
          <w:b w:val="0"/>
          <w:bCs w:val="0"/>
        </w:rPr>
      </w:r>
    </w:p>
    <w:p>
      <w:pPr>
        <w:spacing w:line="240" w:lineRule="auto" w:before="6"/>
        <w:rPr>
          <w:rFonts w:ascii="宋体" w:hAnsi="宋体" w:cs="宋体" w:eastAsia="宋体" w:hint="default"/>
          <w:b/>
          <w:bCs/>
          <w:sz w:val="25"/>
          <w:szCs w:val="25"/>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2"/>
        <w:spacing w:line="240" w:lineRule="auto"/>
        <w:ind w:left="958" w:right="228"/>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1"/>
          <w:szCs w:val="21"/>
        </w:rPr>
      </w:pPr>
    </w:p>
    <w:p>
      <w:pPr>
        <w:pStyle w:val="Heading2"/>
        <w:spacing w:line="240" w:lineRule="auto"/>
        <w:ind w:left="958" w:right="228"/>
        <w:jc w:val="left"/>
        <w:rPr>
          <w:b w:val="0"/>
          <w:bCs w:val="0"/>
        </w:rPr>
      </w:pPr>
      <w:r>
        <w:rPr>
          <w:rFonts w:ascii="宋体" w:hAnsi="宋体" w:cs="宋体" w:eastAsia="宋体" w:hint="default"/>
        </w:rPr>
        <w:t>8</w:t>
      </w:r>
      <w:r>
        <w:rPr/>
        <w:t>、</w:t>
      </w:r>
      <w:r>
        <w:rPr>
          <w:spacing w:val="2"/>
        </w:rPr>
        <w:t> </w:t>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6" w:footer="1335" w:top="1120" w:bottom="1520" w:left="840" w:right="1040"/>
        </w:sectPr>
      </w:pPr>
    </w:p>
    <w:p>
      <w:pPr>
        <w:pStyle w:val="Heading2"/>
        <w:tabs>
          <w:tab w:pos="1797" w:val="left" w:leader="none"/>
        </w:tabs>
        <w:spacing w:line="290" w:lineRule="auto" w:before="40"/>
        <w:ind w:left="95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2"/>
        <w:tabs>
          <w:tab w:pos="1797" w:val="left" w:leader="none"/>
        </w:tabs>
        <w:spacing w:line="240" w:lineRule="auto" w:before="14"/>
        <w:ind w:left="109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520" w:left="840" w:right="1040"/>
          <w:cols w:num="2" w:equalWidth="0">
            <w:col w:w="4539" w:space="1982"/>
            <w:col w:w="350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908"/>
        <w:gridCol w:w="1217"/>
        <w:gridCol w:w="377"/>
        <w:gridCol w:w="1217"/>
        <w:gridCol w:w="377"/>
        <w:gridCol w:w="1217"/>
        <w:gridCol w:w="1217"/>
        <w:gridCol w:w="377"/>
        <w:gridCol w:w="1217"/>
        <w:gridCol w:w="377"/>
        <w:gridCol w:w="1217"/>
      </w:tblGrid>
      <w:tr>
        <w:trPr>
          <w:trHeight w:val="281" w:hRule="exact"/>
        </w:trPr>
        <w:tc>
          <w:tcPr>
            <w:tcW w:w="9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4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908" w:type="dxa"/>
            <w:vMerge/>
            <w:tcBorders>
              <w:left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393" w:right="38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393" w:right="38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3" w:hRule="exact"/>
        </w:trPr>
        <w:tc>
          <w:tcPr>
            <w:tcW w:w="908"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3" w:right="24" w:firstLine="50"/>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24" w:right="24"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17"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6" w:right="23" w:firstLine="50"/>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26" w:right="23"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17"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520" w:left="8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908"/>
        <w:gridCol w:w="1217"/>
        <w:gridCol w:w="377"/>
        <w:gridCol w:w="1217"/>
        <w:gridCol w:w="377"/>
        <w:gridCol w:w="1217"/>
        <w:gridCol w:w="1217"/>
        <w:gridCol w:w="377"/>
        <w:gridCol w:w="1217"/>
        <w:gridCol w:w="377"/>
        <w:gridCol w:w="1217"/>
      </w:tblGrid>
      <w:tr>
        <w:trPr>
          <w:trHeight w:val="1373"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w:t>
            </w:r>
          </w:p>
          <w:p>
            <w:pPr>
              <w:pStyle w:val="TableParagraph"/>
              <w:spacing w:line="237" w:lineRule="auto"/>
              <w:ind w:left="26" w:right="27"/>
              <w:jc w:val="both"/>
              <w:rPr>
                <w:rFonts w:ascii="宋体" w:hAnsi="宋体" w:cs="宋体" w:eastAsia="宋体" w:hint="default"/>
                <w:sz w:val="21"/>
                <w:szCs w:val="21"/>
              </w:rPr>
            </w:pPr>
            <w:r>
              <w:rPr>
                <w:rFonts w:ascii="宋体" w:hAnsi="宋体" w:cs="宋体" w:eastAsia="宋体" w:hint="default"/>
                <w:sz w:val="21"/>
                <w:szCs w:val="21"/>
              </w:rPr>
              <w:t>重大并单</w:t>
            </w:r>
            <w:r>
              <w:rPr>
                <w:rFonts w:ascii="宋体" w:hAnsi="宋体" w:cs="宋体" w:eastAsia="宋体" w:hint="default"/>
                <w:w w:val="100"/>
                <w:sz w:val="21"/>
                <w:szCs w:val="21"/>
              </w:rPr>
              <w:t> </w:t>
            </w:r>
            <w:r>
              <w:rPr>
                <w:rFonts w:ascii="宋体" w:hAnsi="宋体" w:cs="宋体" w:eastAsia="宋体" w:hint="default"/>
                <w:sz w:val="21"/>
                <w:szCs w:val="21"/>
              </w:rPr>
              <w:t>独计提坏</w:t>
            </w:r>
            <w:r>
              <w:rPr>
                <w:rFonts w:ascii="宋体" w:hAnsi="宋体" w:cs="宋体" w:eastAsia="宋体" w:hint="default"/>
                <w:w w:val="100"/>
                <w:sz w:val="21"/>
                <w:szCs w:val="21"/>
              </w:rPr>
              <w:t> </w:t>
            </w:r>
            <w:r>
              <w:rPr>
                <w:rFonts w:ascii="宋体" w:hAnsi="宋体" w:cs="宋体" w:eastAsia="宋体" w:hint="default"/>
                <w:sz w:val="21"/>
                <w:szCs w:val="21"/>
              </w:rPr>
              <w:t>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spacing w:val="-1"/>
                <w:sz w:val="21"/>
              </w:rPr>
              <w:t>43,240,219</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6"/>
              <w:jc w:val="right"/>
              <w:rPr>
                <w:rFonts w:ascii="宋体" w:hAnsi="宋体" w:cs="宋体" w:eastAsia="宋体" w:hint="default"/>
                <w:sz w:val="21"/>
                <w:szCs w:val="21"/>
              </w:rPr>
            </w:pPr>
            <w:r>
              <w:rPr>
                <w:rFonts w:ascii="宋体"/>
                <w:w w:val="100"/>
                <w:sz w:val="21"/>
              </w:rPr>
              <w:t>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sz w:val="21"/>
              </w:rPr>
              <w:t>43,240,219</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sz w:val="21"/>
              </w:rPr>
              <w:t>100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27,429,116</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w w:val="100"/>
                <w:sz w:val="21"/>
              </w:rPr>
              <w:t>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27,429,116</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100</w:t>
            </w: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w:t>
            </w:r>
          </w:p>
          <w:p>
            <w:pPr>
              <w:pStyle w:val="TableParagraph"/>
              <w:spacing w:line="237" w:lineRule="auto" w:before="2"/>
              <w:ind w:left="26" w:right="27"/>
              <w:jc w:val="both"/>
              <w:rPr>
                <w:rFonts w:ascii="宋体" w:hAnsi="宋体" w:cs="宋体" w:eastAsia="宋体" w:hint="default"/>
                <w:sz w:val="21"/>
                <w:szCs w:val="21"/>
              </w:rPr>
            </w:pPr>
            <w:r>
              <w:rPr>
                <w:rFonts w:ascii="宋体" w:hAnsi="宋体" w:cs="宋体" w:eastAsia="宋体" w:hint="default"/>
                <w:sz w:val="21"/>
                <w:szCs w:val="21"/>
              </w:rPr>
              <w:t>险特征组</w:t>
            </w:r>
            <w:r>
              <w:rPr>
                <w:rFonts w:ascii="宋体" w:hAnsi="宋体" w:cs="宋体" w:eastAsia="宋体" w:hint="default"/>
                <w:w w:val="100"/>
                <w:sz w:val="21"/>
                <w:szCs w:val="21"/>
              </w:rPr>
              <w:t> </w:t>
            </w:r>
            <w:r>
              <w:rPr>
                <w:rFonts w:ascii="宋体" w:hAnsi="宋体" w:cs="宋体" w:eastAsia="宋体" w:hint="default"/>
                <w:sz w:val="21"/>
                <w:szCs w:val="21"/>
              </w:rPr>
              <w:t>合计提坏</w:t>
            </w:r>
            <w:r>
              <w:rPr>
                <w:rFonts w:ascii="宋体" w:hAnsi="宋体" w:cs="宋体" w:eastAsia="宋体" w:hint="default"/>
                <w:w w:val="100"/>
                <w:sz w:val="21"/>
                <w:szCs w:val="21"/>
              </w:rPr>
              <w:t> </w:t>
            </w:r>
            <w:r>
              <w:rPr>
                <w:rFonts w:ascii="宋体" w:hAnsi="宋体" w:cs="宋体" w:eastAsia="宋体" w:hint="default"/>
                <w:sz w:val="21"/>
                <w:szCs w:val="21"/>
              </w:rPr>
              <w:t>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858,321,991</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91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166,789,679</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691,532,312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850,609,264</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133,224,897</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717,384,367</w:t>
            </w:r>
          </w:p>
        </w:tc>
      </w:tr>
      <w:tr>
        <w:trPr>
          <w:trHeight w:val="1645"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w:t>
            </w:r>
          </w:p>
          <w:p>
            <w:pPr>
              <w:pStyle w:val="TableParagraph"/>
              <w:spacing w:line="237" w:lineRule="auto"/>
              <w:ind w:left="26" w:right="27"/>
              <w:jc w:val="both"/>
              <w:rPr>
                <w:rFonts w:ascii="宋体" w:hAnsi="宋体" w:cs="宋体" w:eastAsia="宋体" w:hint="default"/>
                <w:sz w:val="21"/>
                <w:szCs w:val="21"/>
              </w:rPr>
            </w:pPr>
            <w:r>
              <w:rPr>
                <w:rFonts w:ascii="宋体" w:hAnsi="宋体" w:cs="宋体" w:eastAsia="宋体" w:hint="default"/>
                <w:sz w:val="21"/>
                <w:szCs w:val="21"/>
              </w:rPr>
              <w:t>不重大但</w:t>
            </w:r>
            <w:r>
              <w:rPr>
                <w:rFonts w:ascii="宋体" w:hAnsi="宋体" w:cs="宋体" w:eastAsia="宋体" w:hint="default"/>
                <w:w w:val="100"/>
                <w:sz w:val="21"/>
                <w:szCs w:val="21"/>
              </w:rPr>
              <w:t> </w:t>
            </w:r>
            <w:r>
              <w:rPr>
                <w:rFonts w:ascii="宋体" w:hAnsi="宋体" w:cs="宋体" w:eastAsia="宋体" w:hint="default"/>
                <w:sz w:val="21"/>
                <w:szCs w:val="21"/>
              </w:rPr>
              <w:t>单独计提</w:t>
            </w:r>
            <w:r>
              <w:rPr>
                <w:rFonts w:ascii="宋体" w:hAnsi="宋体" w:cs="宋体" w:eastAsia="宋体" w:hint="default"/>
                <w:w w:val="100"/>
                <w:sz w:val="21"/>
                <w:szCs w:val="21"/>
              </w:rPr>
              <w:t> </w:t>
            </w: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的应收账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34,063,643</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w w:val="100"/>
                <w:sz w:val="21"/>
              </w:rPr>
              <w:t>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34,063,643</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33,880,040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33,880,040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935,625,853</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244,093,541</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691,532,312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911,918,420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194,534,053</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717,384,367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1"/>
          <w:pgSz w:w="11910" w:h="16840"/>
          <w:pgMar w:header="926" w:footer="1335" w:top="1120" w:bottom="1520" w:left="840" w:right="1040"/>
        </w:sectPr>
      </w:pPr>
    </w:p>
    <w:p>
      <w:pPr>
        <w:pStyle w:val="BodyText"/>
        <w:spacing w:line="240" w:lineRule="auto" w:before="36"/>
        <w:ind w:left="958" w:right="0"/>
        <w:jc w:val="left"/>
      </w:pPr>
      <w:r>
        <w:rPr>
          <w:spacing w:val="-2"/>
        </w:rPr>
        <w:t>期末单项金额重大并单项计提坏账准备的应收账款：</w:t>
      </w:r>
    </w:p>
    <w:p>
      <w:pPr>
        <w:pStyle w:val="BodyText"/>
        <w:spacing w:line="240" w:lineRule="auto" w:before="58"/>
        <w:ind w:left="95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520" w:left="840" w:right="1040"/>
          <w:cols w:num="2" w:equalWidth="0">
            <w:col w:w="5793" w:space="729"/>
            <w:col w:w="3508"/>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2689"/>
        <w:gridCol w:w="1517"/>
        <w:gridCol w:w="1664"/>
        <w:gridCol w:w="1666"/>
        <w:gridCol w:w="1514"/>
      </w:tblGrid>
      <w:tr>
        <w:trPr>
          <w:trHeight w:val="281" w:hRule="exact"/>
        </w:trPr>
        <w:tc>
          <w:tcPr>
            <w:tcW w:w="2689" w:type="dxa"/>
            <w:vMerge w:val="restart"/>
            <w:tcBorders>
              <w:top w:val="single" w:sz="4" w:space="0" w:color="000000"/>
              <w:left w:val="single" w:sz="4" w:space="0" w:color="000000"/>
              <w:right w:val="single" w:sz="4" w:space="0" w:color="000000"/>
            </w:tcBorders>
          </w:tcPr>
          <w:p>
            <w:pPr>
              <w:pStyle w:val="TableParagraph"/>
              <w:spacing w:line="240" w:lineRule="auto" w:before="107"/>
              <w:ind w:left="39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2689"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0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Calibri" w:hAnsi="Calibri" w:cs="Calibri" w:eastAsia="Calibri" w:hint="default"/>
                <w:sz w:val="21"/>
                <w:szCs w:val="21"/>
              </w:rPr>
            </w:pPr>
            <w:r>
              <w:rPr>
                <w:rFonts w:ascii="宋体" w:hAnsi="宋体" w:cs="宋体" w:eastAsia="宋体" w:hint="default"/>
                <w:sz w:val="21"/>
                <w:szCs w:val="21"/>
              </w:rPr>
              <w:t>单位</w:t>
            </w:r>
            <w:r>
              <w:rPr>
                <w:rFonts w:ascii="宋体" w:hAnsi="宋体" w:cs="宋体" w:eastAsia="宋体" w:hint="default"/>
                <w:spacing w:val="-52"/>
                <w:sz w:val="21"/>
                <w:szCs w:val="21"/>
              </w:rPr>
              <w:t> </w:t>
            </w:r>
            <w:r>
              <w:rPr>
                <w:rFonts w:ascii="Calibri" w:hAnsi="Calibri" w:cs="Calibri" w:eastAsia="Calibri" w:hint="default"/>
                <w:sz w:val="21"/>
                <w:szCs w:val="21"/>
              </w:rPr>
              <w:t>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11,058,708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11,058,708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逾期尚未收回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r>
      <w:tr>
        <w:trPr>
          <w:trHeight w:val="55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Calibri" w:hAnsi="Calibri" w:cs="Calibri" w:eastAsia="Calibri" w:hint="default"/>
                <w:sz w:val="21"/>
                <w:szCs w:val="21"/>
              </w:rPr>
            </w:pPr>
            <w:r>
              <w:rPr>
                <w:rFonts w:ascii="宋体" w:hAnsi="宋体" w:cs="宋体" w:eastAsia="宋体" w:hint="default"/>
                <w:sz w:val="21"/>
                <w:szCs w:val="21"/>
              </w:rPr>
              <w:t>单位</w:t>
            </w:r>
            <w:r>
              <w:rPr>
                <w:rFonts w:ascii="宋体" w:hAnsi="宋体" w:cs="宋体" w:eastAsia="宋体" w:hint="default"/>
                <w:spacing w:val="-52"/>
                <w:sz w:val="21"/>
                <w:szCs w:val="21"/>
              </w:rPr>
              <w:t> </w:t>
            </w:r>
            <w:r>
              <w:rPr>
                <w:rFonts w:ascii="Calibri" w:hAnsi="Calibri" w:cs="Calibri" w:eastAsia="Calibri" w:hint="default"/>
                <w:sz w:val="21"/>
                <w:szCs w:val="21"/>
              </w:rPr>
              <w:t>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7,861,538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7,861,538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逾期尚未收回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r>
      <w:tr>
        <w:trPr>
          <w:trHeight w:val="55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Calibri" w:hAnsi="Calibri" w:cs="Calibri" w:eastAsia="Calibri" w:hint="default"/>
                <w:sz w:val="21"/>
                <w:szCs w:val="21"/>
              </w:rPr>
            </w:pPr>
            <w:r>
              <w:rPr>
                <w:rFonts w:ascii="宋体" w:hAnsi="宋体" w:cs="宋体" w:eastAsia="宋体" w:hint="default"/>
                <w:sz w:val="21"/>
                <w:szCs w:val="21"/>
              </w:rPr>
              <w:t>单位</w:t>
            </w:r>
            <w:r>
              <w:rPr>
                <w:rFonts w:ascii="宋体" w:hAnsi="宋体" w:cs="宋体" w:eastAsia="宋体" w:hint="default"/>
                <w:spacing w:val="-52"/>
                <w:sz w:val="21"/>
                <w:szCs w:val="21"/>
              </w:rPr>
              <w:t> </w:t>
            </w:r>
            <w:r>
              <w:rPr>
                <w:rFonts w:ascii="Calibri" w:hAnsi="Calibri" w:cs="Calibri" w:eastAsia="Calibri" w:hint="default"/>
                <w:sz w:val="21"/>
                <w:szCs w:val="21"/>
              </w:rPr>
              <w:t>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3,548,291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3,548,291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逾期尚未收回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r>
      <w:tr>
        <w:trPr>
          <w:trHeight w:val="557"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20,771,682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20,771,682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逾期尚未收回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r>
      <w:tr>
        <w:trPr>
          <w:trHeight w:val="281"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43,240,219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43,240,219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520" w:left="840" w:right="1040"/>
        </w:sectPr>
      </w:pPr>
    </w:p>
    <w:p>
      <w:pPr>
        <w:pStyle w:val="BodyText"/>
        <w:spacing w:line="240" w:lineRule="auto" w:before="36"/>
        <w:ind w:left="958" w:right="0"/>
        <w:jc w:val="left"/>
      </w:pPr>
      <w:r>
        <w:rPr>
          <w:spacing w:val="-2"/>
        </w:rPr>
        <w:t>组合中，按账龄分析法计提坏账准备的应收账款：</w:t>
      </w:r>
    </w:p>
    <w:p>
      <w:pPr>
        <w:pStyle w:val="BodyText"/>
        <w:spacing w:line="240" w:lineRule="auto" w:before="58"/>
        <w:ind w:left="9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520" w:left="840" w:right="1040"/>
          <w:cols w:num="2" w:equalWidth="0">
            <w:col w:w="5584" w:space="938"/>
            <w:col w:w="3508"/>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381,168,616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136,550,988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13,655,099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121,442,495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24,288,498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520" w:left="8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94,654,991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37,861,996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40%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67,041,634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33,520,817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57,463,267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57,463,269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858,321,991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166,789,679</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18" w:right="2465"/>
        <w:jc w:val="left"/>
      </w:pPr>
      <w:r>
        <w:rPr/>
        <w:t>确定该组合依据的说明：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BodyText"/>
        <w:spacing w:line="240" w:lineRule="auto" w:before="36"/>
        <w:ind w:left="218" w:right="2465"/>
        <w:jc w:val="left"/>
      </w:pPr>
      <w:r>
        <w:rPr/>
        <w:t>组合中，采用余额百分比法计提坏账准备的应收账款：</w:t>
      </w:r>
    </w:p>
    <w:p>
      <w:pPr>
        <w:pStyle w:val="BodyText"/>
        <w:spacing w:line="240" w:lineRule="auto" w:before="58"/>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ind w:left="218" w:right="2465"/>
        <w:jc w:val="left"/>
      </w:pPr>
      <w:r>
        <w:rPr/>
        <w:t>组合中，采用其他方法计提坏账准备的应收账款：</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tabs>
          <w:tab w:pos="1057" w:val="left" w:leader="none"/>
        </w:tabs>
        <w:spacing w:before="36"/>
        <w:ind w:left="359" w:right="2465" w:firstLine="0"/>
        <w:jc w:val="left"/>
        <w:rPr>
          <w:rFonts w:ascii="宋体" w:hAnsi="宋体" w:cs="宋体" w:eastAsia="宋体" w:hint="default"/>
          <w:sz w:val="21"/>
          <w:szCs w:val="21"/>
        </w:rPr>
      </w:pPr>
      <w:r>
        <w:rPr>
          <w:rFonts w:ascii="宋体" w:hAnsi="宋体" w:cs="宋体" w:eastAsia="宋体" w:hint="default"/>
          <w:b/>
          <w:bCs/>
          <w:w w:val="95"/>
          <w:sz w:val="20"/>
          <w:szCs w:val="20"/>
        </w:rPr>
        <w:t>(2).</w:t>
        <w:tab/>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pStyle w:val="BodyText"/>
        <w:spacing w:line="240" w:lineRule="auto" w:before="58"/>
        <w:ind w:left="218" w:right="225"/>
        <w:jc w:val="left"/>
      </w:pPr>
      <w:r>
        <w:rPr/>
        <w:t>本期计提坏账准备金额</w:t>
      </w:r>
      <w:r>
        <w:rPr>
          <w:spacing w:val="-54"/>
        </w:rPr>
        <w:t> </w:t>
      </w:r>
      <w:r>
        <w:rPr>
          <w:rFonts w:ascii="宋体" w:hAnsi="宋体" w:cs="宋体" w:eastAsia="宋体" w:hint="default"/>
        </w:rPr>
        <w:t>53,283,707</w:t>
      </w:r>
      <w:r>
        <w:rPr>
          <w:rFonts w:ascii="宋体" w:hAnsi="宋体" w:cs="宋体" w:eastAsia="宋体" w:hint="default"/>
          <w:spacing w:val="-57"/>
        </w:rPr>
        <w:t> </w:t>
      </w:r>
      <w:r>
        <w:rPr/>
        <w:t>元；本期收回或转回坏账准备金额</w:t>
      </w:r>
      <w:r>
        <w:rPr>
          <w:spacing w:val="-55"/>
        </w:rPr>
        <w:t> </w:t>
      </w:r>
      <w:r>
        <w:rPr>
          <w:rFonts w:ascii="宋体" w:hAnsi="宋体" w:cs="宋体" w:eastAsia="宋体" w:hint="default"/>
        </w:rPr>
        <w:t>2,023,103</w:t>
      </w:r>
      <w:r>
        <w:rPr>
          <w:rFonts w:ascii="宋体" w:hAnsi="宋体" w:cs="宋体" w:eastAsia="宋体" w:hint="default"/>
          <w:spacing w:val="-54"/>
        </w:rPr>
        <w:t> </w:t>
      </w:r>
      <w:r>
        <w:rPr>
          <w:spacing w:val="-3"/>
        </w:rPr>
        <w:t>元。</w:t>
      </w:r>
      <w:r>
        <w:rPr/>
      </w:r>
    </w:p>
    <w:p>
      <w:pPr>
        <w:spacing w:line="240" w:lineRule="auto" w:before="8"/>
        <w:rPr>
          <w:rFonts w:ascii="宋体" w:hAnsi="宋体" w:cs="宋体" w:eastAsia="宋体" w:hint="default"/>
          <w:sz w:val="20"/>
          <w:szCs w:val="20"/>
        </w:rPr>
      </w:pPr>
    </w:p>
    <w:p>
      <w:pPr>
        <w:pStyle w:val="BodyText"/>
        <w:spacing w:line="273" w:lineRule="exact"/>
        <w:ind w:left="218" w:right="2465"/>
        <w:jc w:val="left"/>
      </w:pPr>
      <w:r>
        <w:rPr/>
        <w:t>其中本期坏账准备收回或转回金额重要的：</w:t>
      </w:r>
    </w:p>
    <w:p>
      <w:pPr>
        <w:pStyle w:val="BodyText"/>
        <w:spacing w:line="273" w:lineRule="exact"/>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92"/>
          <w:pgSz w:w="11910" w:h="16840"/>
          <w:pgMar w:footer="1335" w:header="926" w:top="1120" w:bottom="1520" w:left="1580" w:right="1040"/>
          <w:pgNumType w:start="120"/>
        </w:sectPr>
      </w:pPr>
    </w:p>
    <w:p>
      <w:pPr>
        <w:tabs>
          <w:tab w:pos="1057" w:val="left" w:leader="none"/>
        </w:tabs>
        <w:spacing w:before="36"/>
        <w:ind w:left="359" w:right="-6" w:firstLine="0"/>
        <w:jc w:val="left"/>
        <w:rPr>
          <w:rFonts w:ascii="宋体" w:hAnsi="宋体" w:cs="宋体" w:eastAsia="宋体" w:hint="default"/>
          <w:sz w:val="21"/>
          <w:szCs w:val="21"/>
        </w:rPr>
      </w:pPr>
      <w:r>
        <w:rPr>
          <w:rFonts w:ascii="宋体" w:hAnsi="宋体" w:cs="宋体" w:eastAsia="宋体" w:hint="default"/>
          <w:b/>
          <w:bCs/>
          <w:w w:val="95"/>
          <w:sz w:val="20"/>
          <w:szCs w:val="20"/>
        </w:rPr>
        <w:t>(3).</w:t>
        <w:tab/>
      </w:r>
      <w:r>
        <w:rPr>
          <w:rFonts w:ascii="宋体" w:hAnsi="宋体" w:cs="宋体" w:eastAsia="宋体" w:hint="default"/>
          <w:b/>
          <w:bCs/>
          <w:spacing w:val="-1"/>
          <w:sz w:val="21"/>
          <w:szCs w:val="21"/>
        </w:rPr>
        <w:t>本期实际核销的应收账款情况</w:t>
      </w:r>
      <w:r>
        <w:rPr>
          <w:rFonts w:ascii="宋体" w:hAnsi="宋体" w:cs="宋体" w:eastAsia="宋体" w:hint="default"/>
          <w:spacing w:val="-1"/>
          <w:sz w:val="21"/>
          <w:szCs w:val="21"/>
        </w:rPr>
      </w:r>
    </w:p>
    <w:p>
      <w:pPr>
        <w:pStyle w:val="BodyText"/>
        <w:spacing w:line="240" w:lineRule="auto" w:before="56"/>
        <w:ind w:left="218" w:right="-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3800" w:space="272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1,701,116</w:t>
            </w:r>
          </w:p>
        </w:tc>
      </w:tr>
    </w:tbl>
    <w:p>
      <w:pPr>
        <w:spacing w:line="240" w:lineRule="auto" w:before="5"/>
        <w:rPr>
          <w:rFonts w:ascii="宋体" w:hAnsi="宋体" w:cs="宋体" w:eastAsia="宋体" w:hint="default"/>
          <w:sz w:val="15"/>
          <w:szCs w:val="15"/>
        </w:rPr>
      </w:pPr>
    </w:p>
    <w:p>
      <w:pPr>
        <w:pStyle w:val="BodyText"/>
        <w:spacing w:line="274" w:lineRule="exact" w:before="36"/>
        <w:ind w:left="218" w:right="2465"/>
        <w:jc w:val="left"/>
      </w:pPr>
      <w:r>
        <w:rPr/>
        <w:t>其中重要的应收账款核销情况</w:t>
      </w:r>
    </w:p>
    <w:p>
      <w:pPr>
        <w:pStyle w:val="BodyText"/>
        <w:spacing w:line="274" w:lineRule="exact"/>
        <w:ind w:left="218"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before="0"/>
        <w:ind w:left="359" w:right="2465"/>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spacing w:line="240" w:lineRule="auto" w:before="8"/>
        <w:rPr>
          <w:rFonts w:ascii="宋体" w:hAnsi="宋体" w:cs="宋体" w:eastAsia="宋体" w:hint="default"/>
          <w:b/>
          <w:bCs/>
          <w:sz w:val="27"/>
          <w:szCs w:val="27"/>
        </w:rPr>
      </w:pPr>
    </w:p>
    <w:tbl>
      <w:tblPr>
        <w:tblW w:w="0" w:type="auto"/>
        <w:jc w:val="left"/>
        <w:tblInd w:w="208" w:type="dxa"/>
        <w:tblLayout w:type="fixed"/>
        <w:tblCellMar>
          <w:top w:w="0" w:type="dxa"/>
          <w:left w:w="0" w:type="dxa"/>
          <w:bottom w:w="0" w:type="dxa"/>
          <w:right w:w="0" w:type="dxa"/>
        </w:tblCellMar>
        <w:tblLook w:val="01E0"/>
      </w:tblPr>
      <w:tblGrid>
        <w:gridCol w:w="1699"/>
        <w:gridCol w:w="2276"/>
        <w:gridCol w:w="1985"/>
        <w:gridCol w:w="2269"/>
      </w:tblGrid>
      <w:tr>
        <w:trPr>
          <w:trHeight w:val="829"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应收账款年末余额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9" w:right="0" w:firstLine="208"/>
              <w:jc w:val="left"/>
              <w:rPr>
                <w:rFonts w:ascii="宋体" w:hAnsi="宋体" w:cs="宋体" w:eastAsia="宋体" w:hint="default"/>
                <w:sz w:val="21"/>
                <w:szCs w:val="21"/>
              </w:rPr>
            </w:pPr>
            <w:r>
              <w:rPr>
                <w:rFonts w:ascii="宋体" w:hAnsi="宋体" w:cs="宋体" w:eastAsia="宋体" w:hint="default"/>
                <w:sz w:val="21"/>
                <w:szCs w:val="21"/>
              </w:rPr>
              <w:t>应收账款年末余</w:t>
            </w:r>
          </w:p>
          <w:p>
            <w:pPr>
              <w:pStyle w:val="TableParagraph"/>
              <w:spacing w:line="272" w:lineRule="exact"/>
              <w:ind w:left="189" w:right="0"/>
              <w:jc w:val="left"/>
              <w:rPr>
                <w:rFonts w:ascii="宋体" w:hAnsi="宋体" w:cs="宋体" w:eastAsia="宋体" w:hint="default"/>
                <w:sz w:val="21"/>
                <w:szCs w:val="21"/>
              </w:rPr>
            </w:pPr>
            <w:r>
              <w:rPr>
                <w:rFonts w:ascii="宋体" w:hAnsi="宋体" w:cs="宋体" w:eastAsia="宋体" w:hint="default"/>
                <w:sz w:val="21"/>
                <w:szCs w:val="21"/>
              </w:rPr>
              <w:t>额占应收账款总额</w:t>
            </w:r>
          </w:p>
          <w:p>
            <w:pPr>
              <w:pStyle w:val="TableParagraph"/>
              <w:spacing w:line="274" w:lineRule="exact"/>
              <w:ind w:left="924" w:right="0"/>
              <w:jc w:val="left"/>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pacing w:val="-2"/>
                <w:sz w:val="21"/>
                <w:szCs w:val="21"/>
              </w:rPr>
              <w:t>坏账准备年末余额</w:t>
            </w:r>
          </w:p>
        </w:tc>
      </w:tr>
      <w:tr>
        <w:trPr>
          <w:trHeight w:val="28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11,507,869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33,130</w:t>
            </w:r>
          </w:p>
        </w:tc>
      </w:tr>
      <w:tr>
        <w:trPr>
          <w:trHeight w:val="281"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11,058,708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11,058,708</w:t>
            </w:r>
          </w:p>
        </w:tc>
      </w:tr>
      <w:tr>
        <w:trPr>
          <w:trHeight w:val="28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9,223,113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0.99</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7,861,538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7,861,538</w:t>
            </w:r>
          </w:p>
        </w:tc>
      </w:tr>
      <w:tr>
        <w:trPr>
          <w:trHeight w:val="281"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5,062,766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0.54</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44,713,994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18,953,376</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tabs>
          <w:tab w:pos="1057" w:val="left" w:leader="none"/>
        </w:tabs>
        <w:spacing w:line="240" w:lineRule="auto"/>
        <w:ind w:left="359" w:right="2465"/>
        <w:jc w:val="left"/>
        <w:rPr>
          <w:b w:val="0"/>
          <w:bCs w:val="0"/>
        </w:rPr>
      </w:pPr>
      <w:r>
        <w:rPr>
          <w:rFonts w:ascii="宋体" w:hAnsi="宋体" w:cs="宋体" w:eastAsia="宋体" w:hint="default"/>
          <w:w w:val="95"/>
        </w:rPr>
        <w:t>(5).</w:t>
        <w:tab/>
      </w:r>
      <w:r>
        <w:rPr/>
        <w:t>因金融资产转移而终止确认的应收账款：</w:t>
      </w:r>
      <w:r>
        <w:rPr>
          <w:b w:val="0"/>
          <w:bCs w:val="0"/>
        </w:rPr>
      </w:r>
    </w:p>
    <w:p>
      <w:pPr>
        <w:spacing w:line="240" w:lineRule="auto" w:before="6"/>
        <w:rPr>
          <w:rFonts w:ascii="宋体" w:hAnsi="宋体" w:cs="宋体" w:eastAsia="宋体" w:hint="default"/>
          <w:b/>
          <w:bCs/>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520" w:left="1580" w:right="104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pStyle w:val="Heading2"/>
        <w:tabs>
          <w:tab w:pos="2097" w:val="left" w:leader="none"/>
        </w:tabs>
        <w:spacing w:line="240" w:lineRule="auto"/>
        <w:ind w:left="1399" w:right="0"/>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spacing w:line="240" w:lineRule="auto" w:before="10"/>
        <w:rPr>
          <w:rFonts w:ascii="宋体" w:hAnsi="宋体" w:cs="宋体" w:eastAsia="宋体" w:hint="default"/>
          <w:b/>
          <w:bCs/>
          <w:sz w:val="23"/>
          <w:szCs w:val="23"/>
        </w:rPr>
      </w:pPr>
    </w:p>
    <w:p>
      <w:pPr>
        <w:spacing w:line="20" w:lineRule="exact"/>
        <w:ind w:left="114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3"/>
          <w:szCs w:val="13"/>
        </w:rPr>
      </w:pPr>
    </w:p>
    <w:p>
      <w:pPr>
        <w:pStyle w:val="BodyText"/>
        <w:spacing w:line="240" w:lineRule="auto" w:before="36"/>
        <w:ind w:left="1258" w:right="0"/>
        <w:jc w:val="left"/>
      </w:pPr>
      <w:r>
        <w:rPr/>
        <w:t>其他说明：</w:t>
      </w:r>
    </w:p>
    <w:p>
      <w:pPr>
        <w:spacing w:line="240" w:lineRule="auto" w:before="9"/>
        <w:rPr>
          <w:rFonts w:ascii="宋体" w:hAnsi="宋体" w:cs="宋体" w:eastAsia="宋体" w:hint="default"/>
          <w:sz w:val="20"/>
          <w:szCs w:val="20"/>
        </w:rPr>
      </w:pPr>
    </w:p>
    <w:p>
      <w:pPr>
        <w:spacing w:line="20" w:lineRule="exact"/>
        <w:ind w:left="114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6" w:footer="1335" w:top="1120" w:bottom="1520" w:left="540" w:right="1040"/>
        </w:sectPr>
      </w:pPr>
    </w:p>
    <w:p>
      <w:pPr>
        <w:pStyle w:val="Heading2"/>
        <w:spacing w:line="240" w:lineRule="auto" w:before="39"/>
        <w:ind w:left="1258" w:right="-19"/>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2"/>
        <w:spacing w:line="240" w:lineRule="auto" w:before="56"/>
        <w:ind w:left="125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520" w:left="540" w:right="1040"/>
          <w:cols w:num="2" w:equalWidth="0">
            <w:col w:w="3897" w:space="2625"/>
            <w:col w:w="3808"/>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337"/>
        <w:gridCol w:w="1217"/>
        <w:gridCol w:w="545"/>
        <w:gridCol w:w="1009"/>
        <w:gridCol w:w="377"/>
        <w:gridCol w:w="1217"/>
        <w:gridCol w:w="1217"/>
        <w:gridCol w:w="482"/>
        <w:gridCol w:w="1006"/>
        <w:gridCol w:w="377"/>
        <w:gridCol w:w="1217"/>
      </w:tblGrid>
      <w:tr>
        <w:trPr>
          <w:trHeight w:val="293" w:hRule="exact"/>
        </w:trPr>
        <w:tc>
          <w:tcPr>
            <w:tcW w:w="13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4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9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37" w:type="dxa"/>
            <w:vMerge/>
            <w:tcBorders>
              <w:left w:val="single" w:sz="4" w:space="0" w:color="000000"/>
              <w:right w:val="single" w:sz="4" w:space="0" w:color="000000"/>
            </w:tcBorders>
          </w:tcPr>
          <w:p>
            <w:pPr/>
          </w:p>
        </w:tc>
        <w:tc>
          <w:tcPr>
            <w:tcW w:w="17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1" w:right="39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3" w:right="38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1" w:hRule="exact"/>
        </w:trPr>
        <w:tc>
          <w:tcPr>
            <w:tcW w:w="1337"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0" w:right="5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23" w:right="24"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17"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6" w:right="2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26" w:right="23"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17" w:type="dxa"/>
            <w:vMerge/>
            <w:tcBorders>
              <w:left w:val="single" w:sz="4" w:space="0" w:color="000000"/>
              <w:bottom w:val="single" w:sz="4" w:space="0" w:color="000000"/>
              <w:right w:val="single" w:sz="4" w:space="0" w:color="000000"/>
            </w:tcBorders>
          </w:tcPr>
          <w:p>
            <w:pPr/>
          </w:p>
        </w:tc>
      </w:tr>
      <w:tr>
        <w:trPr>
          <w:trHeight w:val="1099"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37" w:lineRule="auto"/>
              <w:ind w:left="26" w:right="36"/>
              <w:jc w:val="both"/>
              <w:rPr>
                <w:rFonts w:ascii="宋体" w:hAnsi="宋体" w:cs="宋体" w:eastAsia="宋体" w:hint="default"/>
                <w:sz w:val="21"/>
                <w:szCs w:val="21"/>
              </w:rPr>
            </w:pP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1217"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37" w:lineRule="auto"/>
              <w:ind w:left="26" w:right="36"/>
              <w:jc w:val="both"/>
              <w:rPr>
                <w:rFonts w:ascii="宋体" w:hAnsi="宋体" w:cs="宋体" w:eastAsia="宋体" w:hint="default"/>
                <w:sz w:val="21"/>
                <w:szCs w:val="21"/>
              </w:rPr>
            </w:pP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账准备的其他</w:t>
            </w:r>
            <w:r>
              <w:rPr>
                <w:rFonts w:ascii="宋体" w:hAnsi="宋体" w:cs="宋体" w:eastAsia="宋体" w:hint="default"/>
                <w:w w:val="100"/>
                <w:sz w:val="21"/>
                <w:szCs w:val="21"/>
              </w:rPr>
              <w:t> </w:t>
            </w:r>
            <w:r>
              <w:rPr>
                <w:rFonts w:ascii="宋体" w:hAnsi="宋体" w:cs="宋体" w:eastAsia="宋体" w:hint="default"/>
                <w:sz w:val="21"/>
                <w:szCs w:val="21"/>
              </w:rPr>
              <w:t>应收款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821,952,925</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99.7</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5,802,697</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w w:val="100"/>
                <w:sz w:val="21"/>
              </w:rPr>
              <w:t>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816,150,228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657,017,568</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99.8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5,999,917</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651,017,651</w:t>
            </w:r>
          </w:p>
        </w:tc>
      </w:tr>
      <w:tr>
        <w:trPr>
          <w:trHeight w:val="1099"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37" w:lineRule="auto"/>
              <w:ind w:left="26" w:right="36"/>
              <w:jc w:val="both"/>
              <w:rPr>
                <w:rFonts w:ascii="宋体" w:hAnsi="宋体" w:cs="宋体" w:eastAsia="宋体" w:hint="default"/>
                <w:sz w:val="21"/>
                <w:szCs w:val="21"/>
              </w:rPr>
            </w:pP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坏账准备的其</w:t>
            </w:r>
            <w:r>
              <w:rPr>
                <w:rFonts w:ascii="宋体" w:hAnsi="宋体" w:cs="宋体" w:eastAsia="宋体" w:hint="default"/>
                <w:w w:val="100"/>
                <w:sz w:val="21"/>
                <w:szCs w:val="21"/>
              </w:rPr>
              <w:t> </w:t>
            </w:r>
            <w:r>
              <w:rPr>
                <w:rFonts w:ascii="宋体" w:hAnsi="宋体" w:cs="宋体" w:eastAsia="宋体" w:hint="default"/>
                <w:sz w:val="21"/>
                <w:szCs w:val="21"/>
              </w:rPr>
              <w:t>他应收款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2,224,454</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2,224,454</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1,326,696</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0.2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1,326,696</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c>
          <w:tcPr>
            <w:tcW w:w="12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824,177,379</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8,027,151</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816,150,228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658,344,264</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7,326,613</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651,017,651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520" w:left="540" w:right="1040"/>
        </w:sectPr>
      </w:pPr>
    </w:p>
    <w:p>
      <w:pPr>
        <w:pStyle w:val="BodyText"/>
        <w:spacing w:line="240" w:lineRule="auto" w:before="36"/>
        <w:ind w:left="1258" w:right="0"/>
        <w:jc w:val="left"/>
      </w:pPr>
      <w:r>
        <w:rPr>
          <w:spacing w:val="-2"/>
        </w:rPr>
        <w:t>期末单项金额重大并单项计提坏账准备的其他应收款：</w:t>
      </w:r>
    </w:p>
    <w:p>
      <w:pPr>
        <w:pStyle w:val="BodyText"/>
        <w:spacing w:line="290" w:lineRule="auto" w:before="58"/>
        <w:ind w:left="1258" w:right="0"/>
        <w:jc w:val="left"/>
      </w:pPr>
      <w:r>
        <w:rPr/>
        <w:t>□适用√不适用</w:t>
      </w:r>
      <w:r>
        <w:rPr>
          <w:w w:val="100"/>
        </w:rPr>
        <w:t> </w:t>
      </w:r>
      <w:r>
        <w:rPr>
          <w:spacing w:val="-2"/>
        </w:rPr>
        <w:t>组合中，按账龄分析法计提坏账准备的其他应收款：</w:t>
      </w:r>
    </w:p>
    <w:p>
      <w:pPr>
        <w:pStyle w:val="BodyText"/>
        <w:spacing w:line="240" w:lineRule="auto" w:before="15"/>
        <w:ind w:left="125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520" w:left="540" w:right="1040"/>
          <w:cols w:num="2" w:equalWidth="0">
            <w:col w:w="6304" w:space="217"/>
            <w:col w:w="3809"/>
          </w:cols>
        </w:sectPr>
      </w:pP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799,952,028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9,464,502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946,450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7,132,528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1,426,506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2,379,048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951,619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1,093,393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546,696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w:t>
            </w:r>
          </w:p>
        </w:tc>
      </w:tr>
    </w:tbl>
    <w:p>
      <w:pPr>
        <w:spacing w:after="0" w:line="241" w:lineRule="exact"/>
        <w:jc w:val="right"/>
        <w:rPr>
          <w:rFonts w:ascii="宋体" w:hAnsi="宋体" w:cs="宋体" w:eastAsia="宋体" w:hint="default"/>
          <w:sz w:val="21"/>
          <w:szCs w:val="21"/>
        </w:rPr>
        <w:sectPr>
          <w:type w:val="continuous"/>
          <w:pgSz w:w="11910" w:h="16840"/>
          <w:pgMar w:top="1120" w:bottom="1520" w:left="5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1,931,426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1,931,426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821,952,925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5,802,697</w:t>
            </w: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218" w:right="2465"/>
        <w:jc w:val="left"/>
      </w:pPr>
      <w:r>
        <w:rPr/>
        <w:t>确定该组合依据的说明：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BodyText"/>
        <w:spacing w:line="240" w:lineRule="auto" w:before="36"/>
        <w:ind w:left="218" w:right="2465"/>
        <w:jc w:val="left"/>
      </w:pPr>
      <w:r>
        <w:rPr/>
        <w:t>组合中，采用余额百分比法计提坏账准备的其他应收款：</w:t>
      </w:r>
    </w:p>
    <w:p>
      <w:pPr>
        <w:pStyle w:val="BodyText"/>
        <w:spacing w:line="528" w:lineRule="auto" w:before="56"/>
        <w:ind w:left="218" w:right="4063"/>
        <w:jc w:val="left"/>
      </w:pPr>
      <w:r>
        <w:rPr/>
        <w:t>□适用</w:t>
      </w:r>
      <w:r>
        <w:rPr>
          <w:spacing w:val="-2"/>
        </w:rPr>
        <w:t> </w:t>
      </w:r>
      <w:r>
        <w:rPr/>
        <w:t>√不适用</w:t>
      </w:r>
      <w:r>
        <w:rPr>
          <w:w w:val="100"/>
        </w:rPr>
        <w:t> </w:t>
      </w:r>
      <w:r>
        <w:rPr>
          <w:spacing w:val="-2"/>
        </w:rPr>
        <w:t>组合中，采用其他方法计提坏账准备的其他应收款：</w:t>
      </w:r>
    </w:p>
    <w:p>
      <w:pPr>
        <w:spacing w:line="240" w:lineRule="auto" w:before="2"/>
        <w:rPr>
          <w:rFonts w:ascii="宋体" w:hAnsi="宋体" w:cs="宋体" w:eastAsia="宋体" w:hint="default"/>
          <w:sz w:val="6"/>
          <w:szCs w:val="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before="36"/>
        <w:ind w:left="218" w:right="2465" w:firstLine="0"/>
        <w:jc w:val="left"/>
        <w:rPr>
          <w:rFonts w:ascii="宋体" w:hAnsi="宋体" w:cs="宋体" w:eastAsia="宋体" w:hint="default"/>
          <w:sz w:val="21"/>
          <w:szCs w:val="21"/>
        </w:rPr>
      </w:pPr>
      <w:r>
        <w:rPr>
          <w:rFonts w:ascii="宋体" w:hAnsi="宋体" w:cs="宋体" w:eastAsia="宋体" w:hint="default"/>
          <w:b/>
          <w:bCs/>
          <w:sz w:val="20"/>
          <w:szCs w:val="20"/>
        </w:rPr>
        <w:t>(2). </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pStyle w:val="BodyText"/>
        <w:spacing w:line="240" w:lineRule="auto" w:before="56"/>
        <w:ind w:left="218" w:right="1292"/>
        <w:jc w:val="left"/>
      </w:pPr>
      <w:r>
        <w:rPr/>
        <w:t>本期计提坏账准备金额</w:t>
      </w:r>
      <w:r>
        <w:rPr>
          <w:spacing w:val="-54"/>
        </w:rPr>
        <w:t> </w:t>
      </w:r>
      <w:r>
        <w:rPr>
          <w:rFonts w:ascii="宋体" w:hAnsi="宋体" w:cs="宋体" w:eastAsia="宋体" w:hint="default"/>
        </w:rPr>
        <w:t>2,174,887</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1,474,349</w:t>
      </w:r>
      <w:r>
        <w:rPr>
          <w:rFonts w:ascii="宋体" w:hAnsi="宋体" w:cs="宋体" w:eastAsia="宋体" w:hint="default"/>
          <w:spacing w:val="-54"/>
        </w:rPr>
        <w:t> </w:t>
      </w:r>
      <w:r>
        <w:rPr>
          <w:spacing w:val="-3"/>
        </w:rPr>
        <w:t>元。</w:t>
      </w:r>
      <w:r>
        <w:rPr>
          <w:spacing w:val="-3"/>
          <w:w w:val="100"/>
        </w:rPr>
        <w:t> </w:t>
      </w:r>
      <w:r>
        <w:rPr/>
        <w:t>其中本期坏账准备转回或收回金额重要的：</w:t>
      </w:r>
    </w:p>
    <w:p>
      <w:pPr>
        <w:pStyle w:val="BodyText"/>
        <w:spacing w:line="271" w:lineRule="exact"/>
        <w:ind w:left="218" w:right="2465"/>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1" w:lineRule="exact"/>
        <w:ind w:left="218" w:right="2465"/>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before="36"/>
        <w:ind w:left="218" w:right="2465" w:firstLine="0"/>
        <w:jc w:val="left"/>
        <w:rPr>
          <w:rFonts w:ascii="宋体" w:hAnsi="宋体" w:cs="宋体" w:eastAsia="宋体" w:hint="default"/>
          <w:sz w:val="21"/>
          <w:szCs w:val="21"/>
        </w:rPr>
      </w:pPr>
      <w:r>
        <w:rPr>
          <w:rFonts w:ascii="宋体" w:hAnsi="宋体" w:cs="宋体" w:eastAsia="宋体" w:hint="default"/>
          <w:b/>
          <w:bCs/>
          <w:sz w:val="20"/>
          <w:szCs w:val="20"/>
        </w:rPr>
        <w:t>(3).</w:t>
      </w:r>
      <w:r>
        <w:rPr>
          <w:rFonts w:ascii="宋体" w:hAnsi="宋体" w:cs="宋体" w:eastAsia="宋体" w:hint="default"/>
          <w:b/>
          <w:bCs/>
          <w:spacing w:val="-2"/>
          <w:sz w:val="20"/>
          <w:szCs w:val="20"/>
        </w:rPr>
        <w:t> </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pStyle w:val="BodyText"/>
        <w:spacing w:line="240" w:lineRule="auto" w:before="58"/>
        <w:ind w:left="218" w:right="246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26" w:footer="1335" w:top="1120" w:bottom="1520" w:left="1580" w:right="1040"/>
        </w:sectPr>
      </w:pPr>
    </w:p>
    <w:p>
      <w:pPr>
        <w:pStyle w:val="Heading2"/>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3699" w:space="282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关联方借款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737,077,476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442,997,147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41,351,466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32,229,091</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29,773,474</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3,565,915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4,118,618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25,725,000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16,457,522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149,225,934</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824,177,379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658,344,264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520" w:left="1580" w:right="1040"/>
        </w:sectPr>
      </w:pPr>
    </w:p>
    <w:p>
      <w:pPr>
        <w:pStyle w:val="Heading2"/>
        <w:spacing w:line="240" w:lineRule="auto"/>
        <w:ind w:right="-17"/>
        <w:jc w:val="left"/>
        <w:rPr>
          <w:b w:val="0"/>
          <w:bCs w:val="0"/>
        </w:rPr>
      </w:pPr>
      <w:r>
        <w:rPr>
          <w:rFonts w:ascii="宋体" w:hAnsi="宋体" w:cs="宋体" w:eastAsia="宋体" w:hint="default"/>
          <w:sz w:val="20"/>
          <w:szCs w:val="20"/>
        </w:rPr>
        <w:t>(5).</w:t>
      </w:r>
      <w:r>
        <w:rPr>
          <w:rFonts w:ascii="宋体" w:hAnsi="宋体" w:cs="宋体" w:eastAsia="宋体" w:hint="default"/>
          <w:spacing w:val="-4"/>
          <w:sz w:val="20"/>
          <w:szCs w:val="20"/>
        </w:rPr>
        <w:t> </w:t>
      </w:r>
      <w:r>
        <w:rPr/>
        <w:t>按欠款方归集的期末余额前五名的其他应收款情况：</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5571" w:space="951"/>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025"/>
        <w:gridCol w:w="1340"/>
        <w:gridCol w:w="1186"/>
        <w:gridCol w:w="1160"/>
        <w:gridCol w:w="2268"/>
        <w:gridCol w:w="1918"/>
      </w:tblGrid>
      <w:tr>
        <w:trPr>
          <w:trHeight w:val="560"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占其他应收款期末余额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合计数的比例</w:t>
            </w:r>
            <w:r>
              <w:rPr>
                <w:rFonts w:ascii="宋体" w:hAnsi="宋体" w:cs="宋体" w:eastAsia="宋体" w:hint="default"/>
                <w:sz w:val="21"/>
                <w:szCs w:val="21"/>
              </w:rPr>
              <w:t>(%)</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30" w:right="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73" w:lineRule="exact"/>
              <w:ind w:left="53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25,725,000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3.12</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房屋租金</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7,953,767</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0.97</w:t>
            </w:r>
          </w:p>
        </w:tc>
        <w:tc>
          <w:tcPr>
            <w:tcW w:w="19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52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639" w:type="dxa"/>
        <w:tblLayout w:type="fixed"/>
        <w:tblCellMar>
          <w:top w:w="0" w:type="dxa"/>
          <w:left w:w="0" w:type="dxa"/>
          <w:bottom w:w="0" w:type="dxa"/>
          <w:right w:w="0" w:type="dxa"/>
        </w:tblCellMar>
        <w:tblLook w:val="01E0"/>
      </w:tblPr>
      <w:tblGrid>
        <w:gridCol w:w="1025"/>
        <w:gridCol w:w="1340"/>
        <w:gridCol w:w="1186"/>
        <w:gridCol w:w="1160"/>
        <w:gridCol w:w="2268"/>
        <w:gridCol w:w="1918"/>
      </w:tblGrid>
      <w:tr>
        <w:trPr>
          <w:trHeight w:val="288"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403"/>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3</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房屋租金</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1"/>
              <w:jc w:val="right"/>
              <w:rPr>
                <w:rFonts w:ascii="宋体" w:hAnsi="宋体" w:cs="宋体" w:eastAsia="宋体" w:hint="default"/>
                <w:sz w:val="21"/>
                <w:szCs w:val="21"/>
              </w:rPr>
            </w:pPr>
            <w:r>
              <w:rPr>
                <w:rFonts w:ascii="宋体"/>
                <w:spacing w:val="-1"/>
                <w:sz w:val="21"/>
              </w:rPr>
              <w:t>5,660,574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z w:val="21"/>
              </w:rPr>
              <w:t>0.69</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239,318</w:t>
            </w:r>
          </w:p>
        </w:tc>
      </w:tr>
      <w:tr>
        <w:trPr>
          <w:trHeight w:val="288"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其他款项</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1,102,564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0.13</w:t>
            </w:r>
          </w:p>
        </w:tc>
        <w:tc>
          <w:tcPr>
            <w:tcW w:w="19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0"/>
                <w:sz w:val="21"/>
                <w:szCs w:val="21"/>
              </w:rPr>
              <w:t> </w:t>
            </w:r>
            <w:r>
              <w:rPr>
                <w:rFonts w:ascii="宋体" w:hAnsi="宋体" w:cs="宋体" w:eastAsia="宋体" w:hint="default"/>
                <w:sz w:val="21"/>
                <w:szCs w:val="21"/>
              </w:rPr>
              <w:t>5</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其他款项</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953,400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0.12</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190,680</w:t>
            </w:r>
          </w:p>
        </w:tc>
      </w:tr>
      <w:tr>
        <w:trPr>
          <w:trHeight w:val="288"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43"/>
              <w:jc w:val="right"/>
              <w:rPr>
                <w:rFonts w:ascii="宋体" w:hAnsi="宋体" w:cs="宋体" w:eastAsia="宋体" w:hint="default"/>
                <w:sz w:val="21"/>
                <w:szCs w:val="21"/>
              </w:rPr>
            </w:pPr>
            <w:r>
              <w:rPr>
                <w:rFonts w:ascii="宋体" w:hAnsi="宋体" w:cs="宋体" w:eastAsia="宋体" w:hint="default"/>
                <w:sz w:val="21"/>
                <w:szCs w:val="21"/>
              </w:rPr>
              <w:t>合计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center"/>
              <w:rPr>
                <w:rFonts w:ascii="宋体" w:hAnsi="宋体" w:cs="宋体" w:eastAsia="宋体" w:hint="default"/>
                <w:sz w:val="21"/>
                <w:szCs w:val="21"/>
              </w:rPr>
            </w:pPr>
            <w:r>
              <w:rPr>
                <w:rFonts w:ascii="宋体"/>
                <w:w w:val="100"/>
                <w:sz w:val="21"/>
              </w:rPr>
              <w:t>/</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41,395,305</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w w:val="100"/>
                <w:sz w:val="21"/>
              </w:rPr>
              <w:t>/</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5.03</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429,998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678" w:right="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67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678" w:right="0"/>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spacing w:line="240" w:lineRule="auto" w:before="3"/>
        <w:rPr>
          <w:rFonts w:ascii="宋体" w:hAnsi="宋体" w:cs="宋体" w:eastAsia="宋体" w:hint="default"/>
          <w:b/>
          <w:bCs/>
          <w:sz w:val="25"/>
          <w:szCs w:val="25"/>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pStyle w:val="Heading2"/>
        <w:spacing w:line="240" w:lineRule="auto"/>
        <w:ind w:left="678" w:right="0"/>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spacing w:line="240" w:lineRule="auto" w:before="6"/>
        <w:rPr>
          <w:rFonts w:ascii="宋体" w:hAnsi="宋体" w:cs="宋体" w:eastAsia="宋体" w:hint="default"/>
          <w:b/>
          <w:bCs/>
          <w:sz w:val="25"/>
          <w:szCs w:val="25"/>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left="678" w:right="0"/>
        <w:jc w:val="left"/>
      </w:pPr>
      <w:r>
        <w:rPr/>
        <w:t>其他说明：</w:t>
      </w:r>
    </w:p>
    <w:p>
      <w:pPr>
        <w:spacing w:line="240" w:lineRule="auto" w:before="9"/>
        <w:rPr>
          <w:rFonts w:ascii="宋体" w:hAnsi="宋体" w:cs="宋体" w:eastAsia="宋体" w:hint="default"/>
          <w:sz w:val="20"/>
          <w:szCs w:val="20"/>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6" w:footer="1335" w:top="1120" w:bottom="1520" w:left="1120" w:right="640"/>
        </w:sectPr>
      </w:pPr>
    </w:p>
    <w:p>
      <w:pPr>
        <w:pStyle w:val="Heading2"/>
        <w:spacing w:line="240" w:lineRule="auto"/>
        <w:ind w:left="67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67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520" w:left="1120" w:right="640"/>
          <w:cols w:num="2" w:equalWidth="0">
            <w:col w:w="2371" w:space="4151"/>
            <w:col w:w="3628"/>
          </w:cols>
        </w:sectPr>
      </w:pPr>
    </w:p>
    <w:p>
      <w:pPr>
        <w:spacing w:line="240" w:lineRule="auto" w:before="7"/>
        <w:rPr>
          <w:rFonts w:ascii="宋体" w:hAnsi="宋体" w:cs="宋体" w:eastAsia="宋体" w:hint="default"/>
          <w:sz w:val="2"/>
          <w:szCs w:val="2"/>
        </w:rPr>
      </w:pPr>
    </w:p>
    <w:tbl>
      <w:tblPr>
        <w:tblW w:w="0" w:type="auto"/>
        <w:jc w:val="left"/>
        <w:tblInd w:w="387" w:type="dxa"/>
        <w:tblLayout w:type="fixed"/>
        <w:tblCellMar>
          <w:top w:w="0" w:type="dxa"/>
          <w:left w:w="0" w:type="dxa"/>
          <w:bottom w:w="0" w:type="dxa"/>
          <w:right w:w="0" w:type="dxa"/>
        </w:tblCellMar>
        <w:tblLook w:val="01E0"/>
      </w:tblPr>
      <w:tblGrid>
        <w:gridCol w:w="1426"/>
        <w:gridCol w:w="1426"/>
        <w:gridCol w:w="1008"/>
        <w:gridCol w:w="1428"/>
        <w:gridCol w:w="1426"/>
        <w:gridCol w:w="1009"/>
        <w:gridCol w:w="1426"/>
      </w:tblGrid>
      <w:tr>
        <w:trPr>
          <w:trHeight w:val="286" w:hRule="exact"/>
        </w:trPr>
        <w:tc>
          <w:tcPr>
            <w:tcW w:w="1426" w:type="dxa"/>
            <w:vMerge w:val="restart"/>
            <w:tcBorders>
              <w:top w:val="single" w:sz="6" w:space="0" w:color="000000"/>
              <w:left w:val="single" w:sz="6" w:space="0" w:color="000000"/>
              <w:right w:val="single" w:sz="6" w:space="0" w:color="000000"/>
            </w:tcBorders>
          </w:tcPr>
          <w:p>
            <w:pPr>
              <w:pStyle w:val="TableParagraph"/>
              <w:spacing w:line="240" w:lineRule="auto" w:before="110"/>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8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426" w:type="dxa"/>
            <w:vMerge/>
            <w:tcBorders>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72"/>
              <w:jc w:val="right"/>
              <w:rPr>
                <w:rFonts w:ascii="宋体" w:hAnsi="宋体" w:cs="宋体" w:eastAsia="宋体" w:hint="default"/>
                <w:sz w:val="21"/>
                <w:szCs w:val="21"/>
              </w:rPr>
            </w:pPr>
            <w:r>
              <w:rPr>
                <w:rFonts w:ascii="宋体" w:hAnsi="宋体" w:cs="宋体" w:eastAsia="宋体" w:hint="default"/>
                <w:spacing w:val="-1"/>
                <w:sz w:val="21"/>
                <w:szCs w:val="21"/>
              </w:rPr>
              <w:t>减值准备</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对子公司投资</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2,618,404,700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6,682,955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2,611,721,745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2,186,359,300</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6,682,955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2,179,676,345</w:t>
            </w:r>
          </w:p>
        </w:tc>
      </w:tr>
      <w:tr>
        <w:trPr>
          <w:trHeight w:val="559"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对联营、合营</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118,830,494</w:t>
            </w:r>
          </w:p>
        </w:tc>
        <w:tc>
          <w:tcPr>
            <w:tcW w:w="1008"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118,830,494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129,738,280</w:t>
            </w:r>
          </w:p>
        </w:tc>
        <w:tc>
          <w:tcPr>
            <w:tcW w:w="100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129,738,280</w:t>
            </w:r>
          </w:p>
        </w:tc>
      </w:tr>
      <w:tr>
        <w:trPr>
          <w:trHeight w:val="288" w:hRule="exact"/>
        </w:trPr>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2,737,235,194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6,682,955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2,730,552,239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2,316,097,580</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6,682,955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2,309,414,625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520" w:left="1120" w:right="640"/>
        </w:sectPr>
      </w:pPr>
    </w:p>
    <w:p>
      <w:pPr>
        <w:spacing w:before="36"/>
        <w:ind w:left="678" w:right="-19" w:firstLine="0"/>
        <w:jc w:val="left"/>
        <w:rPr>
          <w:rFonts w:ascii="宋体" w:hAnsi="宋体" w:cs="宋体" w:eastAsia="宋体" w:hint="default"/>
          <w:sz w:val="21"/>
          <w:szCs w:val="21"/>
        </w:rPr>
      </w:pPr>
      <w:r>
        <w:rPr>
          <w:rFonts w:ascii="宋体" w:hAnsi="宋体" w:cs="宋体" w:eastAsia="宋体" w:hint="default"/>
          <w:b/>
          <w:bCs/>
          <w:sz w:val="20"/>
          <w:szCs w:val="20"/>
        </w:rPr>
        <w:t>(1)</w:t>
      </w:r>
      <w:r>
        <w:rPr>
          <w:rFonts w:ascii="宋体" w:hAnsi="宋体" w:cs="宋体" w:eastAsia="宋体" w:hint="default"/>
          <w:b/>
          <w:bCs/>
          <w:spacing w:val="22"/>
          <w:sz w:val="20"/>
          <w:szCs w:val="20"/>
        </w:rPr>
        <w:t> </w:t>
      </w:r>
      <w:r>
        <w:rPr>
          <w:rFonts w:ascii="宋体" w:hAnsi="宋体" w:cs="宋体" w:eastAsia="宋体" w:hint="default"/>
          <w:b/>
          <w:bCs/>
          <w:sz w:val="21"/>
          <w:szCs w:val="21"/>
        </w:rPr>
        <w:t>对子公司投资</w:t>
      </w:r>
      <w:r>
        <w:rPr>
          <w:rFonts w:ascii="宋体" w:hAnsi="宋体" w:cs="宋体" w:eastAsia="宋体" w:hint="default"/>
          <w:sz w:val="21"/>
          <w:szCs w:val="21"/>
        </w:rPr>
      </w:r>
    </w:p>
    <w:p>
      <w:pPr>
        <w:pStyle w:val="BodyText"/>
        <w:spacing w:line="240" w:lineRule="auto" w:before="56"/>
        <w:ind w:left="67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520" w:left="1120" w:right="640"/>
          <w:cols w:num="2" w:equalWidth="0">
            <w:col w:w="2371" w:space="4151"/>
            <w:col w:w="362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844"/>
        <w:gridCol w:w="1803"/>
        <w:gridCol w:w="1370"/>
        <w:gridCol w:w="1164"/>
        <w:gridCol w:w="1582"/>
        <w:gridCol w:w="1164"/>
        <w:gridCol w:w="996"/>
      </w:tblGrid>
      <w:tr>
        <w:trPr>
          <w:trHeight w:val="829"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153"/>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w w:val="100"/>
                <w:sz w:val="21"/>
                <w:szCs w:val="21"/>
              </w:rPr>
              <w:t> </w:t>
            </w:r>
            <w:r>
              <w:rPr>
                <w:rFonts w:ascii="宋体" w:hAnsi="宋体" w:cs="宋体" w:eastAsia="宋体" w:hint="default"/>
                <w:sz w:val="21"/>
                <w:szCs w:val="21"/>
              </w:rPr>
              <w:t>减值准备</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5"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40" w:lineRule="auto"/>
              <w:ind w:left="280" w:right="175"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重庆用友</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675,000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675,000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深圳灏麓梵</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武汉用友</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3,290,000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3,290,000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广东用友</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7,890,000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7,890,000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天津用友</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7,019,999</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7,019,999</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安徽用友</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876,000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876,000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1" w:right="341"/>
              <w:jc w:val="left"/>
              <w:rPr>
                <w:rFonts w:ascii="Calibri" w:hAnsi="Calibri" w:cs="Calibri" w:eastAsia="Calibri" w:hint="default"/>
                <w:sz w:val="21"/>
                <w:szCs w:val="21"/>
              </w:rPr>
            </w:pPr>
            <w:r>
              <w:rPr>
                <w:rFonts w:ascii="Calibri"/>
                <w:spacing w:val="-4"/>
                <w:sz w:val="21"/>
              </w:rPr>
              <w:t>YONYOU</w:t>
            </w:r>
            <w:r>
              <w:rPr>
                <w:rFonts w:ascii="Calibri"/>
                <w:spacing w:val="-39"/>
                <w:sz w:val="21"/>
              </w:rPr>
              <w:t> </w:t>
            </w:r>
            <w:r>
              <w:rPr>
                <w:rFonts w:ascii="Calibri"/>
                <w:spacing w:val="-39"/>
                <w:sz w:val="21"/>
              </w:rPr>
            </w:r>
            <w:r>
              <w:rPr>
                <w:rFonts w:ascii="Calibri"/>
                <w:spacing w:val="-2"/>
                <w:sz w:val="21"/>
              </w:rPr>
              <w:t>INTERNATIONAL</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46,692,259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12,568,400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59,260,659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6,300,755</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用友华表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46,334,169</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46,334,169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382,200</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用友艾福斯</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8,392,716</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8,392,716</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用友政务</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496,252,992</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496,252,992</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用友金融</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520" w:left="1120" w:right="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966" w:type="dxa"/>
        <w:tblLayout w:type="fixed"/>
        <w:tblCellMar>
          <w:top w:w="0" w:type="dxa"/>
          <w:left w:w="0" w:type="dxa"/>
          <w:bottom w:w="0" w:type="dxa"/>
          <w:right w:w="0" w:type="dxa"/>
        </w:tblCellMar>
        <w:tblLook w:val="01E0"/>
      </w:tblPr>
      <w:tblGrid>
        <w:gridCol w:w="1844"/>
        <w:gridCol w:w="1803"/>
        <w:gridCol w:w="1370"/>
        <w:gridCol w:w="1164"/>
        <w:gridCol w:w="1582"/>
        <w:gridCol w:w="1164"/>
        <w:gridCol w:w="996"/>
      </w:tblGrid>
      <w:tr>
        <w:trPr>
          <w:trHeight w:val="28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浙江用友</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4,500,000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4,500,000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沈阳用友</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大连用友</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广西用友</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2,700,000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厦门烟草</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15,200,000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14,600,000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深圳用友</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63,000,000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山东用友</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江西用友</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湖南用友</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内蒙古用友</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用友审计</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13,685,542</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13,685,542</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用友医疗</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80,000,000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1" w:right="0"/>
              <w:jc w:val="left"/>
              <w:rPr>
                <w:rFonts w:ascii="Calibri" w:hAnsi="Calibri" w:cs="Calibri" w:eastAsia="Calibri" w:hint="default"/>
                <w:sz w:val="21"/>
                <w:szCs w:val="21"/>
              </w:rPr>
            </w:pPr>
            <w:r>
              <w:rPr>
                <w:rFonts w:ascii="宋体" w:hAnsi="宋体" w:cs="宋体" w:eastAsia="宋体" w:hint="default"/>
                <w:sz w:val="21"/>
                <w:szCs w:val="21"/>
              </w:rPr>
              <w:t>用友</w:t>
            </w:r>
            <w:r>
              <w:rPr>
                <w:rFonts w:ascii="Calibri" w:hAnsi="Calibri" w:cs="Calibri" w:eastAsia="Calibri" w:hint="default"/>
                <w:sz w:val="21"/>
                <w:szCs w:val="21"/>
              </w:rPr>
              <w:t>(</w:t>
            </w:r>
            <w:r>
              <w:rPr>
                <w:rFonts w:ascii="宋体" w:hAnsi="宋体" w:cs="宋体" w:eastAsia="宋体" w:hint="default"/>
                <w:sz w:val="21"/>
                <w:szCs w:val="21"/>
              </w:rPr>
              <w:t>南昌</w:t>
            </w:r>
            <w:r>
              <w:rPr>
                <w:rFonts w:ascii="Calibri" w:hAnsi="Calibri" w:cs="Calibri" w:eastAsia="Calibri" w:hint="default"/>
                <w:sz w:val="21"/>
                <w:szCs w:val="21"/>
              </w:rPr>
              <w:t>)</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80,000,000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滨海用友</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三亚用友</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100,000,000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幸福投资</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创新投资</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198,000,000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198,000,000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畅捷通</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220,060,623</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220,060,623</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畅捷支付</w:t>
            </w:r>
          </w:p>
        </w:tc>
        <w:tc>
          <w:tcPr>
            <w:tcW w:w="180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80,925,000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80,925,000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用友汽车</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486,090,000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486,090,000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长伴咨询</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新道科技</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3,348,000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46,652,000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用友云达</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用友优普</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用友移动</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15,100,000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友金所</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28,500,000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36,000,000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用友广信</w:t>
            </w:r>
          </w:p>
        </w:tc>
        <w:tc>
          <w:tcPr>
            <w:tcW w:w="180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用友能源</w:t>
            </w:r>
          </w:p>
        </w:tc>
        <w:tc>
          <w:tcPr>
            <w:tcW w:w="180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用友超客</w:t>
            </w:r>
          </w:p>
        </w:tc>
        <w:tc>
          <w:tcPr>
            <w:tcW w:w="180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60,000,000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秉钧网络</w:t>
            </w:r>
          </w:p>
        </w:tc>
        <w:tc>
          <w:tcPr>
            <w:tcW w:w="180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175,000,000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175,000,000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2,186,359,300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436,993,400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4,948,000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2,618,404,700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6,682,955</w:t>
            </w:r>
          </w:p>
        </w:tc>
        <w:tc>
          <w:tcPr>
            <w:tcW w:w="9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3"/>
          <w:pgSz w:w="11910" w:h="16840"/>
          <w:pgMar w:header="926" w:footer="1335" w:top="1120" w:bottom="1520" w:left="260" w:right="60"/>
        </w:sectPr>
      </w:pPr>
    </w:p>
    <w:p>
      <w:pPr>
        <w:spacing w:before="36"/>
        <w:ind w:left="1538" w:right="-18" w:firstLine="0"/>
        <w:jc w:val="left"/>
        <w:rPr>
          <w:rFonts w:ascii="宋体" w:hAnsi="宋体" w:cs="宋体" w:eastAsia="宋体" w:hint="default"/>
          <w:sz w:val="21"/>
          <w:szCs w:val="21"/>
        </w:rPr>
      </w:pPr>
      <w:r>
        <w:rPr>
          <w:rFonts w:ascii="宋体" w:hAnsi="宋体" w:cs="宋体" w:eastAsia="宋体" w:hint="default"/>
          <w:b/>
          <w:bCs/>
          <w:sz w:val="20"/>
          <w:szCs w:val="20"/>
        </w:rPr>
        <w:t>(2)</w:t>
      </w:r>
      <w:r>
        <w:rPr>
          <w:rFonts w:ascii="宋体" w:hAnsi="宋体" w:cs="宋体" w:eastAsia="宋体" w:hint="default"/>
          <w:b/>
          <w:bCs/>
          <w:spacing w:val="21"/>
          <w:sz w:val="20"/>
          <w:szCs w:val="20"/>
        </w:rPr>
        <w:t> </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pStyle w:val="BodyText"/>
        <w:spacing w:line="240" w:lineRule="auto" w:before="59"/>
        <w:ind w:left="15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589" w:val="left" w:leader="none"/>
        </w:tabs>
        <w:spacing w:line="240" w:lineRule="auto"/>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520" w:left="260" w:right="60"/>
          <w:cols w:num="2" w:equalWidth="0">
            <w:col w:w="4073" w:space="2449"/>
            <w:col w:w="5068"/>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277"/>
        <w:gridCol w:w="1277"/>
        <w:gridCol w:w="1112"/>
        <w:gridCol w:w="1159"/>
        <w:gridCol w:w="1133"/>
        <w:gridCol w:w="425"/>
        <w:gridCol w:w="989"/>
        <w:gridCol w:w="991"/>
        <w:gridCol w:w="569"/>
        <w:gridCol w:w="295"/>
        <w:gridCol w:w="1404"/>
        <w:gridCol w:w="711"/>
      </w:tblGrid>
      <w:tr>
        <w:trPr>
          <w:trHeight w:val="28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422" w:right="42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422" w:right="42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66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487" w:right="482"/>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1"/>
              <w:ind w:left="139" w:right="137"/>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2189" w:hRule="exact"/>
        </w:trPr>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29"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53"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37" w:lineRule="auto"/>
              <w:ind w:left="141" w:right="137"/>
              <w:jc w:val="both"/>
              <w:rPr>
                <w:rFonts w:ascii="宋体" w:hAnsi="宋体" w:cs="宋体" w:eastAsia="宋体" w:hint="default"/>
                <w:sz w:val="21"/>
                <w:szCs w:val="21"/>
              </w:rPr>
            </w:pPr>
            <w:r>
              <w:rPr>
                <w:rFonts w:ascii="宋体" w:hAnsi="宋体" w:cs="宋体" w:eastAsia="宋体" w:hint="default"/>
                <w:sz w:val="21"/>
                <w:szCs w:val="21"/>
              </w:rPr>
              <w:t>权益法下</w:t>
            </w:r>
            <w:r>
              <w:rPr>
                <w:rFonts w:ascii="宋体" w:hAnsi="宋体" w:cs="宋体" w:eastAsia="宋体" w:hint="default"/>
                <w:w w:val="100"/>
                <w:sz w:val="21"/>
                <w:szCs w:val="21"/>
              </w:rPr>
              <w:t> </w:t>
            </w: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调</w:t>
            </w:r>
            <w:r>
              <w:rPr>
                <w:rFonts w:ascii="宋体" w:hAnsi="宋体" w:cs="宋体" w:eastAsia="宋体" w:hint="default"/>
                <w:w w:val="100"/>
                <w:sz w:val="21"/>
                <w:szCs w:val="21"/>
              </w:rPr>
              <w:t> </w:t>
            </w:r>
            <w:r>
              <w:rPr>
                <w:rFonts w:ascii="宋体" w:hAnsi="宋体" w:cs="宋体" w:eastAsia="宋体" w:hint="default"/>
                <w:sz w:val="21"/>
                <w:szCs w:val="21"/>
              </w:rPr>
              <w:t>整</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72" w:right="170"/>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75" w:right="170"/>
              <w:jc w:val="both"/>
              <w:rPr>
                <w:rFonts w:ascii="宋体" w:hAnsi="宋体" w:cs="宋体" w:eastAsia="宋体" w:hint="default"/>
                <w:sz w:val="21"/>
                <w:szCs w:val="21"/>
              </w:rPr>
            </w:pPr>
            <w:r>
              <w:rPr>
                <w:rFonts w:ascii="宋体" w:hAnsi="宋体" w:cs="宋体" w:eastAsia="宋体" w:hint="default"/>
                <w:sz w:val="21"/>
                <w:szCs w:val="21"/>
              </w:rPr>
              <w:t>宣告发</w:t>
            </w:r>
            <w:r>
              <w:rPr>
                <w:rFonts w:ascii="宋体" w:hAnsi="宋体" w:cs="宋体" w:eastAsia="宋体" w:hint="default"/>
                <w:spacing w:val="-102"/>
                <w:sz w:val="21"/>
                <w:szCs w:val="21"/>
              </w:rPr>
              <w:t> </w:t>
            </w: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73" w:right="173"/>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2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40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r>
      <w:tr>
        <w:trPr>
          <w:trHeight w:val="55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520" w:left="260" w:right="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277"/>
        <w:gridCol w:w="1277"/>
        <w:gridCol w:w="1112"/>
        <w:gridCol w:w="1159"/>
        <w:gridCol w:w="1133"/>
        <w:gridCol w:w="425"/>
        <w:gridCol w:w="989"/>
        <w:gridCol w:w="991"/>
        <w:gridCol w:w="569"/>
        <w:gridCol w:w="295"/>
        <w:gridCol w:w="1404"/>
        <w:gridCol w:w="711"/>
      </w:tblGrid>
      <w:tr>
        <w:trPr>
          <w:trHeight w:val="284"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致远协创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58,244,043</w:t>
            </w:r>
            <w:r>
              <w:rPr>
                <w:rFonts w:ascii="Times New Roman"/>
                <w:sz w:val="21"/>
              </w:rPr>
            </w:r>
          </w:p>
        </w:tc>
        <w:tc>
          <w:tcPr>
            <w:tcW w:w="111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55,633,222</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-1,438,457</w:t>
            </w:r>
            <w:r>
              <w:rPr>
                <w:rFonts w:ascii="Times New Roman"/>
                <w:sz w:val="21"/>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1,217,501</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2,389,865</w:t>
            </w:r>
            <w:r>
              <w:rPr>
                <w:rFonts w:ascii="Times New Roman"/>
                <w:sz w:val="21"/>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西玛商用表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w w:val="85"/>
                <w:sz w:val="21"/>
              </w:rPr>
              <w:t>6,192,432</w:t>
            </w:r>
            <w:r>
              <w:rPr>
                <w:rFonts w:ascii="Times New Roman"/>
                <w:sz w:val="21"/>
              </w:rPr>
            </w:r>
          </w:p>
        </w:tc>
        <w:tc>
          <w:tcPr>
            <w:tcW w:w="111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85"/>
                <w:sz w:val="21"/>
              </w:rPr>
              <w:t>392,018</w:t>
            </w:r>
            <w:r>
              <w:rPr>
                <w:rFonts w:ascii="Times New Roman"/>
                <w:sz w:val="21"/>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85"/>
                <w:sz w:val="21"/>
              </w:rPr>
              <w:t>303,317</w:t>
            </w:r>
            <w:r>
              <w:rPr>
                <w:rFonts w:ascii="Times New Roman"/>
                <w:sz w:val="21"/>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w w:val="85"/>
                <w:sz w:val="21"/>
              </w:rPr>
              <w:t>6,281,133</w:t>
            </w:r>
            <w:r>
              <w:rPr>
                <w:rFonts w:ascii="Times New Roman"/>
                <w:sz w:val="21"/>
              </w:rPr>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西玛永泰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85"/>
                <w:sz w:val="21"/>
              </w:rPr>
              <w:t>398,813</w:t>
            </w:r>
            <w:r>
              <w:rPr>
                <w:rFonts w:ascii="Times New Roman"/>
                <w:sz w:val="21"/>
              </w:rPr>
            </w:r>
          </w:p>
        </w:tc>
        <w:tc>
          <w:tcPr>
            <w:tcW w:w="111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85"/>
                <w:sz w:val="21"/>
              </w:rPr>
              <w:t>-41</w:t>
            </w:r>
            <w:r>
              <w:rPr>
                <w:rFonts w:ascii="Times New Roman"/>
                <w:sz w:val="21"/>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85"/>
                <w:sz w:val="21"/>
              </w:rPr>
              <w:t>398,772</w:t>
            </w:r>
            <w:r>
              <w:rPr>
                <w:rFonts w:ascii="Times New Roman"/>
                <w:sz w:val="21"/>
              </w:rPr>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幸福联创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64,902,992</w:t>
            </w:r>
            <w:r>
              <w:rPr>
                <w:rFonts w:ascii="Times New Roman"/>
                <w:sz w:val="21"/>
              </w:rPr>
            </w:r>
          </w:p>
        </w:tc>
        <w:tc>
          <w:tcPr>
            <w:tcW w:w="111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-1,101,373</w:t>
            </w:r>
            <w:r>
              <w:rPr>
                <w:rFonts w:ascii="Times New Roman"/>
                <w:sz w:val="21"/>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27,514</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63,829,133</w:t>
            </w:r>
            <w:r>
              <w:rPr>
                <w:rFonts w:ascii="Times New Roman"/>
                <w:sz w:val="21"/>
              </w:rPr>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民太安公估</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 w:right="0"/>
              <w:jc w:val="center"/>
              <w:rPr>
                <w:rFonts w:ascii="Times New Roman" w:hAnsi="Times New Roman" w:cs="Times New Roman" w:eastAsia="Times New Roman" w:hint="default"/>
                <w:sz w:val="21"/>
                <w:szCs w:val="21"/>
              </w:rPr>
            </w:pPr>
            <w:r>
              <w:rPr>
                <w:rFonts w:ascii="Times New Roman"/>
                <w:w w:val="95"/>
                <w:sz w:val="21"/>
              </w:rPr>
              <w:t>45,165,687</w:t>
            </w:r>
            <w:r>
              <w:rPr>
                <w:rFonts w:ascii="Times New Roman"/>
                <w:sz w:val="21"/>
              </w:rPr>
            </w:r>
          </w:p>
        </w:tc>
        <w:tc>
          <w:tcPr>
            <w:tcW w:w="115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3,155,769</w:t>
            </w:r>
            <w:r>
              <w:rPr>
                <w:rFonts w:ascii="Times New Roman"/>
                <w:sz w:val="21"/>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48,321,456</w:t>
            </w:r>
            <w:r>
              <w:rPr>
                <w:rFonts w:ascii="Times New Roman"/>
                <w:sz w:val="21"/>
              </w:rPr>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129,738,280</w:t>
            </w:r>
            <w:r>
              <w:rPr>
                <w:rFonts w:ascii="Times New Roman"/>
                <w:sz w:val="21"/>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 w:right="0"/>
              <w:jc w:val="center"/>
              <w:rPr>
                <w:rFonts w:ascii="Times New Roman" w:hAnsi="Times New Roman" w:cs="Times New Roman" w:eastAsia="Times New Roman" w:hint="default"/>
                <w:sz w:val="21"/>
                <w:szCs w:val="21"/>
              </w:rPr>
            </w:pPr>
            <w:r>
              <w:rPr>
                <w:rFonts w:ascii="Times New Roman"/>
                <w:w w:val="95"/>
                <w:sz w:val="21"/>
              </w:rPr>
              <w:t>45,165,687</w:t>
            </w:r>
            <w:r>
              <w:rPr>
                <w:rFonts w:ascii="Times New Roman"/>
                <w:sz w:val="21"/>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55,633,222</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1,007,916</w:t>
            </w:r>
            <w:r>
              <w:rPr>
                <w:rFonts w:ascii="Times New Roman"/>
                <w:sz w:val="21"/>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1,245,015</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2,693,182</w:t>
            </w:r>
            <w:r>
              <w:rPr>
                <w:rFonts w:ascii="Times New Roman"/>
                <w:sz w:val="21"/>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118,830,494</w:t>
            </w:r>
            <w:r>
              <w:rPr>
                <w:rFonts w:ascii="Times New Roman"/>
                <w:sz w:val="21"/>
              </w:rPr>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129,738,280</w:t>
            </w:r>
            <w:r>
              <w:rPr>
                <w:rFonts w:ascii="Times New Roman"/>
                <w:sz w:val="21"/>
              </w:rPr>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 w:right="0"/>
              <w:jc w:val="center"/>
              <w:rPr>
                <w:rFonts w:ascii="Times New Roman" w:hAnsi="Times New Roman" w:cs="Times New Roman" w:eastAsia="Times New Roman" w:hint="default"/>
                <w:sz w:val="21"/>
                <w:szCs w:val="21"/>
              </w:rPr>
            </w:pPr>
            <w:r>
              <w:rPr>
                <w:rFonts w:ascii="Times New Roman"/>
                <w:w w:val="95"/>
                <w:sz w:val="21"/>
              </w:rPr>
              <w:t>45,165,687</w:t>
            </w:r>
            <w:r>
              <w:rPr>
                <w:rFonts w:ascii="Times New Roman"/>
                <w:sz w:val="21"/>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55,633,222</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1,007,916</w:t>
            </w:r>
            <w:r>
              <w:rPr>
                <w:rFonts w:ascii="Times New Roman"/>
                <w:sz w:val="21"/>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1,245,015</w:t>
            </w:r>
            <w:r>
              <w:rPr>
                <w:rFonts w:ascii="Times New Roman"/>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2,693,182</w:t>
            </w:r>
            <w:r>
              <w:rPr>
                <w:rFonts w:ascii="Times New Roman"/>
                <w:sz w:val="21"/>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85"/>
                <w:sz w:val="21"/>
              </w:rPr>
              <w:t>118,830,494</w:t>
            </w:r>
            <w:r>
              <w:rPr>
                <w:rFonts w:ascii="Times New Roman"/>
                <w:sz w:val="21"/>
              </w:rPr>
            </w:r>
          </w:p>
        </w:tc>
        <w:tc>
          <w:tcPr>
            <w:tcW w:w="7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6"/>
        <w:ind w:left="1538" w:right="0"/>
        <w:jc w:val="left"/>
      </w:pPr>
      <w:r>
        <w:rPr/>
        <w:t>其他说明：</w:t>
      </w:r>
    </w:p>
    <w:p>
      <w:pPr>
        <w:spacing w:line="240" w:lineRule="auto" w:before="9"/>
        <w:rPr>
          <w:rFonts w:ascii="宋体" w:hAnsi="宋体" w:cs="宋体" w:eastAsia="宋体" w:hint="default"/>
          <w:sz w:val="20"/>
          <w:szCs w:val="20"/>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2"/>
        <w:spacing w:line="240" w:lineRule="auto"/>
        <w:ind w:left="1538" w:right="0"/>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51" w:val="left" w:leader="none"/>
        </w:tabs>
        <w:spacing w:line="240" w:lineRule="auto" w:before="56"/>
        <w:ind w:left="0" w:right="121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816"/>
        <w:gridCol w:w="1642"/>
        <w:gridCol w:w="1640"/>
        <w:gridCol w:w="1582"/>
        <w:gridCol w:w="1370"/>
      </w:tblGrid>
      <w:tr>
        <w:trPr>
          <w:trHeight w:val="283" w:hRule="exact"/>
        </w:trPr>
        <w:tc>
          <w:tcPr>
            <w:tcW w:w="2816"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816" w:type="dxa"/>
            <w:vMerge/>
            <w:tcBorders>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1,489,546,654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556,898,017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1,706,347,383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631,359,730</w:t>
            </w:r>
          </w:p>
        </w:tc>
      </w:tr>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133,291,452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236,391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125,521,363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14,677,143</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1,622,838,106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557,134,408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1,831,868,746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646,036,873</w:t>
            </w:r>
          </w:p>
        </w:tc>
      </w:tr>
    </w:tbl>
    <w:p>
      <w:pPr>
        <w:spacing w:line="240" w:lineRule="auto" w:before="2"/>
        <w:rPr>
          <w:rFonts w:ascii="宋体" w:hAnsi="宋体" w:cs="宋体" w:eastAsia="宋体" w:hint="default"/>
          <w:sz w:val="20"/>
          <w:szCs w:val="20"/>
        </w:rPr>
      </w:pPr>
    </w:p>
    <w:p>
      <w:pPr>
        <w:pStyle w:val="BodyText"/>
        <w:spacing w:line="240" w:lineRule="auto" w:before="36"/>
        <w:ind w:left="1538" w:right="0"/>
        <w:jc w:val="left"/>
      </w:pPr>
      <w:r>
        <w:rPr/>
        <w:t>其他说明：</w:t>
      </w:r>
    </w:p>
    <w:p>
      <w:pPr>
        <w:spacing w:line="240" w:lineRule="auto" w:before="3"/>
        <w:rPr>
          <w:rFonts w:ascii="宋体" w:hAnsi="宋体" w:cs="宋体" w:eastAsia="宋体" w:hint="default"/>
          <w:sz w:val="25"/>
          <w:szCs w:val="25"/>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6" w:footer="1335" w:top="1120" w:bottom="1520" w:left="260" w:right="60"/>
        </w:sectPr>
      </w:pPr>
    </w:p>
    <w:p>
      <w:pPr>
        <w:pStyle w:val="Heading2"/>
        <w:spacing w:line="240" w:lineRule="auto"/>
        <w:ind w:left="1538"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8"/>
        <w:ind w:left="15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589" w:val="left" w:leader="none"/>
        </w:tabs>
        <w:spacing w:line="240" w:lineRule="auto"/>
        <w:ind w:left="1538" w:right="0"/>
        <w:jc w:val="left"/>
      </w:pPr>
      <w:r>
        <w:rPr>
          <w:spacing w:val="-1"/>
        </w:rPr>
        <w:t>单位：元</w:t>
        <w:tab/>
        <w:t>币种：人民币</w:t>
      </w:r>
    </w:p>
    <w:p>
      <w:pPr>
        <w:spacing w:after="0" w:line="240" w:lineRule="auto"/>
        <w:jc w:val="left"/>
        <w:sectPr>
          <w:type w:val="continuous"/>
          <w:pgSz w:w="11910" w:h="16840"/>
          <w:pgMar w:top="1120" w:bottom="1520" w:left="260" w:right="60"/>
          <w:cols w:num="2" w:equalWidth="0">
            <w:col w:w="3115" w:space="3406"/>
            <w:col w:w="5069"/>
          </w:cols>
        </w:sectPr>
      </w:pP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4052"/>
        <w:gridCol w:w="2496"/>
        <w:gridCol w:w="2501"/>
      </w:tblGrid>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137,011,068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384,782,855</w:t>
            </w: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1,007,916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11,076,039</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141,238,819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1,867,436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1,561,433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73,980</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26,064,653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308,751,325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395,932,874</w:t>
            </w:r>
          </w:p>
        </w:tc>
      </w:tr>
    </w:tbl>
    <w:p>
      <w:pPr>
        <w:spacing w:after="0" w:line="241" w:lineRule="exact"/>
        <w:jc w:val="right"/>
        <w:rPr>
          <w:rFonts w:ascii="宋体" w:hAnsi="宋体" w:cs="宋体" w:eastAsia="宋体" w:hint="default"/>
          <w:sz w:val="21"/>
          <w:szCs w:val="21"/>
        </w:rPr>
        <w:sectPr>
          <w:type w:val="continuous"/>
          <w:pgSz w:w="11910" w:h="16840"/>
          <w:pgMar w:top="1120" w:bottom="1520" w:left="260" w:right="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2"/>
        <w:spacing w:line="240" w:lineRule="auto" w:before="0"/>
        <w:ind w:right="2465"/>
        <w:jc w:val="left"/>
        <w:rPr>
          <w:b w:val="0"/>
          <w:bCs w:val="0"/>
        </w:rPr>
      </w:pPr>
      <w:r>
        <w:rPr>
          <w:rFonts w:ascii="宋体" w:hAnsi="宋体" w:cs="宋体" w:eastAsia="宋体" w:hint="default"/>
        </w:rPr>
        <w:t>6</w:t>
      </w:r>
      <w:r>
        <w:rPr/>
        <w:t>、</w:t>
      </w:r>
      <w:r>
        <w:rPr>
          <w:spacing w:val="2"/>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926" w:footer="1335" w:top="1120" w:bottom="1520" w:left="1580" w:right="1040"/>
        </w:sectPr>
      </w:pPr>
    </w:p>
    <w:p>
      <w:pPr>
        <w:pStyle w:val="Heading2"/>
        <w:tabs>
          <w:tab w:pos="1057" w:val="left" w:leader="none"/>
        </w:tabs>
        <w:spacing w:line="240" w:lineRule="auto"/>
        <w:ind w:right="-19"/>
        <w:jc w:val="left"/>
        <w:rPr>
          <w:b w:val="0"/>
          <w:bCs w:val="0"/>
        </w:rPr>
      </w:pPr>
      <w:r>
        <w:rPr/>
        <w:t>十八、</w:t>
        <w:tab/>
        <w:t>补充资料</w:t>
      </w:r>
      <w:r>
        <w:rPr>
          <w:b w:val="0"/>
          <w:bCs w:val="0"/>
        </w:rPr>
      </w:r>
    </w:p>
    <w:p>
      <w:pPr>
        <w:pStyle w:val="Heading2"/>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52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460,237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86,846,260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1"/>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-1,705,998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9,991,638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-1,938,748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新道科技股份有限公司</w:t>
            </w:r>
          </w:p>
        </w:tc>
      </w:tr>
    </w:tbl>
    <w:p>
      <w:pPr>
        <w:spacing w:after="0" w:line="241" w:lineRule="exact"/>
        <w:jc w:val="left"/>
        <w:rPr>
          <w:rFonts w:ascii="宋体" w:hAnsi="宋体" w:cs="宋体" w:eastAsia="宋体" w:hint="default"/>
          <w:sz w:val="21"/>
          <w:szCs w:val="21"/>
        </w:rPr>
        <w:sectPr>
          <w:type w:val="continuous"/>
          <w:pgSz w:w="11910" w:h="16840"/>
          <w:pgMar w:top="1120" w:bottom="152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在全国中小企业股份转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让系统挂牌的费用</w:t>
            </w:r>
          </w:p>
        </w:tc>
      </w:tr>
      <w:tr>
        <w:trPr>
          <w:trHeight w:val="109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处置可供出售金融资产及长期股权投资收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139,049,539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主要为转让公司持有的</w:t>
            </w:r>
          </w:p>
          <w:p>
            <w:pPr>
              <w:pStyle w:val="TableParagraph"/>
              <w:spacing w:line="237" w:lineRule="auto"/>
              <w:ind w:left="103" w:right="230"/>
              <w:jc w:val="both"/>
              <w:rPr>
                <w:rFonts w:ascii="宋体" w:hAnsi="宋体" w:cs="宋体" w:eastAsia="宋体" w:hint="default"/>
                <w:sz w:val="21"/>
                <w:szCs w:val="21"/>
              </w:rPr>
            </w:pPr>
            <w:r>
              <w:rPr>
                <w:rFonts w:ascii="宋体" w:hAnsi="宋体" w:cs="宋体" w:eastAsia="宋体" w:hint="default"/>
                <w:sz w:val="21"/>
                <w:szCs w:val="21"/>
              </w:rPr>
              <w:t>北京致远协创软件有限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26.52%</w:t>
            </w:r>
            <w:r>
              <w:rPr>
                <w:rFonts w:ascii="宋体" w:hAnsi="宋体" w:cs="宋体" w:eastAsia="宋体" w:hint="default"/>
                <w:sz w:val="21"/>
                <w:szCs w:val="21"/>
              </w:rPr>
              <w:t>的股权产生</w:t>
            </w:r>
            <w:r>
              <w:rPr>
                <w:rFonts w:ascii="宋体" w:hAnsi="宋体" w:cs="宋体" w:eastAsia="宋体" w:hint="default"/>
                <w:w w:val="100"/>
                <w:sz w:val="21"/>
                <w:szCs w:val="21"/>
              </w:rPr>
              <w:t> </w:t>
            </w:r>
            <w:r>
              <w:rPr>
                <w:rFonts w:ascii="宋体" w:hAnsi="宋体" w:cs="宋体" w:eastAsia="宋体" w:hint="default"/>
                <w:sz w:val="21"/>
                <w:szCs w:val="21"/>
              </w:rPr>
              <w:t>的收益</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量的利得</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26,064,653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-41,003,212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217,764,369</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218" w:right="99"/>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left="218"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tabs>
          <w:tab w:pos="1051" w:val="left" w:leader="none"/>
        </w:tabs>
        <w:spacing w:line="249"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7"/>
      </w:tblGrid>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ind w:right="2465"/>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0.23</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0.23</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0.07</w:t>
            </w:r>
          </w:p>
        </w:tc>
      </w:tr>
    </w:tbl>
    <w:p>
      <w:pPr>
        <w:spacing w:line="240" w:lineRule="auto" w:before="2"/>
        <w:rPr>
          <w:rFonts w:ascii="宋体" w:hAnsi="宋体" w:cs="宋体" w:eastAsia="宋体" w:hint="default"/>
          <w:b/>
          <w:bCs/>
          <w:sz w:val="20"/>
          <w:szCs w:val="20"/>
        </w:rPr>
      </w:pPr>
    </w:p>
    <w:p>
      <w:pPr>
        <w:pStyle w:val="Heading2"/>
        <w:spacing w:line="240" w:lineRule="auto"/>
        <w:ind w:right="246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18" w:right="24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2"/>
        <w:spacing w:line="240" w:lineRule="auto" w:before="0"/>
        <w:ind w:right="2465"/>
        <w:jc w:val="left"/>
        <w:rPr>
          <w:b w:val="0"/>
          <w:bCs w:val="0"/>
        </w:rPr>
      </w:pPr>
      <w:r>
        <w:rPr>
          <w:rFonts w:ascii="宋体" w:hAnsi="宋体" w:cs="宋体" w:eastAsia="宋体" w:hint="default"/>
        </w:rPr>
        <w:t>4</w:t>
      </w:r>
      <w:r>
        <w:rPr/>
        <w:t>、</w:t>
      </w:r>
      <w:r>
        <w:rPr>
          <w:spacing w:val="-1"/>
        </w:rPr>
        <w:t> </w:t>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6" w:footer="1335" w:top="1120" w:bottom="152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60"/>
        <w:ind w:left="2005" w:right="2019"/>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载有公司法定代表人、主管会计工作负责人和会计机构负责人签名并盖</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章的会计报表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报告期内在中国证监会指定报刊上公开披露过的所有公司文件的正本和</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公告原稿</w:t>
            </w:r>
          </w:p>
        </w:tc>
      </w:tr>
    </w:tbl>
    <w:p>
      <w:pPr>
        <w:pStyle w:val="BodyText"/>
        <w:spacing w:line="314" w:lineRule="auto" w:before="42"/>
        <w:ind w:left="5239" w:right="148" w:firstLine="2256"/>
        <w:jc w:val="left"/>
      </w:pPr>
      <w:r>
        <w:rPr>
          <w:spacing w:val="-1"/>
        </w:rPr>
        <w:t>董事长：王文京</w:t>
      </w:r>
      <w:r>
        <w:rPr>
          <w:w w:val="100"/>
        </w:rPr>
        <w:t> </w:t>
      </w:r>
      <w:r>
        <w:rPr/>
        <w:t>董事会批准报送日期：</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18</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2"/>
        <w:ind w:left="138" w:right="144"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spacing w:line="240" w:lineRule="auto" w:before="12"/>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2"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sectPr>
      <w:pgSz w:w="11910" w:h="16840"/>
      <w:pgMar w:header="926" w:footer="1335" w:top="1120" w:bottom="152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636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605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029999pt;margin-top:517.523193pt;width:14.1pt;height:11pt;mso-position-horizontal-relative:page;mso-position-vertical-relative:page;z-index:-107596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029999pt;margin-top:517.523193pt;width:14.1pt;height:11pt;mso-position-horizontal-relative:page;mso-position-vertical-relative:page;z-index:-107591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586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18</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584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579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576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574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572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634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17</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569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567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562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37</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557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40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555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41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029999pt;margin-top:517.523193pt;width:14.1pt;height:11pt;mso-position-horizontal-relative:page;mso-position-vertical-relative:page;z-index:-107528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90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524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92</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170013pt;margin-top:764.147156pt;width:17.150pt;height:11pt;mso-position-horizontal-relative:page;mso-position-vertical-relative:page;z-index:-1075168"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100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170013pt;margin-top:764.147156pt;width:19.150pt;height:11pt;mso-position-horizontal-relative:page;mso-position-vertical-relative:page;z-index:-107512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170013pt;margin-top:764.147156pt;width:19.150pt;height:11pt;mso-position-horizontal-relative:page;mso-position-vertical-relative:page;z-index:-107509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632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22</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529999pt;margin-top:764.147156pt;width:18.4pt;height:11pt;mso-position-horizontal-relative:page;mso-position-vertical-relative:page;z-index:-107504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110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529999pt;margin-top:764.147156pt;width:18.4pt;height:11pt;mso-position-horizontal-relative:page;mso-position-vertical-relative:page;z-index:-107502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112</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529999pt;margin-top:764.147156pt;width:18.4pt;height:11pt;mso-position-horizontal-relative:page;mso-position-vertical-relative:page;z-index:-107500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113</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529999pt;margin-top:764.147156pt;width:18.4pt;height:11pt;mso-position-horizontal-relative:page;mso-position-vertical-relative:page;z-index:-107497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114</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529999pt;margin-top:764.147156pt;width:18.4pt;height:11pt;mso-position-horizontal-relative:page;mso-position-vertical-relative:page;z-index:-107492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116</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170013pt;margin-top:764.147156pt;width:19.150pt;height:11pt;mso-position-horizontal-relative:page;mso-position-vertical-relative:page;z-index:-107488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629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627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33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624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47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029999pt;margin-top:517.523193pt;width:14.1pt;height:11pt;mso-position-horizontal-relative:page;mso-position-vertical-relative:page;z-index:-107617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690002pt;margin-top:764.147156pt;width:14.1pt;height:11pt;mso-position-horizontal-relative:page;mso-position-vertical-relative:page;z-index:-107610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74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4.55pt;height:.1pt;mso-position-horizontal-relative:page;mso-position-vertical-relative:page;z-index:-1076416" coordorigin="1769,1116" coordsize="8891,2">
          <v:shape style="position:absolute;left:1769;top:1116;width:8891;height:2" coordorigin="1769,1116" coordsize="8891,0" path="m1769,1116l10660,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970001pt;margin-top:42.985607pt;width:67.55pt;height:12pt;mso-position-horizontal-relative:page;mso-position-vertical-relative:page;z-index:-10763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6.6pt;height:.1pt;mso-position-horizontal-relative:page;mso-position-vertical-relative:page;z-index:-1075936" coordorigin="1495,1118" coordsize="13932,2">
          <v:shape style="position:absolute;left:1495;top:1118;width:13932;height:2" coordorigin="1495,1118" coordsize="13932,0" path="m1495,1118l15427,1118e" filled="false" stroked="true" strokeweight=".72pt" strokecolor="#000000">
            <v:path arrowok="t"/>
          </v:shape>
          <w10:wrap type="non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888"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816"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648"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600"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528"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504"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480"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456"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432"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408"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6.6pt;height:.1pt;mso-position-horizontal-relative:page;mso-position-vertical-relative:page;z-index:-1076224" coordorigin="1495,1116" coordsize="13932,2">
          <v:shape style="position:absolute;left:1495;top:1116;width:13932;height:2" coordorigin="1495,1116" coordsize="13932,0" path="m1495,1116l15427,1116e" filled="false" stroked="true" strokeweight=".72pt" strokecolor="#000000">
            <v:path arrowok="t"/>
          </v:shape>
          <w10:wrap type="none"/>
        </v:group>
      </w:pict>
    </w:r>
    <w:r>
      <w:rPr/>
      <w:pict>
        <v:shape style="position:absolute;margin-left:389.290009pt;margin-top:42.985634pt;width:67.55pt;height:12pt;mso-position-horizontal-relative:page;mso-position-vertical-relative:page;z-index:-10762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384"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360"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336"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6.6pt;height:.1pt;mso-position-horizontal-relative:page;mso-position-vertical-relative:page;z-index:-1075312" coordorigin="1495,1118" coordsize="13932,2">
          <v:shape style="position:absolute;left:1495;top:1118;width:13932;height:2" coordorigin="1495,1118" coordsize="13932,0" path="m1495,1118l15427,1118e" filled="false" stroked="true" strokeweight=".72pt" strokecolor="#000000">
            <v:path arrowok="t"/>
          </v:shape>
          <w10:wrap type="none"/>
        </v:group>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264"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216"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192"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144"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5072"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4.55pt;height:.1pt;mso-position-horizontal-relative:page;mso-position-vertical-relative:page;z-index:-1076152" coordorigin="1769,1111" coordsize="8891,2">
          <v:shape style="position:absolute;left:1769;top:1111;width:8891;height:2" coordorigin="1769,1111" coordsize="8891,0" path="m1769,1111l10660,1111e" filled="false" stroked="true" strokeweight=".72pt" strokecolor="#000000">
            <v:path arrowok="t"/>
          </v:shape>
          <w10:wrap type="none"/>
        </v:group>
      </w:pict>
    </w:r>
    <w:r>
      <w:rPr/>
      <w:pict>
        <v:shape style="position:absolute;margin-left:276.970001pt;margin-top:42.865608pt;width:67.55pt;height:12pt;mso-position-horizontal-relative:page;mso-position-vertical-relative:page;z-index:-10761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4952"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4904"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4856"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6080"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6032"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4.55pt;height:.1pt;mso-position-horizontal-relative:page;mso-position-vertical-relative:page;z-index:-1076008" coordorigin="1769,1118" coordsize="8891,2">
          <v:shape style="position:absolute;left:1769;top:1118;width:8891;height:2" coordorigin="1769,1118" coordsize="8891,0" path="m1769,1118l10660,1118e" filled="false" stroked="true" strokeweight=".72pt" strokecolor="#000000">
            <v:path arrowok="t"/>
          </v:shape>
          <w10:wrap type="non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6.6pt;height:.1pt;mso-position-horizontal-relative:page;mso-position-vertical-relative:page;z-index:-1075984" coordorigin="1495,1118" coordsize="13932,2">
          <v:shape style="position:absolute;left:1495;top:1118;width:13932;height:2" coordorigin="1495,1118" coordsize="13932,0" path="m1495,1118l15427,1118e" filled="false" stroked="true" strokeweight=".72pt" strokecolor="#000000">
            <v:path arrowok="t"/>
          </v:shape>
          <w10:wrap type="non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3"/>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3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ir@yonyou.com" TargetMode="External"/><Relationship Id="rId9" Type="http://schemas.openxmlformats.org/officeDocument/2006/relationships/hyperlink" Target="http://www.yonyou.com/" TargetMode="External"/><Relationship Id="rId10" Type="http://schemas.openxmlformats.org/officeDocument/2006/relationships/hyperlink" Target="http://www.sse.com.cn/" TargetMode="External"/><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footer" Target="footer2.xml"/><Relationship Id="rId14" Type="http://schemas.openxmlformats.org/officeDocument/2006/relationships/hyperlink" Target="http://baike.baidu.com/view/344865.htm"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2.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header" Target="header3.xml"/><Relationship Id="rId24" Type="http://schemas.openxmlformats.org/officeDocument/2006/relationships/footer" Target="footer8.xml"/><Relationship Id="rId25" Type="http://schemas.openxmlformats.org/officeDocument/2006/relationships/header" Target="header4.xml"/><Relationship Id="rId26" Type="http://schemas.openxmlformats.org/officeDocument/2006/relationships/footer" Target="footer9.xml"/><Relationship Id="rId27" Type="http://schemas.openxmlformats.org/officeDocument/2006/relationships/header" Target="header5.xml"/><Relationship Id="rId28" Type="http://schemas.openxmlformats.org/officeDocument/2006/relationships/footer" Target="footer10.xml"/><Relationship Id="rId29" Type="http://schemas.openxmlformats.org/officeDocument/2006/relationships/header" Target="header6.xml"/><Relationship Id="rId30" Type="http://schemas.openxmlformats.org/officeDocument/2006/relationships/footer" Target="footer11.xml"/><Relationship Id="rId31" Type="http://schemas.openxmlformats.org/officeDocument/2006/relationships/header" Target="header7.xml"/><Relationship Id="rId32" Type="http://schemas.openxmlformats.org/officeDocument/2006/relationships/header" Target="header8.xml"/><Relationship Id="rId33" Type="http://schemas.openxmlformats.org/officeDocument/2006/relationships/header" Target="header9.xml"/><Relationship Id="rId34" Type="http://schemas.openxmlformats.org/officeDocument/2006/relationships/footer" Target="footer12.xml"/><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footer" Target="footer13.xml"/><Relationship Id="rId38" Type="http://schemas.openxmlformats.org/officeDocument/2006/relationships/header" Target="header12.xml"/><Relationship Id="rId39" Type="http://schemas.openxmlformats.org/officeDocument/2006/relationships/footer" Target="footer14.xml"/><Relationship Id="rId40" Type="http://schemas.openxmlformats.org/officeDocument/2006/relationships/header" Target="header13.xml"/><Relationship Id="rId41" Type="http://schemas.openxmlformats.org/officeDocument/2006/relationships/footer" Target="footer15.xml"/><Relationship Id="rId42" Type="http://schemas.openxmlformats.org/officeDocument/2006/relationships/header" Target="header14.xml"/><Relationship Id="rId43" Type="http://schemas.openxmlformats.org/officeDocument/2006/relationships/footer" Target="footer16.xml"/><Relationship Id="rId44" Type="http://schemas.openxmlformats.org/officeDocument/2006/relationships/footer" Target="footer17.xml"/><Relationship Id="rId45" Type="http://schemas.openxmlformats.org/officeDocument/2006/relationships/header" Target="header15.xml"/><Relationship Id="rId46" Type="http://schemas.openxmlformats.org/officeDocument/2006/relationships/footer" Target="footer18.xml"/><Relationship Id="rId47" Type="http://schemas.openxmlformats.org/officeDocument/2006/relationships/header" Target="header16.xml"/><Relationship Id="rId48" Type="http://schemas.openxmlformats.org/officeDocument/2006/relationships/footer" Target="footer19.xml"/><Relationship Id="rId49" Type="http://schemas.openxmlformats.org/officeDocument/2006/relationships/header" Target="header17.xml"/><Relationship Id="rId50" Type="http://schemas.openxmlformats.org/officeDocument/2006/relationships/footer" Target="footer20.xml"/><Relationship Id="rId51" Type="http://schemas.openxmlformats.org/officeDocument/2006/relationships/header" Target="header18.xml"/><Relationship Id="rId52" Type="http://schemas.openxmlformats.org/officeDocument/2006/relationships/footer" Target="footer21.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footer" Target="footer22.xml"/><Relationship Id="rId56" Type="http://schemas.openxmlformats.org/officeDocument/2006/relationships/header" Target="header21.xml"/><Relationship Id="rId57" Type="http://schemas.openxmlformats.org/officeDocument/2006/relationships/header" Target="header22.xml"/><Relationship Id="rId58" Type="http://schemas.openxmlformats.org/officeDocument/2006/relationships/footer" Target="footer23.xml"/><Relationship Id="rId59" Type="http://schemas.openxmlformats.org/officeDocument/2006/relationships/header" Target="header23.xml"/><Relationship Id="rId60" Type="http://schemas.openxmlformats.org/officeDocument/2006/relationships/footer" Target="footer24.xml"/><Relationship Id="rId61" Type="http://schemas.openxmlformats.org/officeDocument/2006/relationships/header" Target="header24.xml"/><Relationship Id="rId62" Type="http://schemas.openxmlformats.org/officeDocument/2006/relationships/header" Target="header25.xml"/><Relationship Id="rId63" Type="http://schemas.openxmlformats.org/officeDocument/2006/relationships/header" Target="header26.xml"/><Relationship Id="rId64" Type="http://schemas.openxmlformats.org/officeDocument/2006/relationships/header" Target="header27.xml"/><Relationship Id="rId65" Type="http://schemas.openxmlformats.org/officeDocument/2006/relationships/header" Target="header28.xml"/><Relationship Id="rId66" Type="http://schemas.openxmlformats.org/officeDocument/2006/relationships/header" Target="header29.xml"/><Relationship Id="rId67" Type="http://schemas.openxmlformats.org/officeDocument/2006/relationships/header" Target="header30.xml"/><Relationship Id="rId68" Type="http://schemas.openxmlformats.org/officeDocument/2006/relationships/header" Target="header31.xml"/><Relationship Id="rId69" Type="http://schemas.openxmlformats.org/officeDocument/2006/relationships/header" Target="header32.xml"/><Relationship Id="rId70" Type="http://schemas.openxmlformats.org/officeDocument/2006/relationships/header" Target="header33.xml"/><Relationship Id="rId71" Type="http://schemas.openxmlformats.org/officeDocument/2006/relationships/footer" Target="footer25.xml"/><Relationship Id="rId72" Type="http://schemas.openxmlformats.org/officeDocument/2006/relationships/header" Target="header34.xml"/><Relationship Id="rId73" Type="http://schemas.openxmlformats.org/officeDocument/2006/relationships/footer" Target="footer26.xml"/><Relationship Id="rId74" Type="http://schemas.openxmlformats.org/officeDocument/2006/relationships/header" Target="header35.xml"/><Relationship Id="rId75" Type="http://schemas.openxmlformats.org/officeDocument/2006/relationships/header" Target="header36.xml"/><Relationship Id="rId76" Type="http://schemas.openxmlformats.org/officeDocument/2006/relationships/footer" Target="footer27.xml"/><Relationship Id="rId77" Type="http://schemas.openxmlformats.org/officeDocument/2006/relationships/header" Target="header37.xml"/><Relationship Id="rId78" Type="http://schemas.openxmlformats.org/officeDocument/2006/relationships/footer" Target="footer28.xml"/><Relationship Id="rId79" Type="http://schemas.openxmlformats.org/officeDocument/2006/relationships/header" Target="header38.xml"/><Relationship Id="rId80" Type="http://schemas.openxmlformats.org/officeDocument/2006/relationships/footer" Target="footer29.xml"/><Relationship Id="rId81" Type="http://schemas.openxmlformats.org/officeDocument/2006/relationships/header" Target="header39.xml"/><Relationship Id="rId82" Type="http://schemas.openxmlformats.org/officeDocument/2006/relationships/footer" Target="footer30.xml"/><Relationship Id="rId83" Type="http://schemas.openxmlformats.org/officeDocument/2006/relationships/header" Target="header40.xml"/><Relationship Id="rId84" Type="http://schemas.openxmlformats.org/officeDocument/2006/relationships/footer" Target="footer31.xml"/><Relationship Id="rId85" Type="http://schemas.openxmlformats.org/officeDocument/2006/relationships/header" Target="header41.xml"/><Relationship Id="rId86" Type="http://schemas.openxmlformats.org/officeDocument/2006/relationships/footer" Target="footer32.xml"/><Relationship Id="rId87" Type="http://schemas.openxmlformats.org/officeDocument/2006/relationships/header" Target="header42.xml"/><Relationship Id="rId88" Type="http://schemas.openxmlformats.org/officeDocument/2006/relationships/footer" Target="footer33.xml"/><Relationship Id="rId89" Type="http://schemas.openxmlformats.org/officeDocument/2006/relationships/header" Target="header43.xml"/><Relationship Id="rId90" Type="http://schemas.openxmlformats.org/officeDocument/2006/relationships/footer" Target="footer34.xml"/><Relationship Id="rId91" Type="http://schemas.openxmlformats.org/officeDocument/2006/relationships/header" Target="header44.xml"/><Relationship Id="rId92" Type="http://schemas.openxmlformats.org/officeDocument/2006/relationships/footer" Target="footer35.xml"/><Relationship Id="rId93" Type="http://schemas.openxmlformats.org/officeDocument/2006/relationships/header" Target="header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2020-05-04T19:21:59Z</dcterms:created>
  <dcterms:modified xsi:type="dcterms:W3CDTF">2020-05-04T19:21:59Z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2016-03-18T00:00:00Z</vt:filetime>
  </property>
  <property fmtid="{D5CDD505-2E9C-101B-9397-08002B2CF9AE}" pid="3" name="Creator">
    <vt:lpwstr>Microsoft® Office Word 2007</vt:lpwstr>
  </property>
  <property fmtid="{D5CDD505-2E9C-101B-9397-08002B2CF9AE}" pid="4" name="LastSaved">
    <vt:filetime>2020-05-04T00:00:00Z</vt:filetime>
  </property>
</Properties>
</file>